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F1B85">
      <w:pPr>
        <w:overflowPunct w:val="0"/>
        <w:spacing w:line="500" w:lineRule="exact"/>
        <w:ind w:firstLine="560" w:firstLineChars="200"/>
        <w:rPr>
          <w:rFonts w:hint="eastAsia" w:ascii="宋体" w:hAnsi="宋体" w:eastAsia="宋体" w:cs="宋体"/>
          <w:bCs/>
          <w:color w:val="000000" w:themeColor="text1"/>
          <w:sz w:val="28"/>
          <w:szCs w:val="28"/>
          <w14:textFill>
            <w14:solidFill>
              <w14:schemeClr w14:val="tx1"/>
            </w14:solidFill>
          </w14:textFill>
        </w:rPr>
      </w:pPr>
      <w:bookmarkStart w:id="0" w:name="_Hlk182408923"/>
    </w:p>
    <w:bookmarkEnd w:id="0"/>
    <w:p w14:paraId="130538C0">
      <w:pPr>
        <w:widowControl/>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w:t>
      </w:r>
      <w:bookmarkStart w:id="1" w:name="_Hlk240444159"/>
      <w:r>
        <w:rPr>
          <w:rFonts w:hint="eastAsia" w:ascii="宋体" w:hAnsi="宋体" w:eastAsia="宋体" w:cs="宋体"/>
          <w:color w:val="000000" w:themeColor="text1"/>
          <w:sz w:val="32"/>
          <w:szCs w:val="32"/>
          <w14:textFill>
            <w14:solidFill>
              <w14:schemeClr w14:val="tx1"/>
            </w14:solidFill>
          </w14:textFill>
        </w:rPr>
        <w:t>和布克赛尔蒙古自治县宏达盐业有限责任公司</w:t>
      </w:r>
    </w:p>
    <w:p w14:paraId="7213655A">
      <w:pPr>
        <w:widowControl/>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和布克赛尔县新乌森盐池开采方案</w:t>
      </w:r>
      <w:bookmarkEnd w:id="1"/>
      <w:r>
        <w:rPr>
          <w:rFonts w:hint="eastAsia" w:ascii="宋体" w:hAnsi="宋体" w:eastAsia="宋体" w:cs="宋体"/>
          <w:color w:val="000000" w:themeColor="text1"/>
          <w:sz w:val="32"/>
          <w:szCs w:val="32"/>
          <w14:textFill>
            <w14:solidFill>
              <w14:schemeClr w14:val="tx1"/>
            </w14:solidFill>
          </w14:textFill>
        </w:rPr>
        <w:t>》评审意见</w:t>
      </w:r>
    </w:p>
    <w:p w14:paraId="0A863C45">
      <w:pPr>
        <w:overflowPunct w:val="0"/>
        <w:spacing w:line="240" w:lineRule="exact"/>
        <w:ind w:firstLine="560" w:firstLineChars="200"/>
        <w:rPr>
          <w:rFonts w:hint="eastAsia" w:ascii="宋体" w:hAnsi="宋体" w:eastAsia="宋体" w:cs="宋体"/>
          <w:color w:val="000000" w:themeColor="text1"/>
          <w:sz w:val="28"/>
          <w:szCs w:val="28"/>
          <w14:textFill>
            <w14:solidFill>
              <w14:schemeClr w14:val="tx1"/>
            </w14:solidFill>
          </w14:textFill>
        </w:rPr>
      </w:pPr>
    </w:p>
    <w:p w14:paraId="495F07AF">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根据《自然资源部办公厅关于&lt;矿产资源法&gt;实施衔接过渡有关事项的通知》（自然资办函〔2025〕1704号）及《自治区自然资源厅关于做好《矿产资源法》实施衔接过渡期矿产资源勘查方案、开采方案评审工作的公告》等相关规定要求，因科学合理设置矿业权、节约集约开发利用矿产资源及变更采矿许可证生产规模，受和布克赛尔蒙古自治县宏达盐业有限责任公司委托，由新疆维吾尔自治区地质局塔城地质大队编制完成了《和布克赛尔蒙古自治县宏达盐业有限责任公司和布克赛尔县新乌森盐池开采方案》（以下简称“方案”），于2026年9月9日提交评审专家组，评审专家采取函审方式提出专家审查意见，编制单位对方案进行修改完善。经专家组复核，方案符合规范要求。形成仅供矿业权管理使用的评审意见如下：</w:t>
      </w:r>
    </w:p>
    <w:p w14:paraId="11102004">
      <w:pPr>
        <w:adjustRightInd w:val="0"/>
        <w:snapToGrid w:val="0"/>
        <w:spacing w:line="560" w:lineRule="exact"/>
        <w:ind w:firstLine="643" w:firstLineChars="200"/>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一、矿山概况</w:t>
      </w:r>
    </w:p>
    <w:p w14:paraId="24C76C70">
      <w:pPr>
        <w:adjustRightInd w:val="0"/>
        <w:snapToGrid w:val="0"/>
        <w:spacing w:line="560" w:lineRule="exact"/>
        <w:ind w:firstLine="640" w:firstLineChars="200"/>
        <w:rPr>
          <w:rFonts w:hint="eastAsia" w:ascii="宋体" w:hAnsi="宋体" w:eastAsia="宋体" w:cs="宋体"/>
          <w:bCs/>
          <w:color w:val="000000" w:themeColor="text1"/>
          <w:sz w:val="32"/>
          <w:szCs w:val="32"/>
          <w14:textFill>
            <w14:solidFill>
              <w14:schemeClr w14:val="tx1"/>
            </w14:solidFill>
          </w14:textFill>
        </w:rPr>
      </w:pPr>
      <w:r>
        <w:rPr>
          <w:rFonts w:hint="eastAsia" w:ascii="宋体" w:hAnsi="宋体" w:eastAsia="宋体" w:cs="宋体"/>
          <w:bCs/>
          <w:color w:val="000000" w:themeColor="text1"/>
          <w:sz w:val="32"/>
          <w:szCs w:val="32"/>
          <w14:textFill>
            <w14:solidFill>
              <w14:schemeClr w14:val="tx1"/>
            </w14:solidFill>
          </w14:textFill>
        </w:rPr>
        <w:t>（</w:t>
      </w:r>
      <w:r>
        <w:rPr>
          <w:rFonts w:hint="eastAsia" w:ascii="宋体" w:hAnsi="宋体" w:eastAsia="宋体" w:cs="宋体"/>
          <w:bCs/>
          <w:color w:val="000000" w:themeColor="text1"/>
          <w:sz w:val="32"/>
          <w:szCs w:val="32"/>
          <w:lang w:val="en-US" w:eastAsia="zh-CN"/>
          <w14:textFill>
            <w14:solidFill>
              <w14:schemeClr w14:val="tx1"/>
            </w14:solidFill>
          </w14:textFill>
        </w:rPr>
        <w:t>一</w:t>
      </w:r>
      <w:r>
        <w:rPr>
          <w:rFonts w:hint="eastAsia" w:ascii="宋体" w:hAnsi="宋体" w:eastAsia="宋体" w:cs="宋体"/>
          <w:bCs/>
          <w:color w:val="000000" w:themeColor="text1"/>
          <w:sz w:val="32"/>
          <w:szCs w:val="32"/>
          <w14:textFill>
            <w14:solidFill>
              <w14:schemeClr w14:val="tx1"/>
            </w14:solidFill>
          </w14:textFill>
        </w:rPr>
        <w:t>）矿业权基本情况</w:t>
      </w:r>
    </w:p>
    <w:p w14:paraId="487878C8">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和布克赛尔蒙古自治县宏达盐业有限责任公司和布克赛尔县新乌森盐池原《采矿许可证》（C6500002013126120132834）信息如下：</w:t>
      </w:r>
    </w:p>
    <w:p w14:paraId="1B7C725C">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采矿权人：和布克赛尔蒙古自治县宏达盐业有限责任公司；</w:t>
      </w:r>
    </w:p>
    <w:p w14:paraId="67F4B963">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地址：和布克赛尔蒙古自治县和什托洛盖镇迭伦南街128号；</w:t>
      </w:r>
    </w:p>
    <w:p w14:paraId="0B097148">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矿山名称：和布克赛尔蒙古自治县宏达盐业有限责任公司和布克赛尔县新乌森盐池；</w:t>
      </w:r>
    </w:p>
    <w:p w14:paraId="01B84C00">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开采矿种：矿盐；</w:t>
      </w:r>
    </w:p>
    <w:p w14:paraId="698A27EF">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开采方式：露天开采；</w:t>
      </w:r>
    </w:p>
    <w:p w14:paraId="5F86D43E">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有效期自2026年05月06日至2026年11月22日。 </w:t>
      </w:r>
    </w:p>
    <w:p w14:paraId="3EC67BC5">
      <w:pPr>
        <w:adjustRightInd w:val="0"/>
        <w:snapToGrid w:val="0"/>
        <w:spacing w:line="560" w:lineRule="exact"/>
        <w:ind w:firstLine="643" w:firstLineChars="200"/>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二、矿产资源储量情况</w:t>
      </w:r>
    </w:p>
    <w:p w14:paraId="355CD473">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根据《新疆和布克赛尔县新乌森盐池盐矿 2025 年储量年度报告》核查意见书评审结论：</w:t>
      </w:r>
      <w:bookmarkStart w:id="2" w:name="OLE_LINK62"/>
      <w:r>
        <w:rPr>
          <w:rFonts w:hint="eastAsia" w:ascii="宋体" w:hAnsi="宋体" w:eastAsia="宋体" w:cs="宋体"/>
          <w:color w:val="000000" w:themeColor="text1"/>
          <w:sz w:val="28"/>
          <w:szCs w:val="28"/>
          <w14:textFill>
            <w14:solidFill>
              <w14:schemeClr w14:val="tx1"/>
            </w14:solidFill>
          </w14:textFill>
        </w:rPr>
        <w:t>截止2025年12月31日</w:t>
      </w:r>
      <w:bookmarkEnd w:id="2"/>
    </w:p>
    <w:p w14:paraId="45E01091">
      <w:pPr>
        <w:adjustRightInd w:val="0"/>
        <w:snapToGrid w:val="0"/>
        <w:spacing w:line="560" w:lineRule="exact"/>
        <w:ind w:firstLine="643" w:firstLineChars="200"/>
        <w:rPr>
          <w:rFonts w:hint="eastAsia" w:ascii="宋体" w:hAnsi="宋体" w:eastAsia="宋体" w:cs="宋体"/>
          <w:bCs/>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三、开采区域</w:t>
      </w:r>
    </w:p>
    <w:p w14:paraId="474553C9">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和布克赛尔县新乌森盐池生产规模（矿物量）拟由100万吨/年变更为170万吨/年；开采区域范围不变，仍由8个拐点圈定，矿区面积37.6603km</w:t>
      </w:r>
      <w:r>
        <w:rPr>
          <w:rFonts w:hint="eastAsia" w:ascii="宋体" w:hAnsi="宋体" w:eastAsia="宋体" w:cs="宋体"/>
          <w:color w:val="000000" w:themeColor="text1"/>
          <w:sz w:val="28"/>
          <w:szCs w:val="28"/>
          <w:vertAlign w:val="superscript"/>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，开采标高252m～248.5m，矿山无地表剥离。</w:t>
      </w:r>
    </w:p>
    <w:p w14:paraId="5CFC54D6">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开采区域不涉及各类禁止限制开采区域，与其他已设矿业权不存在重叠情况。</w:t>
      </w:r>
    </w:p>
    <w:p w14:paraId="1BCDCE04">
      <w:pPr>
        <w:adjustRightInd w:val="0"/>
        <w:snapToGrid w:val="0"/>
        <w:spacing w:line="560" w:lineRule="exact"/>
        <w:ind w:firstLine="643" w:firstLineChars="200"/>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四、矿产资源开采</w:t>
      </w:r>
    </w:p>
    <w:p w14:paraId="703BA34D">
      <w:pPr>
        <w:adjustRightInd w:val="0"/>
        <w:snapToGrid w:val="0"/>
        <w:spacing w:line="560" w:lineRule="exact"/>
        <w:ind w:firstLine="640" w:firstLineChars="200"/>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Cs/>
          <w:color w:val="000000" w:themeColor="text1"/>
          <w:sz w:val="32"/>
          <w:szCs w:val="32"/>
          <w14:textFill>
            <w14:solidFill>
              <w14:schemeClr w14:val="tx1"/>
            </w14:solidFill>
          </w14:textFill>
        </w:rPr>
        <w:t>（一）资源量利用原则、设计利用资源量及可采储量</w:t>
      </w:r>
    </w:p>
    <w:p w14:paraId="4560880C">
      <w:pPr>
        <w:overflowPunct w:val="0"/>
        <w:spacing w:line="560" w:lineRule="exact"/>
        <w:ind w:firstLine="64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Cs/>
          <w:color w:val="000000" w:themeColor="text1"/>
          <w:sz w:val="32"/>
          <w:szCs w:val="32"/>
          <w14:textFill>
            <w14:solidFill>
              <w14:schemeClr w14:val="tx1"/>
            </w14:solidFill>
          </w14:textFill>
        </w:rPr>
        <w:t>1、设计利用资源量</w:t>
      </w:r>
    </w:p>
    <w:p w14:paraId="58987AD0">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设计利用矿区内保有（探明+控制+推断）固相石盐矿资源量：矿石量1493.10万吨，NaCl矿物量1187.94万吨；设计损失固相石盐矿资源量：矿石量53.83万吨，NaCl矿物量42.83万吨；固相石盐矿设计损失率3.48%。</w:t>
      </w:r>
    </w:p>
    <w:p w14:paraId="39B89007">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设计利用矿区内保有固相芒硝矿推断资源量（TD）矿石量248.30万吨，Na</w:t>
      </w:r>
      <w:r>
        <w:rPr>
          <w:rFonts w:hint="eastAsia" w:ascii="宋体" w:hAnsi="宋体" w:eastAsia="宋体" w:cs="宋体"/>
          <w:color w:val="000000" w:themeColor="text1"/>
          <w:sz w:val="28"/>
          <w:szCs w:val="28"/>
          <w:vertAlign w:val="subscript"/>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SO</w:t>
      </w:r>
      <w:r>
        <w:rPr>
          <w:rFonts w:hint="eastAsia" w:ascii="宋体" w:hAnsi="宋体" w:eastAsia="宋体" w:cs="宋体"/>
          <w:color w:val="000000" w:themeColor="text1"/>
          <w:sz w:val="28"/>
          <w:szCs w:val="28"/>
          <w:vertAlign w:val="subscript"/>
          <w14:textFill>
            <w14:solidFill>
              <w14:schemeClr w14:val="tx1"/>
            </w14:solidFill>
          </w14:textFill>
        </w:rPr>
        <w:t>4</w:t>
      </w:r>
      <w:r>
        <w:rPr>
          <w:rFonts w:hint="eastAsia" w:ascii="宋体" w:hAnsi="宋体" w:eastAsia="宋体" w:cs="宋体"/>
          <w:color w:val="000000" w:themeColor="text1"/>
          <w:sz w:val="28"/>
          <w:szCs w:val="28"/>
          <w14:textFill>
            <w14:solidFill>
              <w14:schemeClr w14:val="tx1"/>
            </w14:solidFill>
          </w14:textFill>
        </w:rPr>
        <w:t>矿物量125.15万吨；设计损失固相芒硝矿推断资源量（TD）矿石量9.43万吨，Na</w:t>
      </w:r>
      <w:r>
        <w:rPr>
          <w:rFonts w:hint="eastAsia" w:ascii="宋体" w:hAnsi="宋体" w:eastAsia="宋体" w:cs="宋体"/>
          <w:color w:val="000000" w:themeColor="text1"/>
          <w:sz w:val="28"/>
          <w:szCs w:val="28"/>
          <w:vertAlign w:val="subscript"/>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SO</w:t>
      </w:r>
      <w:r>
        <w:rPr>
          <w:rFonts w:hint="eastAsia" w:ascii="宋体" w:hAnsi="宋体" w:eastAsia="宋体" w:cs="宋体"/>
          <w:color w:val="000000" w:themeColor="text1"/>
          <w:sz w:val="28"/>
          <w:szCs w:val="28"/>
          <w:vertAlign w:val="subscript"/>
          <w14:textFill>
            <w14:solidFill>
              <w14:schemeClr w14:val="tx1"/>
            </w14:solidFill>
          </w14:textFill>
        </w:rPr>
        <w:t>4</w:t>
      </w:r>
      <w:r>
        <w:rPr>
          <w:rFonts w:hint="eastAsia" w:ascii="宋体" w:hAnsi="宋体" w:eastAsia="宋体" w:cs="宋体"/>
          <w:color w:val="000000" w:themeColor="text1"/>
          <w:sz w:val="28"/>
          <w:szCs w:val="28"/>
          <w14:textFill>
            <w14:solidFill>
              <w14:schemeClr w14:val="tx1"/>
            </w14:solidFill>
          </w14:textFill>
        </w:rPr>
        <w:t>矿物量4.75万吨，固相芒硝矿设计损失率3.66%。</w:t>
      </w:r>
    </w:p>
    <w:p w14:paraId="556D2D4C">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设计利用矿区内保有（控制+推断）液相石盐矿资源储量：卤水量799.26万立方米，NaCl矿物量13.38万吨，KCl矿物量0.387万吨；设计损失液相卤水石盐矿资源储量：卤水量7.10万立方米，NaCl量0.12万吨，KCl矿物量0.003万吨，液相石盐矿设计损失率0.88%。</w:t>
      </w:r>
    </w:p>
    <w:p w14:paraId="570A8E83">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综合以上，设计利用固相石盐矿、固相芒硝矿总资源量为：矿石量1741.4万吨，NaCl及Na</w:t>
      </w:r>
      <w:r>
        <w:rPr>
          <w:rFonts w:hint="eastAsia" w:ascii="宋体" w:hAnsi="宋体" w:eastAsia="宋体" w:cs="宋体"/>
          <w:color w:val="000000" w:themeColor="text1"/>
          <w:sz w:val="28"/>
          <w:szCs w:val="28"/>
          <w:vertAlign w:val="subscript"/>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SO</w:t>
      </w:r>
      <w:r>
        <w:rPr>
          <w:rFonts w:hint="eastAsia" w:ascii="宋体" w:hAnsi="宋体" w:eastAsia="宋体" w:cs="宋体"/>
          <w:color w:val="000000" w:themeColor="text1"/>
          <w:sz w:val="28"/>
          <w:szCs w:val="28"/>
          <w:vertAlign w:val="subscript"/>
          <w14:textFill>
            <w14:solidFill>
              <w14:schemeClr w14:val="tx1"/>
            </w14:solidFill>
          </w14:textFill>
        </w:rPr>
        <w:t>4</w:t>
      </w:r>
      <w:r>
        <w:rPr>
          <w:rFonts w:hint="eastAsia" w:ascii="宋体" w:hAnsi="宋体" w:eastAsia="宋体" w:cs="宋体"/>
          <w:color w:val="000000" w:themeColor="text1"/>
          <w:sz w:val="28"/>
          <w:szCs w:val="28"/>
          <w14:textFill>
            <w14:solidFill>
              <w14:schemeClr w14:val="tx1"/>
            </w14:solidFill>
          </w14:textFill>
        </w:rPr>
        <w:t>矿物量1313.09万吨；设计损失固相石盐矿、固相芒硝矿资源量：矿石量63.26万吨，NaCl及Na2SO4矿物量47.58万吨；设计损失率3.51%。造成设计损失资源量的原因主要为矿区边缘盐层较薄难以布置沟槽进行开采造成的。</w:t>
      </w:r>
    </w:p>
    <w:p w14:paraId="2ADA7E42">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设计利用液相卤水石盐矿总资源量为：卤水量799.26万立方米，NaCl及KCl矿物量13.676万吨；设计损失液相卤水石盐矿资源量：卤水量7.10万立方米，NaCl及KCl矿物量0.123万吨；设计损失率0.88%。</w:t>
      </w:r>
    </w:p>
    <w:p w14:paraId="56B8018A">
      <w:pPr>
        <w:adjustRightInd w:val="0"/>
        <w:snapToGrid w:val="0"/>
        <w:spacing w:line="560" w:lineRule="exact"/>
        <w:ind w:firstLine="640" w:firstLineChars="200"/>
        <w:rPr>
          <w:rFonts w:hint="eastAsia" w:ascii="宋体" w:hAnsi="宋体" w:eastAsia="宋体" w:cs="宋体"/>
          <w:bCs/>
          <w:color w:val="000000" w:themeColor="text1"/>
          <w:sz w:val="32"/>
          <w:szCs w:val="32"/>
          <w14:textFill>
            <w14:solidFill>
              <w14:schemeClr w14:val="tx1"/>
            </w14:solidFill>
          </w14:textFill>
        </w:rPr>
      </w:pPr>
      <w:r>
        <w:rPr>
          <w:rFonts w:hint="eastAsia" w:ascii="宋体" w:hAnsi="宋体" w:eastAsia="宋体" w:cs="宋体"/>
          <w:bCs/>
          <w:color w:val="000000" w:themeColor="text1"/>
          <w:sz w:val="32"/>
          <w:szCs w:val="32"/>
          <w14:textFill>
            <w14:solidFill>
              <w14:schemeClr w14:val="tx1"/>
            </w14:solidFill>
          </w14:textFill>
        </w:rPr>
        <w:t>（二）开采矿种</w:t>
      </w:r>
    </w:p>
    <w:p w14:paraId="1D432095">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设计开采的</w:t>
      </w:r>
      <w:bookmarkStart w:id="3" w:name="_Hlk240445366"/>
      <w:r>
        <w:rPr>
          <w:rFonts w:hint="eastAsia" w:ascii="宋体" w:hAnsi="宋体" w:eastAsia="宋体" w:cs="宋体"/>
          <w:color w:val="000000" w:themeColor="text1"/>
          <w:sz w:val="28"/>
          <w:szCs w:val="28"/>
          <w14:textFill>
            <w14:solidFill>
              <w14:schemeClr w14:val="tx1"/>
            </w14:solidFill>
          </w14:textFill>
        </w:rPr>
        <w:t>主矿种为氯化钠（NaCl）</w:t>
      </w:r>
      <w:bookmarkEnd w:id="3"/>
      <w:r>
        <w:rPr>
          <w:rFonts w:hint="eastAsia" w:ascii="宋体" w:hAnsi="宋体" w:eastAsia="宋体" w:cs="宋体"/>
          <w:color w:val="000000" w:themeColor="text1"/>
          <w:sz w:val="28"/>
          <w:szCs w:val="28"/>
          <w14:textFill>
            <w14:solidFill>
              <w14:schemeClr w14:val="tx1"/>
            </w14:solidFill>
          </w14:textFill>
        </w:rPr>
        <w:t>，</w:t>
      </w:r>
      <w:bookmarkStart w:id="4" w:name="_Hlk240445377"/>
      <w:r>
        <w:rPr>
          <w:rFonts w:hint="eastAsia" w:ascii="宋体" w:hAnsi="宋体" w:eastAsia="宋体" w:cs="宋体"/>
          <w:color w:val="000000" w:themeColor="text1"/>
          <w:sz w:val="28"/>
          <w:szCs w:val="28"/>
          <w14:textFill>
            <w14:solidFill>
              <w14:schemeClr w14:val="tx1"/>
            </w14:solidFill>
          </w14:textFill>
        </w:rPr>
        <w:t>共生矿种为固相芒硝矿（Na</w:t>
      </w:r>
      <w:r>
        <w:rPr>
          <w:rFonts w:hint="eastAsia" w:ascii="宋体" w:hAnsi="宋体" w:eastAsia="宋体" w:cs="宋体"/>
          <w:color w:val="000000" w:themeColor="text1"/>
          <w:sz w:val="28"/>
          <w:szCs w:val="28"/>
          <w:vertAlign w:val="subscript"/>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SO</w:t>
      </w:r>
      <w:r>
        <w:rPr>
          <w:rFonts w:hint="eastAsia" w:ascii="宋体" w:hAnsi="宋体" w:eastAsia="宋体" w:cs="宋体"/>
          <w:color w:val="000000" w:themeColor="text1"/>
          <w:sz w:val="28"/>
          <w:szCs w:val="28"/>
          <w:vertAlign w:val="subscript"/>
          <w14:textFill>
            <w14:solidFill>
              <w14:schemeClr w14:val="tx1"/>
            </w14:solidFill>
          </w14:textFill>
        </w:rPr>
        <w:t>4</w:t>
      </w:r>
      <w:r>
        <w:rPr>
          <w:rFonts w:hint="eastAsia" w:ascii="宋体" w:hAnsi="宋体" w:eastAsia="宋体" w:cs="宋体"/>
          <w:color w:val="000000" w:themeColor="text1"/>
          <w:sz w:val="28"/>
          <w:szCs w:val="28"/>
          <w14:textFill>
            <w14:solidFill>
              <w14:schemeClr w14:val="tx1"/>
            </w14:solidFill>
          </w14:textFill>
        </w:rPr>
        <w:t>），伴生矿种为氯化钾（KCl）</w:t>
      </w:r>
      <w:bookmarkEnd w:id="4"/>
      <w:r>
        <w:rPr>
          <w:rFonts w:hint="eastAsia" w:ascii="宋体" w:hAnsi="宋体" w:eastAsia="宋体" w:cs="宋体"/>
          <w:color w:val="000000" w:themeColor="text1"/>
          <w:sz w:val="28"/>
          <w:szCs w:val="28"/>
          <w14:textFill>
            <w14:solidFill>
              <w14:schemeClr w14:val="tx1"/>
            </w14:solidFill>
          </w14:textFill>
        </w:rPr>
        <w:t>。</w:t>
      </w:r>
    </w:p>
    <w:p w14:paraId="4DCD3A2F">
      <w:pPr>
        <w:adjustRightInd w:val="0"/>
        <w:snapToGrid w:val="0"/>
        <w:spacing w:line="560" w:lineRule="exact"/>
        <w:ind w:firstLine="640" w:firstLineChars="200"/>
        <w:rPr>
          <w:rFonts w:hint="eastAsia" w:ascii="宋体" w:hAnsi="宋体" w:eastAsia="宋体" w:cs="宋体"/>
          <w:bCs/>
          <w:color w:val="000000" w:themeColor="text1"/>
          <w:sz w:val="32"/>
          <w:szCs w:val="32"/>
          <w14:textFill>
            <w14:solidFill>
              <w14:schemeClr w14:val="tx1"/>
            </w14:solidFill>
          </w14:textFill>
        </w:rPr>
      </w:pPr>
      <w:r>
        <w:rPr>
          <w:rFonts w:hint="eastAsia" w:ascii="宋体" w:hAnsi="宋体" w:eastAsia="宋体" w:cs="宋体"/>
          <w:bCs/>
          <w:color w:val="000000" w:themeColor="text1"/>
          <w:sz w:val="32"/>
          <w:szCs w:val="32"/>
          <w14:textFill>
            <w14:solidFill>
              <w14:schemeClr w14:val="tx1"/>
            </w14:solidFill>
          </w14:textFill>
        </w:rPr>
        <w:t>（三）开采方式</w:t>
      </w:r>
    </w:p>
    <w:p w14:paraId="056ED475">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设计采用露天开采。</w:t>
      </w:r>
      <w:bookmarkStart w:id="5" w:name="_Hlk241051644"/>
      <w:bookmarkStart w:id="7" w:name="_GoBack"/>
      <w:bookmarkEnd w:id="7"/>
    </w:p>
    <w:bookmarkEnd w:id="5"/>
    <w:p w14:paraId="29041C8A">
      <w:pPr>
        <w:adjustRightInd w:val="0"/>
        <w:snapToGrid w:val="0"/>
        <w:spacing w:line="560" w:lineRule="exact"/>
        <w:ind w:firstLine="640" w:firstLineChars="200"/>
        <w:rPr>
          <w:rFonts w:hint="eastAsia" w:ascii="宋体" w:hAnsi="宋体" w:eastAsia="宋体" w:cs="宋体"/>
          <w:bCs/>
          <w:color w:val="000000" w:themeColor="text1"/>
          <w:sz w:val="32"/>
          <w:szCs w:val="32"/>
          <w14:textFill>
            <w14:solidFill>
              <w14:schemeClr w14:val="tx1"/>
            </w14:solidFill>
          </w14:textFill>
        </w:rPr>
      </w:pPr>
      <w:r>
        <w:rPr>
          <w:rFonts w:hint="eastAsia" w:ascii="宋体" w:hAnsi="宋体" w:eastAsia="宋体" w:cs="宋体"/>
          <w:bCs/>
          <w:color w:val="000000" w:themeColor="text1"/>
          <w:sz w:val="32"/>
          <w:szCs w:val="32"/>
          <w14:textFill>
            <w14:solidFill>
              <w14:schemeClr w14:val="tx1"/>
            </w14:solidFill>
          </w14:textFill>
        </w:rPr>
        <w:t>（五）服务年限</w:t>
      </w:r>
    </w:p>
    <w:p w14:paraId="1721B464">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设计矿山服务年限为7.41年（7年5个月），其中，按照开采时间顺序分别为：前期固相石盐矿（NaCl）服务年限为6.64年（6年8个月），其次液相石盐矿（NaCl及KCl）服务年限为0.08年（1个月），最终固相芒硝矿（Na</w:t>
      </w:r>
      <w:r>
        <w:rPr>
          <w:rFonts w:hint="eastAsia" w:ascii="宋体" w:hAnsi="宋体" w:eastAsia="宋体" w:cs="宋体"/>
          <w:color w:val="000000" w:themeColor="text1"/>
          <w:sz w:val="28"/>
          <w:szCs w:val="28"/>
          <w:vertAlign w:val="subscript"/>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SO</w:t>
      </w:r>
      <w:r>
        <w:rPr>
          <w:rFonts w:hint="eastAsia" w:ascii="宋体" w:hAnsi="宋体" w:eastAsia="宋体" w:cs="宋体"/>
          <w:color w:val="000000" w:themeColor="text1"/>
          <w:sz w:val="28"/>
          <w:szCs w:val="28"/>
          <w:vertAlign w:val="subscript"/>
          <w14:textFill>
            <w14:solidFill>
              <w14:schemeClr w14:val="tx1"/>
            </w14:solidFill>
          </w14:textFill>
        </w:rPr>
        <w:t>4</w:t>
      </w:r>
      <w:r>
        <w:rPr>
          <w:rFonts w:hint="eastAsia" w:ascii="宋体" w:hAnsi="宋体" w:eastAsia="宋体" w:cs="宋体"/>
          <w:color w:val="000000" w:themeColor="text1"/>
          <w:sz w:val="28"/>
          <w:szCs w:val="28"/>
          <w14:textFill>
            <w14:solidFill>
              <w14:schemeClr w14:val="tx1"/>
            </w14:solidFill>
          </w14:textFill>
        </w:rPr>
        <w:t>）服务年限为0.70年（8个月）。</w:t>
      </w:r>
    </w:p>
    <w:p w14:paraId="7591B70D">
      <w:pPr>
        <w:adjustRightInd w:val="0"/>
        <w:snapToGrid w:val="0"/>
        <w:spacing w:line="560" w:lineRule="exact"/>
        <w:ind w:firstLine="640" w:firstLineChars="200"/>
        <w:rPr>
          <w:rFonts w:hint="eastAsia" w:ascii="宋体" w:hAnsi="宋体" w:eastAsia="宋体" w:cs="宋体"/>
          <w:bCs/>
          <w:color w:val="000000" w:themeColor="text1"/>
          <w:sz w:val="32"/>
          <w:szCs w:val="32"/>
          <w14:textFill>
            <w14:solidFill>
              <w14:schemeClr w14:val="tx1"/>
            </w14:solidFill>
          </w14:textFill>
        </w:rPr>
      </w:pPr>
      <w:r>
        <w:rPr>
          <w:rFonts w:hint="eastAsia" w:ascii="宋体" w:hAnsi="宋体" w:eastAsia="宋体" w:cs="宋体"/>
          <w:bCs/>
          <w:color w:val="000000" w:themeColor="text1"/>
          <w:sz w:val="32"/>
          <w:szCs w:val="32"/>
          <w14:textFill>
            <w14:solidFill>
              <w14:schemeClr w14:val="tx1"/>
            </w14:solidFill>
          </w14:textFill>
        </w:rPr>
        <w:t>（六）开拓运输方案</w:t>
      </w:r>
    </w:p>
    <w:p w14:paraId="67BEB9B8">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开拓运输方案选用道路开拓-汽车运输方案。</w:t>
      </w:r>
    </w:p>
    <w:p w14:paraId="74F0300D">
      <w:pPr>
        <w:adjustRightInd w:val="0"/>
        <w:snapToGrid w:val="0"/>
        <w:spacing w:line="560" w:lineRule="exact"/>
        <w:ind w:firstLine="640" w:firstLineChars="200"/>
        <w:rPr>
          <w:rFonts w:hint="eastAsia" w:ascii="宋体" w:hAnsi="宋体" w:eastAsia="宋体" w:cs="宋体"/>
          <w:bCs/>
          <w:color w:val="000000" w:themeColor="text1"/>
          <w:sz w:val="32"/>
          <w:szCs w:val="32"/>
          <w14:textFill>
            <w14:solidFill>
              <w14:schemeClr w14:val="tx1"/>
            </w14:solidFill>
          </w14:textFill>
        </w:rPr>
      </w:pPr>
      <w:r>
        <w:rPr>
          <w:rFonts w:hint="eastAsia" w:ascii="宋体" w:hAnsi="宋体" w:eastAsia="宋体" w:cs="宋体"/>
          <w:bCs/>
          <w:color w:val="000000" w:themeColor="text1"/>
          <w:sz w:val="32"/>
          <w:szCs w:val="32"/>
          <w14:textFill>
            <w14:solidFill>
              <w14:schemeClr w14:val="tx1"/>
            </w14:solidFill>
          </w14:textFill>
        </w:rPr>
        <w:t>（七）开采顺序</w:t>
      </w:r>
    </w:p>
    <w:p w14:paraId="3937263D">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对于矿山石盐矿、芒硝矿的矿层与卤水石盐矿重叠的区域；设计首先采用液相开采工艺开采卤水石盐矿，然后再以露天方式开采石盐矿层，最后在矿山开采末期再以沟槽法开采芒硝矿的矿层。</w:t>
      </w:r>
    </w:p>
    <w:p w14:paraId="58382B6A">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露天采场开采顺序：由于矿山保有资源量分布情况，设计露天采场采用自上而下的开采顺序。</w:t>
      </w:r>
    </w:p>
    <w:p w14:paraId="1EADB086">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采区开采顺序：根据运输道路布置方式，为确保运输车辆及采掘设备安全，采用后退式开采。</w:t>
      </w:r>
    </w:p>
    <w:p w14:paraId="2ECFEC0E">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矿块开采顺序：为确保采掘工作安全，矿块采掘工作面由矿块端部向开采境界外推进。</w:t>
      </w:r>
    </w:p>
    <w:p w14:paraId="0A48903B">
      <w:pPr>
        <w:adjustRightInd w:val="0"/>
        <w:snapToGrid w:val="0"/>
        <w:spacing w:line="560" w:lineRule="exact"/>
        <w:ind w:firstLine="640" w:firstLineChars="200"/>
        <w:rPr>
          <w:rFonts w:hint="eastAsia" w:ascii="宋体" w:hAnsi="宋体" w:eastAsia="宋体" w:cs="宋体"/>
          <w:bCs/>
          <w:color w:val="000000" w:themeColor="text1"/>
          <w:sz w:val="32"/>
          <w:szCs w:val="32"/>
          <w14:textFill>
            <w14:solidFill>
              <w14:schemeClr w14:val="tx1"/>
            </w14:solidFill>
          </w14:textFill>
        </w:rPr>
      </w:pPr>
      <w:r>
        <w:rPr>
          <w:rFonts w:hint="eastAsia" w:ascii="宋体" w:hAnsi="宋体" w:eastAsia="宋体" w:cs="宋体"/>
          <w:bCs/>
          <w:color w:val="000000" w:themeColor="text1"/>
          <w:sz w:val="32"/>
          <w:szCs w:val="32"/>
          <w14:textFill>
            <w14:solidFill>
              <w14:schemeClr w14:val="tx1"/>
            </w14:solidFill>
          </w14:textFill>
        </w:rPr>
        <w:t>（八）采矿方法</w:t>
      </w:r>
    </w:p>
    <w:p w14:paraId="767A45A8">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设计液相卤水盐采用卤水泵抽取卤水至卤水池蒸发结晶工艺开采。固相盐开采采用分区开采固定式洗盐以及分区开采移动式洗盐工艺；采矿回采率95%。</w:t>
      </w:r>
    </w:p>
    <w:p w14:paraId="02EA185B">
      <w:pPr>
        <w:adjustRightInd w:val="0"/>
        <w:snapToGrid w:val="0"/>
        <w:spacing w:line="560" w:lineRule="exact"/>
        <w:ind w:firstLine="643" w:firstLineChars="200"/>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五、矿产资源综合利用</w:t>
      </w:r>
    </w:p>
    <w:p w14:paraId="0B32458D">
      <w:pPr>
        <w:adjustRightInd w:val="0"/>
        <w:snapToGrid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矿山主矿种为氯化钠（NaCl），共生矿种为固相芒硝矿（Na</w:t>
      </w:r>
      <w:r>
        <w:rPr>
          <w:rFonts w:hint="eastAsia" w:ascii="宋体" w:hAnsi="宋体" w:eastAsia="宋体" w:cs="宋体"/>
          <w:color w:val="000000" w:themeColor="text1"/>
          <w:sz w:val="28"/>
          <w:szCs w:val="28"/>
          <w:vertAlign w:val="subscript"/>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SO</w:t>
      </w:r>
      <w:r>
        <w:rPr>
          <w:rFonts w:hint="eastAsia" w:ascii="宋体" w:hAnsi="宋体" w:eastAsia="宋体" w:cs="宋体"/>
          <w:color w:val="000000" w:themeColor="text1"/>
          <w:sz w:val="28"/>
          <w:szCs w:val="28"/>
          <w:vertAlign w:val="subscript"/>
          <w14:textFill>
            <w14:solidFill>
              <w14:schemeClr w14:val="tx1"/>
            </w14:solidFill>
          </w14:textFill>
        </w:rPr>
        <w:t>4</w:t>
      </w:r>
      <w:r>
        <w:rPr>
          <w:rFonts w:hint="eastAsia" w:ascii="宋体" w:hAnsi="宋体" w:eastAsia="宋体" w:cs="宋体"/>
          <w:color w:val="000000" w:themeColor="text1"/>
          <w:sz w:val="28"/>
          <w:szCs w:val="28"/>
          <w14:textFill>
            <w14:solidFill>
              <w14:schemeClr w14:val="tx1"/>
            </w14:solidFill>
          </w14:textFill>
        </w:rPr>
        <w:t>），伴生矿种为氯化钾（KCl）;设计均进行了综合利用。</w:t>
      </w:r>
    </w:p>
    <w:p w14:paraId="0DE02ADD">
      <w:pPr>
        <w:adjustRightInd w:val="0"/>
        <w:snapToGrid w:val="0"/>
        <w:spacing w:line="560" w:lineRule="exact"/>
        <w:ind w:firstLine="643" w:firstLineChars="200"/>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六、矿产资源“三率”指标</w:t>
      </w:r>
    </w:p>
    <w:p w14:paraId="44B0E1B2">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方案提出且承诺开采回采率95%；</w:t>
      </w:r>
      <w:bookmarkStart w:id="6" w:name="_Hlk182776680"/>
      <w:r>
        <w:rPr>
          <w:rFonts w:hint="eastAsia" w:ascii="宋体" w:hAnsi="宋体" w:eastAsia="宋体" w:cs="宋体"/>
          <w:color w:val="000000" w:themeColor="text1"/>
          <w:sz w:val="28"/>
          <w:szCs w:val="28"/>
          <w14:textFill>
            <w14:solidFill>
              <w14:schemeClr w14:val="tx1"/>
            </w14:solidFill>
          </w14:textFill>
        </w:rPr>
        <w:t>符合《矿产资源“三率”指标要求第9部分：盐湖和盐类矿产》（DZ/T 0462.9-2023）对盐矿、芒硝矿未提出综合利用率一般指标要求。</w:t>
      </w:r>
    </w:p>
    <w:bookmarkEnd w:id="6"/>
    <w:p w14:paraId="41112A1F">
      <w:pPr>
        <w:adjustRightInd w:val="0"/>
        <w:snapToGrid w:val="0"/>
        <w:spacing w:line="560" w:lineRule="exact"/>
        <w:ind w:firstLine="643" w:firstLineChars="200"/>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七、评审意见</w:t>
      </w:r>
    </w:p>
    <w:p w14:paraId="0688EEA0">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（一）方案编制目的任务明确，地质资料依据充分，资源利用基本合理，可采储量计算基本正确。</w:t>
      </w:r>
    </w:p>
    <w:p w14:paraId="2C106D8D">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（二）方案确定的矿区开采区域、矿山生产规模合理，矿山服务年限正确。</w:t>
      </w:r>
    </w:p>
    <w:p w14:paraId="0B4D0F6C">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（三）方案依据的地质资料满足该矿编制的开采方案的要求，设计确定的矿山开拓运输方案、采矿方法适宜，开采工艺参数齐全，设计确定的采矿回采率均达到规范一般指标要求。</w:t>
      </w:r>
    </w:p>
    <w:p w14:paraId="5A792289">
      <w:pPr>
        <w:adjustRightInd w:val="0"/>
        <w:snapToGrid w:val="0"/>
        <w:spacing w:line="560" w:lineRule="exact"/>
        <w:ind w:firstLine="643" w:firstLineChars="200"/>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八、问题及建议</w:t>
      </w:r>
    </w:p>
    <w:p w14:paraId="095CCC8E">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矿山建设、生产中须严格执行安全、生态保护等规定，矿山安全、环境保护、矿山地质环境恢复治理、水土保持、土地复垦等，按照各相应主管部门审批的方案执行，加强安全生产防范、做好生态环境保护等工作。</w:t>
      </w:r>
    </w:p>
    <w:p w14:paraId="0DF3B984">
      <w:pPr>
        <w:adjustRightInd w:val="0"/>
        <w:snapToGrid w:val="0"/>
        <w:spacing w:line="560" w:lineRule="exact"/>
        <w:ind w:firstLine="643" w:firstLineChars="200"/>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九、结论</w:t>
      </w:r>
    </w:p>
    <w:p w14:paraId="6ED8D1C4">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该《方案》文字及图件基本齐全，编制内容基本符合《自治区自然资源厅关于做好&lt;矿产资源法&gt;实施衔接过渡期矿产资源勘查方案、开采方案评审工作的公告》要求，专家组同意通过本《方案》。</w:t>
      </w:r>
    </w:p>
    <w:p w14:paraId="72600FC9">
      <w:pPr>
        <w:adjustRightInd w:val="0"/>
        <w:snapToGrid w:val="0"/>
        <w:spacing w:line="560" w:lineRule="exact"/>
        <w:ind w:firstLine="643" w:firstLineChars="200"/>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十、有关说明或申明</w:t>
      </w:r>
    </w:p>
    <w:p w14:paraId="5185BA28">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若方案申报单位提供评审的资料不真实，存在弄虚作假，所造成后果由方案申报人自行承担。此外，本方案是实施矿产资源开采利用的技术依据之一，不代替相关工程勘查设计。</w:t>
      </w:r>
    </w:p>
    <w:p w14:paraId="5AD1DE2B">
      <w:pPr>
        <w:pStyle w:val="2"/>
        <w:rPr>
          <w:rFonts w:hint="eastAsia" w:ascii="宋体" w:hAnsi="宋体" w:eastAsia="宋体" w:cs="宋体"/>
          <w:color w:val="000000" w:themeColor="text1"/>
          <w14:textFill>
            <w14:solidFill>
              <w14:schemeClr w14:val="tx1"/>
            </w14:solidFill>
          </w14:textFill>
        </w:rPr>
      </w:pPr>
    </w:p>
    <w:p w14:paraId="4E38A99A">
      <w:pPr>
        <w:pStyle w:val="2"/>
        <w:rPr>
          <w:rFonts w:hint="eastAsia" w:ascii="宋体" w:hAnsi="宋体" w:eastAsia="宋体" w:cs="宋体"/>
          <w:color w:val="000000" w:themeColor="text1"/>
          <w14:textFill>
            <w14:solidFill>
              <w14:schemeClr w14:val="tx1"/>
            </w14:solidFill>
          </w14:textFill>
        </w:rPr>
      </w:pPr>
    </w:p>
    <w:p w14:paraId="4E44E10B">
      <w:pPr>
        <w:pStyle w:val="2"/>
        <w:rPr>
          <w:rFonts w:hint="eastAsia" w:ascii="宋体" w:hAnsi="宋体" w:eastAsia="宋体" w:cs="宋体"/>
          <w:color w:val="000000" w:themeColor="text1"/>
          <w14:textFill>
            <w14:solidFill>
              <w14:schemeClr w14:val="tx1"/>
            </w14:solidFill>
          </w14:textFill>
        </w:rPr>
      </w:pPr>
    </w:p>
    <w:p w14:paraId="7D8E384D">
      <w:pPr>
        <w:overflowPunct w:val="0"/>
        <w:spacing w:line="560" w:lineRule="exact"/>
        <w:ind w:firstLine="3360" w:firstLineChars="1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drawing>
          <wp:anchor distT="0" distB="0" distL="114300" distR="114300" simplePos="0" relativeHeight="251659264" behindDoc="0" locked="0" layoutInCell="1" allowOverlap="1">
            <wp:simplePos x="0" y="0"/>
            <wp:positionH relativeFrom="column">
              <wp:posOffset>3886200</wp:posOffset>
            </wp:positionH>
            <wp:positionV relativeFrom="paragraph">
              <wp:posOffset>8890</wp:posOffset>
            </wp:positionV>
            <wp:extent cx="833120" cy="431800"/>
            <wp:effectExtent l="0" t="0" r="5715" b="6350"/>
            <wp:wrapNone/>
            <wp:docPr id="17430151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15110"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2944" cy="431800"/>
                    </a:xfrm>
                    <a:prstGeom prst="rect">
                      <a:avLst/>
                    </a:prstGeom>
                    <a:noFill/>
                  </pic:spPr>
                </pic:pic>
              </a:graphicData>
            </a:graphic>
          </wp:anchor>
        </w:drawing>
      </w:r>
      <w:r>
        <w:rPr>
          <w:rFonts w:hint="eastAsia" w:ascii="宋体" w:hAnsi="宋体" w:eastAsia="宋体" w:cs="宋体"/>
          <w:color w:val="000000" w:themeColor="text1"/>
          <w:sz w:val="28"/>
          <w:szCs w:val="28"/>
          <w14:textFill>
            <w14:solidFill>
              <w14:schemeClr w14:val="tx1"/>
            </w14:solidFill>
          </w14:textFill>
        </w:rPr>
        <w:t>专家组组长（签字）：</w:t>
      </w:r>
    </w:p>
    <w:p w14:paraId="2B44B9C6">
      <w:pPr>
        <w:overflowPunct w:val="0"/>
        <w:spacing w:line="560" w:lineRule="exact"/>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2026年9月16日</w:t>
      </w:r>
    </w:p>
    <w:p w14:paraId="31F38C55">
      <w:pPr>
        <w:pStyle w:val="2"/>
        <w:rPr>
          <w:rFonts w:hint="eastAsia" w:ascii="宋体" w:hAnsi="宋体" w:eastAsia="宋体" w:cs="宋体"/>
          <w:color w:val="000000" w:themeColor="text1"/>
          <w14:textFill>
            <w14:solidFill>
              <w14:schemeClr w14:val="tx1"/>
            </w14:solidFill>
          </w14:textFill>
        </w:rPr>
      </w:pPr>
    </w:p>
    <w:p w14:paraId="09B642CD">
      <w:pPr>
        <w:pStyle w:val="2"/>
        <w:rPr>
          <w:rFonts w:hint="eastAsia" w:ascii="宋体" w:hAnsi="宋体" w:eastAsia="宋体" w:cs="宋体"/>
          <w:color w:val="000000" w:themeColor="text1"/>
          <w14:textFill>
            <w14:solidFill>
              <w14:schemeClr w14:val="tx1"/>
            </w14:solidFill>
          </w14:textFill>
        </w:rPr>
      </w:pPr>
    </w:p>
    <w:p w14:paraId="7C902C17">
      <w:pPr>
        <w:pStyle w:val="2"/>
        <w:rPr>
          <w:rFonts w:hint="eastAsia" w:ascii="宋体" w:hAnsi="宋体" w:eastAsia="宋体" w:cs="宋体"/>
          <w:color w:val="000000" w:themeColor="text1"/>
          <w14:textFill>
            <w14:solidFill>
              <w14:schemeClr w14:val="tx1"/>
            </w14:solidFill>
          </w14:textFill>
        </w:rPr>
      </w:pPr>
    </w:p>
    <w:p w14:paraId="1C44BE0B">
      <w:pPr>
        <w:overflowPunct w:val="0"/>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附件：《和布克赛尔蒙古自治县宏达盐业有限责任公司和布克赛尔县新乌森盐池开采方案》评审专家组名单 </w:t>
      </w:r>
    </w:p>
    <w:p w14:paraId="737D069F">
      <w:pPr>
        <w:overflowPunct w:val="0"/>
        <w:spacing w:line="500" w:lineRule="exact"/>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《和布克赛尔蒙古自治县宏达盐业有限责任公司和布克赛尔县新乌森盐池开采方案》评审专家组成员名单</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6"/>
        <w:gridCol w:w="1947"/>
        <w:gridCol w:w="1473"/>
        <w:gridCol w:w="2111"/>
        <w:gridCol w:w="1705"/>
      </w:tblGrid>
      <w:tr w14:paraId="36F9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pct"/>
            <w:vAlign w:val="center"/>
          </w:tcPr>
          <w:p w14:paraId="5E48F0EC">
            <w:pPr>
              <w:jc w:val="center"/>
              <w:rPr>
                <w:rFonts w:hint="eastAsia" w:ascii="宋体" w:hAnsi="宋体" w:eastAsia="宋体" w:cs="宋体"/>
                <w:b/>
                <w:bCs/>
                <w:color w:val="000000" w:themeColor="text1"/>
                <w:sz w:val="28"/>
                <w14:textFill>
                  <w14:solidFill>
                    <w14:schemeClr w14:val="tx1"/>
                  </w14:solidFill>
                </w14:textFill>
              </w:rPr>
            </w:pPr>
            <w:r>
              <w:rPr>
                <w:rFonts w:hint="eastAsia" w:ascii="宋体" w:hAnsi="宋体" w:eastAsia="宋体" w:cs="宋体"/>
                <w:b/>
                <w:bCs/>
                <w:color w:val="000000" w:themeColor="text1"/>
                <w:sz w:val="28"/>
                <w14:textFill>
                  <w14:solidFill>
                    <w14:schemeClr w14:val="tx1"/>
                  </w14:solidFill>
                </w14:textFill>
              </w:rPr>
              <w:t>姓名</w:t>
            </w:r>
          </w:p>
        </w:tc>
        <w:tc>
          <w:tcPr>
            <w:tcW w:w="1142" w:type="pct"/>
            <w:vAlign w:val="center"/>
          </w:tcPr>
          <w:p w14:paraId="05858C20">
            <w:pPr>
              <w:jc w:val="center"/>
              <w:rPr>
                <w:rFonts w:hint="eastAsia" w:ascii="宋体" w:hAnsi="宋体" w:eastAsia="宋体" w:cs="宋体"/>
                <w:b/>
                <w:bCs/>
                <w:color w:val="000000" w:themeColor="text1"/>
                <w:sz w:val="28"/>
                <w14:textFill>
                  <w14:solidFill>
                    <w14:schemeClr w14:val="tx1"/>
                  </w14:solidFill>
                </w14:textFill>
              </w:rPr>
            </w:pPr>
            <w:r>
              <w:rPr>
                <w:rFonts w:hint="eastAsia" w:ascii="宋体" w:hAnsi="宋体" w:eastAsia="宋体" w:cs="宋体"/>
                <w:b/>
                <w:bCs/>
                <w:color w:val="000000" w:themeColor="text1"/>
                <w:sz w:val="28"/>
                <w14:textFill>
                  <w14:solidFill>
                    <w14:schemeClr w14:val="tx1"/>
                  </w14:solidFill>
                </w14:textFill>
              </w:rPr>
              <w:t>专家组成员</w:t>
            </w:r>
          </w:p>
        </w:tc>
        <w:tc>
          <w:tcPr>
            <w:tcW w:w="864" w:type="pct"/>
            <w:vAlign w:val="center"/>
          </w:tcPr>
          <w:p w14:paraId="39EA5DBD">
            <w:pPr>
              <w:jc w:val="center"/>
              <w:rPr>
                <w:rFonts w:hint="eastAsia" w:ascii="宋体" w:hAnsi="宋体" w:eastAsia="宋体" w:cs="宋体"/>
                <w:b/>
                <w:bCs/>
                <w:color w:val="000000" w:themeColor="text1"/>
                <w:sz w:val="28"/>
                <w14:textFill>
                  <w14:solidFill>
                    <w14:schemeClr w14:val="tx1"/>
                  </w14:solidFill>
                </w14:textFill>
              </w:rPr>
            </w:pPr>
            <w:r>
              <w:rPr>
                <w:rFonts w:hint="eastAsia" w:ascii="宋体" w:hAnsi="宋体" w:eastAsia="宋体" w:cs="宋体"/>
                <w:b/>
                <w:bCs/>
                <w:color w:val="000000" w:themeColor="text1"/>
                <w:sz w:val="28"/>
                <w14:textFill>
                  <w14:solidFill>
                    <w14:schemeClr w14:val="tx1"/>
                  </w14:solidFill>
                </w14:textFill>
              </w:rPr>
              <w:t>专业</w:t>
            </w:r>
          </w:p>
        </w:tc>
        <w:tc>
          <w:tcPr>
            <w:tcW w:w="1238" w:type="pct"/>
            <w:vAlign w:val="center"/>
          </w:tcPr>
          <w:p w14:paraId="371407B7">
            <w:pPr>
              <w:jc w:val="center"/>
              <w:rPr>
                <w:rFonts w:hint="eastAsia" w:ascii="宋体" w:hAnsi="宋体" w:eastAsia="宋体" w:cs="宋体"/>
                <w:b/>
                <w:bCs/>
                <w:color w:val="000000" w:themeColor="text1"/>
                <w:sz w:val="28"/>
                <w14:textFill>
                  <w14:solidFill>
                    <w14:schemeClr w14:val="tx1"/>
                  </w14:solidFill>
                </w14:textFill>
              </w:rPr>
            </w:pPr>
            <w:r>
              <w:rPr>
                <w:rFonts w:hint="eastAsia" w:ascii="宋体" w:hAnsi="宋体" w:eastAsia="宋体" w:cs="宋体"/>
                <w:b/>
                <w:bCs/>
                <w:color w:val="000000" w:themeColor="text1"/>
                <w:sz w:val="28"/>
                <w14:textFill>
                  <w14:solidFill>
                    <w14:schemeClr w14:val="tx1"/>
                  </w14:solidFill>
                </w14:textFill>
              </w:rPr>
              <w:t>技术职称</w:t>
            </w:r>
          </w:p>
        </w:tc>
        <w:tc>
          <w:tcPr>
            <w:tcW w:w="1000" w:type="pct"/>
            <w:vAlign w:val="center"/>
          </w:tcPr>
          <w:p w14:paraId="36165C9A">
            <w:pPr>
              <w:pStyle w:val="2"/>
              <w:spacing w:after="0"/>
              <w:ind w:left="0" w:leftChars="0" w:firstLine="0" w:firstLineChars="0"/>
              <w:jc w:val="center"/>
              <w:rPr>
                <w:rFonts w:hint="eastAsia" w:ascii="宋体" w:hAnsi="宋体" w:eastAsia="宋体" w:cs="宋体"/>
                <w:b/>
                <w:bCs/>
                <w:color w:val="000000" w:themeColor="text1"/>
                <w:sz w:val="28"/>
                <w14:textFill>
                  <w14:solidFill>
                    <w14:schemeClr w14:val="tx1"/>
                  </w14:solidFill>
                </w14:textFill>
              </w:rPr>
            </w:pPr>
            <w:r>
              <w:rPr>
                <w:rFonts w:hint="eastAsia" w:ascii="宋体" w:hAnsi="宋体" w:eastAsia="宋体" w:cs="宋体"/>
                <w:b/>
                <w:bCs/>
                <w:color w:val="000000" w:themeColor="text1"/>
                <w:sz w:val="28"/>
                <w14:textFill>
                  <w14:solidFill>
                    <w14:schemeClr w14:val="tx1"/>
                  </w14:solidFill>
                </w14:textFill>
              </w:rPr>
              <w:t>签名</w:t>
            </w:r>
          </w:p>
        </w:tc>
      </w:tr>
      <w:tr w14:paraId="567A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55" w:type="pct"/>
            <w:vAlign w:val="center"/>
          </w:tcPr>
          <w:p w14:paraId="2BF5D999">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张书林</w:t>
            </w:r>
          </w:p>
        </w:tc>
        <w:tc>
          <w:tcPr>
            <w:tcW w:w="1142" w:type="pct"/>
            <w:vAlign w:val="center"/>
          </w:tcPr>
          <w:p w14:paraId="110036A1">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主审专家</w:t>
            </w:r>
          </w:p>
        </w:tc>
        <w:tc>
          <w:tcPr>
            <w:tcW w:w="864" w:type="pct"/>
            <w:vAlign w:val="center"/>
          </w:tcPr>
          <w:p w14:paraId="03B32C91">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采矿工程</w:t>
            </w:r>
          </w:p>
        </w:tc>
        <w:tc>
          <w:tcPr>
            <w:tcW w:w="1238" w:type="pct"/>
            <w:vAlign w:val="center"/>
          </w:tcPr>
          <w:p w14:paraId="5F3D4622">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高级工程师</w:t>
            </w:r>
          </w:p>
        </w:tc>
        <w:tc>
          <w:tcPr>
            <w:tcW w:w="1000" w:type="pct"/>
            <w:vAlign w:val="center"/>
          </w:tcPr>
          <w:p w14:paraId="74824BDD">
            <w:pPr>
              <w:pStyle w:val="2"/>
              <w:spacing w:after="0" w:line="400" w:lineRule="exact"/>
              <w:ind w:left="0" w:leftChars="0" w:firstLine="0" w:firstLineChars="0"/>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drawing>
                <wp:anchor distT="0" distB="0" distL="114300" distR="114300" simplePos="0" relativeHeight="251660288" behindDoc="0" locked="0" layoutInCell="1" allowOverlap="1">
                  <wp:simplePos x="0" y="0"/>
                  <wp:positionH relativeFrom="column">
                    <wp:posOffset>27305</wp:posOffset>
                  </wp:positionH>
                  <wp:positionV relativeFrom="paragraph">
                    <wp:posOffset>41275</wp:posOffset>
                  </wp:positionV>
                  <wp:extent cx="807085" cy="424815"/>
                  <wp:effectExtent l="0" t="0" r="12065" b="13970"/>
                  <wp:wrapNone/>
                  <wp:docPr id="4959303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930354"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807085" cy="424815"/>
                          </a:xfrm>
                          <a:prstGeom prst="rect">
                            <a:avLst/>
                          </a:prstGeom>
                          <a:noFill/>
                        </pic:spPr>
                      </pic:pic>
                    </a:graphicData>
                  </a:graphic>
                </wp:anchor>
              </w:drawing>
            </w:r>
          </w:p>
        </w:tc>
      </w:tr>
      <w:tr w14:paraId="7083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55" w:type="pct"/>
            <w:vAlign w:val="center"/>
          </w:tcPr>
          <w:p w14:paraId="1C039C7F">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罗爱民</w:t>
            </w:r>
          </w:p>
        </w:tc>
        <w:tc>
          <w:tcPr>
            <w:tcW w:w="1142" w:type="pct"/>
            <w:vAlign w:val="center"/>
          </w:tcPr>
          <w:p w14:paraId="147144B7">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审核专家</w:t>
            </w:r>
          </w:p>
        </w:tc>
        <w:tc>
          <w:tcPr>
            <w:tcW w:w="864" w:type="pct"/>
            <w:vAlign w:val="center"/>
          </w:tcPr>
          <w:p w14:paraId="0D94DCD9">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采矿工程</w:t>
            </w:r>
          </w:p>
        </w:tc>
        <w:tc>
          <w:tcPr>
            <w:tcW w:w="1238" w:type="pct"/>
            <w:vAlign w:val="center"/>
          </w:tcPr>
          <w:p w14:paraId="30FD5066">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高级工程师</w:t>
            </w:r>
          </w:p>
        </w:tc>
        <w:tc>
          <w:tcPr>
            <w:tcW w:w="1000" w:type="pct"/>
            <w:vAlign w:val="center"/>
          </w:tcPr>
          <w:p w14:paraId="11D3D973">
            <w:pPr>
              <w:pStyle w:val="2"/>
              <w:spacing w:after="0" w:line="400" w:lineRule="exact"/>
              <w:ind w:left="0" w:leftChars="0" w:firstLine="0" w:firstLineChars="0"/>
              <w:jc w:val="center"/>
              <w:rPr>
                <w:rFonts w:hint="eastAsia" w:ascii="宋体" w:hAnsi="宋体" w:eastAsia="宋体" w:cs="宋体"/>
                <w:color w:val="000000" w:themeColor="text1"/>
                <w:sz w:val="28"/>
                <w14:textFill>
                  <w14:solidFill>
                    <w14:schemeClr w14:val="tx1"/>
                  </w14:solidFill>
                </w14:textFill>
              </w:rPr>
            </w:pPr>
            <w:r>
              <w:rPr>
                <w:rFonts w:hint="eastAsia" w:eastAsiaTheme="minorEastAsia"/>
                <w:lang w:eastAsia="zh-CN"/>
              </w:rPr>
              <w:drawing>
                <wp:anchor distT="0" distB="0" distL="114300" distR="114300" simplePos="0" relativeHeight="251663360" behindDoc="1" locked="0" layoutInCell="1" allowOverlap="1">
                  <wp:simplePos x="0" y="0"/>
                  <wp:positionH relativeFrom="column">
                    <wp:posOffset>75565</wp:posOffset>
                  </wp:positionH>
                  <wp:positionV relativeFrom="paragraph">
                    <wp:posOffset>2540</wp:posOffset>
                  </wp:positionV>
                  <wp:extent cx="836930" cy="292100"/>
                  <wp:effectExtent l="0" t="0" r="1270" b="12700"/>
                  <wp:wrapNone/>
                  <wp:docPr id="2" name="图片 2" descr="9e6e0e656b0f383fb50b95378ec062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e6e0e656b0f383fb50b95378ec0620b"/>
                          <pic:cNvPicPr>
                            <a:picLocks noChangeAspect="1"/>
                          </pic:cNvPicPr>
                        </pic:nvPicPr>
                        <pic:blipFill>
                          <a:blip r:embed="rId7"/>
                          <a:stretch>
                            <a:fillRect/>
                          </a:stretch>
                        </pic:blipFill>
                        <pic:spPr>
                          <a:xfrm>
                            <a:off x="0" y="0"/>
                            <a:ext cx="836930" cy="292100"/>
                          </a:xfrm>
                          <a:prstGeom prst="rect">
                            <a:avLst/>
                          </a:prstGeom>
                        </pic:spPr>
                      </pic:pic>
                    </a:graphicData>
                  </a:graphic>
                </wp:anchor>
              </w:drawing>
            </w:r>
          </w:p>
        </w:tc>
      </w:tr>
      <w:tr w14:paraId="1E8D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55" w:type="pct"/>
            <w:vAlign w:val="center"/>
          </w:tcPr>
          <w:p w14:paraId="33153254">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田敬佺</w:t>
            </w:r>
          </w:p>
        </w:tc>
        <w:tc>
          <w:tcPr>
            <w:tcW w:w="1142" w:type="pct"/>
            <w:vAlign w:val="center"/>
          </w:tcPr>
          <w:p w14:paraId="0651EDA9">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审核专家</w:t>
            </w:r>
          </w:p>
        </w:tc>
        <w:tc>
          <w:tcPr>
            <w:tcW w:w="864" w:type="pct"/>
            <w:vAlign w:val="center"/>
          </w:tcPr>
          <w:p w14:paraId="7622D402">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地质矿产</w:t>
            </w:r>
          </w:p>
        </w:tc>
        <w:tc>
          <w:tcPr>
            <w:tcW w:w="1238" w:type="pct"/>
            <w:vAlign w:val="center"/>
          </w:tcPr>
          <w:p w14:paraId="084B82BE">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高级工程师</w:t>
            </w:r>
          </w:p>
        </w:tc>
        <w:tc>
          <w:tcPr>
            <w:tcW w:w="1000" w:type="pct"/>
            <w:vAlign w:val="center"/>
          </w:tcPr>
          <w:p w14:paraId="4BE12BC2">
            <w:pPr>
              <w:pStyle w:val="2"/>
              <w:spacing w:after="0" w:line="400" w:lineRule="exact"/>
              <w:ind w:left="0" w:leftChars="0" w:firstLine="0" w:firstLineChars="0"/>
              <w:jc w:val="center"/>
              <w:rPr>
                <w:rFonts w:hint="eastAsia" w:ascii="宋体" w:hAnsi="宋体" w:eastAsia="宋体" w:cs="宋体"/>
                <w:color w:val="000000" w:themeColor="text1"/>
                <w:sz w:val="28"/>
                <w14:textFill>
                  <w14:solidFill>
                    <w14:schemeClr w14:val="tx1"/>
                  </w14:solidFill>
                </w14:textFill>
              </w:rPr>
            </w:pPr>
            <w:r>
              <w:drawing>
                <wp:anchor distT="0" distB="0" distL="114300" distR="114300" simplePos="0" relativeHeight="251662336" behindDoc="1" locked="0" layoutInCell="1" allowOverlap="1">
                  <wp:simplePos x="0" y="0"/>
                  <wp:positionH relativeFrom="column">
                    <wp:posOffset>133985</wp:posOffset>
                  </wp:positionH>
                  <wp:positionV relativeFrom="paragraph">
                    <wp:posOffset>417195</wp:posOffset>
                  </wp:positionV>
                  <wp:extent cx="824865" cy="466725"/>
                  <wp:effectExtent l="0" t="0" r="13335" b="9525"/>
                  <wp:wrapNone/>
                  <wp:docPr id="40" name="图片 1" descr="J:\2022年度\2、综合文件\6、签字全套\124a934e4422790ae2b605bd7e455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descr="J:\2022年度\2、综合文件\6、签字全套\124a934e4422790ae2b605bd7e4551c.jpg"/>
                          <pic:cNvPicPr>
                            <a:picLocks noChangeAspect="1" noChangeArrowheads="1"/>
                          </pic:cNvPicPr>
                        </pic:nvPicPr>
                        <pic:blipFill>
                          <a:blip r:embed="rId8" cstate="print"/>
                          <a:srcRect/>
                          <a:stretch>
                            <a:fillRect/>
                          </a:stretch>
                        </pic:blipFill>
                        <pic:spPr>
                          <a:xfrm>
                            <a:off x="0" y="0"/>
                            <a:ext cx="824865" cy="466725"/>
                          </a:xfrm>
                          <a:prstGeom prst="rect">
                            <a:avLst/>
                          </a:prstGeom>
                          <a:noFill/>
                          <a:ln w="9525">
                            <a:noFill/>
                            <a:miter lim="800000"/>
                            <a:headEnd/>
                            <a:tailEnd/>
                          </a:ln>
                        </pic:spPr>
                      </pic:pic>
                    </a:graphicData>
                  </a:graphic>
                </wp:anchor>
              </w:drawing>
            </w:r>
            <w:r>
              <w:rPr>
                <w:rFonts w:hint="eastAsia" w:eastAsia="宋体"/>
                <w:sz w:val="28"/>
                <w:szCs w:val="28"/>
              </w:rPr>
              <w:drawing>
                <wp:anchor distT="0" distB="0" distL="0" distR="0" simplePos="0" relativeHeight="251661312" behindDoc="1" locked="0" layoutInCell="1" allowOverlap="1">
                  <wp:simplePos x="0" y="0"/>
                  <wp:positionH relativeFrom="column">
                    <wp:posOffset>113665</wp:posOffset>
                  </wp:positionH>
                  <wp:positionV relativeFrom="paragraph">
                    <wp:posOffset>8255</wp:posOffset>
                  </wp:positionV>
                  <wp:extent cx="695325" cy="224155"/>
                  <wp:effectExtent l="0" t="0" r="9525" b="4445"/>
                  <wp:wrapNone/>
                  <wp:docPr id="9" name="图片 5" descr="930ac4c669ead62e3d7a2c94efed2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930ac4c669ead62e3d7a2c94efed2df"/>
                          <pic:cNvPicPr>
                            <a:picLocks noChangeAspect="1" noChangeArrowheads="1"/>
                          </pic:cNvPicPr>
                        </pic:nvPicPr>
                        <pic:blipFill>
                          <a:blip r:embed="rId9" cstate="print"/>
                          <a:srcRect/>
                          <a:stretch>
                            <a:fillRect/>
                          </a:stretch>
                        </pic:blipFill>
                        <pic:spPr>
                          <a:xfrm>
                            <a:off x="0" y="0"/>
                            <a:ext cx="695325" cy="224155"/>
                          </a:xfrm>
                          <a:prstGeom prst="rect">
                            <a:avLst/>
                          </a:prstGeom>
                          <a:noFill/>
                          <a:ln w="9525">
                            <a:noFill/>
                            <a:miter lim="800000"/>
                            <a:headEnd/>
                            <a:tailEnd/>
                          </a:ln>
                          <a:effectLst/>
                        </pic:spPr>
                      </pic:pic>
                    </a:graphicData>
                  </a:graphic>
                </wp:anchor>
              </w:drawing>
            </w:r>
          </w:p>
        </w:tc>
      </w:tr>
      <w:tr w14:paraId="2C19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55" w:type="pct"/>
            <w:vAlign w:val="center"/>
          </w:tcPr>
          <w:p w14:paraId="3D3962E1">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陆成新</w:t>
            </w:r>
          </w:p>
        </w:tc>
        <w:tc>
          <w:tcPr>
            <w:tcW w:w="1142" w:type="pct"/>
            <w:vAlign w:val="center"/>
          </w:tcPr>
          <w:p w14:paraId="33312D6F">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审核专家</w:t>
            </w:r>
          </w:p>
        </w:tc>
        <w:tc>
          <w:tcPr>
            <w:tcW w:w="864" w:type="pct"/>
            <w:vAlign w:val="center"/>
          </w:tcPr>
          <w:p w14:paraId="7B9DE3B5">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水工环</w:t>
            </w:r>
          </w:p>
        </w:tc>
        <w:tc>
          <w:tcPr>
            <w:tcW w:w="1238" w:type="pct"/>
            <w:vAlign w:val="center"/>
          </w:tcPr>
          <w:p w14:paraId="7CAE3570">
            <w:pPr>
              <w:spacing w:line="400" w:lineRule="exact"/>
              <w:jc w:val="center"/>
              <w:rPr>
                <w:rFonts w:hint="eastAsia" w:ascii="宋体" w:hAnsi="宋体" w:eastAsia="宋体" w:cs="宋体"/>
                <w:color w:val="000000" w:themeColor="text1"/>
                <w:sz w:val="28"/>
                <w14:textFill>
                  <w14:solidFill>
                    <w14:schemeClr w14:val="tx1"/>
                  </w14:solidFill>
                </w14:textFill>
              </w:rPr>
            </w:pPr>
            <w:r>
              <w:rPr>
                <w:rFonts w:hint="eastAsia" w:ascii="宋体" w:hAnsi="宋体" w:eastAsia="宋体" w:cs="宋体"/>
                <w:color w:val="000000" w:themeColor="text1"/>
                <w:sz w:val="28"/>
                <w14:textFill>
                  <w14:solidFill>
                    <w14:schemeClr w14:val="tx1"/>
                  </w14:solidFill>
                </w14:textFill>
              </w:rPr>
              <w:t>高级工程师</w:t>
            </w:r>
          </w:p>
        </w:tc>
        <w:tc>
          <w:tcPr>
            <w:tcW w:w="1000" w:type="pct"/>
            <w:vAlign w:val="center"/>
          </w:tcPr>
          <w:p w14:paraId="144F58BC">
            <w:pPr>
              <w:pStyle w:val="2"/>
              <w:spacing w:after="0" w:line="400" w:lineRule="exact"/>
              <w:ind w:left="0" w:leftChars="0" w:firstLine="0" w:firstLineChars="0"/>
              <w:jc w:val="center"/>
              <w:rPr>
                <w:rFonts w:hint="eastAsia" w:ascii="宋体" w:hAnsi="宋体" w:eastAsia="宋体" w:cs="宋体"/>
                <w:color w:val="000000" w:themeColor="text1"/>
                <w:sz w:val="28"/>
                <w14:textFill>
                  <w14:solidFill>
                    <w14:schemeClr w14:val="tx1"/>
                  </w14:solidFill>
                </w14:textFill>
              </w:rPr>
            </w:pPr>
          </w:p>
        </w:tc>
      </w:tr>
    </w:tbl>
    <w:p w14:paraId="6A102444">
      <w:pPr>
        <w:pStyle w:val="2"/>
        <w:rPr>
          <w:rFonts w:hint="eastAsia" w:ascii="宋体" w:hAnsi="宋体" w:eastAsia="宋体" w:cs="宋体"/>
          <w:color w:val="000000" w:themeColor="text1"/>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91457"/>
    </w:sdtPr>
    <w:sdtContent>
      <w:p w14:paraId="0B6C3AD6">
        <w:pPr>
          <w:pStyle w:val="7"/>
          <w:jc w:val="center"/>
        </w:pPr>
        <w:r>
          <w:fldChar w:fldCharType="begin"/>
        </w:r>
        <w:r>
          <w:instrText xml:space="preserve"> PAGE   \* MERGEFORMAT </w:instrText>
        </w:r>
        <w:r>
          <w:fldChar w:fldCharType="separate"/>
        </w:r>
        <w:r>
          <w:rPr>
            <w:lang w:val="zh-CN"/>
          </w:rPr>
          <w:t>44</w:t>
        </w:r>
        <w:r>
          <w:rPr>
            <w:lang w:val="zh-CN"/>
          </w:rPr>
          <w:fldChar w:fldCharType="end"/>
        </w:r>
      </w:p>
    </w:sdtContent>
  </w:sdt>
  <w:p w14:paraId="1C7940E7">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906"/>
    <w:rsid w:val="000555ED"/>
    <w:rsid w:val="00095895"/>
    <w:rsid w:val="0015530A"/>
    <w:rsid w:val="00177629"/>
    <w:rsid w:val="001E6FAE"/>
    <w:rsid w:val="00313A93"/>
    <w:rsid w:val="00341516"/>
    <w:rsid w:val="003768E3"/>
    <w:rsid w:val="00393906"/>
    <w:rsid w:val="00416762"/>
    <w:rsid w:val="005564C4"/>
    <w:rsid w:val="00567DEA"/>
    <w:rsid w:val="005F1BDB"/>
    <w:rsid w:val="00776307"/>
    <w:rsid w:val="007E0C8C"/>
    <w:rsid w:val="00830553"/>
    <w:rsid w:val="008448E2"/>
    <w:rsid w:val="00954E55"/>
    <w:rsid w:val="00A01F03"/>
    <w:rsid w:val="00A275D9"/>
    <w:rsid w:val="00A340D6"/>
    <w:rsid w:val="00A9243D"/>
    <w:rsid w:val="00B97680"/>
    <w:rsid w:val="00BA3336"/>
    <w:rsid w:val="00BF7A67"/>
    <w:rsid w:val="00C01C36"/>
    <w:rsid w:val="00C14D0D"/>
    <w:rsid w:val="00C50BA5"/>
    <w:rsid w:val="00C66FFF"/>
    <w:rsid w:val="00C93F42"/>
    <w:rsid w:val="00CC296C"/>
    <w:rsid w:val="00D06787"/>
    <w:rsid w:val="00D41E1D"/>
    <w:rsid w:val="00DA3838"/>
    <w:rsid w:val="00DD148D"/>
    <w:rsid w:val="00E05457"/>
    <w:rsid w:val="00E364D1"/>
    <w:rsid w:val="00E4762A"/>
    <w:rsid w:val="00EC760B"/>
    <w:rsid w:val="00F5430F"/>
    <w:rsid w:val="00FC7650"/>
    <w:rsid w:val="00FD1183"/>
    <w:rsid w:val="00FF34C1"/>
    <w:rsid w:val="01213882"/>
    <w:rsid w:val="01A85D51"/>
    <w:rsid w:val="021F556F"/>
    <w:rsid w:val="03CC3F5C"/>
    <w:rsid w:val="06205632"/>
    <w:rsid w:val="08107DE7"/>
    <w:rsid w:val="09DC0C8E"/>
    <w:rsid w:val="0AEE2A27"/>
    <w:rsid w:val="10471E9B"/>
    <w:rsid w:val="109C2F25"/>
    <w:rsid w:val="12AB6992"/>
    <w:rsid w:val="12CE17F4"/>
    <w:rsid w:val="131272A0"/>
    <w:rsid w:val="13EE775F"/>
    <w:rsid w:val="15CE592F"/>
    <w:rsid w:val="164B3240"/>
    <w:rsid w:val="1773342B"/>
    <w:rsid w:val="1D455A77"/>
    <w:rsid w:val="1D9B7CF5"/>
    <w:rsid w:val="1FFA37EF"/>
    <w:rsid w:val="25AE12D9"/>
    <w:rsid w:val="270C62B7"/>
    <w:rsid w:val="2807642B"/>
    <w:rsid w:val="28DD4A79"/>
    <w:rsid w:val="29422464"/>
    <w:rsid w:val="2A684229"/>
    <w:rsid w:val="2AE17A5A"/>
    <w:rsid w:val="2F3F2991"/>
    <w:rsid w:val="311A5A74"/>
    <w:rsid w:val="3B0535FE"/>
    <w:rsid w:val="3BED44B1"/>
    <w:rsid w:val="3D8250CD"/>
    <w:rsid w:val="3DC67952"/>
    <w:rsid w:val="3DEB5A55"/>
    <w:rsid w:val="3EFC4A0B"/>
    <w:rsid w:val="41F06AA9"/>
    <w:rsid w:val="42D33CD5"/>
    <w:rsid w:val="43EF63C0"/>
    <w:rsid w:val="44A977A2"/>
    <w:rsid w:val="45B95404"/>
    <w:rsid w:val="474F4272"/>
    <w:rsid w:val="499C3EA1"/>
    <w:rsid w:val="4C462AAF"/>
    <w:rsid w:val="4CA566E2"/>
    <w:rsid w:val="4F7D7924"/>
    <w:rsid w:val="521B4778"/>
    <w:rsid w:val="5630526E"/>
    <w:rsid w:val="574C3D6F"/>
    <w:rsid w:val="5838665C"/>
    <w:rsid w:val="583910C5"/>
    <w:rsid w:val="65053D6A"/>
    <w:rsid w:val="65312DB1"/>
    <w:rsid w:val="6A7E2D31"/>
    <w:rsid w:val="6B456583"/>
    <w:rsid w:val="717C3606"/>
    <w:rsid w:val="76E557A9"/>
    <w:rsid w:val="770F03BC"/>
    <w:rsid w:val="780138EB"/>
    <w:rsid w:val="7A067F11"/>
    <w:rsid w:val="7B705F89"/>
    <w:rsid w:val="7BBE6199"/>
    <w:rsid w:val="7C6F7FEF"/>
    <w:rsid w:val="7F201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qFormat="1"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5">
    <w:name w:val="Body Text First Indent"/>
    <w:basedOn w:val="6"/>
    <w:next w:val="2"/>
    <w:unhideWhenUsed/>
    <w:qFormat/>
    <w:uiPriority w:val="99"/>
    <w:pPr>
      <w:ind w:firstLine="420" w:firstLineChars="100"/>
    </w:pPr>
    <w:rPr>
      <w:rFonts w:ascii="Calibri" w:hAnsi="Calibri" w:eastAsia="宋体"/>
      <w:szCs w:val="22"/>
    </w:rPr>
  </w:style>
  <w:style w:type="paragraph" w:styleId="6">
    <w:name w:val="Body Text"/>
    <w:basedOn w:val="1"/>
    <w:next w:val="1"/>
    <w:qFormat/>
    <w:uiPriority w:val="0"/>
    <w:pPr>
      <w:spacing w:after="120"/>
    </w:pPr>
  </w:style>
  <w:style w:type="paragraph" w:styleId="7">
    <w:name w:val="footer"/>
    <w:basedOn w:val="1"/>
    <w:next w:val="1"/>
    <w:qFormat/>
    <w:uiPriority w:val="0"/>
    <w:pPr>
      <w:tabs>
        <w:tab w:val="center" w:pos="4153"/>
        <w:tab w:val="right" w:pos="8306"/>
      </w:tabs>
      <w:snapToGrid w:val="0"/>
      <w:jc w:val="left"/>
    </w:pPr>
    <w:rPr>
      <w:sz w:val="18"/>
    </w:rPr>
  </w:style>
  <w:style w:type="paragraph" w:styleId="8">
    <w:name w:val="header"/>
    <w:basedOn w:val="1"/>
    <w:link w:val="14"/>
    <w:qFormat/>
    <w:uiPriority w:val="0"/>
    <w:pPr>
      <w:tabs>
        <w:tab w:val="center" w:pos="4153"/>
        <w:tab w:val="right" w:pos="8306"/>
      </w:tabs>
      <w:snapToGrid w:val="0"/>
      <w:jc w:val="center"/>
    </w:pPr>
    <w:rPr>
      <w:sz w:val="18"/>
      <w:szCs w:val="18"/>
    </w:rPr>
  </w:style>
  <w:style w:type="paragraph" w:styleId="9">
    <w:name w:val="List Continue 4"/>
    <w:basedOn w:val="1"/>
    <w:next w:val="1"/>
    <w:unhideWhenUsed/>
    <w:qFormat/>
    <w:uiPriority w:val="0"/>
    <w:pPr>
      <w:spacing w:after="120"/>
      <w:ind w:left="1680" w:leftChars="800"/>
    </w:pPr>
    <w:rPr>
      <w:rFonts w:ascii="Times New Roman" w:hAnsi="Times New Roman" w:cs="Times New Roman"/>
    </w:rPr>
  </w:style>
  <w:style w:type="paragraph" w:styleId="10">
    <w:name w:val="Body Text 2"/>
    <w:basedOn w:val="1"/>
    <w:unhideWhenUsed/>
    <w:qFormat/>
    <w:uiPriority w:val="0"/>
    <w:pPr>
      <w:spacing w:after="120" w:line="480" w:lineRule="auto"/>
    </w:pPr>
    <w:rPr>
      <w:rFonts w:hint="eastAsia"/>
      <w:sz w:val="20"/>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页眉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3576</Words>
  <Characters>4340</Characters>
  <Lines>32</Lines>
  <Paragraphs>9</Paragraphs>
  <TotalTime>14</TotalTime>
  <ScaleCrop>false</ScaleCrop>
  <LinksUpToDate>false</LinksUpToDate>
  <CharactersWithSpaces>4382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2025-12-27T09:28:00Z</dcterms:created>
  <dc:creator>Lenovo</dc:creator>
  <cp:lastModifiedBy>Administrator</cp:lastModifiedBy>
  <cp:lastPrinted>2026-10-12T10:10:00Z</cp:lastPrinted>
  <dcterms:modified xsi:type="dcterms:W3CDTF">2026-10-13T10:53:09Z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232A056C38824F4C8B602FEF6BB2DD8F</vt:lpwstr>
  </property>
  <property fmtid="{D5CDD505-2E9C-101B-9397-08002B2CF9AE}" pid="4" name="KSOTemplateDocerSaveRecord">
    <vt:lpwstr>eyJoZGlkIjoiY2Y5NTEzNDVhNTgzM2RiMjg0MDY1N2U0OGVkZmU1ZmYiLCJ1c2VySWQiOiIxMzc0MzU4NzA1In0=</vt:lpwstr>
  </property>
</Properties>
</file>