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1FCFB">
      <w:pPr>
        <w:adjustRightInd w:val="0"/>
        <w:snapToGrid w:val="0"/>
        <w:jc w:val="center"/>
        <w:outlineLvl w:val="9"/>
        <w:rPr>
          <w:rFonts w:hint="eastAsia" w:ascii="Times New Roman" w:hAnsi="Times New Roman" w:eastAsia="方正小标宋_GBK" w:cs="Times New Roman"/>
          <w:bCs/>
          <w:color w:val="000000" w:themeColor="text1"/>
          <w:spacing w:val="0"/>
          <w:w w:val="100"/>
          <w:position w:val="0"/>
          <w:sz w:val="72"/>
          <w:szCs w:val="72"/>
          <w:highlight w:val="none"/>
          <w:lang w:val="en-US" w:eastAsia="zh-CN"/>
          <w14:textFill>
            <w14:solidFill>
              <w14:schemeClr w14:val="tx1"/>
            </w14:solidFill>
          </w14:textFill>
        </w:rPr>
      </w:pPr>
      <w:bookmarkStart w:id="0" w:name="_Toc28873"/>
      <w:bookmarkStart w:id="1" w:name="_Toc31949"/>
    </w:p>
    <w:p w14:paraId="00AC47F8">
      <w:pPr>
        <w:adjustRightInd w:val="0"/>
        <w:snapToGrid w:val="0"/>
        <w:jc w:val="center"/>
        <w:outlineLvl w:val="9"/>
        <w:rPr>
          <w:rFonts w:hint="default" w:ascii="Times New Roman" w:hAnsi="Times New Roman" w:eastAsia="方正小标宋_GBK" w:cs="Times New Roman"/>
          <w:bCs/>
          <w:color w:val="000000" w:themeColor="text1"/>
          <w:spacing w:val="0"/>
          <w:w w:val="100"/>
          <w:position w:val="0"/>
          <w:sz w:val="72"/>
          <w:szCs w:val="72"/>
          <w:highlight w:val="none"/>
          <w14:textFill>
            <w14:solidFill>
              <w14:schemeClr w14:val="tx1"/>
            </w14:solidFill>
          </w14:textFill>
        </w:rPr>
      </w:pPr>
    </w:p>
    <w:p w14:paraId="38154D7F">
      <w:pPr>
        <w:adjustRightInd w:val="0"/>
        <w:snapToGrid w:val="0"/>
        <w:jc w:val="center"/>
        <w:outlineLvl w:val="9"/>
        <w:rPr>
          <w:rFonts w:hint="default" w:ascii="Times New Roman" w:hAnsi="Times New Roman" w:eastAsia="方正小标宋_GBK" w:cs="Times New Roman"/>
          <w:bCs/>
          <w:color w:val="000000" w:themeColor="text1"/>
          <w:spacing w:val="0"/>
          <w:w w:val="100"/>
          <w:position w:val="0"/>
          <w:sz w:val="72"/>
          <w:szCs w:val="72"/>
          <w:highlight w:val="none"/>
          <w14:textFill>
            <w14:solidFill>
              <w14:schemeClr w14:val="tx1"/>
            </w14:solidFill>
          </w14:textFill>
        </w:rPr>
      </w:pPr>
      <w:r>
        <w:rPr>
          <w:rFonts w:hint="default" w:ascii="Times New Roman" w:hAnsi="Times New Roman" w:eastAsia="方正小标宋_GBK" w:cs="Times New Roman"/>
          <w:bCs/>
          <w:color w:val="000000" w:themeColor="text1"/>
          <w:spacing w:val="0"/>
          <w:w w:val="100"/>
          <w:position w:val="0"/>
          <w:sz w:val="72"/>
          <w:szCs w:val="72"/>
          <w:highlight w:val="none"/>
          <w14:textFill>
            <w14:solidFill>
              <w14:schemeClr w14:val="tx1"/>
            </w14:solidFill>
          </w14:textFill>
        </w:rPr>
        <w:t>建设项目环境影响报告表</w:t>
      </w:r>
      <w:bookmarkEnd w:id="0"/>
      <w:bookmarkEnd w:id="1"/>
    </w:p>
    <w:p w14:paraId="12EB0532">
      <w:pPr>
        <w:adjustRightInd w:val="0"/>
        <w:snapToGrid w:val="0"/>
        <w:spacing w:before="192" w:beforeLines="80"/>
        <w:jc w:val="center"/>
        <w:rPr>
          <w:rFonts w:hint="default" w:ascii="Times New Roman" w:hAnsi="Times New Roman" w:eastAsia="楷体_GB2312" w:cs="Times New Roman"/>
          <w:bCs/>
          <w:color w:val="000000" w:themeColor="text1"/>
          <w:spacing w:val="0"/>
          <w:w w:val="100"/>
          <w:position w:val="0"/>
          <w:sz w:val="48"/>
          <w:szCs w:val="48"/>
          <w:highlight w:val="none"/>
          <w14:textFill>
            <w14:solidFill>
              <w14:schemeClr w14:val="tx1"/>
            </w14:solidFill>
          </w14:textFill>
        </w:rPr>
      </w:pPr>
      <w:r>
        <w:rPr>
          <w:rFonts w:hint="default" w:ascii="Times New Roman" w:hAnsi="Times New Roman" w:eastAsia="楷体_GB2312" w:cs="Times New Roman"/>
          <w:bCs/>
          <w:color w:val="000000" w:themeColor="text1"/>
          <w:spacing w:val="0"/>
          <w:w w:val="100"/>
          <w:position w:val="0"/>
          <w:sz w:val="48"/>
          <w:szCs w:val="48"/>
          <w:highlight w:val="none"/>
          <w14:textFill>
            <w14:solidFill>
              <w14:schemeClr w14:val="tx1"/>
            </w14:solidFill>
          </w14:textFill>
        </w:rPr>
        <w:t>（生态影响类）</w:t>
      </w:r>
    </w:p>
    <w:p w14:paraId="148472D7">
      <w:pPr>
        <w:adjustRightInd/>
        <w:snapToGrid/>
        <w:spacing w:line="240" w:lineRule="auto"/>
        <w:jc w:val="left"/>
        <w:outlineLvl w:val="9"/>
        <w:rPr>
          <w:rFonts w:hint="default" w:ascii="Times New Roman" w:hAnsi="Times New Roman" w:eastAsia="宋体" w:cs="Times New Roman"/>
          <w:color w:val="000000" w:themeColor="text1"/>
          <w:spacing w:val="0"/>
          <w:w w:val="100"/>
          <w:kern w:val="2"/>
          <w:position w:val="0"/>
          <w:sz w:val="21"/>
          <w:szCs w:val="24"/>
          <w:highlight w:val="none"/>
          <w14:textFill>
            <w14:solidFill>
              <w14:schemeClr w14:val="tx1"/>
            </w14:solidFill>
          </w14:textFill>
        </w:rPr>
      </w:pPr>
      <w:bookmarkStart w:id="2" w:name="_Hlk57883728"/>
    </w:p>
    <w:p w14:paraId="3B1F879F">
      <w:pPr>
        <w:jc w:val="center"/>
        <w:rPr>
          <w:rFonts w:hint="default" w:ascii="Times New Roman" w:hAnsi="Times New Roman" w:eastAsia="仿宋" w:cs="Times New Roman"/>
          <w:color w:val="000000" w:themeColor="text1"/>
          <w:spacing w:val="0"/>
          <w:w w:val="100"/>
          <w:position w:val="0"/>
          <w:sz w:val="52"/>
          <w:szCs w:val="52"/>
          <w:highlight w:val="none"/>
          <w14:textFill>
            <w14:solidFill>
              <w14:schemeClr w14:val="tx1"/>
            </w14:solidFill>
          </w14:textFill>
        </w:rPr>
      </w:pPr>
    </w:p>
    <w:p w14:paraId="179DC3E8">
      <w:pPr>
        <w:ind w:firstLine="1040"/>
        <w:rPr>
          <w:rFonts w:hint="default" w:ascii="Times New Roman" w:hAnsi="Times New Roman" w:eastAsia="仿宋" w:cs="Times New Roman"/>
          <w:color w:val="000000" w:themeColor="text1"/>
          <w:spacing w:val="0"/>
          <w:w w:val="100"/>
          <w:position w:val="0"/>
          <w:sz w:val="44"/>
          <w:szCs w:val="44"/>
          <w:highlight w:val="none"/>
          <w14:textFill>
            <w14:solidFill>
              <w14:schemeClr w14:val="tx1"/>
            </w14:solidFill>
          </w14:textFill>
        </w:rPr>
      </w:pPr>
    </w:p>
    <w:p w14:paraId="5BE95A24">
      <w:pPr>
        <w:ind w:firstLine="1040"/>
        <w:rPr>
          <w:rFonts w:hint="default" w:ascii="Times New Roman" w:hAnsi="Times New Roman" w:eastAsia="仿宋" w:cs="Times New Roman"/>
          <w:color w:val="000000" w:themeColor="text1"/>
          <w:spacing w:val="0"/>
          <w:w w:val="100"/>
          <w:position w:val="0"/>
          <w:sz w:val="44"/>
          <w:szCs w:val="44"/>
          <w:highlight w:val="none"/>
          <w14:textFill>
            <w14:solidFill>
              <w14:schemeClr w14:val="tx1"/>
            </w14:solidFill>
          </w14:textFill>
        </w:rPr>
      </w:pPr>
    </w:p>
    <w:p w14:paraId="4C5E645D">
      <w:pPr>
        <w:ind w:firstLine="1040"/>
        <w:rPr>
          <w:rFonts w:hint="default" w:ascii="Times New Roman" w:hAnsi="Times New Roman" w:eastAsia="仿宋" w:cs="Times New Roman"/>
          <w:color w:val="000000" w:themeColor="text1"/>
          <w:spacing w:val="0"/>
          <w:w w:val="100"/>
          <w:position w:val="0"/>
          <w:sz w:val="44"/>
          <w:szCs w:val="44"/>
          <w:highlight w:val="none"/>
          <w14:textFill>
            <w14:solidFill>
              <w14:schemeClr w14:val="tx1"/>
            </w14:solidFill>
          </w14:textFill>
        </w:rPr>
      </w:pPr>
    </w:p>
    <w:p w14:paraId="5D3F36A3">
      <w:pPr>
        <w:ind w:firstLine="1040"/>
        <w:rPr>
          <w:rFonts w:hint="default" w:ascii="Times New Roman" w:hAnsi="Times New Roman" w:eastAsia="仿宋" w:cs="Times New Roman"/>
          <w:color w:val="000000" w:themeColor="text1"/>
          <w:spacing w:val="0"/>
          <w:w w:val="100"/>
          <w:position w:val="0"/>
          <w:sz w:val="44"/>
          <w:szCs w:val="44"/>
          <w:highlight w:val="none"/>
          <w14:textFill>
            <w14:solidFill>
              <w14:schemeClr w14:val="tx1"/>
            </w14:solidFill>
          </w14:textFill>
        </w:rPr>
      </w:pPr>
    </w:p>
    <w:bookmarkEnd w:id="2"/>
    <w:p w14:paraId="7F49C7F3">
      <w:pPr>
        <w:keepNext w:val="0"/>
        <w:keepLines w:val="0"/>
        <w:pageBreakBefore w:val="0"/>
        <w:widowControl/>
        <w:suppressLineNumbers w:val="0"/>
        <w:kinsoku/>
        <w:wordWrap/>
        <w:overflowPunct/>
        <w:topLinePunct w:val="0"/>
        <w:autoSpaceDE/>
        <w:autoSpaceDN/>
        <w:bidi w:val="0"/>
        <w:spacing w:line="240" w:lineRule="auto"/>
        <w:ind w:left="2518" w:leftChars="342" w:hanging="1800" w:hangingChars="500"/>
        <w:jc w:val="both"/>
        <w:textAlignment w:val="auto"/>
        <w:rPr>
          <w:rFonts w:hint="default" w:ascii="Times New Roman" w:hAnsi="Times New Roman" w:eastAsia="宋体" w:cs="Times New Roman"/>
          <w:b w:val="0"/>
          <w:bCs w:val="0"/>
          <w:color w:val="000000" w:themeColor="text1"/>
          <w:spacing w:val="0"/>
          <w:w w:val="100"/>
          <w:position w:val="0"/>
          <w:sz w:val="36"/>
          <w:szCs w:val="36"/>
          <w:highlight w:val="none"/>
          <w:u w:val="single"/>
          <w:lang w:val="en-US"/>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36"/>
          <w:szCs w:val="36"/>
          <w:highlight w:val="none"/>
          <w14:textFill>
            <w14:solidFill>
              <w14:schemeClr w14:val="tx1"/>
            </w14:solidFill>
          </w14:textFill>
        </w:rPr>
        <w:t>项目名称</w:t>
      </w:r>
      <w:r>
        <w:rPr>
          <w:rFonts w:hint="default" w:ascii="Times New Roman" w:hAnsi="Times New Roman" w:eastAsia="宋体" w:cs="Times New Roman"/>
          <w:b w:val="0"/>
          <w:bCs w:val="0"/>
          <w:color w:val="000000" w:themeColor="text1"/>
          <w:spacing w:val="0"/>
          <w:w w:val="100"/>
          <w:position w:val="0"/>
          <w:sz w:val="36"/>
          <w:szCs w:val="36"/>
          <w:highlight w:val="none"/>
          <w:lang w:eastAsia="zh-CN"/>
          <w14:textFill>
            <w14:solidFill>
              <w14:schemeClr w14:val="tx1"/>
            </w14:solidFill>
          </w14:textFill>
        </w:rPr>
        <w:t>：</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中煤塔城托里县风力发电项目</w:t>
      </w:r>
    </w:p>
    <w:p w14:paraId="32A84EAA">
      <w:pPr>
        <w:keepNext w:val="0"/>
        <w:keepLines w:val="0"/>
        <w:pageBreakBefore w:val="0"/>
        <w:widowControl/>
        <w:suppressLineNumbers w:val="0"/>
        <w:kinsoku/>
        <w:wordWrap/>
        <w:overflowPunct/>
        <w:topLinePunct w:val="0"/>
        <w:autoSpaceDE/>
        <w:autoSpaceDN/>
        <w:bidi w:val="0"/>
        <w:spacing w:line="240" w:lineRule="auto"/>
        <w:ind w:left="3958" w:leftChars="342" w:hanging="3240" w:hangingChars="900"/>
        <w:jc w:val="both"/>
        <w:textAlignment w:val="auto"/>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36"/>
          <w:szCs w:val="36"/>
          <w:highlight w:val="none"/>
          <w14:textFill>
            <w14:solidFill>
              <w14:schemeClr w14:val="tx1"/>
            </w14:solidFill>
          </w14:textFill>
        </w:rPr>
        <w:t>建设单位（盖章）：</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中煤电力（塔城）新能源投资有限公司             </w:t>
      </w:r>
    </w:p>
    <w:p w14:paraId="45189EE5">
      <w:pPr>
        <w:keepNext w:val="0"/>
        <w:keepLines w:val="0"/>
        <w:pageBreakBefore w:val="0"/>
        <w:widowControl/>
        <w:suppressLineNumbers w:val="0"/>
        <w:kinsoku/>
        <w:wordWrap/>
        <w:overflowPunct/>
        <w:topLinePunct w:val="0"/>
        <w:autoSpaceDE/>
        <w:autoSpaceDN/>
        <w:bidi w:val="0"/>
        <w:spacing w:line="240" w:lineRule="auto"/>
        <w:ind w:left="718" w:leftChars="342" w:firstLine="0" w:firstLineChars="0"/>
        <w:jc w:val="both"/>
        <w:textAlignment w:val="auto"/>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0"/>
          <w:w w:val="100"/>
          <w:position w:val="0"/>
          <w:sz w:val="36"/>
          <w:szCs w:val="36"/>
          <w:highlight w:val="none"/>
          <w14:textFill>
            <w14:solidFill>
              <w14:schemeClr w14:val="tx1"/>
            </w14:solidFill>
          </w14:textFill>
        </w:rPr>
        <w:t>编制日期：</w:t>
      </w:r>
      <w:r>
        <w:rPr>
          <w:rFonts w:hint="default" w:ascii="Times New Roman" w:hAnsi="Times New Roman" w:eastAsia="宋体" w:cs="Times New Roman"/>
          <w:b w:val="0"/>
          <w:bCs w:val="0"/>
          <w:color w:val="000000" w:themeColor="text1"/>
          <w:spacing w:val="0"/>
          <w:w w:val="100"/>
          <w:position w:val="0"/>
          <w:sz w:val="36"/>
          <w:szCs w:val="36"/>
          <w:highlight w:val="none"/>
          <w:u w:val="single"/>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w w:val="100"/>
          <w:position w:val="0"/>
          <w:sz w:val="36"/>
          <w:szCs w:val="36"/>
          <w:highlight w:val="none"/>
          <w:u w:val="single"/>
          <w14:textFill>
            <w14:solidFill>
              <w14:schemeClr w14:val="tx1"/>
            </w14:solidFill>
          </w14:textFill>
        </w:rPr>
        <w:t>二〇二</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六</w:t>
      </w:r>
      <w:r>
        <w:rPr>
          <w:rFonts w:hint="default" w:ascii="Times New Roman" w:hAnsi="Times New Roman" w:eastAsia="宋体" w:cs="Times New Roman"/>
          <w:b w:val="0"/>
          <w:bCs w:val="0"/>
          <w:color w:val="000000" w:themeColor="text1"/>
          <w:spacing w:val="0"/>
          <w:w w:val="100"/>
          <w:position w:val="0"/>
          <w:sz w:val="36"/>
          <w:szCs w:val="36"/>
          <w:highlight w:val="none"/>
          <w:u w:val="single"/>
          <w14:textFill>
            <w14:solidFill>
              <w14:schemeClr w14:val="tx1"/>
            </w14:solidFill>
          </w14:textFill>
        </w:rPr>
        <w:t>年</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七</w:t>
      </w:r>
      <w:r>
        <w:rPr>
          <w:rFonts w:hint="default" w:ascii="Times New Roman" w:hAnsi="Times New Roman" w:eastAsia="宋体" w:cs="Times New Roman"/>
          <w:b w:val="0"/>
          <w:bCs w:val="0"/>
          <w:color w:val="000000" w:themeColor="text1"/>
          <w:spacing w:val="0"/>
          <w:w w:val="100"/>
          <w:position w:val="0"/>
          <w:sz w:val="36"/>
          <w:szCs w:val="36"/>
          <w:highlight w:val="none"/>
          <w:u w:val="single"/>
          <w14:textFill>
            <w14:solidFill>
              <w14:schemeClr w14:val="tx1"/>
            </w14:solidFill>
          </w14:textFill>
        </w:rPr>
        <w:t>月</w:t>
      </w:r>
      <w:r>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eastAsia"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pacing w:val="0"/>
          <w:w w:val="100"/>
          <w:position w:val="0"/>
          <w:sz w:val="36"/>
          <w:szCs w:val="36"/>
          <w:highlight w:val="none"/>
          <w:u w:val="single"/>
          <w:lang w:val="en-US" w:eastAsia="zh-CN"/>
          <w14:textFill>
            <w14:solidFill>
              <w14:schemeClr w14:val="tx1"/>
            </w14:solidFill>
          </w14:textFill>
        </w:rPr>
        <w:t xml:space="preserve">    </w:t>
      </w:r>
    </w:p>
    <w:p w14:paraId="2F2B6DBC">
      <w:pPr>
        <w:adjustRightInd w:val="0"/>
        <w:snapToGrid w:val="0"/>
        <w:spacing w:line="288" w:lineRule="auto"/>
        <w:ind w:firstLine="1040"/>
        <w:jc w:val="center"/>
        <w:rPr>
          <w:rFonts w:hint="default" w:ascii="Times New Roman" w:hAnsi="Times New Roman" w:eastAsia="仿宋_GB2312" w:cs="Times New Roman"/>
          <w:color w:val="000000" w:themeColor="text1"/>
          <w:spacing w:val="0"/>
          <w:w w:val="100"/>
          <w:position w:val="0"/>
          <w:sz w:val="36"/>
          <w:szCs w:val="36"/>
          <w:highlight w:val="none"/>
          <w:u w:val="single"/>
          <w14:textFill>
            <w14:solidFill>
              <w14:schemeClr w14:val="tx1"/>
            </w14:solidFill>
          </w14:textFill>
        </w:rPr>
      </w:pPr>
    </w:p>
    <w:p w14:paraId="291EEFED">
      <w:pPr>
        <w:adjustRightInd w:val="0"/>
        <w:snapToGrid w:val="0"/>
        <w:spacing w:line="288" w:lineRule="auto"/>
        <w:ind w:firstLine="1040"/>
        <w:rPr>
          <w:rFonts w:hint="default" w:ascii="Times New Roman" w:hAnsi="Times New Roman" w:eastAsia="仿宋_GB2312" w:cs="Times New Roman"/>
          <w:color w:val="000000" w:themeColor="text1"/>
          <w:spacing w:val="0"/>
          <w:w w:val="100"/>
          <w:position w:val="0"/>
          <w:sz w:val="36"/>
          <w:szCs w:val="36"/>
          <w:highlight w:val="none"/>
          <w14:textFill>
            <w14:solidFill>
              <w14:schemeClr w14:val="tx1"/>
            </w14:solidFill>
          </w14:textFill>
        </w:rPr>
      </w:pPr>
    </w:p>
    <w:p w14:paraId="645C9376">
      <w:pPr>
        <w:adjustRightInd w:val="0"/>
        <w:snapToGrid w:val="0"/>
        <w:spacing w:line="288" w:lineRule="auto"/>
        <w:ind w:firstLine="1040"/>
        <w:rPr>
          <w:rFonts w:hint="default" w:ascii="Times New Roman" w:hAnsi="Times New Roman" w:eastAsia="仿宋_GB2312" w:cs="Times New Roman"/>
          <w:color w:val="000000" w:themeColor="text1"/>
          <w:spacing w:val="0"/>
          <w:w w:val="100"/>
          <w:position w:val="0"/>
          <w:sz w:val="36"/>
          <w:szCs w:val="36"/>
          <w:highlight w:val="none"/>
          <w14:textFill>
            <w14:solidFill>
              <w14:schemeClr w14:val="tx1"/>
            </w14:solidFill>
          </w14:textFill>
        </w:rPr>
      </w:pPr>
    </w:p>
    <w:p w14:paraId="680AD7DC">
      <w:pPr>
        <w:adjustRightInd w:val="0"/>
        <w:snapToGrid w:val="0"/>
        <w:spacing w:line="288" w:lineRule="auto"/>
        <w:ind w:firstLine="1040"/>
        <w:rPr>
          <w:rFonts w:hint="default" w:ascii="Times New Roman" w:hAnsi="Times New Roman" w:eastAsia="仿宋_GB2312" w:cs="Times New Roman"/>
          <w:color w:val="000000" w:themeColor="text1"/>
          <w:spacing w:val="0"/>
          <w:w w:val="100"/>
          <w:position w:val="0"/>
          <w:sz w:val="36"/>
          <w:szCs w:val="36"/>
          <w:highlight w:val="none"/>
          <w14:textFill>
            <w14:solidFill>
              <w14:schemeClr w14:val="tx1"/>
            </w14:solidFill>
          </w14:textFill>
        </w:rPr>
      </w:pPr>
    </w:p>
    <w:p w14:paraId="538D18D9">
      <w:pPr>
        <w:adjustRightInd w:val="0"/>
        <w:snapToGrid w:val="0"/>
        <w:spacing w:line="288" w:lineRule="auto"/>
        <w:ind w:firstLine="1040"/>
        <w:rPr>
          <w:rFonts w:hint="default" w:ascii="Times New Roman" w:hAnsi="Times New Roman" w:eastAsia="仿宋_GB2312" w:cs="Times New Roman"/>
          <w:color w:val="000000" w:themeColor="text1"/>
          <w:spacing w:val="0"/>
          <w:w w:val="100"/>
          <w:position w:val="0"/>
          <w:sz w:val="36"/>
          <w:szCs w:val="36"/>
          <w:highlight w:val="none"/>
          <w14:textFill>
            <w14:solidFill>
              <w14:schemeClr w14:val="tx1"/>
            </w14:solidFill>
          </w14:textFill>
        </w:rPr>
      </w:pPr>
    </w:p>
    <w:p w14:paraId="67F0529F">
      <w:pPr>
        <w:adjustRightInd w:val="0"/>
        <w:snapToGrid w:val="0"/>
        <w:spacing w:line="288" w:lineRule="auto"/>
        <w:jc w:val="center"/>
        <w:outlineLvl w:val="9"/>
        <w:rPr>
          <w:color w:val="0000FF"/>
          <w:highlight w:val="none"/>
        </w:rPr>
      </w:pPr>
      <w:bookmarkStart w:id="3" w:name="_Toc15444"/>
      <w:bookmarkStart w:id="4" w:name="_Toc15320"/>
      <w:r>
        <w:rPr>
          <w:rFonts w:hint="default" w:ascii="Times New Roman" w:hAnsi="Times New Roman" w:eastAsia="楷体_GB2312" w:cs="Times New Roman"/>
          <w:color w:val="000000" w:themeColor="text1"/>
          <w:spacing w:val="0"/>
          <w:w w:val="100"/>
          <w:position w:val="0"/>
          <w:sz w:val="36"/>
          <w:szCs w:val="36"/>
          <w:highlight w:val="none"/>
          <w14:textFill>
            <w14:solidFill>
              <w14:schemeClr w14:val="tx1"/>
            </w14:solidFill>
          </w14:textFill>
        </w:rPr>
        <w:t>中华人民共和国生态环境部制</w:t>
      </w:r>
      <w:bookmarkEnd w:id="3"/>
      <w:bookmarkEnd w:id="4"/>
    </w:p>
    <w:p w14:paraId="5B6960BE">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480" w:lineRule="exact"/>
        <w:jc w:val="center"/>
        <w:textAlignment w:val="auto"/>
        <w:outlineLvl w:val="9"/>
        <w:rPr>
          <w:rFonts w:hint="default" w:ascii="Times New Roman" w:hAnsi="Times New Roman" w:eastAsia="黑体" w:cs="Times New Roman"/>
          <w:snapToGrid w:val="0"/>
          <w:color w:val="0000FF"/>
          <w:spacing w:val="0"/>
          <w:w w:val="100"/>
          <w:position w:val="0"/>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25"/>
        <w:tblW w:w="8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0"/>
        <w:gridCol w:w="4190"/>
      </w:tblGrid>
      <w:tr w14:paraId="56C2F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2" w:hRule="atLeast"/>
        </w:trPr>
        <w:tc>
          <w:tcPr>
            <w:tcW w:w="4190" w:type="dxa"/>
            <w:tcBorders>
              <w:tl2br w:val="nil"/>
              <w:tr2bl w:val="nil"/>
            </w:tcBorders>
            <w:vAlign w:val="top"/>
          </w:tcPr>
          <w:p w14:paraId="4C78CA2F">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default" w:ascii="Times New Roman" w:hAnsi="Times New Roman" w:eastAsia="宋体" w:cs="Times New Roman"/>
                <w:color w:val="auto"/>
                <w:highlight w:val="none"/>
                <w:lang w:eastAsia="zh-CN"/>
              </w:rPr>
            </w:pPr>
            <w:bookmarkStart w:id="5" w:name="_Toc26750"/>
          </w:p>
        </w:tc>
        <w:tc>
          <w:tcPr>
            <w:tcW w:w="4190" w:type="dxa"/>
            <w:tcBorders>
              <w:tl2br w:val="nil"/>
              <w:tr2bl w:val="nil"/>
            </w:tcBorders>
            <w:vAlign w:val="top"/>
          </w:tcPr>
          <w:p w14:paraId="77959A33">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default" w:ascii="Times New Roman" w:hAnsi="Times New Roman" w:eastAsia="宋体" w:cs="Times New Roman"/>
                <w:color w:val="auto"/>
                <w:highlight w:val="none"/>
                <w:lang w:eastAsia="zh-CN"/>
              </w:rPr>
            </w:pPr>
          </w:p>
        </w:tc>
      </w:tr>
      <w:tr w14:paraId="4ACF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4190" w:type="dxa"/>
            <w:tcBorders>
              <w:tl2br w:val="nil"/>
              <w:tr2bl w:val="nil"/>
            </w:tcBorders>
            <w:vAlign w:val="top"/>
          </w:tcPr>
          <w:p w14:paraId="6AE01DEB">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东侧</w:t>
            </w:r>
          </w:p>
        </w:tc>
        <w:tc>
          <w:tcPr>
            <w:tcW w:w="4190" w:type="dxa"/>
            <w:tcBorders>
              <w:tl2br w:val="nil"/>
              <w:tr2bl w:val="nil"/>
            </w:tcBorders>
            <w:vAlign w:val="top"/>
          </w:tcPr>
          <w:p w14:paraId="17398F9D">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北侧</w:t>
            </w:r>
          </w:p>
        </w:tc>
      </w:tr>
      <w:tr w14:paraId="55E51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1" w:hRule="atLeast"/>
        </w:trPr>
        <w:tc>
          <w:tcPr>
            <w:tcW w:w="4190" w:type="dxa"/>
            <w:tcBorders>
              <w:tl2br w:val="nil"/>
              <w:tr2bl w:val="nil"/>
            </w:tcBorders>
            <w:vAlign w:val="top"/>
          </w:tcPr>
          <w:p w14:paraId="5C6E9BD6">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宋体" w:cs="Times New Roman"/>
                <w:color w:val="auto"/>
                <w:highlight w:val="none"/>
                <w:lang w:eastAsia="zh-CN"/>
              </w:rPr>
            </w:pPr>
          </w:p>
        </w:tc>
        <w:tc>
          <w:tcPr>
            <w:tcW w:w="4190" w:type="dxa"/>
            <w:tcBorders>
              <w:tl2br w:val="nil"/>
              <w:tr2bl w:val="nil"/>
            </w:tcBorders>
            <w:vAlign w:val="top"/>
          </w:tcPr>
          <w:p w14:paraId="74503D23">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宋体" w:cs="Times New Roman"/>
                <w:color w:val="auto"/>
                <w:highlight w:val="none"/>
                <w:lang w:eastAsia="zh-CN"/>
              </w:rPr>
            </w:pPr>
          </w:p>
        </w:tc>
      </w:tr>
      <w:tr w14:paraId="0DF8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4190" w:type="dxa"/>
            <w:tcBorders>
              <w:tl2br w:val="nil"/>
              <w:tr2bl w:val="nil"/>
            </w:tcBorders>
            <w:vAlign w:val="top"/>
          </w:tcPr>
          <w:p w14:paraId="66DCA765">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南侧</w:t>
            </w:r>
          </w:p>
        </w:tc>
        <w:tc>
          <w:tcPr>
            <w:tcW w:w="4190" w:type="dxa"/>
            <w:tcBorders>
              <w:tl2br w:val="nil"/>
              <w:tr2bl w:val="nil"/>
            </w:tcBorders>
            <w:vAlign w:val="top"/>
          </w:tcPr>
          <w:p w14:paraId="7F3187EC">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eastAsia"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南侧</w:t>
            </w:r>
          </w:p>
        </w:tc>
      </w:tr>
      <w:tr w14:paraId="57E8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0" w:hRule="atLeast"/>
        </w:trPr>
        <w:tc>
          <w:tcPr>
            <w:tcW w:w="4190" w:type="dxa"/>
            <w:tcBorders>
              <w:tl2br w:val="nil"/>
              <w:tr2bl w:val="nil"/>
            </w:tcBorders>
            <w:vAlign w:val="top"/>
          </w:tcPr>
          <w:p w14:paraId="6EBAAB9F">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宋体" w:cs="Times New Roman"/>
                <w:color w:val="auto"/>
                <w:highlight w:val="none"/>
                <w:lang w:eastAsia="zh-CN"/>
              </w:rPr>
            </w:pPr>
          </w:p>
        </w:tc>
        <w:tc>
          <w:tcPr>
            <w:tcW w:w="4190" w:type="dxa"/>
            <w:tcBorders>
              <w:tl2br w:val="nil"/>
              <w:tr2bl w:val="nil"/>
            </w:tcBorders>
            <w:vAlign w:val="top"/>
          </w:tcPr>
          <w:p w14:paraId="581BE16D">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宋体" w:cs="Times New Roman"/>
                <w:color w:val="auto"/>
                <w:highlight w:val="none"/>
                <w:lang w:eastAsia="zh-CN"/>
              </w:rPr>
            </w:pPr>
          </w:p>
        </w:tc>
      </w:tr>
      <w:tr w14:paraId="5533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4190" w:type="dxa"/>
            <w:tcBorders>
              <w:tl2br w:val="nil"/>
              <w:tr2bl w:val="nil"/>
            </w:tcBorders>
            <w:vAlign w:val="top"/>
          </w:tcPr>
          <w:p w14:paraId="230A1C80">
            <w:pPr>
              <w:pStyle w:val="9"/>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西侧</w:t>
            </w:r>
          </w:p>
        </w:tc>
        <w:tc>
          <w:tcPr>
            <w:tcW w:w="4190" w:type="dxa"/>
            <w:tcBorders>
              <w:tl2br w:val="nil"/>
              <w:tr2bl w:val="nil"/>
            </w:tcBorders>
            <w:vAlign w:val="top"/>
          </w:tcPr>
          <w:p w14:paraId="4BAE1677">
            <w:pPr>
              <w:pStyle w:val="9"/>
              <w:keepNext w:val="0"/>
              <w:keepLines w:val="0"/>
              <w:pageBreakBefore w:val="0"/>
              <w:kinsoku/>
              <w:wordWrap/>
              <w:overflowPunct/>
              <w:topLinePunct w:val="0"/>
              <w:autoSpaceDE/>
              <w:autoSpaceDN/>
              <w:bidi w:val="0"/>
              <w:spacing w:before="0" w:after="0" w:line="240" w:lineRule="auto"/>
              <w:ind w:right="0"/>
              <w:jc w:val="center"/>
              <w:textAlignment w:val="auto"/>
              <w:rPr>
                <w:rFonts w:hint="eastAsia"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color w:val="auto"/>
                <w:sz w:val="24"/>
                <w:szCs w:val="24"/>
                <w:highlight w:val="none"/>
              </w:rPr>
              <w:t>风电场</w:t>
            </w:r>
            <w:r>
              <w:rPr>
                <w:rFonts w:hint="eastAsia" w:cs="Times New Roman"/>
                <w:color w:val="auto"/>
                <w:sz w:val="24"/>
                <w:szCs w:val="24"/>
                <w:highlight w:val="none"/>
                <w:lang w:val="en-US" w:eastAsia="zh-CN"/>
              </w:rPr>
              <w:t>选址</w:t>
            </w:r>
          </w:p>
        </w:tc>
      </w:tr>
    </w:tbl>
    <w:p w14:paraId="77C65CA9">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b/>
          <w:bCs/>
          <w:color w:val="0000FF"/>
          <w:sz w:val="24"/>
          <w:szCs w:val="24"/>
          <w:highlight w:val="none"/>
          <w:lang w:val="en-US" w:eastAsia="zh-CN"/>
        </w:rPr>
      </w:pPr>
      <w:r>
        <w:rPr>
          <w:rFonts w:hint="eastAsia"/>
          <w:b/>
          <w:bCs/>
          <w:color w:val="000000" w:themeColor="text1"/>
          <w:sz w:val="24"/>
          <w:szCs w:val="24"/>
          <w:highlight w:val="none"/>
          <w:lang w:val="en-US" w:eastAsia="zh-CN"/>
          <w14:textFill>
            <w14:solidFill>
              <w14:schemeClr w14:val="tx1"/>
            </w14:solidFill>
          </w14:textFill>
        </w:rPr>
        <w:t>现场踏勘图</w:t>
      </w:r>
      <w:bookmarkEnd w:id="5"/>
    </w:p>
    <w:p w14:paraId="3B5E6407">
      <w:pPr>
        <w:rPr>
          <w:rFonts w:hint="eastAsia"/>
          <w:b/>
          <w:bCs/>
          <w:color w:val="0000FF"/>
          <w:sz w:val="24"/>
          <w:szCs w:val="24"/>
          <w:highlight w:val="none"/>
          <w:lang w:val="en-US" w:eastAsia="zh-CN"/>
        </w:rPr>
      </w:pPr>
      <w:r>
        <w:rPr>
          <w:rFonts w:hint="eastAsia"/>
          <w:b/>
          <w:bCs/>
          <w:color w:val="0000FF"/>
          <w:sz w:val="24"/>
          <w:szCs w:val="24"/>
          <w:highlight w:val="none"/>
          <w:lang w:val="en-US" w:eastAsia="zh-CN"/>
        </w:rPr>
        <w:br w:type="page"/>
      </w:r>
    </w:p>
    <w:sdt>
      <w:sdtPr>
        <w:rPr>
          <w:rFonts w:ascii="宋体" w:hAnsi="宋体" w:eastAsia="宋体" w:cs="Times New Roman"/>
          <w:color w:val="0000FF"/>
          <w:kern w:val="2"/>
          <w:sz w:val="21"/>
          <w:szCs w:val="24"/>
          <w:highlight w:val="none"/>
          <w:lang w:val="en-US" w:eastAsia="zh-CN" w:bidi="ar-SA"/>
        </w:rPr>
        <w:id w:val="147452444"/>
        <w15:color w:val="DBDBDB"/>
        <w:docPartObj>
          <w:docPartGallery w:val="Table of Contents"/>
          <w:docPartUnique/>
        </w:docPartObj>
      </w:sdtPr>
      <w:sdtEndPr>
        <w:rPr>
          <w:rFonts w:ascii="宋体" w:hAnsi="宋体" w:eastAsia="宋体" w:cs="Times New Roman"/>
          <w:color w:val="0000FF"/>
          <w:kern w:val="2"/>
          <w:sz w:val="24"/>
          <w:szCs w:val="24"/>
          <w:highlight w:val="none"/>
          <w:lang w:val="en-US" w:eastAsia="zh-CN" w:bidi="ar-SA"/>
        </w:rPr>
      </w:sdtEndPr>
      <w:sdtContent>
        <w:p w14:paraId="0EDD7C5C">
          <w:pPr>
            <w:spacing w:before="0" w:beforeLines="0" w:after="0" w:afterLines="0" w:line="240" w:lineRule="auto"/>
            <w:ind w:left="0" w:leftChars="0" w:right="0" w:rightChars="0" w:firstLine="0" w:firstLineChars="0"/>
            <w:jc w:val="center"/>
            <w:rPr>
              <w:rFonts w:hint="eastAsia" w:ascii="仿宋" w:hAnsi="仿宋" w:eastAsia="仿宋" w:cs="仿宋"/>
              <w:color w:val="000000" w:themeColor="text1"/>
              <w:sz w:val="36"/>
              <w:szCs w:val="36"/>
              <w:highlight w:val="none"/>
              <w14:textFill>
                <w14:solidFill>
                  <w14:schemeClr w14:val="tx1"/>
                </w14:solidFill>
              </w14:textFill>
            </w:rPr>
          </w:pPr>
          <w:r>
            <w:rPr>
              <w:rFonts w:hint="eastAsia" w:ascii="仿宋" w:hAnsi="仿宋" w:eastAsia="仿宋" w:cs="仿宋"/>
              <w:color w:val="000000" w:themeColor="text1"/>
              <w:sz w:val="36"/>
              <w:szCs w:val="36"/>
              <w:highlight w:val="none"/>
              <w14:textFill>
                <w14:solidFill>
                  <w14:schemeClr w14:val="tx1"/>
                </w14:solidFill>
              </w14:textFill>
            </w:rPr>
            <w:t>目</w:t>
          </w:r>
          <w:r>
            <w:rPr>
              <w:rFonts w:hint="eastAsia" w:ascii="仿宋" w:hAnsi="仿宋" w:eastAsia="仿宋" w:cs="仿宋"/>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color w:val="000000" w:themeColor="text1"/>
              <w:sz w:val="36"/>
              <w:szCs w:val="36"/>
              <w:highlight w:val="none"/>
              <w14:textFill>
                <w14:solidFill>
                  <w14:schemeClr w14:val="tx1"/>
                </w14:solidFill>
              </w14:textFill>
            </w:rPr>
            <w:t>录</w:t>
          </w:r>
        </w:p>
        <w:p w14:paraId="4577305F">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color w:val="0000FF"/>
              <w:sz w:val="24"/>
              <w:szCs w:val="24"/>
              <w:highlight w:val="none"/>
            </w:rPr>
            <w:instrText xml:space="preserve">TOC \o "1-1" \h \u </w:instrText>
          </w:r>
          <w:r>
            <w:rPr>
              <w:color w:val="0000FF"/>
              <w:sz w:val="24"/>
              <w:szCs w:val="24"/>
              <w:highlight w:val="none"/>
            </w:rPr>
            <w:fldChar w:fldCharType="separate"/>
          </w:r>
          <w:r>
            <w:rPr>
              <w:color w:val="0000FF"/>
              <w:sz w:val="24"/>
              <w:szCs w:val="24"/>
              <w:highlight w:val="none"/>
            </w:rPr>
            <w:fldChar w:fldCharType="begin"/>
          </w:r>
          <w:r>
            <w:rPr>
              <w:sz w:val="24"/>
              <w:szCs w:val="24"/>
              <w:highlight w:val="none"/>
            </w:rPr>
            <w:instrText xml:space="preserve"> HYPERLINK \l _Toc29226 </w:instrText>
          </w:r>
          <w:r>
            <w:rPr>
              <w:sz w:val="24"/>
              <w:szCs w:val="24"/>
              <w:highlight w:val="none"/>
            </w:rPr>
            <w:fldChar w:fldCharType="separate"/>
          </w:r>
          <w:r>
            <w:rPr>
              <w:rFonts w:hint="default" w:ascii="Times New Roman" w:hAnsi="Times New Roman" w:eastAsia="黑体" w:cs="Times New Roman"/>
              <w:snapToGrid w:val="0"/>
              <w:spacing w:val="0"/>
              <w:w w:val="100"/>
              <w:position w:val="0"/>
              <w:sz w:val="24"/>
              <w:szCs w:val="24"/>
              <w:highlight w:val="none"/>
            </w:rPr>
            <w:t>一、建设项目基本情况</w:t>
          </w:r>
          <w:r>
            <w:rPr>
              <w:sz w:val="24"/>
              <w:szCs w:val="24"/>
            </w:rPr>
            <w:tab/>
          </w:r>
          <w:r>
            <w:rPr>
              <w:sz w:val="24"/>
              <w:szCs w:val="24"/>
            </w:rPr>
            <w:fldChar w:fldCharType="begin"/>
          </w:r>
          <w:r>
            <w:rPr>
              <w:sz w:val="24"/>
              <w:szCs w:val="24"/>
            </w:rPr>
            <w:instrText xml:space="preserve"> PAGEREF _Toc29226 \h </w:instrText>
          </w:r>
          <w:r>
            <w:rPr>
              <w:sz w:val="24"/>
              <w:szCs w:val="24"/>
            </w:rPr>
            <w:fldChar w:fldCharType="separate"/>
          </w:r>
          <w:r>
            <w:rPr>
              <w:sz w:val="24"/>
              <w:szCs w:val="24"/>
            </w:rPr>
            <w:t>1</w:t>
          </w:r>
          <w:r>
            <w:rPr>
              <w:sz w:val="24"/>
              <w:szCs w:val="24"/>
            </w:rPr>
            <w:fldChar w:fldCharType="end"/>
          </w:r>
          <w:r>
            <w:rPr>
              <w:color w:val="0000FF"/>
              <w:sz w:val="24"/>
              <w:szCs w:val="24"/>
              <w:highlight w:val="none"/>
            </w:rPr>
            <w:fldChar w:fldCharType="end"/>
          </w:r>
        </w:p>
        <w:p w14:paraId="341B9EF6">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_Toc6233 </w:instrText>
          </w:r>
          <w:r>
            <w:rPr>
              <w:sz w:val="24"/>
              <w:szCs w:val="24"/>
              <w:highlight w:val="none"/>
            </w:rPr>
            <w:fldChar w:fldCharType="separate"/>
          </w:r>
          <w:r>
            <w:rPr>
              <w:rFonts w:hint="eastAsia" w:ascii="黑体" w:hAnsi="黑体" w:eastAsia="黑体"/>
              <w:snapToGrid w:val="0"/>
              <w:sz w:val="24"/>
              <w:szCs w:val="24"/>
              <w:highlight w:val="none"/>
            </w:rPr>
            <w:t>二、建设内容</w:t>
          </w:r>
          <w:r>
            <w:rPr>
              <w:sz w:val="24"/>
              <w:szCs w:val="24"/>
            </w:rPr>
            <w:tab/>
          </w:r>
          <w:r>
            <w:rPr>
              <w:sz w:val="24"/>
              <w:szCs w:val="24"/>
            </w:rPr>
            <w:fldChar w:fldCharType="begin"/>
          </w:r>
          <w:r>
            <w:rPr>
              <w:sz w:val="24"/>
              <w:szCs w:val="24"/>
            </w:rPr>
            <w:instrText xml:space="preserve"> PAGEREF _Toc6233 \h </w:instrText>
          </w:r>
          <w:r>
            <w:rPr>
              <w:sz w:val="24"/>
              <w:szCs w:val="24"/>
            </w:rPr>
            <w:fldChar w:fldCharType="separate"/>
          </w:r>
          <w:r>
            <w:rPr>
              <w:sz w:val="24"/>
              <w:szCs w:val="24"/>
            </w:rPr>
            <w:t>27</w:t>
          </w:r>
          <w:r>
            <w:rPr>
              <w:sz w:val="24"/>
              <w:szCs w:val="24"/>
            </w:rPr>
            <w:fldChar w:fldCharType="end"/>
          </w:r>
          <w:r>
            <w:rPr>
              <w:color w:val="0000FF"/>
              <w:sz w:val="24"/>
              <w:szCs w:val="24"/>
              <w:highlight w:val="none"/>
            </w:rPr>
            <w:fldChar w:fldCharType="end"/>
          </w:r>
        </w:p>
        <w:p w14:paraId="4A72D43F">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_Toc26216 </w:instrText>
          </w:r>
          <w:r>
            <w:rPr>
              <w:sz w:val="24"/>
              <w:szCs w:val="24"/>
              <w:highlight w:val="none"/>
            </w:rPr>
            <w:fldChar w:fldCharType="separate"/>
          </w:r>
          <w:r>
            <w:rPr>
              <w:rFonts w:hint="eastAsia" w:ascii="黑体" w:hAnsi="黑体" w:eastAsia="黑体"/>
              <w:snapToGrid w:val="0"/>
              <w:sz w:val="24"/>
              <w:szCs w:val="24"/>
              <w:highlight w:val="none"/>
            </w:rPr>
            <w:t>三、生态环境现状、保护目标及评价标准</w:t>
          </w:r>
          <w:r>
            <w:rPr>
              <w:sz w:val="24"/>
              <w:szCs w:val="24"/>
            </w:rPr>
            <w:tab/>
          </w:r>
          <w:r>
            <w:rPr>
              <w:sz w:val="24"/>
              <w:szCs w:val="24"/>
            </w:rPr>
            <w:fldChar w:fldCharType="begin"/>
          </w:r>
          <w:r>
            <w:rPr>
              <w:sz w:val="24"/>
              <w:szCs w:val="24"/>
            </w:rPr>
            <w:instrText xml:space="preserve"> PAGEREF _Toc26216 \h </w:instrText>
          </w:r>
          <w:r>
            <w:rPr>
              <w:sz w:val="24"/>
              <w:szCs w:val="24"/>
            </w:rPr>
            <w:fldChar w:fldCharType="separate"/>
          </w:r>
          <w:r>
            <w:rPr>
              <w:sz w:val="24"/>
              <w:szCs w:val="24"/>
            </w:rPr>
            <w:t>46</w:t>
          </w:r>
          <w:r>
            <w:rPr>
              <w:sz w:val="24"/>
              <w:szCs w:val="24"/>
            </w:rPr>
            <w:fldChar w:fldCharType="end"/>
          </w:r>
          <w:r>
            <w:rPr>
              <w:color w:val="0000FF"/>
              <w:sz w:val="24"/>
              <w:szCs w:val="24"/>
              <w:highlight w:val="none"/>
            </w:rPr>
            <w:fldChar w:fldCharType="end"/>
          </w:r>
        </w:p>
        <w:p w14:paraId="16023B1E">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_Toc28888 </w:instrText>
          </w:r>
          <w:r>
            <w:rPr>
              <w:sz w:val="24"/>
              <w:szCs w:val="24"/>
              <w:highlight w:val="none"/>
            </w:rPr>
            <w:fldChar w:fldCharType="separate"/>
          </w:r>
          <w:r>
            <w:rPr>
              <w:rFonts w:hint="eastAsia" w:ascii="黑体" w:hAnsi="黑体" w:eastAsia="黑体"/>
              <w:snapToGrid w:val="0"/>
              <w:sz w:val="24"/>
              <w:szCs w:val="24"/>
              <w:highlight w:val="none"/>
            </w:rPr>
            <w:t>四、生态环境影响分析</w:t>
          </w:r>
          <w:r>
            <w:rPr>
              <w:sz w:val="24"/>
              <w:szCs w:val="24"/>
            </w:rPr>
            <w:tab/>
          </w:r>
          <w:r>
            <w:rPr>
              <w:sz w:val="24"/>
              <w:szCs w:val="24"/>
            </w:rPr>
            <w:fldChar w:fldCharType="begin"/>
          </w:r>
          <w:r>
            <w:rPr>
              <w:sz w:val="24"/>
              <w:szCs w:val="24"/>
            </w:rPr>
            <w:instrText xml:space="preserve"> PAGEREF _Toc28888 \h </w:instrText>
          </w:r>
          <w:r>
            <w:rPr>
              <w:sz w:val="24"/>
              <w:szCs w:val="24"/>
            </w:rPr>
            <w:fldChar w:fldCharType="separate"/>
          </w:r>
          <w:r>
            <w:rPr>
              <w:sz w:val="24"/>
              <w:szCs w:val="24"/>
            </w:rPr>
            <w:t>56</w:t>
          </w:r>
          <w:r>
            <w:rPr>
              <w:sz w:val="24"/>
              <w:szCs w:val="24"/>
            </w:rPr>
            <w:fldChar w:fldCharType="end"/>
          </w:r>
          <w:r>
            <w:rPr>
              <w:color w:val="0000FF"/>
              <w:sz w:val="24"/>
              <w:szCs w:val="24"/>
              <w:highlight w:val="none"/>
            </w:rPr>
            <w:fldChar w:fldCharType="end"/>
          </w:r>
        </w:p>
        <w:p w14:paraId="3F2EF506">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_Toc4187 </w:instrText>
          </w:r>
          <w:r>
            <w:rPr>
              <w:sz w:val="24"/>
              <w:szCs w:val="24"/>
              <w:highlight w:val="none"/>
            </w:rPr>
            <w:fldChar w:fldCharType="separate"/>
          </w:r>
          <w:r>
            <w:rPr>
              <w:rFonts w:hint="eastAsia" w:ascii="黑体" w:hAnsi="黑体" w:eastAsia="黑体"/>
              <w:snapToGrid w:val="0"/>
              <w:sz w:val="24"/>
              <w:szCs w:val="24"/>
              <w:highlight w:val="none"/>
            </w:rPr>
            <w:t>五、主要生态环境保护措施</w:t>
          </w:r>
          <w:r>
            <w:rPr>
              <w:sz w:val="24"/>
              <w:szCs w:val="24"/>
            </w:rPr>
            <w:tab/>
          </w:r>
          <w:r>
            <w:rPr>
              <w:sz w:val="24"/>
              <w:szCs w:val="24"/>
            </w:rPr>
            <w:fldChar w:fldCharType="begin"/>
          </w:r>
          <w:r>
            <w:rPr>
              <w:sz w:val="24"/>
              <w:szCs w:val="24"/>
            </w:rPr>
            <w:instrText xml:space="preserve"> PAGEREF _Toc4187 \h </w:instrText>
          </w:r>
          <w:r>
            <w:rPr>
              <w:sz w:val="24"/>
              <w:szCs w:val="24"/>
            </w:rPr>
            <w:fldChar w:fldCharType="separate"/>
          </w:r>
          <w:r>
            <w:rPr>
              <w:sz w:val="24"/>
              <w:szCs w:val="24"/>
            </w:rPr>
            <w:t>75</w:t>
          </w:r>
          <w:r>
            <w:rPr>
              <w:sz w:val="24"/>
              <w:szCs w:val="24"/>
            </w:rPr>
            <w:fldChar w:fldCharType="end"/>
          </w:r>
          <w:r>
            <w:rPr>
              <w:color w:val="0000FF"/>
              <w:sz w:val="24"/>
              <w:szCs w:val="24"/>
              <w:highlight w:val="none"/>
            </w:rPr>
            <w:fldChar w:fldCharType="end"/>
          </w:r>
        </w:p>
        <w:p w14:paraId="79E2A380">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_Toc24398 </w:instrText>
          </w:r>
          <w:r>
            <w:rPr>
              <w:sz w:val="24"/>
              <w:szCs w:val="24"/>
              <w:highlight w:val="none"/>
            </w:rPr>
            <w:fldChar w:fldCharType="separate"/>
          </w:r>
          <w:r>
            <w:rPr>
              <w:rFonts w:hint="eastAsia" w:ascii="黑体" w:hAnsi="黑体" w:eastAsia="黑体"/>
              <w:snapToGrid w:val="0"/>
              <w:sz w:val="24"/>
              <w:szCs w:val="24"/>
              <w:highlight w:val="none"/>
            </w:rPr>
            <w:t>六、生态环境保护措施监督检查清单</w:t>
          </w:r>
          <w:r>
            <w:rPr>
              <w:sz w:val="24"/>
              <w:szCs w:val="24"/>
            </w:rPr>
            <w:tab/>
          </w:r>
          <w:r>
            <w:rPr>
              <w:sz w:val="24"/>
              <w:szCs w:val="24"/>
            </w:rPr>
            <w:fldChar w:fldCharType="begin"/>
          </w:r>
          <w:r>
            <w:rPr>
              <w:sz w:val="24"/>
              <w:szCs w:val="24"/>
            </w:rPr>
            <w:instrText xml:space="preserve"> PAGEREF _Toc24398 \h </w:instrText>
          </w:r>
          <w:r>
            <w:rPr>
              <w:sz w:val="24"/>
              <w:szCs w:val="24"/>
            </w:rPr>
            <w:fldChar w:fldCharType="separate"/>
          </w:r>
          <w:r>
            <w:rPr>
              <w:sz w:val="24"/>
              <w:szCs w:val="24"/>
            </w:rPr>
            <w:t>91</w:t>
          </w:r>
          <w:r>
            <w:rPr>
              <w:sz w:val="24"/>
              <w:szCs w:val="24"/>
            </w:rPr>
            <w:fldChar w:fldCharType="end"/>
          </w:r>
          <w:r>
            <w:rPr>
              <w:color w:val="0000FF"/>
              <w:sz w:val="24"/>
              <w:szCs w:val="24"/>
              <w:highlight w:val="none"/>
            </w:rPr>
            <w:fldChar w:fldCharType="end"/>
          </w:r>
        </w:p>
        <w:p w14:paraId="0647B4AA">
          <w:pPr>
            <w:pStyle w:val="18"/>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sz w:val="24"/>
              <w:szCs w:val="24"/>
            </w:rPr>
          </w:pPr>
          <w:r>
            <w:rPr>
              <w:color w:val="0000FF"/>
              <w:sz w:val="24"/>
              <w:szCs w:val="24"/>
              <w:highlight w:val="none"/>
            </w:rPr>
            <w:fldChar w:fldCharType="begin"/>
          </w:r>
          <w:r>
            <w:rPr>
              <w:sz w:val="24"/>
              <w:szCs w:val="24"/>
              <w:highlight w:val="none"/>
            </w:rPr>
            <w:instrText xml:space="preserve"> HYPERLINK \l _Toc27701 </w:instrText>
          </w:r>
          <w:r>
            <w:rPr>
              <w:sz w:val="24"/>
              <w:szCs w:val="24"/>
              <w:highlight w:val="none"/>
            </w:rPr>
            <w:fldChar w:fldCharType="separate"/>
          </w:r>
          <w:r>
            <w:rPr>
              <w:rFonts w:hint="eastAsia" w:ascii="黑体" w:hAnsi="黑体" w:eastAsia="黑体"/>
              <w:snapToGrid w:val="0"/>
              <w:sz w:val="24"/>
              <w:szCs w:val="24"/>
              <w:highlight w:val="none"/>
            </w:rPr>
            <w:t>七、结论</w:t>
          </w:r>
          <w:r>
            <w:rPr>
              <w:sz w:val="24"/>
              <w:szCs w:val="24"/>
            </w:rPr>
            <w:tab/>
          </w:r>
          <w:r>
            <w:rPr>
              <w:sz w:val="24"/>
              <w:szCs w:val="24"/>
            </w:rPr>
            <w:fldChar w:fldCharType="begin"/>
          </w:r>
          <w:r>
            <w:rPr>
              <w:sz w:val="24"/>
              <w:szCs w:val="24"/>
            </w:rPr>
            <w:instrText xml:space="preserve"> PAGEREF _Toc27701 \h </w:instrText>
          </w:r>
          <w:r>
            <w:rPr>
              <w:sz w:val="24"/>
              <w:szCs w:val="24"/>
            </w:rPr>
            <w:fldChar w:fldCharType="separate"/>
          </w:r>
          <w:r>
            <w:rPr>
              <w:sz w:val="24"/>
              <w:szCs w:val="24"/>
            </w:rPr>
            <w:t>94</w:t>
          </w:r>
          <w:r>
            <w:rPr>
              <w:sz w:val="24"/>
              <w:szCs w:val="24"/>
            </w:rPr>
            <w:fldChar w:fldCharType="end"/>
          </w:r>
          <w:r>
            <w:rPr>
              <w:color w:val="0000FF"/>
              <w:sz w:val="24"/>
              <w:szCs w:val="24"/>
              <w:highlight w:val="none"/>
            </w:rPr>
            <w:fldChar w:fldCharType="end"/>
          </w:r>
        </w:p>
        <w:p w14:paraId="0D29416E">
          <w:pPr>
            <w:keepNext w:val="0"/>
            <w:keepLines w:val="0"/>
            <w:pageBreakBefore w:val="0"/>
            <w:widowControl w:val="0"/>
            <w:kinsoku/>
            <w:wordWrap/>
            <w:overflowPunct/>
            <w:topLinePunct w:val="0"/>
            <w:autoSpaceDE/>
            <w:autoSpaceDN/>
            <w:bidi w:val="0"/>
            <w:adjustRightInd/>
            <w:snapToGrid/>
            <w:spacing w:line="480" w:lineRule="exact"/>
            <w:textAlignment w:val="auto"/>
            <w:rPr>
              <w:color w:val="0000FF"/>
              <w:sz w:val="24"/>
              <w:szCs w:val="24"/>
              <w:highlight w:val="none"/>
            </w:rPr>
          </w:pPr>
          <w:r>
            <w:rPr>
              <w:color w:val="0000FF"/>
              <w:sz w:val="24"/>
              <w:szCs w:val="24"/>
              <w:highlight w:val="none"/>
            </w:rPr>
            <w:fldChar w:fldCharType="end"/>
          </w:r>
        </w:p>
      </w:sdtContent>
    </w:sdt>
    <w:p w14:paraId="2A0CB72D">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outlineLvl w:val="0"/>
        <w:rPr>
          <w:rFonts w:hint="default" w:ascii="Times New Roman" w:hAnsi="Times New Roman" w:eastAsia="黑体" w:cs="Times New Roman"/>
          <w:snapToGrid w:val="0"/>
          <w:color w:val="0000FF"/>
          <w:spacing w:val="0"/>
          <w:w w:val="100"/>
          <w:position w:val="0"/>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6" w:name="_Toc13001"/>
    </w:p>
    <w:p w14:paraId="0DBD707D">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outlineLvl w:val="0"/>
        <w:rPr>
          <w:rFonts w:hint="default" w:ascii="Times New Roman" w:hAnsi="Times New Roman" w:eastAsia="黑体" w:cs="Times New Roman"/>
          <w:snapToGrid w:val="0"/>
          <w:color w:val="000000" w:themeColor="text1"/>
          <w:spacing w:val="0"/>
          <w:w w:val="100"/>
          <w:position w:val="0"/>
          <w:sz w:val="30"/>
          <w:szCs w:val="30"/>
          <w:highlight w:val="none"/>
          <w14:textFill>
            <w14:solidFill>
              <w14:schemeClr w14:val="tx1"/>
            </w14:solidFill>
          </w14:textFill>
        </w:rPr>
      </w:pPr>
      <w:bookmarkStart w:id="7" w:name="_Toc29226"/>
      <w:r>
        <w:rPr>
          <w:rFonts w:hint="default" w:ascii="Times New Roman" w:hAnsi="Times New Roman" w:eastAsia="黑体" w:cs="Times New Roman"/>
          <w:snapToGrid w:val="0"/>
          <w:color w:val="000000" w:themeColor="text1"/>
          <w:spacing w:val="0"/>
          <w:w w:val="100"/>
          <w:position w:val="0"/>
          <w:sz w:val="30"/>
          <w:szCs w:val="30"/>
          <w:highlight w:val="none"/>
          <w14:textFill>
            <w14:solidFill>
              <w14:schemeClr w14:val="tx1"/>
            </w14:solidFill>
          </w14:textFill>
        </w:rPr>
        <w:t>一、建设项目基本情况</w:t>
      </w:r>
      <w:bookmarkEnd w:id="6"/>
      <w:bookmarkEnd w:id="7"/>
    </w:p>
    <w:tbl>
      <w:tblPr>
        <w:tblStyle w:val="24"/>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602"/>
        <w:gridCol w:w="1872"/>
        <w:gridCol w:w="1851"/>
        <w:gridCol w:w="3002"/>
      </w:tblGrid>
      <w:tr w14:paraId="55B03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2" w:hRule="atLeast"/>
          <w:jc w:val="center"/>
        </w:trPr>
        <w:tc>
          <w:tcPr>
            <w:tcW w:w="962" w:type="pct"/>
            <w:tcBorders>
              <w:tl2br w:val="nil"/>
              <w:tr2bl w:val="nil"/>
            </w:tcBorders>
            <w:noWrap w:val="0"/>
            <w:tcMar>
              <w:top w:w="16" w:type="dxa"/>
              <w:left w:w="16" w:type="dxa"/>
              <w:right w:w="16" w:type="dxa"/>
            </w:tcMar>
            <w:vAlign w:val="center"/>
          </w:tcPr>
          <w:p w14:paraId="5300CEFE">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建设项目名称</w:t>
            </w:r>
          </w:p>
        </w:tc>
        <w:tc>
          <w:tcPr>
            <w:tcW w:w="4037" w:type="pct"/>
            <w:gridSpan w:val="3"/>
            <w:tcBorders>
              <w:tl2br w:val="nil"/>
              <w:tr2bl w:val="nil"/>
            </w:tcBorders>
            <w:noWrap w:val="0"/>
            <w:vAlign w:val="center"/>
          </w:tcPr>
          <w:p w14:paraId="5594F4AD">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中煤塔城托里县风力发电项目</w:t>
            </w:r>
          </w:p>
        </w:tc>
      </w:tr>
      <w:tr w14:paraId="7A307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962" w:type="pct"/>
            <w:tcBorders>
              <w:tl2br w:val="nil"/>
              <w:tr2bl w:val="nil"/>
            </w:tcBorders>
            <w:noWrap w:val="0"/>
            <w:tcMar>
              <w:top w:w="16" w:type="dxa"/>
              <w:left w:w="16" w:type="dxa"/>
              <w:right w:w="16" w:type="dxa"/>
            </w:tcMar>
            <w:vAlign w:val="center"/>
          </w:tcPr>
          <w:p w14:paraId="2B7CCEC6">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项目代码</w:t>
            </w:r>
          </w:p>
        </w:tc>
        <w:tc>
          <w:tcPr>
            <w:tcW w:w="4037" w:type="pct"/>
            <w:gridSpan w:val="3"/>
            <w:tcBorders>
              <w:tl2br w:val="nil"/>
              <w:tr2bl w:val="nil"/>
            </w:tcBorders>
            <w:noWrap w:val="0"/>
            <w:vAlign w:val="center"/>
          </w:tcPr>
          <w:p w14:paraId="4C2FAECD">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2512-654224-04-01-720825</w:t>
            </w:r>
          </w:p>
        </w:tc>
      </w:tr>
      <w:tr w14:paraId="5EC09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962" w:type="pct"/>
            <w:tcBorders>
              <w:tl2br w:val="nil"/>
              <w:tr2bl w:val="nil"/>
            </w:tcBorders>
            <w:noWrap w:val="0"/>
            <w:tcMar>
              <w:top w:w="16" w:type="dxa"/>
              <w:left w:w="16" w:type="dxa"/>
              <w:right w:w="16" w:type="dxa"/>
            </w:tcMar>
            <w:vAlign w:val="center"/>
          </w:tcPr>
          <w:p w14:paraId="2D49FDE4">
            <w:pPr>
              <w:adjustRightInd w:val="0"/>
              <w:snapToGrid w:val="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建设单位联系人</w:t>
            </w:r>
          </w:p>
        </w:tc>
        <w:tc>
          <w:tcPr>
            <w:tcW w:w="1124" w:type="pct"/>
            <w:tcBorders>
              <w:tl2br w:val="nil"/>
              <w:tr2bl w:val="nil"/>
            </w:tcBorders>
            <w:noWrap w:val="0"/>
            <w:vAlign w:val="center"/>
          </w:tcPr>
          <w:p w14:paraId="69816320">
            <w:pPr>
              <w:adjustRightInd w:val="0"/>
              <w:snapToGrid w:val="0"/>
              <w:jc w:val="center"/>
              <w:rPr>
                <w:rFonts w:hint="default" w:ascii="Times New Roman" w:hAnsi="Times New Roman" w:eastAsia="宋体" w:cs="Times New Roman"/>
                <w:color w:val="auto"/>
                <w:spacing w:val="0"/>
                <w:w w:val="100"/>
                <w:position w:val="0"/>
                <w:sz w:val="24"/>
                <w:szCs w:val="24"/>
                <w:highlight w:val="none"/>
                <w:lang w:val="en-US" w:eastAsia="zh-CN"/>
              </w:rPr>
            </w:pPr>
          </w:p>
        </w:tc>
        <w:tc>
          <w:tcPr>
            <w:tcW w:w="1111" w:type="pct"/>
            <w:tcBorders>
              <w:tl2br w:val="nil"/>
              <w:tr2bl w:val="nil"/>
            </w:tcBorders>
            <w:noWrap w:val="0"/>
            <w:vAlign w:val="center"/>
          </w:tcPr>
          <w:p w14:paraId="3E2B345B">
            <w:pPr>
              <w:adjustRightInd w:val="0"/>
              <w:snapToGrid w:val="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联系方式</w:t>
            </w:r>
          </w:p>
        </w:tc>
        <w:tc>
          <w:tcPr>
            <w:tcW w:w="1802" w:type="pct"/>
            <w:tcBorders>
              <w:tl2br w:val="nil"/>
              <w:tr2bl w:val="nil"/>
            </w:tcBorders>
            <w:noWrap w:val="0"/>
            <w:vAlign w:val="center"/>
          </w:tcPr>
          <w:p w14:paraId="0F2AB33D">
            <w:pPr>
              <w:adjustRightInd w:val="0"/>
              <w:snapToGrid w:val="0"/>
              <w:jc w:val="center"/>
              <w:rPr>
                <w:rFonts w:hint="default" w:ascii="Times New Roman" w:hAnsi="Times New Roman" w:eastAsia="宋体" w:cs="Times New Roman"/>
                <w:color w:val="auto"/>
                <w:spacing w:val="0"/>
                <w:w w:val="100"/>
                <w:position w:val="0"/>
                <w:sz w:val="24"/>
                <w:szCs w:val="24"/>
                <w:highlight w:val="none"/>
                <w:lang w:val="en-US" w:eastAsia="zh-CN"/>
              </w:rPr>
            </w:pPr>
          </w:p>
        </w:tc>
      </w:tr>
      <w:tr w14:paraId="6460A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962" w:type="pct"/>
            <w:tcBorders>
              <w:tl2br w:val="nil"/>
              <w:tr2bl w:val="nil"/>
            </w:tcBorders>
            <w:noWrap w:val="0"/>
            <w:tcMar>
              <w:top w:w="16" w:type="dxa"/>
              <w:left w:w="16" w:type="dxa"/>
              <w:right w:w="16" w:type="dxa"/>
            </w:tcMar>
            <w:vAlign w:val="center"/>
          </w:tcPr>
          <w:p w14:paraId="19EAF303">
            <w:pPr>
              <w:adjustRightInd w:val="0"/>
              <w:snapToGrid w:val="0"/>
              <w:jc w:val="center"/>
              <w:rPr>
                <w:rFonts w:hint="default" w:ascii="Times New Roman" w:hAnsi="Times New Roman" w:eastAsia="宋体" w:cs="Times New Roman"/>
                <w:color w:val="0000FF"/>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建设地点</w:t>
            </w:r>
          </w:p>
        </w:tc>
        <w:tc>
          <w:tcPr>
            <w:tcW w:w="4037" w:type="pct"/>
            <w:gridSpan w:val="3"/>
            <w:tcBorders>
              <w:tl2br w:val="nil"/>
              <w:tr2bl w:val="nil"/>
            </w:tcBorders>
            <w:noWrap w:val="0"/>
            <w:vAlign w:val="center"/>
          </w:tcPr>
          <w:p w14:paraId="75EB95DA">
            <w:pPr>
              <w:keepNext w:val="0"/>
              <w:keepLines w:val="0"/>
              <w:widowControl/>
              <w:suppressLineNumbers w:val="0"/>
              <w:jc w:val="center"/>
              <w:rPr>
                <w:rFonts w:hint="default" w:ascii="Times New Roman" w:hAnsi="Times New Roman" w:eastAsia="宋体" w:cs="Times New Roman"/>
                <w:color w:val="0000FF"/>
                <w:spacing w:val="0"/>
                <w:w w:val="100"/>
                <w:position w:val="0"/>
                <w:sz w:val="24"/>
                <w:szCs w:val="24"/>
                <w:highlight w:val="none"/>
                <w:lang w:val="en-US"/>
              </w:rPr>
            </w:pPr>
          </w:p>
        </w:tc>
      </w:tr>
      <w:tr w14:paraId="039E9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962" w:type="pct"/>
            <w:tcBorders>
              <w:tl2br w:val="nil"/>
              <w:tr2bl w:val="nil"/>
            </w:tcBorders>
            <w:noWrap w:val="0"/>
            <w:tcMar>
              <w:top w:w="16" w:type="dxa"/>
              <w:left w:w="16" w:type="dxa"/>
              <w:right w:w="16" w:type="dxa"/>
            </w:tcMar>
            <w:vAlign w:val="center"/>
          </w:tcPr>
          <w:p w14:paraId="5832AA89">
            <w:pPr>
              <w:adjustRightInd w:val="0"/>
              <w:snapToGrid w:val="0"/>
              <w:jc w:val="center"/>
              <w:rPr>
                <w:rFonts w:hint="default" w:ascii="Times New Roman" w:hAnsi="Times New Roman" w:eastAsia="宋体" w:cs="Times New Roman"/>
                <w:color w:val="0000FF"/>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地理坐标</w:t>
            </w:r>
          </w:p>
        </w:tc>
        <w:tc>
          <w:tcPr>
            <w:tcW w:w="4037" w:type="pct"/>
            <w:gridSpan w:val="3"/>
            <w:tcBorders>
              <w:tl2br w:val="nil"/>
              <w:tr2bl w:val="nil"/>
            </w:tcBorders>
            <w:noWrap w:val="0"/>
            <w:vAlign w:val="center"/>
          </w:tcPr>
          <w:p w14:paraId="1D56AC09">
            <w:pPr>
              <w:adjustRightInd w:val="0"/>
              <w:snapToGrid w:val="0"/>
              <w:jc w:val="center"/>
              <w:rPr>
                <w:rFonts w:hint="default" w:ascii="Times New Roman" w:hAnsi="Times New Roman" w:eastAsia="宋体" w:cs="Times New Roman"/>
                <w:color w:val="0000FF"/>
                <w:spacing w:val="0"/>
                <w:w w:val="100"/>
                <w:position w:val="0"/>
                <w:sz w:val="24"/>
                <w:szCs w:val="24"/>
                <w:highlight w:val="none"/>
              </w:rPr>
            </w:pPr>
          </w:p>
        </w:tc>
      </w:tr>
      <w:tr w14:paraId="2D5C3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2" w:type="pct"/>
            <w:tcBorders>
              <w:tl2br w:val="nil"/>
              <w:tr2bl w:val="nil"/>
            </w:tcBorders>
            <w:noWrap w:val="0"/>
            <w:tcMar>
              <w:top w:w="16" w:type="dxa"/>
              <w:left w:w="16" w:type="dxa"/>
              <w:right w:w="16" w:type="dxa"/>
            </w:tcMar>
            <w:vAlign w:val="center"/>
          </w:tcPr>
          <w:p w14:paraId="68FD2A24">
            <w:pPr>
              <w:adjustRightInd w:val="0"/>
              <w:snapToGrid w:val="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建设项目</w:t>
            </w:r>
          </w:p>
          <w:p w14:paraId="26BC3745">
            <w:pPr>
              <w:adjustRightInd w:val="0"/>
              <w:snapToGrid w:val="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行业类别</w:t>
            </w:r>
          </w:p>
        </w:tc>
        <w:tc>
          <w:tcPr>
            <w:tcW w:w="1124" w:type="pct"/>
            <w:tcBorders>
              <w:tl2br w:val="nil"/>
              <w:tr2bl w:val="nil"/>
            </w:tcBorders>
            <w:noWrap w:val="0"/>
            <w:vAlign w:val="center"/>
          </w:tcPr>
          <w:p w14:paraId="09F25522">
            <w:pPr>
              <w:adjustRightInd w:val="0"/>
              <w:snapToGrid w:val="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rPr>
              <w:t>陆上风力发电</w:t>
            </w:r>
            <w:r>
              <w:rPr>
                <w:rFonts w:hint="default" w:ascii="Times New Roman" w:hAnsi="Times New Roman" w:eastAsia="宋体" w:cs="Times New Roman"/>
                <w:color w:val="auto"/>
                <w:spacing w:val="0"/>
                <w:w w:val="100"/>
                <w:position w:val="0"/>
                <w:sz w:val="24"/>
                <w:szCs w:val="24"/>
                <w:highlight w:val="none"/>
                <w:lang w:val="en-US" w:eastAsia="zh-CN"/>
              </w:rPr>
              <w:t>4415</w:t>
            </w:r>
          </w:p>
        </w:tc>
        <w:tc>
          <w:tcPr>
            <w:tcW w:w="1111" w:type="pct"/>
            <w:tcBorders>
              <w:tl2br w:val="nil"/>
              <w:tr2bl w:val="nil"/>
            </w:tcBorders>
            <w:noWrap w:val="0"/>
            <w:vAlign w:val="center"/>
          </w:tcPr>
          <w:p w14:paraId="2FBAF07B">
            <w:pPr>
              <w:adjustRightInd w:val="0"/>
              <w:snapToGrid w:val="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用地（用海）面积（m</w:t>
            </w:r>
            <w:r>
              <w:rPr>
                <w:rFonts w:hint="default" w:ascii="Times New Roman" w:hAnsi="Times New Roman" w:eastAsia="宋体" w:cs="Times New Roman"/>
                <w:color w:val="auto"/>
                <w:spacing w:val="0"/>
                <w:w w:val="100"/>
                <w:position w:val="0"/>
                <w:sz w:val="24"/>
                <w:szCs w:val="24"/>
                <w:highlight w:val="none"/>
                <w:vertAlign w:val="superscript"/>
              </w:rPr>
              <w:t>2</w:t>
            </w:r>
            <w:r>
              <w:rPr>
                <w:rFonts w:hint="default" w:ascii="Times New Roman" w:hAnsi="Times New Roman" w:eastAsia="宋体" w:cs="Times New Roman"/>
                <w:color w:val="auto"/>
                <w:spacing w:val="0"/>
                <w:w w:val="100"/>
                <w:position w:val="0"/>
                <w:sz w:val="24"/>
                <w:szCs w:val="24"/>
                <w:highlight w:val="none"/>
              </w:rPr>
              <w:t>）/长度（km）</w:t>
            </w:r>
          </w:p>
        </w:tc>
        <w:tc>
          <w:tcPr>
            <w:tcW w:w="1802" w:type="pct"/>
            <w:tcBorders>
              <w:tl2br w:val="nil"/>
              <w:tr2bl w:val="nil"/>
            </w:tcBorders>
            <w:noWrap w:val="0"/>
            <w:vAlign w:val="center"/>
          </w:tcPr>
          <w:p w14:paraId="1CA314ED">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永久占地</w:t>
            </w:r>
            <w:r>
              <w:rPr>
                <w:rFonts w:hint="eastAsia" w:cs="Times New Roman"/>
                <w:color w:val="000000" w:themeColor="text1"/>
                <w:sz w:val="24"/>
                <w:szCs w:val="24"/>
                <w:highlight w:val="none"/>
                <w:lang w:val="en-US" w:eastAsia="zh-CN"/>
                <w14:textFill>
                  <w14:solidFill>
                    <w14:schemeClr w14:val="tx1"/>
                  </w14:solidFill>
                </w14:textFill>
              </w:rPr>
              <w:t>27300</w:t>
            </w:r>
            <w:r>
              <w:rPr>
                <w:rFonts w:hint="default" w:ascii="Times New Roman" w:hAnsi="Times New Roman" w:eastAsia="宋体" w:cs="Times New Roman"/>
                <w:color w:val="auto"/>
                <w:spacing w:val="0"/>
                <w:w w:val="100"/>
                <w:position w:val="0"/>
                <w:sz w:val="24"/>
                <w:szCs w:val="24"/>
                <w:highlight w:val="none"/>
              </w:rPr>
              <w:t>m</w:t>
            </w:r>
            <w:r>
              <w:rPr>
                <w:rFonts w:hint="default" w:ascii="Times New Roman" w:hAnsi="Times New Roman" w:eastAsia="宋体" w:cs="Times New Roman"/>
                <w:color w:val="auto"/>
                <w:spacing w:val="0"/>
                <w:w w:val="100"/>
                <w:position w:val="0"/>
                <w:sz w:val="24"/>
                <w:szCs w:val="24"/>
                <w:highlight w:val="none"/>
                <w:vertAlign w:val="superscript"/>
              </w:rPr>
              <w:t>2</w:t>
            </w:r>
          </w:p>
          <w:p w14:paraId="2DE15B0B">
            <w:pPr>
              <w:adjustRightInd w:val="0"/>
              <w:snapToGrid w:val="0"/>
              <w:jc w:val="center"/>
              <w:rPr>
                <w:rFonts w:hint="default" w:ascii="Times New Roman" w:hAnsi="Times New Roman" w:eastAsia="宋体" w:cs="Times New Roman"/>
                <w:color w:val="0000FF"/>
                <w:spacing w:val="0"/>
                <w:w w:val="100"/>
                <w:position w:val="0"/>
                <w:sz w:val="24"/>
                <w:szCs w:val="24"/>
                <w:highlight w:val="none"/>
                <w:lang w:val="en-US"/>
              </w:rPr>
            </w:pPr>
            <w: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t>临时占地</w:t>
            </w:r>
            <w:r>
              <w:rPr>
                <w:rFonts w:hint="eastAsia" w:cs="Times New Roman"/>
                <w:color w:val="000000" w:themeColor="text1"/>
                <w:sz w:val="24"/>
                <w:szCs w:val="24"/>
                <w:highlight w:val="none"/>
                <w:lang w:val="en-US" w:eastAsia="zh-CN"/>
                <w14:textFill>
                  <w14:solidFill>
                    <w14:schemeClr w14:val="tx1"/>
                  </w14:solidFill>
                </w14:textFill>
              </w:rPr>
              <w:t>718625</w:t>
            </w:r>
            <w:r>
              <w:rPr>
                <w:rFonts w:hint="default" w:ascii="Times New Roman" w:hAnsi="Times New Roman" w:eastAsia="宋体" w:cs="Times New Roman"/>
                <w:color w:val="auto"/>
                <w:spacing w:val="0"/>
                <w:w w:val="100"/>
                <w:position w:val="0"/>
                <w:sz w:val="24"/>
                <w:szCs w:val="24"/>
                <w:highlight w:val="none"/>
              </w:rPr>
              <w:t>m</w:t>
            </w:r>
            <w:r>
              <w:rPr>
                <w:rFonts w:hint="default" w:ascii="Times New Roman" w:hAnsi="Times New Roman" w:eastAsia="宋体" w:cs="Times New Roman"/>
                <w:color w:val="auto"/>
                <w:spacing w:val="0"/>
                <w:w w:val="100"/>
                <w:position w:val="0"/>
                <w:sz w:val="24"/>
                <w:szCs w:val="24"/>
                <w:highlight w:val="none"/>
                <w:vertAlign w:val="superscript"/>
              </w:rPr>
              <w:t>2</w:t>
            </w:r>
          </w:p>
        </w:tc>
      </w:tr>
      <w:tr w14:paraId="58E81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2" w:type="pct"/>
            <w:tcBorders>
              <w:tl2br w:val="nil"/>
              <w:tr2bl w:val="nil"/>
            </w:tcBorders>
            <w:noWrap w:val="0"/>
            <w:tcMar>
              <w:top w:w="16" w:type="dxa"/>
              <w:left w:w="16" w:type="dxa"/>
              <w:right w:w="16" w:type="dxa"/>
            </w:tcMar>
            <w:vAlign w:val="center"/>
          </w:tcPr>
          <w:p w14:paraId="6B201416">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建设性质</w:t>
            </w:r>
          </w:p>
        </w:tc>
        <w:tc>
          <w:tcPr>
            <w:tcW w:w="1124" w:type="pct"/>
            <w:tcBorders>
              <w:tl2br w:val="nil"/>
              <w:tr2bl w:val="nil"/>
            </w:tcBorders>
            <w:noWrap w:val="0"/>
            <w:vAlign w:val="center"/>
          </w:tcPr>
          <w:p w14:paraId="3817E89E">
            <w:pPr>
              <w:adjustRightInd w:val="0"/>
              <w:snapToGrid w:val="0"/>
              <w:spacing w:line="520" w:lineRule="exact"/>
              <w:ind w:leftChars="0" w:rightChars="0" w:firstLine="0" w:firstLineChars="0"/>
              <w:jc w:val="left"/>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sym w:font="Wingdings 2" w:char="0052"/>
            </w:r>
            <w:r>
              <w:rPr>
                <w:rFonts w:hint="default" w:ascii="Times New Roman" w:hAnsi="Times New Roman" w:eastAsia="宋体" w:cs="Times New Roman"/>
                <w:b w:val="0"/>
                <w:i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新建（迁建）</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p>
          <w:p w14:paraId="3196D532">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eastAsia"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改建</w:t>
            </w:r>
          </w:p>
          <w:p w14:paraId="79412D3B">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扩建</w:t>
            </w:r>
          </w:p>
          <w:p w14:paraId="153BFB18">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sym w:font="Wingdings 2" w:char="00A3"/>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技术改造</w:t>
            </w:r>
          </w:p>
        </w:tc>
        <w:tc>
          <w:tcPr>
            <w:tcW w:w="1111" w:type="pct"/>
            <w:tcBorders>
              <w:tl2br w:val="nil"/>
              <w:tr2bl w:val="nil"/>
            </w:tcBorders>
            <w:noWrap w:val="0"/>
            <w:vAlign w:val="center"/>
          </w:tcPr>
          <w:p w14:paraId="315E8E59">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建设项目</w:t>
            </w:r>
          </w:p>
          <w:p w14:paraId="53D03CEF">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申报情形</w:t>
            </w:r>
          </w:p>
        </w:tc>
        <w:tc>
          <w:tcPr>
            <w:tcW w:w="1802" w:type="pct"/>
            <w:tcBorders>
              <w:tl2br w:val="nil"/>
              <w:tr2bl w:val="nil"/>
            </w:tcBorders>
            <w:noWrap w:val="0"/>
            <w:vAlign w:val="center"/>
          </w:tcPr>
          <w:p w14:paraId="045F9F16">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首次申报项目</w:t>
            </w:r>
          </w:p>
          <w:p w14:paraId="56ACE81E">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□不予批准后再次申报项目</w:t>
            </w:r>
            <w:r>
              <w:rPr>
                <w:rFonts w:hint="default" w:ascii="Times New Roman" w:hAnsi="Times New Roman" w:eastAsia="宋体" w:cs="Times New Roman"/>
                <w:b w:val="0"/>
                <w:i w:val="0"/>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超五年重新审核项目</w:t>
            </w:r>
          </w:p>
          <w:p w14:paraId="2274A078">
            <w:pPr>
              <w:adjustRightInd w:val="0"/>
              <w:snapToGrid w:val="0"/>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□重大变动重新报批项目</w:t>
            </w:r>
          </w:p>
        </w:tc>
      </w:tr>
      <w:tr w14:paraId="06673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962" w:type="pct"/>
            <w:tcBorders>
              <w:tl2br w:val="nil"/>
              <w:tr2bl w:val="nil"/>
            </w:tcBorders>
            <w:noWrap w:val="0"/>
            <w:tcMar>
              <w:top w:w="16" w:type="dxa"/>
              <w:left w:w="16" w:type="dxa"/>
              <w:right w:w="16" w:type="dxa"/>
            </w:tcMar>
            <w:vAlign w:val="center"/>
          </w:tcPr>
          <w:p w14:paraId="67F8562E">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项目审批（核准/备案）部门（选填）</w:t>
            </w:r>
          </w:p>
        </w:tc>
        <w:tc>
          <w:tcPr>
            <w:tcW w:w="1124" w:type="pct"/>
            <w:tcBorders>
              <w:tl2br w:val="nil"/>
              <w:tr2bl w:val="nil"/>
            </w:tcBorders>
            <w:noWrap w:val="0"/>
            <w:vAlign w:val="center"/>
          </w:tcPr>
          <w:p w14:paraId="10362B33">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塔城地区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发展和改革委员会</w:t>
            </w:r>
          </w:p>
        </w:tc>
        <w:tc>
          <w:tcPr>
            <w:tcW w:w="1111" w:type="pct"/>
            <w:tcBorders>
              <w:tl2br w:val="nil"/>
              <w:tr2bl w:val="nil"/>
            </w:tcBorders>
            <w:noWrap w:val="0"/>
            <w:vAlign w:val="center"/>
          </w:tcPr>
          <w:p w14:paraId="0ABE3AB7">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项目审批（核准/</w:t>
            </w:r>
          </w:p>
          <w:p w14:paraId="1DFB58E8">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备案）文号（选填）</w:t>
            </w:r>
          </w:p>
        </w:tc>
        <w:tc>
          <w:tcPr>
            <w:tcW w:w="1802" w:type="pct"/>
            <w:tcBorders>
              <w:tl2br w:val="nil"/>
              <w:tr2bl w:val="nil"/>
            </w:tcBorders>
            <w:noWrap w:val="0"/>
            <w:vAlign w:val="center"/>
          </w:tcPr>
          <w:p w14:paraId="5E1242ED">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2512301712654200000102</w:t>
            </w:r>
          </w:p>
        </w:tc>
      </w:tr>
      <w:tr w14:paraId="14CBA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962" w:type="pct"/>
            <w:tcBorders>
              <w:tl2br w:val="nil"/>
              <w:tr2bl w:val="nil"/>
            </w:tcBorders>
            <w:noWrap w:val="0"/>
            <w:tcMar>
              <w:top w:w="16" w:type="dxa"/>
              <w:left w:w="16" w:type="dxa"/>
              <w:right w:w="16" w:type="dxa"/>
            </w:tcMar>
            <w:vAlign w:val="center"/>
          </w:tcPr>
          <w:p w14:paraId="08B2DBAD">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总投资（万元）</w:t>
            </w:r>
          </w:p>
        </w:tc>
        <w:tc>
          <w:tcPr>
            <w:tcW w:w="1124" w:type="pct"/>
            <w:tcBorders>
              <w:tl2br w:val="nil"/>
              <w:tr2bl w:val="nil"/>
            </w:tcBorders>
            <w:noWrap w:val="0"/>
            <w:vAlign w:val="center"/>
          </w:tcPr>
          <w:p w14:paraId="5E5CE5DE">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174700</w:t>
            </w:r>
          </w:p>
        </w:tc>
        <w:tc>
          <w:tcPr>
            <w:tcW w:w="1111" w:type="pct"/>
            <w:tcBorders>
              <w:tl2br w:val="nil"/>
              <w:tr2bl w:val="nil"/>
            </w:tcBorders>
            <w:noWrap w:val="0"/>
            <w:tcMar>
              <w:top w:w="16" w:type="dxa"/>
              <w:left w:w="16" w:type="dxa"/>
              <w:right w:w="16" w:type="dxa"/>
            </w:tcMar>
            <w:vAlign w:val="center"/>
          </w:tcPr>
          <w:p w14:paraId="0D6CF1E8">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环保投资（万元）</w:t>
            </w:r>
          </w:p>
        </w:tc>
        <w:tc>
          <w:tcPr>
            <w:tcW w:w="1802" w:type="pct"/>
            <w:tcBorders>
              <w:tl2br w:val="nil"/>
              <w:tr2bl w:val="nil"/>
            </w:tcBorders>
            <w:noWrap w:val="0"/>
            <w:vAlign w:val="center"/>
          </w:tcPr>
          <w:p w14:paraId="5FB4F184">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382</w:t>
            </w:r>
          </w:p>
        </w:tc>
      </w:tr>
      <w:tr w14:paraId="5B188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962" w:type="pct"/>
            <w:tcBorders>
              <w:tl2br w:val="nil"/>
              <w:tr2bl w:val="nil"/>
            </w:tcBorders>
            <w:noWrap w:val="0"/>
            <w:tcMar>
              <w:top w:w="16" w:type="dxa"/>
              <w:left w:w="16" w:type="dxa"/>
              <w:right w:w="16" w:type="dxa"/>
            </w:tcMar>
            <w:vAlign w:val="center"/>
          </w:tcPr>
          <w:p w14:paraId="41A6BF6E">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环保投资占比（%）</w:t>
            </w:r>
          </w:p>
        </w:tc>
        <w:tc>
          <w:tcPr>
            <w:tcW w:w="1124" w:type="pct"/>
            <w:tcBorders>
              <w:tl2br w:val="nil"/>
              <w:tr2bl w:val="nil"/>
            </w:tcBorders>
            <w:noWrap w:val="0"/>
            <w:vAlign w:val="center"/>
          </w:tcPr>
          <w:p w14:paraId="7FA889C8">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0.2</w:t>
            </w:r>
          </w:p>
        </w:tc>
        <w:tc>
          <w:tcPr>
            <w:tcW w:w="1111" w:type="pct"/>
            <w:tcBorders>
              <w:tl2br w:val="nil"/>
              <w:tr2bl w:val="nil"/>
            </w:tcBorders>
            <w:noWrap w:val="0"/>
            <w:tcMar>
              <w:top w:w="16" w:type="dxa"/>
              <w:left w:w="16" w:type="dxa"/>
              <w:right w:w="16" w:type="dxa"/>
            </w:tcMar>
            <w:vAlign w:val="center"/>
          </w:tcPr>
          <w:p w14:paraId="0A6A6D91">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施工工期</w:t>
            </w:r>
          </w:p>
        </w:tc>
        <w:tc>
          <w:tcPr>
            <w:tcW w:w="1802" w:type="pct"/>
            <w:tcBorders>
              <w:tl2br w:val="nil"/>
              <w:tr2bl w:val="nil"/>
            </w:tcBorders>
            <w:noWrap w:val="0"/>
            <w:vAlign w:val="center"/>
          </w:tcPr>
          <w:p w14:paraId="2439A082">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lang w:val="en-US" w:eastAsia="zh-CN"/>
                <w14:textFill>
                  <w14:solidFill>
                    <w14:schemeClr w14:val="tx1"/>
                  </w14:solidFill>
                </w14:textFill>
              </w:rPr>
            </w:pP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12个月</w:t>
            </w:r>
          </w:p>
        </w:tc>
      </w:tr>
      <w:tr w14:paraId="1C269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1" w:hRule="atLeast"/>
          <w:jc w:val="center"/>
        </w:trPr>
        <w:tc>
          <w:tcPr>
            <w:tcW w:w="962" w:type="pct"/>
            <w:tcBorders>
              <w:tl2br w:val="nil"/>
              <w:tr2bl w:val="nil"/>
            </w:tcBorders>
            <w:noWrap w:val="0"/>
            <w:tcMar>
              <w:top w:w="16" w:type="dxa"/>
              <w:left w:w="16" w:type="dxa"/>
              <w:right w:w="16" w:type="dxa"/>
            </w:tcMar>
            <w:vAlign w:val="center"/>
          </w:tcPr>
          <w:p w14:paraId="712D2B03">
            <w:pPr>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是否开工建设</w:t>
            </w:r>
          </w:p>
        </w:tc>
        <w:tc>
          <w:tcPr>
            <w:tcW w:w="4037" w:type="pct"/>
            <w:gridSpan w:val="3"/>
            <w:tcBorders>
              <w:tl2br w:val="nil"/>
              <w:tr2bl w:val="nil"/>
            </w:tcBorders>
            <w:noWrap w:val="0"/>
            <w:vAlign w:val="center"/>
          </w:tcPr>
          <w:p w14:paraId="05C32DBC">
            <w:pPr>
              <w:adjustRightInd w:val="0"/>
              <w:snapToGrid w:val="0"/>
              <w:spacing w:line="520" w:lineRule="exact"/>
              <w:ind w:leftChars="0" w:rightChars="0" w:firstLine="0" w:firstLineChars="0"/>
              <w:jc w:val="left"/>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b w:val="0"/>
                <w:i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否</w:t>
            </w: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p>
          <w:p w14:paraId="5448C881">
            <w:pPr>
              <w:adjustRightInd w:val="0"/>
              <w:snapToGrid w:val="0"/>
              <w:jc w:val="left"/>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是：</w:t>
            </w:r>
            <w:r>
              <w:rPr>
                <w:rFonts w:hint="default" w:ascii="Times New Roman" w:hAnsi="Times New Roman" w:eastAsia="宋体" w:cs="Times New Roman"/>
                <w:color w:val="000000" w:themeColor="text1"/>
                <w:spacing w:val="0"/>
                <w:w w:val="100"/>
                <w:position w:val="0"/>
                <w:sz w:val="24"/>
                <w:szCs w:val="24"/>
                <w:highlight w:val="none"/>
                <w:u w:val="single"/>
                <w14:textFill>
                  <w14:solidFill>
                    <w14:schemeClr w14:val="tx1"/>
                  </w14:solidFill>
                </w14:textFill>
              </w:rPr>
              <w:t xml:space="preserve">                             </w:t>
            </w:r>
          </w:p>
        </w:tc>
      </w:tr>
      <w:tr w14:paraId="1205AD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1" w:hRule="atLeast"/>
          <w:jc w:val="center"/>
        </w:trPr>
        <w:tc>
          <w:tcPr>
            <w:tcW w:w="962" w:type="pct"/>
            <w:tcBorders>
              <w:tl2br w:val="nil"/>
              <w:tr2bl w:val="nil"/>
            </w:tcBorders>
            <w:noWrap w:val="0"/>
            <w:tcMar>
              <w:top w:w="16" w:type="dxa"/>
              <w:left w:w="16" w:type="dxa"/>
              <w:right w:w="16" w:type="dxa"/>
            </w:tcMar>
            <w:vAlign w:val="center"/>
          </w:tcPr>
          <w:p w14:paraId="7E818FDD">
            <w:pPr>
              <w:autoSpaceDE w:val="0"/>
              <w:autoSpaceDN w:val="0"/>
              <w:adjustRightInd w:val="0"/>
              <w:snapToGrid w:val="0"/>
              <w:jc w:val="center"/>
              <w:rPr>
                <w:rFonts w:hint="default" w:ascii="Times New Roman" w:hAnsi="Times New Roman" w:eastAsia="宋体" w:cs="Times New Roman"/>
                <w:color w:val="0000FF"/>
                <w:spacing w:val="0"/>
                <w:w w:val="100"/>
                <w:kern w:val="0"/>
                <w:position w:val="0"/>
                <w:sz w:val="24"/>
                <w:szCs w:val="24"/>
                <w:highlight w:val="none"/>
              </w:rPr>
            </w:pPr>
            <w: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t>专项评价设置情况</w:t>
            </w:r>
          </w:p>
        </w:tc>
        <w:tc>
          <w:tcPr>
            <w:tcW w:w="4037" w:type="pct"/>
            <w:gridSpan w:val="3"/>
            <w:tcBorders>
              <w:tl2br w:val="nil"/>
              <w:tr2bl w:val="nil"/>
            </w:tcBorders>
            <w:noWrap w:val="0"/>
            <w:tcMar>
              <w:top w:w="16" w:type="dxa"/>
              <w:left w:w="16" w:type="dxa"/>
              <w:right w:w="16" w:type="dxa"/>
            </w:tcMar>
            <w:vAlign w:val="center"/>
          </w:tcPr>
          <w:p w14:paraId="30E604FE">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宋体" w:cs="Times New Roman"/>
                <w:color w:val="auto"/>
                <w:sz w:val="24"/>
                <w:highlight w:val="none"/>
              </w:rPr>
              <w:t>本项目不涉及《建设项目环境影响评价分类管理名录（2021年版）》</w:t>
            </w:r>
            <w:r>
              <w:rPr>
                <w:rFonts w:hint="default" w:ascii="Times New Roman" w:hAnsi="Times New Roman" w:eastAsia="宋体" w:cs="Times New Roman"/>
                <w:color w:val="auto"/>
                <w:sz w:val="24"/>
                <w:highlight w:val="none"/>
                <w:lang w:val="en-US" w:eastAsia="zh-CN"/>
              </w:rPr>
              <w:t>中针对风电项目</w:t>
            </w:r>
            <w:r>
              <w:rPr>
                <w:rFonts w:hint="default" w:ascii="Times New Roman" w:hAnsi="Times New Roman" w:eastAsia="宋体" w:cs="Times New Roman"/>
                <w:color w:val="auto"/>
                <w:sz w:val="24"/>
                <w:highlight w:val="none"/>
              </w:rPr>
              <w:t>规定的环境敏感区</w:t>
            </w:r>
            <w:r>
              <w:rPr>
                <w:rFonts w:hint="eastAsia" w:cs="Times New Roman"/>
                <w:color w:val="auto"/>
                <w:sz w:val="24"/>
                <w:highlight w:val="none"/>
                <w:lang w:eastAsia="zh-CN"/>
              </w:rPr>
              <w:t>（</w:t>
            </w:r>
            <w:r>
              <w:rPr>
                <w:rFonts w:hint="eastAsia" w:cs="Times New Roman"/>
                <w:color w:val="auto"/>
                <w:sz w:val="24"/>
                <w:highlight w:val="none"/>
                <w:lang w:val="en-US" w:eastAsia="zh-CN"/>
              </w:rPr>
              <w:t>国家公园、自然保护区、风景名胜区、世界文化和自然遗产地、海洋特别保护区、饮用水水源保护地、</w:t>
            </w:r>
            <w:r>
              <w:rPr>
                <w:rFonts w:hint="eastAsia"/>
                <w:color w:val="auto"/>
                <w:sz w:val="24"/>
                <w:highlight w:val="none"/>
              </w:rPr>
              <w:t>文物保护单位</w:t>
            </w:r>
            <w:r>
              <w:rPr>
                <w:rFonts w:hint="eastAsia"/>
                <w:color w:val="auto"/>
                <w:sz w:val="24"/>
                <w:highlight w:val="none"/>
                <w:lang w:eastAsia="zh-CN"/>
              </w:rPr>
              <w:t>）</w:t>
            </w:r>
            <w:r>
              <w:rPr>
                <w:rFonts w:hint="default" w:ascii="Times New Roman" w:hAnsi="Times New Roman" w:eastAsia="宋体" w:cs="Times New Roman"/>
                <w:color w:val="auto"/>
                <w:sz w:val="24"/>
                <w:highlight w:val="none"/>
              </w:rPr>
              <w:t>，根据《建设项目环境影响报告表编制技术指南（生态影响类）（试行）》表1要求，不设置专项评价。</w:t>
            </w:r>
          </w:p>
        </w:tc>
      </w:tr>
      <w:tr w14:paraId="04DF4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1" w:hRule="atLeast"/>
          <w:jc w:val="center"/>
        </w:trPr>
        <w:tc>
          <w:tcPr>
            <w:tcW w:w="962" w:type="pct"/>
            <w:tcBorders>
              <w:tl2br w:val="nil"/>
              <w:tr2bl w:val="nil"/>
            </w:tcBorders>
            <w:noWrap w:val="0"/>
            <w:tcMar>
              <w:top w:w="16" w:type="dxa"/>
              <w:left w:w="16" w:type="dxa"/>
              <w:right w:w="16" w:type="dxa"/>
            </w:tcMar>
            <w:vAlign w:val="center"/>
          </w:tcPr>
          <w:p w14:paraId="070A31D6">
            <w:pPr>
              <w:autoSpaceDE w:val="0"/>
              <w:autoSpaceDN w:val="0"/>
              <w:adjustRightInd w:val="0"/>
              <w:snapToGrid w:val="0"/>
              <w:jc w:val="cente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规划情况</w:t>
            </w:r>
          </w:p>
        </w:tc>
        <w:tc>
          <w:tcPr>
            <w:tcW w:w="4037" w:type="pct"/>
            <w:gridSpan w:val="3"/>
            <w:tcBorders>
              <w:tl2br w:val="nil"/>
              <w:tr2bl w:val="nil"/>
            </w:tcBorders>
            <w:noWrap w:val="0"/>
            <w:tcMar>
              <w:top w:w="16" w:type="dxa"/>
              <w:left w:w="16" w:type="dxa"/>
              <w:right w:w="16" w:type="dxa"/>
            </w:tcMar>
            <w:vAlign w:val="center"/>
          </w:tcPr>
          <w:p w14:paraId="49A701E2">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left"/>
              <w:textAlignment w:val="auto"/>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4"/>
                <w:szCs w:val="24"/>
                <w:highlight w:val="none"/>
                <w:lang w:val="en-US" w:eastAsia="zh-CN"/>
                <w14:textFill>
                  <w14:solidFill>
                    <w14:schemeClr w14:val="tx1"/>
                  </w14:solidFill>
                </w14:textFill>
              </w:rPr>
              <w:t>无</w:t>
            </w:r>
          </w:p>
        </w:tc>
      </w:tr>
      <w:tr w14:paraId="4DE3D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1" w:hRule="atLeast"/>
          <w:jc w:val="center"/>
        </w:trPr>
        <w:tc>
          <w:tcPr>
            <w:tcW w:w="962" w:type="pct"/>
            <w:tcBorders>
              <w:tl2br w:val="nil"/>
              <w:tr2bl w:val="nil"/>
            </w:tcBorders>
            <w:noWrap w:val="0"/>
            <w:tcMar>
              <w:top w:w="16" w:type="dxa"/>
              <w:left w:w="16" w:type="dxa"/>
              <w:right w:w="16" w:type="dxa"/>
            </w:tcMar>
            <w:vAlign w:val="center"/>
          </w:tcPr>
          <w:p w14:paraId="39B2E72A">
            <w:pPr>
              <w:autoSpaceDE w:val="0"/>
              <w:autoSpaceDN w:val="0"/>
              <w:adjustRightInd w:val="0"/>
              <w:snapToGrid w:val="0"/>
              <w:jc w:val="cente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规划环境影响</w:t>
            </w:r>
          </w:p>
          <w:p w14:paraId="0FBF9668">
            <w:pPr>
              <w:autoSpaceDE w:val="0"/>
              <w:autoSpaceDN w:val="0"/>
              <w:adjustRightInd w:val="0"/>
              <w:snapToGrid w:val="0"/>
              <w:jc w:val="cente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评价情况</w:t>
            </w:r>
          </w:p>
        </w:tc>
        <w:tc>
          <w:tcPr>
            <w:tcW w:w="4037" w:type="pct"/>
            <w:gridSpan w:val="3"/>
            <w:tcBorders>
              <w:tl2br w:val="nil"/>
              <w:tr2bl w:val="nil"/>
            </w:tcBorders>
            <w:noWrap w:val="0"/>
            <w:tcMar>
              <w:top w:w="16" w:type="dxa"/>
              <w:left w:w="16" w:type="dxa"/>
              <w:right w:w="16" w:type="dxa"/>
            </w:tcMar>
            <w:vAlign w:val="center"/>
          </w:tcPr>
          <w:p w14:paraId="4951901F">
            <w:pPr>
              <w:keepNext w:val="0"/>
              <w:keepLines w:val="0"/>
              <w:pageBreakBefore w:val="0"/>
              <w:widowControl w:val="0"/>
              <w:kinsoku/>
              <w:wordWrap/>
              <w:overflowPunct/>
              <w:topLinePunct w:val="0"/>
              <w:bidi w:val="0"/>
              <w:adjustRightInd w:val="0"/>
              <w:snapToGrid w:val="0"/>
              <w:ind w:firstLine="480" w:firstLineChars="200"/>
              <w:jc w:val="both"/>
              <w:textAlignment w:val="auto"/>
              <w:rPr>
                <w:rFonts w:hint="default" w:ascii="Times New Roman" w:hAnsi="Times New Roman" w:eastAsia="宋体" w:cs="Times New Roman"/>
                <w:color w:val="000000" w:themeColor="text1"/>
                <w:spacing w:val="0"/>
                <w:w w:val="100"/>
                <w:kern w:val="0"/>
                <w:positio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4"/>
                <w:szCs w:val="24"/>
                <w:highlight w:val="none"/>
                <w:lang w:val="en-US" w:eastAsia="zh-CN"/>
                <w14:textFill>
                  <w14:solidFill>
                    <w14:schemeClr w14:val="tx1"/>
                  </w14:solidFill>
                </w14:textFill>
              </w:rPr>
              <w:t>无</w:t>
            </w:r>
          </w:p>
        </w:tc>
      </w:tr>
      <w:tr w14:paraId="469AA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2" w:type="pct"/>
            <w:tcBorders>
              <w:tl2br w:val="nil"/>
              <w:tr2bl w:val="nil"/>
            </w:tcBorders>
            <w:noWrap w:val="0"/>
            <w:tcMar>
              <w:top w:w="16" w:type="dxa"/>
              <w:left w:w="16" w:type="dxa"/>
              <w:right w:w="16" w:type="dxa"/>
            </w:tcMar>
            <w:vAlign w:val="center"/>
          </w:tcPr>
          <w:p w14:paraId="595FFCB7">
            <w:pPr>
              <w:autoSpaceDE w:val="0"/>
              <w:autoSpaceDN w:val="0"/>
              <w:adjustRightInd w:val="0"/>
              <w:snapToGrid w:val="0"/>
              <w:jc w:val="cente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t>规划及</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规划环境影响评价</w:t>
            </w:r>
            <w: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t>符合性分析</w:t>
            </w:r>
          </w:p>
        </w:tc>
        <w:tc>
          <w:tcPr>
            <w:tcW w:w="4037" w:type="pct"/>
            <w:gridSpan w:val="3"/>
            <w:tcBorders>
              <w:tl2br w:val="nil"/>
              <w:tr2bl w:val="nil"/>
            </w:tcBorders>
            <w:noWrap w:val="0"/>
            <w:tcMar>
              <w:top w:w="16" w:type="dxa"/>
              <w:left w:w="16" w:type="dxa"/>
              <w:right w:w="16" w:type="dxa"/>
            </w:tcMar>
            <w:vAlign w:val="center"/>
          </w:tcPr>
          <w:p w14:paraId="4668785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spacing w:val="0"/>
                <w:w w:val="100"/>
                <w:kern w:val="0"/>
                <w:positio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kern w:val="0"/>
                <w:position w:val="0"/>
                <w:sz w:val="24"/>
                <w:szCs w:val="24"/>
                <w:highlight w:val="none"/>
                <w:lang w:val="en-US" w:eastAsia="zh-CN"/>
                <w14:textFill>
                  <w14:solidFill>
                    <w14:schemeClr w14:val="tx1"/>
                  </w14:solidFill>
                </w14:textFill>
              </w:rPr>
              <w:t>无</w:t>
            </w:r>
          </w:p>
        </w:tc>
      </w:tr>
      <w:tr w14:paraId="10B216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232" w:hRule="atLeast"/>
          <w:jc w:val="center"/>
        </w:trPr>
        <w:tc>
          <w:tcPr>
            <w:tcW w:w="962" w:type="pct"/>
            <w:tcBorders>
              <w:tl2br w:val="nil"/>
              <w:tr2bl w:val="nil"/>
            </w:tcBorders>
            <w:noWrap w:val="0"/>
            <w:tcMar>
              <w:top w:w="16" w:type="dxa"/>
              <w:left w:w="16" w:type="dxa"/>
              <w:right w:w="16" w:type="dxa"/>
            </w:tcMar>
            <w:vAlign w:val="center"/>
          </w:tcPr>
          <w:p w14:paraId="5E0AD61C">
            <w:pPr>
              <w:autoSpaceDE w:val="0"/>
              <w:autoSpaceDN w:val="0"/>
              <w:adjustRightInd w:val="0"/>
              <w:snapToGrid w:val="0"/>
              <w:jc w:val="center"/>
              <w:rPr>
                <w:rFonts w:hint="default" w:ascii="Times New Roman" w:hAnsi="Times New Roman" w:eastAsia="宋体" w:cs="Times New Roman"/>
                <w:color w:val="0000FF"/>
                <w:spacing w:val="0"/>
                <w:w w:val="100"/>
                <w:kern w:val="0"/>
                <w:position w:val="0"/>
                <w:szCs w:val="21"/>
                <w:highlight w:val="none"/>
              </w:rPr>
            </w:pPr>
            <w:bookmarkStart w:id="8" w:name="_Hlk56690880"/>
            <w:r>
              <w:rPr>
                <w:rFonts w:hint="default" w:ascii="Times New Roman" w:hAnsi="Times New Roman" w:eastAsia="宋体" w:cs="Times New Roman"/>
                <w:color w:val="000000" w:themeColor="text1"/>
                <w:spacing w:val="0"/>
                <w:w w:val="100"/>
                <w:kern w:val="0"/>
                <w:position w:val="0"/>
                <w:sz w:val="24"/>
                <w:szCs w:val="24"/>
                <w:highlight w:val="none"/>
                <w14:textFill>
                  <w14:solidFill>
                    <w14:schemeClr w14:val="tx1"/>
                  </w14:solidFill>
                </w14:textFill>
              </w:rPr>
              <w:t>其他符合性分析</w:t>
            </w:r>
            <w:bookmarkEnd w:id="8"/>
          </w:p>
        </w:tc>
        <w:tc>
          <w:tcPr>
            <w:tcW w:w="4037" w:type="pct"/>
            <w:gridSpan w:val="3"/>
            <w:tcBorders>
              <w:tl2br w:val="nil"/>
              <w:tr2bl w:val="nil"/>
            </w:tcBorders>
            <w:noWrap w:val="0"/>
            <w:tcMar>
              <w:top w:w="16" w:type="dxa"/>
              <w:left w:w="16" w:type="dxa"/>
              <w:right w:w="16" w:type="dxa"/>
            </w:tcMar>
            <w:vAlign w:val="center"/>
          </w:tcPr>
          <w:p w14:paraId="683F1A96">
            <w:pPr>
              <w:pStyle w:val="8"/>
              <w:autoSpaceDE/>
              <w:autoSpaceDN/>
              <w:adjustRightInd/>
              <w:snapToGrid/>
              <w:spacing w:afterLines="0" w:line="520" w:lineRule="exact"/>
              <w:ind w:firstLine="482" w:firstLineChars="200"/>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highlight w:val="none"/>
                <w14:textFill>
                  <w14:solidFill>
                    <w14:schemeClr w14:val="tx1"/>
                  </w14:solidFill>
                </w14:textFill>
              </w:rPr>
              <w:t>产业政策符合性分析</w:t>
            </w:r>
          </w:p>
          <w:p w14:paraId="7F5D8DA2">
            <w:pPr>
              <w:pStyle w:val="8"/>
              <w:autoSpaceDE/>
              <w:autoSpaceDN/>
              <w:adjustRightInd/>
              <w:snapToGrid/>
              <w:spacing w:afterLines="0" w:line="520" w:lineRule="exact"/>
              <w:ind w:firstLine="480" w:firstLineChars="200"/>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本项目充分利用当地丰富的风力资源，建设装机规模</w:t>
            </w:r>
            <w:r>
              <w:rPr>
                <w:rFonts w:hint="eastAsia" w:cs="Times New Roman"/>
                <w:color w:val="000000" w:themeColor="text1"/>
                <w:sz w:val="24"/>
                <w:szCs w:val="24"/>
                <w:highlight w:val="none"/>
                <w:lang w:val="en-US" w:eastAsia="zh-CN"/>
                <w14:textFill>
                  <w14:solidFill>
                    <w14:schemeClr w14:val="tx1"/>
                  </w14:solidFill>
                </w14:textFill>
              </w:rPr>
              <w:t>420MW</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的风力发电场，国家产业政策提出加强能源的合理利用，风电场项目属于《产业结构调整指导目录（20</w:t>
            </w:r>
            <w:r>
              <w:rPr>
                <w:rFonts w:hint="eastAsia" w:cs="Times New Roman"/>
                <w:color w:val="000000" w:themeColor="text1"/>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年本）》中</w:t>
            </w:r>
            <w:r>
              <w:rPr>
                <w:rFonts w:hint="eastAsia" w:cs="Times New Roman"/>
                <w:color w:val="000000" w:themeColor="text1"/>
                <w:sz w:val="24"/>
                <w:szCs w:val="24"/>
                <w:highlight w:val="none"/>
                <w:lang w:val="en-US" w:eastAsia="zh-CN"/>
                <w14:textFill>
                  <w14:solidFill>
                    <w14:schemeClr w14:val="tx1"/>
                  </w14:solidFill>
                </w14:textFill>
              </w:rPr>
              <w:t>鼓励类</w:t>
            </w:r>
            <w:r>
              <w:rPr>
                <w:rFonts w:hint="eastAsia" w:cs="Times New Roman"/>
                <w:color w:val="auto"/>
                <w:kern w:val="0"/>
                <w:sz w:val="24"/>
                <w:highlight w:val="none"/>
                <w:lang w:val="en-US" w:eastAsia="zh-CN" w:bidi="ar"/>
              </w:rPr>
              <w:t>五、新能源山区风电场建设项目</w:t>
            </w:r>
            <w:r>
              <w:rPr>
                <w:rFonts w:hint="default" w:ascii="Times New Roman" w:hAnsi="Times New Roman" w:eastAsia="宋体" w:cs="Times New Roman"/>
                <w:color w:val="auto"/>
                <w:kern w:val="0"/>
                <w:sz w:val="24"/>
                <w:szCs w:val="24"/>
                <w:highlight w:val="none"/>
                <w:lang w:val="en-US" w:eastAsia="zh-CN" w:bidi="ar"/>
              </w:rPr>
              <w:t>，符合国家产业政策。</w:t>
            </w:r>
          </w:p>
          <w:p w14:paraId="1275D981">
            <w:pPr>
              <w:pStyle w:val="8"/>
              <w:autoSpaceDE/>
              <w:autoSpaceDN/>
              <w:adjustRightInd/>
              <w:snapToGrid/>
              <w:spacing w:afterLines="0" w:line="520" w:lineRule="exact"/>
              <w:ind w:firstLine="480" w:firstLineChars="200"/>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本项目与《西部地区鼓励类产业目录（2025 年本）》中</w:t>
            </w:r>
          </w:p>
          <w:p w14:paraId="1B3DBBF9">
            <w:pPr>
              <w:pStyle w:val="8"/>
              <w:autoSpaceDE/>
              <w:autoSpaceDN/>
              <w:adjustRightInd/>
              <w:snapToGrid/>
              <w:spacing w:afterLines="0" w:line="520" w:lineRule="exac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综上所述，本项目符合国家及地方产业政策要求。</w:t>
            </w:r>
          </w:p>
          <w:p w14:paraId="37AE517D">
            <w:pPr>
              <w:pStyle w:val="8"/>
              <w:spacing w:afterLines="0" w:line="520" w:lineRule="exact"/>
              <w:rPr>
                <w:rFonts w:hint="default" w:ascii="Times New Roman" w:hAnsi="Times New Roman" w:eastAsia="宋体" w:cs="Times New Roman"/>
                <w:color w:val="0000FF"/>
                <w:highlight w:val="none"/>
                <w:lang w:val="en-US" w:eastAsia="zh-CN"/>
              </w:rPr>
            </w:pPr>
          </w:p>
        </w:tc>
      </w:tr>
    </w:tbl>
    <w:p w14:paraId="7ACA0A32">
      <w:pPr>
        <w:pStyle w:val="21"/>
        <w:jc w:val="center"/>
        <w:outlineLvl w:val="9"/>
        <w:rPr>
          <w:rFonts w:hint="eastAsia" w:ascii="黑体" w:hAnsi="黑体" w:eastAsia="黑体"/>
          <w:snapToGrid w:val="0"/>
          <w:color w:val="0000FF"/>
          <w:sz w:val="30"/>
          <w:szCs w:val="30"/>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A7676A8">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9" w:name="_Toc28395"/>
      <w:bookmarkStart w:id="10" w:name="_Toc6233"/>
      <w:r>
        <w:rPr>
          <w:rFonts w:hint="eastAsia" w:ascii="黑体" w:hAnsi="黑体" w:eastAsia="黑体"/>
          <w:snapToGrid w:val="0"/>
          <w:color w:val="000000" w:themeColor="text1"/>
          <w:sz w:val="30"/>
          <w:szCs w:val="30"/>
          <w:highlight w:val="none"/>
          <w14:textFill>
            <w14:solidFill>
              <w14:schemeClr w14:val="tx1"/>
            </w14:solidFill>
          </w14:textFill>
        </w:rPr>
        <w:t>二、建设内容</w:t>
      </w:r>
      <w:bookmarkEnd w:id="9"/>
      <w:bookmarkEnd w:id="10"/>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66"/>
      </w:tblGrid>
      <w:tr w14:paraId="77C07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tcBorders>
              <w:tl2br w:val="nil"/>
              <w:tr2bl w:val="nil"/>
            </w:tcBorders>
            <w:noWrap w:val="0"/>
            <w:vAlign w:val="center"/>
          </w:tcPr>
          <w:p w14:paraId="5EFD0DE2">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地理位置</w:t>
            </w:r>
          </w:p>
        </w:tc>
        <w:tc>
          <w:tcPr>
            <w:tcW w:w="4725" w:type="pct"/>
            <w:tcBorders>
              <w:tl2br w:val="nil"/>
              <w:tr2bl w:val="nil"/>
            </w:tcBorders>
            <w:noWrap w:val="0"/>
            <w:vAlign w:val="center"/>
          </w:tcPr>
          <w:p w14:paraId="41088CC4">
            <w:pPr>
              <w:pStyle w:val="12"/>
              <w:ind w:left="0" w:leftChars="0" w:firstLine="0" w:firstLineChars="0"/>
              <w:rPr>
                <w:rFonts w:hint="default"/>
                <w:highlight w:val="none"/>
                <w:lang w:val="en-US" w:eastAsia="zh-CN"/>
              </w:rPr>
            </w:pPr>
          </w:p>
        </w:tc>
      </w:tr>
      <w:tr w14:paraId="1C4FA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74" w:type="pct"/>
            <w:tcBorders>
              <w:tl2br w:val="nil"/>
              <w:tr2bl w:val="nil"/>
            </w:tcBorders>
            <w:noWrap w:val="0"/>
            <w:vAlign w:val="center"/>
          </w:tcPr>
          <w:p w14:paraId="363CE55D">
            <w:pPr>
              <w:adjustRightInd w:val="0"/>
              <w:snapToGrid w:val="0"/>
              <w:jc w:val="center"/>
              <w:rPr>
                <w:rFonts w:hint="default" w:ascii="Times New Roman" w:hAnsi="Times New Roman" w:cs="Times New Roman"/>
                <w:color w:val="0000FF"/>
                <w:kern w:val="0"/>
                <w:sz w:val="24"/>
                <w:szCs w:val="24"/>
                <w:highlight w:val="none"/>
              </w:rPr>
            </w:pPr>
            <w:r>
              <w:rPr>
                <w:rFonts w:hint="default" w:ascii="Times New Roman" w:hAnsi="Times New Roman" w:cs="Times New Roman"/>
                <w:color w:val="000000" w:themeColor="text1"/>
                <w:kern w:val="0"/>
                <w:sz w:val="24"/>
                <w:szCs w:val="24"/>
                <w:highlight w:val="none"/>
                <w14:textFill>
                  <w14:solidFill>
                    <w14:schemeClr w14:val="tx1"/>
                  </w14:solidFill>
                </w14:textFill>
              </w:rPr>
              <w:t>项目组成及规模</w:t>
            </w:r>
          </w:p>
        </w:tc>
        <w:tc>
          <w:tcPr>
            <w:tcW w:w="4725" w:type="pct"/>
            <w:tcBorders>
              <w:tl2br w:val="nil"/>
              <w:tr2bl w:val="nil"/>
            </w:tcBorders>
            <w:noWrap w:val="0"/>
            <w:vAlign w:val="center"/>
          </w:tcPr>
          <w:p w14:paraId="142A07F3">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建设</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背景</w:t>
            </w:r>
          </w:p>
          <w:p w14:paraId="242881D1">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为了贯彻落实习近平总书记关于碳达峰、碳中和的重要指示，持续推动新能源发电高质量发展，全面提升新能源供应保障能力，根据落实国家发展改革委、国家能源局《以沙漠、戈壁、荒漠地区为重点的大型风电光伏基地规划布局方案》文件精神。</w:t>
            </w:r>
          </w:p>
          <w:p w14:paraId="1440C18B">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spacing w:val="0"/>
                <w:sz w:val="24"/>
                <w:szCs w:val="24"/>
                <w:highlight w:val="none"/>
                <w14:textFill>
                  <w14:solidFill>
                    <w14:schemeClr w14:val="tx1"/>
                  </w14:solidFill>
                </w14:textFill>
              </w:rPr>
              <w:t>为积极响应新疆维吾尔自治区政策、提高当地固定资产投资，按照中煤集团6月份召开全力争取新疆区域十大风区风电项目的会议要求，项目公司拟在托里县规划建设风电项目。</w:t>
            </w:r>
          </w:p>
          <w:p w14:paraId="77E0FEA2">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default" w:ascii="Times New Roman" w:hAnsi="Times New Roman" w:eastAsia="宋体" w:cs="Times New Roman"/>
                <w:color w:val="000000" w:themeColor="text1"/>
                <w:spacing w:val="0"/>
                <w:sz w:val="24"/>
                <w:szCs w:val="24"/>
                <w:highlight w:val="none"/>
                <w:lang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建设规模</w:t>
            </w:r>
          </w:p>
          <w:p w14:paraId="44E1A47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根据风电场工程所在地区域经济发展状况及电力等发展规划，结合风电场的自然条件、资源特征、建设条件等，以及风能资源开发建设的要求和投资方的意向，风电场工程的开发任务以发电为主。</w:t>
            </w:r>
          </w:p>
          <w:p w14:paraId="6CA63A16">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本项目装机容量为420MW，其中一期场区安装42台单机容量为10MW，轮毂高度130m的风力发电机组，新建一座220kV升压站</w:t>
            </w:r>
            <w:r>
              <w:rPr>
                <w:rFonts w:hint="eastAsia" w:cs="Times New Roman"/>
                <w:color w:val="000000" w:themeColor="text1"/>
                <w:sz w:val="24"/>
                <w:szCs w:val="24"/>
                <w:highlight w:val="none"/>
                <w:lang w:val="en-US" w:eastAsia="zh-CN"/>
                <w14:textFill>
                  <w14:solidFill>
                    <w14:schemeClr w14:val="tx1"/>
                  </w14:solidFill>
                </w14:textFill>
              </w:rPr>
              <w:t>带储能，储能工程暂按照汇集容量的10%2h配置储能设施，储能总功率为42MW并配备84MWh储能电池系统，配置PCS、变压器和开关柜，设置一套储能EMS及二次设备。储能电站按照预制舱进行配置，每个电池预制舱功率为5.25MW，电量不小于10.5MWh，预制舱包含锂离子电池及配套的电池管理系统(BMS)、汇流装置、储能BMS及控制设备、消防系统、热管理及辅助系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（升压站另做环评不在本次评价之内）</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。项目建成后，预计每年可向电网提供1265892.11MWh的清洁可再生能源。</w:t>
            </w:r>
          </w:p>
          <w:p w14:paraId="69FA52F8">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 xml:space="preserve"> 项目组成</w:t>
            </w:r>
          </w:p>
          <w:p w14:paraId="283D068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kern w:val="2"/>
                <w:sz w:val="24"/>
                <w:szCs w:val="24"/>
                <w:highlight w:val="none"/>
                <w:lang w:val="en-US" w:eastAsia="zh-CN" w:bidi="ar-SA"/>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本项目主要工程为：</w:t>
            </w:r>
            <w:r>
              <w:rPr>
                <w:rFonts w:hint="default" w:ascii="Times New Roman" w:hAnsi="Times New Roman" w:eastAsia="宋体" w:cs="Times New Roman"/>
                <w:color w:val="000000" w:themeColor="text1"/>
                <w:spacing w:val="0"/>
                <w:kern w:val="2"/>
                <w:sz w:val="24"/>
                <w:szCs w:val="24"/>
                <w:highlight w:val="none"/>
                <w:lang w:val="en-US" w:eastAsia="zh-CN" w:bidi="ar-SA"/>
                <w14:textFill>
                  <w14:solidFill>
                    <w14:schemeClr w14:val="tx1"/>
                  </w14:solidFill>
                </w14:textFill>
              </w:rPr>
              <w:t>一期场区42台单机容量10MW，叶轮直径230m，轮毂高度为130m风力发电机组，装机容量420MW</w:t>
            </w:r>
            <w:r>
              <w:rPr>
                <w:rFonts w:hint="eastAsia" w:cs="Times New Roman"/>
                <w:color w:val="000000" w:themeColor="text1"/>
                <w:spacing w:val="0"/>
                <w:kern w:val="2"/>
                <w:sz w:val="24"/>
                <w:szCs w:val="24"/>
                <w:highlight w:val="none"/>
                <w:lang w:val="en-US" w:eastAsia="zh-CN" w:bidi="ar-SA"/>
                <w14:textFill>
                  <w14:solidFill>
                    <w14:schemeClr w14:val="tx1"/>
                  </w14:solidFill>
                </w14:textFill>
              </w:rPr>
              <w:t>，还配套建设8.4万千瓦时电化学储能设施</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auto"/>
                <w:spacing w:val="0"/>
                <w:kern w:val="2"/>
                <w:sz w:val="24"/>
                <w:szCs w:val="24"/>
                <w:highlight w:val="none"/>
                <w:lang w:val="en-US" w:eastAsia="zh-CN" w:bidi="ar-SA"/>
              </w:rPr>
              <w:t>新建场内道路，满足大容量机组设备运输和吊装需求。</w:t>
            </w:r>
            <w:r>
              <w:rPr>
                <w:rFonts w:hint="eastAsia" w:cs="Times New Roman"/>
                <w:color w:val="auto"/>
                <w:spacing w:val="0"/>
                <w:kern w:val="2"/>
                <w:sz w:val="24"/>
                <w:szCs w:val="24"/>
                <w:highlight w:val="none"/>
                <w:lang w:val="en-US" w:eastAsia="zh-CN" w:bidi="ar-SA"/>
              </w:rPr>
              <w:t>新建换箱变</w:t>
            </w:r>
            <w:r>
              <w:rPr>
                <w:rFonts w:hint="default" w:ascii="Times New Roman" w:hAnsi="Times New Roman" w:eastAsia="宋体" w:cs="Times New Roman"/>
                <w:color w:val="auto"/>
                <w:spacing w:val="0"/>
                <w:kern w:val="2"/>
                <w:sz w:val="24"/>
                <w:szCs w:val="24"/>
                <w:highlight w:val="none"/>
                <w:lang w:val="en-US" w:eastAsia="zh-CN" w:bidi="ar-SA"/>
              </w:rPr>
              <w:t>、输电线路，确保机组的高电压、大容量电力能够顺利接入电网。</w:t>
            </w:r>
          </w:p>
          <w:p w14:paraId="387F67D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风电场项目组成见表2-</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4BC0071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w:t>
            </w:r>
            <w:r>
              <w:rPr>
                <w:rFonts w:hint="eastAsia"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项目组成一览表</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31"/>
              <w:gridCol w:w="1207"/>
              <w:gridCol w:w="4968"/>
              <w:gridCol w:w="838"/>
            </w:tblGrid>
            <w:tr w14:paraId="58E5F53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1299" w:type="pct"/>
                  <w:gridSpan w:val="2"/>
                  <w:tcBorders>
                    <w:tl2br w:val="nil"/>
                    <w:tr2bl w:val="nil"/>
                  </w:tcBorders>
                  <w:noWrap w:val="0"/>
                  <w:vAlign w:val="center"/>
                </w:tcPr>
                <w:p w14:paraId="53E36D8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工程类别</w:t>
                  </w:r>
                </w:p>
              </w:tc>
              <w:tc>
                <w:tcPr>
                  <w:tcW w:w="3166" w:type="pct"/>
                  <w:tcBorders>
                    <w:tl2br w:val="nil"/>
                    <w:tr2bl w:val="nil"/>
                  </w:tcBorders>
                  <w:noWrap w:val="0"/>
                  <w:vAlign w:val="center"/>
                </w:tcPr>
                <w:p w14:paraId="13517036">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工程内容</w:t>
                  </w:r>
                </w:p>
              </w:tc>
              <w:tc>
                <w:tcPr>
                  <w:tcW w:w="534" w:type="pct"/>
                  <w:tcBorders>
                    <w:tl2br w:val="nil"/>
                    <w:tr2bl w:val="nil"/>
                  </w:tcBorders>
                  <w:noWrap w:val="0"/>
                  <w:vAlign w:val="center"/>
                </w:tcPr>
                <w:p w14:paraId="141705D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备注</w:t>
                  </w:r>
                </w:p>
              </w:tc>
            </w:tr>
            <w:tr w14:paraId="0557C5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restart"/>
                  <w:tcBorders>
                    <w:tl2br w:val="nil"/>
                    <w:tr2bl w:val="nil"/>
                  </w:tcBorders>
                  <w:noWrap w:val="0"/>
                  <w:vAlign w:val="center"/>
                </w:tcPr>
                <w:p w14:paraId="59369EB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主体工程</w:t>
                  </w:r>
                </w:p>
              </w:tc>
              <w:tc>
                <w:tcPr>
                  <w:tcW w:w="768" w:type="pct"/>
                  <w:tcBorders>
                    <w:tl2br w:val="nil"/>
                    <w:tr2bl w:val="nil"/>
                  </w:tcBorders>
                  <w:noWrap w:val="0"/>
                  <w:vAlign w:val="center"/>
                </w:tcPr>
                <w:p w14:paraId="4E463F48">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风力发电机组</w:t>
                  </w:r>
                </w:p>
              </w:tc>
              <w:tc>
                <w:tcPr>
                  <w:tcW w:w="3166" w:type="pct"/>
                  <w:tcBorders>
                    <w:tl2br w:val="nil"/>
                    <w:tr2bl w:val="nil"/>
                  </w:tcBorders>
                  <w:noWrap w:val="0"/>
                  <w:vAlign w:val="center"/>
                </w:tcPr>
                <w:p w14:paraId="7EA87907">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r>
                    <w:rPr>
                      <w:rFonts w:hint="eastAsia" w:cs="Times New Roman"/>
                      <w:color w:val="000000" w:themeColor="text1"/>
                      <w:sz w:val="21"/>
                      <w:szCs w:val="21"/>
                      <w:highlight w:val="none"/>
                      <w:vertAlign w:val="baseline"/>
                      <w:lang w:val="en-US" w:eastAsia="zh-CN"/>
                      <w14:textFill>
                        <w14:solidFill>
                          <w14:schemeClr w14:val="tx1"/>
                        </w14:solidFill>
                      </w14:textFill>
                    </w:rPr>
                    <w:t>42</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台</w:t>
                  </w:r>
                  <w:r>
                    <w:rPr>
                      <w:rFonts w:hint="eastAsia" w:cs="Times New Roman"/>
                      <w:color w:val="000000" w:themeColor="text1"/>
                      <w:sz w:val="21"/>
                      <w:szCs w:val="21"/>
                      <w:highlight w:val="none"/>
                      <w:vertAlign w:val="baseline"/>
                      <w:lang w:val="en-US" w:eastAsia="zh-CN"/>
                      <w14:textFill>
                        <w14:solidFill>
                          <w14:schemeClr w14:val="tx1"/>
                        </w14:solidFill>
                      </w14:textFill>
                    </w:rPr>
                    <w:t>10MW</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机组，叶轮直径</w:t>
                  </w:r>
                  <w:r>
                    <w:rPr>
                      <w:rFonts w:hint="eastAsia" w:cs="Times New Roman"/>
                      <w:color w:val="000000" w:themeColor="text1"/>
                      <w:sz w:val="21"/>
                      <w:szCs w:val="21"/>
                      <w:highlight w:val="none"/>
                      <w:vertAlign w:val="baseline"/>
                      <w:lang w:val="en-US" w:eastAsia="zh-CN"/>
                      <w14:textFill>
                        <w14:solidFill>
                          <w14:schemeClr w14:val="tx1"/>
                        </w14:solidFill>
                      </w14:textFill>
                    </w:rPr>
                    <w:t>230m</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，轮毂高度</w:t>
                  </w:r>
                  <w:r>
                    <w:rPr>
                      <w:rFonts w:hint="eastAsia" w:cs="Times New Roman"/>
                      <w:color w:val="000000" w:themeColor="text1"/>
                      <w:sz w:val="21"/>
                      <w:szCs w:val="21"/>
                      <w:highlight w:val="none"/>
                      <w:vertAlign w:val="baseline"/>
                      <w:lang w:val="en-US" w:eastAsia="zh-CN"/>
                      <w14:textFill>
                        <w14:solidFill>
                          <w14:schemeClr w14:val="tx1"/>
                        </w14:solidFill>
                      </w14:textFill>
                    </w:rPr>
                    <w:t>130m</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的WTG</w:t>
                  </w:r>
                  <w:r>
                    <w:rPr>
                      <w:rFonts w:hint="eastAsia" w:cs="Times New Roman"/>
                      <w:color w:val="000000" w:themeColor="text1"/>
                      <w:sz w:val="21"/>
                      <w:szCs w:val="21"/>
                      <w:highlight w:val="none"/>
                      <w:vertAlign w:val="baseli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风力发电机组，建成后限负荷至</w:t>
                  </w:r>
                  <w:r>
                    <w:rPr>
                      <w:rFonts w:hint="eastAsia" w:cs="Times New Roman"/>
                      <w:color w:val="000000" w:themeColor="text1"/>
                      <w:sz w:val="21"/>
                      <w:szCs w:val="21"/>
                      <w:highlight w:val="none"/>
                      <w:vertAlign w:val="baseline"/>
                      <w:lang w:val="en-US" w:eastAsia="zh-CN"/>
                      <w14:textFill>
                        <w14:solidFill>
                          <w14:schemeClr w14:val="tx1"/>
                        </w14:solidFill>
                      </w14:textFill>
                    </w:rPr>
                    <w:t>420</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MW运行</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208FE191">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76CA7B7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0273C462">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p>
              </w:tc>
              <w:tc>
                <w:tcPr>
                  <w:tcW w:w="768" w:type="pct"/>
                  <w:tcBorders>
                    <w:tl2br w:val="nil"/>
                    <w:tr2bl w:val="nil"/>
                  </w:tcBorders>
                  <w:noWrap w:val="0"/>
                  <w:vAlign w:val="center"/>
                </w:tcPr>
                <w:p w14:paraId="4307C14D">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箱变</w:t>
                  </w:r>
                </w:p>
              </w:tc>
              <w:tc>
                <w:tcPr>
                  <w:tcW w:w="3166" w:type="pct"/>
                  <w:tcBorders>
                    <w:tl2br w:val="nil"/>
                    <w:tr2bl w:val="nil"/>
                  </w:tcBorders>
                  <w:noWrap w:val="0"/>
                  <w:vAlign w:val="center"/>
                </w:tcPr>
                <w:p w14:paraId="67F70E1D">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outlineLvl w:val="9"/>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Cs w:val="21"/>
                      <w:highlight w:val="none"/>
                      <w14:textFill>
                        <w14:solidFill>
                          <w14:schemeClr w14:val="tx1"/>
                        </w14:solidFill>
                      </w14:textFill>
                    </w:rPr>
                    <w:t>风电机组</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Cs w:val="21"/>
                      <w:highlight w:val="none"/>
                      <w14:textFill>
                        <w14:solidFill>
                          <w14:schemeClr w14:val="tx1"/>
                        </w14:solidFill>
                      </w14:textFill>
                    </w:rPr>
                    <w:t>箱变间采用一机一变单元接线方式</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每台风机配置一台</w:t>
                  </w:r>
                  <w:r>
                    <w:rPr>
                      <w:rFonts w:hint="default" w:ascii="Times New Roman" w:hAnsi="Times New Roman" w:cs="Times New Roman"/>
                      <w:color w:val="000000" w:themeColor="text1"/>
                      <w:szCs w:val="21"/>
                      <w:highlight w:val="none"/>
                      <w:lang w:val="en-US" w:eastAsia="zh-CN"/>
                      <w14:textFill>
                        <w14:solidFill>
                          <w14:schemeClr w14:val="tx1"/>
                        </w14:solidFill>
                      </w14:textFill>
                    </w:rPr>
                    <w:t>11000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kVA箱变，</w:t>
                  </w:r>
                  <w:r>
                    <w:rPr>
                      <w:rFonts w:hint="eastAsia" w:cs="Times New Roman"/>
                      <w:color w:val="000000" w:themeColor="text1"/>
                      <w:szCs w:val="21"/>
                      <w:highlight w:val="none"/>
                      <w:lang w:val="en-US" w:eastAsia="zh-CN"/>
                      <w14:textFill>
                        <w14:solidFill>
                          <w14:schemeClr w14:val="tx1"/>
                        </w14:solidFill>
                      </w14:textFill>
                    </w:rPr>
                    <w:t>共计42台，</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箱变基础拟采用浅埋基础进行设计，箱变外边</w:t>
                  </w:r>
                  <w:r>
                    <w:rPr>
                      <w:rFonts w:hint="eastAsia" w:cs="Times New Roman"/>
                      <w:color w:val="000000" w:themeColor="text1"/>
                      <w:kern w:val="2"/>
                      <w:sz w:val="21"/>
                      <w:szCs w:val="21"/>
                      <w:highlight w:val="none"/>
                      <w:lang w:val="en-US" w:eastAsia="zh-CN" w:bidi="ar-SA"/>
                      <w14:textFill>
                        <w14:solidFill>
                          <w14:schemeClr w14:val="tx1"/>
                        </w14:solidFill>
                      </w14:textFill>
                    </w:rPr>
                    <w:t>缘</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距塔筒外边不小于5m</w:t>
                  </w:r>
                  <w:r>
                    <w:rPr>
                      <w:rFonts w:hint="default" w:cs="Times New Roman"/>
                      <w:color w:val="000000" w:themeColor="text1"/>
                      <w:szCs w:val="21"/>
                      <w:highlight w:val="none"/>
                      <w:lang w:val="en-US" w:eastAsia="zh-CN"/>
                      <w14:textFill>
                        <w14:solidFill>
                          <w14:schemeClr w14:val="tx1"/>
                        </w14:solidFill>
                      </w14:textFill>
                    </w:rPr>
                    <w:t>。</w:t>
                  </w:r>
                </w:p>
              </w:tc>
              <w:tc>
                <w:tcPr>
                  <w:tcW w:w="534" w:type="pct"/>
                  <w:tcBorders>
                    <w:tl2br w:val="nil"/>
                    <w:tr2bl w:val="nil"/>
                  </w:tcBorders>
                  <w:noWrap w:val="0"/>
                  <w:vAlign w:val="center"/>
                </w:tcPr>
                <w:p w14:paraId="49F7D205">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4EA3A17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154F7DA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p>
              </w:tc>
              <w:tc>
                <w:tcPr>
                  <w:tcW w:w="768" w:type="pct"/>
                  <w:tcBorders>
                    <w:tl2br w:val="nil"/>
                    <w:tr2bl w:val="nil"/>
                  </w:tcBorders>
                  <w:noWrap w:val="0"/>
                  <w:vAlign w:val="center"/>
                </w:tcPr>
                <w:p w14:paraId="597CA237">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35kV集电</w:t>
                  </w:r>
                </w:p>
                <w:p w14:paraId="5C6C4C86">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线路</w:t>
                  </w:r>
                </w:p>
              </w:tc>
              <w:tc>
                <w:tcPr>
                  <w:tcW w:w="3166" w:type="pct"/>
                  <w:tcBorders>
                    <w:tl2br w:val="nil"/>
                    <w:tr2bl w:val="nil"/>
                  </w:tcBorders>
                  <w:noWrap w:val="0"/>
                  <w:vAlign w:val="center"/>
                </w:tcPr>
                <w:p w14:paraId="34FCB09E">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outlineLvl w:val="9"/>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项目</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共采用14回35kV架空为主、直埋电缆为辅线路输送至升压站，每回线路分别连接3台风电机组。新建35kV集电线路全长约62.549km，其中架空线路路径长约54.149km，双回架设21.757km，单回架设32.392km，电缆线路路径长约</w:t>
                  </w:r>
                  <w:r>
                    <w:rPr>
                      <w:rFonts w:hint="eastAsia"/>
                      <w:highlight w:val="none"/>
                      <w:lang w:val="en-US" w:eastAsia="zh-CN"/>
                    </w:rPr>
                    <w:t>8.4km。</w:t>
                  </w:r>
                </w:p>
              </w:tc>
              <w:tc>
                <w:tcPr>
                  <w:tcW w:w="534" w:type="pct"/>
                  <w:tcBorders>
                    <w:tl2br w:val="nil"/>
                    <w:tr2bl w:val="nil"/>
                  </w:tcBorders>
                  <w:noWrap w:val="0"/>
                  <w:vAlign w:val="center"/>
                </w:tcPr>
                <w:p w14:paraId="002257DD">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新建</w:t>
                  </w:r>
                </w:p>
              </w:tc>
            </w:tr>
            <w:tr w14:paraId="617C23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restart"/>
                  <w:tcBorders>
                    <w:tl2br w:val="nil"/>
                    <w:tr2bl w:val="nil"/>
                  </w:tcBorders>
                  <w:noWrap w:val="0"/>
                  <w:vAlign w:val="center"/>
                </w:tcPr>
                <w:p w14:paraId="521FB67F">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储运工程</w:t>
                  </w:r>
                </w:p>
              </w:tc>
              <w:tc>
                <w:tcPr>
                  <w:tcW w:w="768" w:type="pct"/>
                  <w:tcBorders>
                    <w:tl2br w:val="nil"/>
                    <w:tr2bl w:val="nil"/>
                  </w:tcBorders>
                  <w:noWrap w:val="0"/>
                  <w:vAlign w:val="center"/>
                </w:tcPr>
                <w:p w14:paraId="5963A034">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场内道路</w:t>
                  </w:r>
                </w:p>
              </w:tc>
              <w:tc>
                <w:tcPr>
                  <w:tcW w:w="3166" w:type="pct"/>
                  <w:tcBorders>
                    <w:tl2br w:val="nil"/>
                    <w:tr2bl w:val="nil"/>
                  </w:tcBorders>
                  <w:noWrap w:val="0"/>
                  <w:vAlign w:val="center"/>
                </w:tcPr>
                <w:p w14:paraId="7CE259E9">
                  <w:pPr>
                    <w:widowControl/>
                    <w:spacing w:before="0" w:line="360" w:lineRule="exact"/>
                    <w:jc w:val="center"/>
                    <w:outlineLvl w:val="9"/>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本项目</w:t>
                  </w:r>
                  <w:r>
                    <w:rPr>
                      <w:rFonts w:hint="eastAsia" w:cs="Times New Roman"/>
                      <w:color w:val="000000" w:themeColor="text1"/>
                      <w:kern w:val="2"/>
                      <w:sz w:val="21"/>
                      <w:szCs w:val="21"/>
                      <w:highlight w:val="none"/>
                      <w:lang w:val="en-US" w:eastAsia="zh-CN" w:bidi="ar-SA"/>
                      <w14:textFill>
                        <w14:solidFill>
                          <w14:schemeClr w14:val="tx1"/>
                        </w14:solidFill>
                      </w14:textFill>
                    </w:rPr>
                    <w:t>新建</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场内运输道路52.533km，路基宽6.0m，路面宽5.0m，采用30cm厚山皮石面层；施工结束后恢复为4.5米宽的检修道路。另新建0.7km</w:t>
                  </w:r>
                  <w:r>
                    <w:rPr>
                      <w:rFonts w:hint="eastAsia" w:cs="Times New Roman"/>
                      <w:color w:val="000000" w:themeColor="text1"/>
                      <w:kern w:val="2"/>
                      <w:sz w:val="21"/>
                      <w:szCs w:val="21"/>
                      <w:highlight w:val="none"/>
                      <w:lang w:val="en-US" w:eastAsia="zh-CN" w:bidi="ar"/>
                      <w14:textFill>
                        <w14:solidFill>
                          <w14:schemeClr w14:val="tx1"/>
                        </w14:solidFill>
                      </w14:textFill>
                    </w:rPr>
                    <w:t>进场</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道路，路基宽6.0m，路面宽5.0m</w:t>
                  </w:r>
                  <w:r>
                    <w:rPr>
                      <w:rFonts w:hint="default" w:cs="Times New Roman"/>
                      <w:color w:val="000000" w:themeColor="text1"/>
                      <w:kern w:val="2"/>
                      <w:sz w:val="21"/>
                      <w:szCs w:val="21"/>
                      <w:highlight w:val="none"/>
                      <w:lang w:val="en-US" w:eastAsia="zh-CN" w:bidi="ar-SA"/>
                      <w14:textFill>
                        <w14:solidFill>
                          <w14:schemeClr w14:val="tx1"/>
                        </w14:solidFill>
                      </w14:textFill>
                    </w:rPr>
                    <w:t>。</w:t>
                  </w:r>
                </w:p>
              </w:tc>
              <w:tc>
                <w:tcPr>
                  <w:tcW w:w="534" w:type="pct"/>
                  <w:tcBorders>
                    <w:tl2br w:val="nil"/>
                    <w:tr2bl w:val="nil"/>
                  </w:tcBorders>
                  <w:noWrap w:val="0"/>
                  <w:vAlign w:val="center"/>
                </w:tcPr>
                <w:p w14:paraId="1C4145B4">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58758EE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2F109C4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7086F97A">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进</w:t>
                  </w:r>
                  <w:r>
                    <w:rPr>
                      <w:rFonts w:hint="default" w:ascii="Times New Roman" w:hAnsi="Times New Roman" w:cs="Times New Roman"/>
                      <w:color w:val="000000" w:themeColor="text1"/>
                      <w:kern w:val="2"/>
                      <w:sz w:val="21"/>
                      <w:szCs w:val="21"/>
                      <w:highlight w:val="none"/>
                      <w:vertAlign w:val="baseline"/>
                      <w:lang w:val="en-US" w:eastAsia="zh-CN" w:bidi="ar-SA"/>
                      <w14:textFill>
                        <w14:solidFill>
                          <w14:schemeClr w14:val="tx1"/>
                        </w14:solidFill>
                      </w14:textFill>
                    </w:rPr>
                    <w:t>场</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道路</w:t>
                  </w:r>
                </w:p>
              </w:tc>
              <w:tc>
                <w:tcPr>
                  <w:tcW w:w="3166" w:type="pct"/>
                  <w:tcBorders>
                    <w:tl2br w:val="nil"/>
                    <w:tr2bl w:val="nil"/>
                  </w:tcBorders>
                  <w:noWrap w:val="0"/>
                  <w:vAlign w:val="center"/>
                </w:tcPr>
                <w:p w14:paraId="731DC2C7">
                  <w:pPr>
                    <w:pStyle w:val="9"/>
                    <w:keepNext w:val="0"/>
                    <w:keepLines w:val="0"/>
                    <w:pageBreakBefore w:val="0"/>
                    <w:kinsoku/>
                    <w:wordWrap/>
                    <w:overflowPunct/>
                    <w:topLinePunct w:val="0"/>
                    <w:autoSpaceDE/>
                    <w:autoSpaceDN/>
                    <w:bidi w:val="0"/>
                    <w:adjustRightInd/>
                    <w:spacing w:before="0" w:after="0" w:line="360" w:lineRule="exact"/>
                    <w:ind w:left="0" w:right="0"/>
                    <w:jc w:val="center"/>
                    <w:textAlignment w:val="auto"/>
                    <w:rPr>
                      <w:rFonts w:hint="default" w:ascii="Times New Roman" w:hAnsi="Times New Roman"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vertAlign w:val="baseline"/>
                      <w:lang w:val="en-US" w:eastAsia="zh-CN" w:bidi="ar-SA"/>
                      <w14:textFill>
                        <w14:solidFill>
                          <w14:schemeClr w14:val="tx1"/>
                        </w14:solidFill>
                      </w14:textFill>
                    </w:rPr>
                    <w:t>本项目风电场的风力发电机组设备通过公路运输到场区附近，再通过</w:t>
                  </w: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新建</w:t>
                  </w:r>
                  <w:r>
                    <w:rPr>
                      <w:rFonts w:hint="default" w:ascii="Times New Roman" w:hAnsi="Times New Roman" w:cs="Times New Roman"/>
                      <w:color w:val="000000" w:themeColor="text1"/>
                      <w:kern w:val="2"/>
                      <w:sz w:val="21"/>
                      <w:szCs w:val="21"/>
                      <w:highlight w:val="none"/>
                      <w:vertAlign w:val="baseline"/>
                      <w:lang w:val="en-US" w:eastAsia="zh-CN" w:bidi="ar-SA"/>
                      <w14:textFill>
                        <w14:solidFill>
                          <w14:schemeClr w14:val="tx1"/>
                        </w14:solidFill>
                      </w14:textFill>
                    </w:rPr>
                    <w:t>进场道路运至场区，由场内道路运输至各个机位点</w:t>
                  </w:r>
                  <w:r>
                    <w:rPr>
                      <w:rFonts w:hint="eastAsia" w:cs="Times New Roman"/>
                      <w:color w:val="000000" w:themeColor="text1"/>
                      <w:kern w:val="2"/>
                      <w:sz w:val="21"/>
                      <w:szCs w:val="21"/>
                      <w:highlight w:val="none"/>
                      <w:vertAlign w:val="baseline"/>
                      <w:lang w:val="en-US" w:eastAsia="zh-CN" w:bidi="ar-SA"/>
                      <w14:textFill>
                        <w14:solidFill>
                          <w14:schemeClr w14:val="tx1"/>
                        </w14:solidFill>
                      </w14:textFill>
                    </w:rPr>
                    <w:t>。</w:t>
                  </w:r>
                </w:p>
              </w:tc>
              <w:tc>
                <w:tcPr>
                  <w:tcW w:w="534" w:type="pct"/>
                  <w:tcBorders>
                    <w:tl2br w:val="nil"/>
                    <w:tr2bl w:val="nil"/>
                  </w:tcBorders>
                  <w:noWrap w:val="0"/>
                  <w:vAlign w:val="center"/>
                </w:tcPr>
                <w:p w14:paraId="753D565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新建</w:t>
                  </w:r>
                </w:p>
              </w:tc>
            </w:tr>
            <w:tr w14:paraId="42D9EAF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restart"/>
                  <w:tcBorders>
                    <w:tl2br w:val="nil"/>
                    <w:tr2bl w:val="nil"/>
                  </w:tcBorders>
                  <w:noWrap w:val="0"/>
                  <w:vAlign w:val="center"/>
                </w:tcPr>
                <w:p w14:paraId="5B7A1681">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公用工程</w:t>
                  </w:r>
                </w:p>
              </w:tc>
              <w:tc>
                <w:tcPr>
                  <w:tcW w:w="768" w:type="pct"/>
                  <w:tcBorders>
                    <w:tl2br w:val="nil"/>
                    <w:tr2bl w:val="nil"/>
                  </w:tcBorders>
                  <w:noWrap w:val="0"/>
                  <w:vAlign w:val="center"/>
                </w:tcPr>
                <w:p w14:paraId="4F5DDEE6">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供水</w:t>
                  </w:r>
                </w:p>
              </w:tc>
              <w:tc>
                <w:tcPr>
                  <w:tcW w:w="3166" w:type="pct"/>
                  <w:tcBorders>
                    <w:tl2br w:val="nil"/>
                    <w:tr2bl w:val="nil"/>
                  </w:tcBorders>
                  <w:noWrap w:val="0"/>
                  <w:vAlign w:val="center"/>
                </w:tcPr>
                <w:p w14:paraId="0AD01813">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施工期：生产、生活用水采用汽车</w:t>
                  </w:r>
                  <w:r>
                    <w:rPr>
                      <w:rFonts w:hint="eastAsia" w:cs="Times New Roman"/>
                      <w:color w:val="000000" w:themeColor="text1"/>
                      <w:sz w:val="21"/>
                      <w:szCs w:val="21"/>
                      <w:highlight w:val="none"/>
                      <w:lang w:val="en-US" w:eastAsia="zh-CN"/>
                      <w14:textFill>
                        <w14:solidFill>
                          <w14:schemeClr w14:val="tx1"/>
                        </w14:solidFill>
                      </w14:textFill>
                    </w:rPr>
                    <w:t>从附近乡镇</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拉水。</w:t>
                  </w:r>
                </w:p>
                <w:p w14:paraId="276EEC32">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运营期：本项目运营期不涉及生产用水，运维期间采用无人值守也无生活用水。</w:t>
                  </w:r>
                </w:p>
              </w:tc>
              <w:tc>
                <w:tcPr>
                  <w:tcW w:w="534" w:type="pct"/>
                  <w:tcBorders>
                    <w:tl2br w:val="nil"/>
                    <w:tr2bl w:val="nil"/>
                  </w:tcBorders>
                  <w:noWrap w:val="0"/>
                  <w:vAlign w:val="center"/>
                </w:tcPr>
                <w:p w14:paraId="34553E8A">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w:t>
                  </w:r>
                </w:p>
              </w:tc>
            </w:tr>
            <w:tr w14:paraId="77840D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76133D5D">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60EE9688">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排水</w:t>
                  </w:r>
                </w:p>
              </w:tc>
              <w:tc>
                <w:tcPr>
                  <w:tcW w:w="3166" w:type="pct"/>
                  <w:tcBorders>
                    <w:tl2br w:val="nil"/>
                    <w:tr2bl w:val="nil"/>
                  </w:tcBorders>
                  <w:noWrap w:val="0"/>
                  <w:vAlign w:val="center"/>
                </w:tcPr>
                <w:p w14:paraId="5AD9D23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施工</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期：施工废水经沉淀后回用于洒水降尘，不外排；</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生活污水全部进去临时防渗化粪池</w:t>
                  </w:r>
                  <w:r>
                    <w:rPr>
                      <w:rFonts w:hint="eastAsia"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定期拉运至</w:t>
                  </w:r>
                  <w:r>
                    <w:rPr>
                      <w:rFonts w:hint="eastAsia" w:cs="Times New Roman"/>
                      <w:color w:val="000000" w:themeColor="text1"/>
                      <w:sz w:val="21"/>
                      <w:szCs w:val="21"/>
                      <w:highlight w:val="none"/>
                      <w:vertAlign w:val="baseline"/>
                      <w:lang w:val="en-US" w:eastAsia="zh-CN"/>
                      <w14:textFill>
                        <w14:solidFill>
                          <w14:schemeClr w14:val="tx1"/>
                        </w14:solidFill>
                      </w14:textFill>
                    </w:rPr>
                    <w:t>托里县</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污水处理厂处理</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7A2C6BA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33166DC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540" w:hRule="atLeast"/>
                <w:jc w:val="center"/>
              </w:trPr>
              <w:tc>
                <w:tcPr>
                  <w:tcW w:w="530" w:type="pct"/>
                  <w:vMerge w:val="continue"/>
                  <w:tcBorders>
                    <w:tl2br w:val="nil"/>
                    <w:tr2bl w:val="nil"/>
                  </w:tcBorders>
                  <w:noWrap w:val="0"/>
                  <w:vAlign w:val="center"/>
                </w:tcPr>
                <w:p w14:paraId="108D9FC8">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403D246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供电</w:t>
                  </w:r>
                </w:p>
              </w:tc>
              <w:tc>
                <w:tcPr>
                  <w:tcW w:w="3166" w:type="pct"/>
                  <w:tcBorders>
                    <w:tl2br w:val="nil"/>
                    <w:tr2bl w:val="nil"/>
                  </w:tcBorders>
                  <w:noWrap w:val="0"/>
                  <w:vAlign w:val="center"/>
                </w:tcPr>
                <w:p w14:paraId="61ACB162">
                  <w:pPr>
                    <w:pStyle w:val="12"/>
                    <w:widowControl/>
                    <w:wordWrap w:val="0"/>
                    <w:topLinePunct/>
                    <w:spacing w:after="0" w:line="360" w:lineRule="exact"/>
                    <w:ind w:left="0" w:leftChars="0" w:firstLine="0" w:firstLineChars="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施工用电从附近村庄10kV线路引接，距离场区约10km。考虑到风电机组施工点较为分散，现场配备6台75kW移动式柴油发电机作为风电机组施工电源</w:t>
                  </w:r>
                </w:p>
              </w:tc>
              <w:tc>
                <w:tcPr>
                  <w:tcW w:w="534" w:type="pct"/>
                  <w:tcBorders>
                    <w:tl2br w:val="nil"/>
                    <w:tr2bl w:val="nil"/>
                  </w:tcBorders>
                  <w:noWrap w:val="0"/>
                  <w:vAlign w:val="center"/>
                </w:tcPr>
                <w:p w14:paraId="7770C6CE">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新建</w:t>
                  </w:r>
                </w:p>
              </w:tc>
            </w:tr>
            <w:tr w14:paraId="4BDDCA2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restart"/>
                  <w:tcBorders>
                    <w:tl2br w:val="nil"/>
                    <w:tr2bl w:val="nil"/>
                  </w:tcBorders>
                  <w:noWrap w:val="0"/>
                  <w:vAlign w:val="center"/>
                </w:tcPr>
                <w:p w14:paraId="4F4F1BA2">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环保工程</w:t>
                  </w:r>
                </w:p>
              </w:tc>
              <w:tc>
                <w:tcPr>
                  <w:tcW w:w="768" w:type="pct"/>
                  <w:tcBorders>
                    <w:tl2br w:val="nil"/>
                    <w:tr2bl w:val="nil"/>
                  </w:tcBorders>
                  <w:noWrap w:val="0"/>
                  <w:vAlign w:val="center"/>
                </w:tcPr>
                <w:p w14:paraId="6D13806B">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废气</w:t>
                  </w:r>
                </w:p>
              </w:tc>
              <w:tc>
                <w:tcPr>
                  <w:tcW w:w="3166" w:type="pct"/>
                  <w:tcBorders>
                    <w:tl2br w:val="nil"/>
                    <w:tr2bl w:val="nil"/>
                  </w:tcBorders>
                  <w:noWrap w:val="0"/>
                  <w:vAlign w:val="center"/>
                </w:tcPr>
                <w:p w14:paraId="527DF055">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施工期：采取洒水降尘，对原料堆场采用加盖</w:t>
                  </w:r>
                  <w:r>
                    <w:rPr>
                      <w:rFonts w:hint="default" w:ascii="Times New Roman" w:hAnsi="Times New Roman" w:cs="Times New Roman"/>
                      <w:color w:val="000000" w:themeColor="text1"/>
                      <w:sz w:val="21"/>
                      <w:szCs w:val="21"/>
                      <w:highlight w:val="none"/>
                      <w:lang w:eastAsia="zh-CN"/>
                      <w14:textFill>
                        <w14:solidFill>
                          <w14:schemeClr w14:val="tx1"/>
                        </w14:solidFill>
                      </w14:textFill>
                    </w:rPr>
                    <w:t>篷布</w:t>
                  </w:r>
                  <w:r>
                    <w:rPr>
                      <w:rFonts w:hint="default" w:ascii="Times New Roman" w:hAnsi="Times New Roman" w:eastAsia="宋体" w:cs="Times New Roman"/>
                      <w:color w:val="000000" w:themeColor="text1"/>
                      <w:sz w:val="21"/>
                      <w:szCs w:val="21"/>
                      <w:highlight w:val="none"/>
                      <w14:textFill>
                        <w14:solidFill>
                          <w14:schemeClr w14:val="tx1"/>
                        </w14:solidFill>
                      </w14:textFill>
                    </w:rPr>
                    <w:t>等措施</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48B5ADA9">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运营期：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运营期无</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产生</w:t>
                  </w:r>
                  <w:r>
                    <w:rPr>
                      <w:rFonts w:hint="eastAsia" w:cs="Times New Roman"/>
                      <w:color w:val="000000" w:themeColor="text1"/>
                      <w:sz w:val="21"/>
                      <w:szCs w:val="21"/>
                      <w:highlight w:val="none"/>
                      <w:lang w:val="en-US" w:eastAsia="zh-CN"/>
                      <w14:textFill>
                        <w14:solidFill>
                          <w14:schemeClr w14:val="tx1"/>
                        </w14:solidFill>
                      </w14:textFill>
                    </w:rPr>
                    <w:t>。</w:t>
                  </w:r>
                </w:p>
              </w:tc>
              <w:tc>
                <w:tcPr>
                  <w:tcW w:w="534" w:type="pct"/>
                  <w:tcBorders>
                    <w:tl2br w:val="nil"/>
                    <w:tr2bl w:val="nil"/>
                  </w:tcBorders>
                  <w:noWrap w:val="0"/>
                  <w:vAlign w:val="center"/>
                </w:tcPr>
                <w:p w14:paraId="65C03CC4">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新建</w:t>
                  </w:r>
                </w:p>
              </w:tc>
            </w:tr>
            <w:tr w14:paraId="4D00D9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60E681CB">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3CA0B275">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废水</w:t>
                  </w:r>
                </w:p>
              </w:tc>
              <w:tc>
                <w:tcPr>
                  <w:tcW w:w="3166" w:type="pct"/>
                  <w:tcBorders>
                    <w:tl2br w:val="nil"/>
                    <w:tr2bl w:val="nil"/>
                  </w:tcBorders>
                  <w:noWrap w:val="0"/>
                  <w:vAlign w:val="center"/>
                </w:tcPr>
                <w:p w14:paraId="21C18759">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施工期：施工废水经沉淀后回用于洒水降尘，不外排；</w:t>
                  </w:r>
                  <w:r>
                    <w:rPr>
                      <w:rFonts w:hint="eastAsia" w:cs="Times New Roman"/>
                      <w:color w:val="000000" w:themeColor="text1"/>
                      <w:sz w:val="21"/>
                      <w:szCs w:val="21"/>
                      <w:highlight w:val="none"/>
                      <w:vertAlign w:val="baseline"/>
                      <w:lang w:val="en-US" w:eastAsia="zh-CN"/>
                      <w14:textFill>
                        <w14:solidFill>
                          <w14:schemeClr w14:val="tx1"/>
                        </w14:solidFill>
                      </w14:textFill>
                    </w:rPr>
                    <w:t>生活污水全部进去临时防渗化粪池，定期拉运至托里县污水处理厂处理</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p>
                <w:p w14:paraId="4563E493">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运营期：</w:t>
                  </w:r>
                  <w:r>
                    <w:rPr>
                      <w:rFonts w:hint="eastAsia" w:cs="Times New Roman"/>
                      <w:color w:val="000000" w:themeColor="text1"/>
                      <w:sz w:val="21"/>
                      <w:szCs w:val="21"/>
                      <w:highlight w:val="none"/>
                      <w:lang w:val="en-US" w:eastAsia="zh-CN"/>
                      <w14:textFill>
                        <w14:solidFill>
                          <w14:schemeClr w14:val="tx1"/>
                        </w14:solidFill>
                      </w14:textFill>
                    </w:rPr>
                    <w:t>无废水产生。</w:t>
                  </w:r>
                </w:p>
              </w:tc>
              <w:tc>
                <w:tcPr>
                  <w:tcW w:w="534" w:type="pct"/>
                  <w:tcBorders>
                    <w:tl2br w:val="nil"/>
                    <w:tr2bl w:val="nil"/>
                  </w:tcBorders>
                  <w:noWrap w:val="0"/>
                  <w:vAlign w:val="center"/>
                </w:tcPr>
                <w:p w14:paraId="0CD2BD0D">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7727371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6EFB3A97">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615C40E1">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噪声</w:t>
                  </w:r>
                </w:p>
              </w:tc>
              <w:tc>
                <w:tcPr>
                  <w:tcW w:w="3166" w:type="pct"/>
                  <w:tcBorders>
                    <w:tl2br w:val="nil"/>
                    <w:tr2bl w:val="nil"/>
                  </w:tcBorders>
                  <w:noWrap w:val="0"/>
                  <w:vAlign w:val="center"/>
                </w:tcPr>
                <w:p w14:paraId="31BBB93F">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施工期：施工现场设置围挡、</w:t>
                  </w:r>
                  <w:r>
                    <w:rPr>
                      <w:rFonts w:hint="default" w:ascii="Times New Roman" w:hAnsi="Times New Roman" w:eastAsia="宋体" w:cs="Times New Roman"/>
                      <w:color w:val="000000" w:themeColor="text1"/>
                      <w:szCs w:val="21"/>
                      <w:highlight w:val="none"/>
                      <w14:textFill>
                        <w14:solidFill>
                          <w14:schemeClr w14:val="tx1"/>
                        </w14:solidFill>
                      </w14:textFill>
                    </w:rPr>
                    <w:t>选</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用</w:t>
                  </w:r>
                  <w:r>
                    <w:rPr>
                      <w:rFonts w:hint="default" w:ascii="Times New Roman" w:hAnsi="Times New Roman" w:eastAsia="宋体" w:cs="Times New Roman"/>
                      <w:color w:val="000000" w:themeColor="text1"/>
                      <w:szCs w:val="21"/>
                      <w:highlight w:val="none"/>
                      <w14:textFill>
                        <w14:solidFill>
                          <w14:schemeClr w14:val="tx1"/>
                        </w14:solidFill>
                      </w14:textFill>
                    </w:rPr>
                    <w:t>低噪声设备，隔声减振</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5E5DD0D9">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运营期：</w:t>
                  </w:r>
                  <w:r>
                    <w:rPr>
                      <w:rFonts w:hint="default" w:ascii="Times New Roman" w:hAnsi="Times New Roman" w:eastAsia="宋体" w:cs="Times New Roman"/>
                      <w:color w:val="000000" w:themeColor="text1"/>
                      <w:szCs w:val="21"/>
                      <w:highlight w:val="none"/>
                      <w14:textFill>
                        <w14:solidFill>
                          <w14:schemeClr w14:val="tx1"/>
                        </w14:solidFill>
                      </w14:textFill>
                    </w:rPr>
                    <w:t>选</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用</w:t>
                  </w:r>
                  <w:r>
                    <w:rPr>
                      <w:rFonts w:hint="default" w:ascii="Times New Roman" w:hAnsi="Times New Roman" w:eastAsia="宋体" w:cs="Times New Roman"/>
                      <w:color w:val="000000" w:themeColor="text1"/>
                      <w:szCs w:val="21"/>
                      <w:highlight w:val="none"/>
                      <w14:textFill>
                        <w14:solidFill>
                          <w14:schemeClr w14:val="tx1"/>
                        </w14:solidFill>
                      </w14:textFill>
                    </w:rPr>
                    <w:t>低噪声设备，隔声减振</w:t>
                  </w:r>
                  <w:r>
                    <w:rPr>
                      <w:rFonts w:hint="eastAsia" w:cs="Times New Roman"/>
                      <w:color w:val="000000" w:themeColor="text1"/>
                      <w:szCs w:val="21"/>
                      <w:highlight w:val="none"/>
                      <w:lang w:eastAsia="zh-CN"/>
                      <w14:textFill>
                        <w14:solidFill>
                          <w14:schemeClr w14:val="tx1"/>
                        </w14:solidFill>
                      </w14:textFill>
                    </w:rPr>
                    <w:t>。</w:t>
                  </w:r>
                </w:p>
              </w:tc>
              <w:tc>
                <w:tcPr>
                  <w:tcW w:w="534" w:type="pct"/>
                  <w:tcBorders>
                    <w:tl2br w:val="nil"/>
                    <w:tr2bl w:val="nil"/>
                  </w:tcBorders>
                  <w:noWrap w:val="0"/>
                  <w:vAlign w:val="center"/>
                </w:tcPr>
                <w:p w14:paraId="0CC816AF">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新建</w:t>
                  </w:r>
                </w:p>
              </w:tc>
            </w:tr>
            <w:tr w14:paraId="0F4392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6856" w:hRule="atLeast"/>
                <w:jc w:val="center"/>
              </w:trPr>
              <w:tc>
                <w:tcPr>
                  <w:tcW w:w="530" w:type="pct"/>
                  <w:vMerge w:val="continue"/>
                  <w:tcBorders>
                    <w:tl2br w:val="nil"/>
                    <w:tr2bl w:val="nil"/>
                  </w:tcBorders>
                  <w:noWrap w:val="0"/>
                  <w:vAlign w:val="center"/>
                </w:tcPr>
                <w:p w14:paraId="76C63337">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4885642B">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固废</w:t>
                  </w:r>
                </w:p>
              </w:tc>
              <w:tc>
                <w:tcPr>
                  <w:tcW w:w="3166" w:type="pct"/>
                  <w:tcBorders>
                    <w:tl2br w:val="nil"/>
                    <w:tr2bl w:val="nil"/>
                  </w:tcBorders>
                  <w:noWrap w:val="0"/>
                  <w:vAlign w:val="center"/>
                </w:tcPr>
                <w:p w14:paraId="0A5371F5">
                  <w:pP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施工期：</w:t>
                  </w:r>
                </w:p>
                <w:p w14:paraId="478BA5A6">
                  <w:pPr>
                    <w:keepNext w:val="0"/>
                    <w:keepLines w:val="0"/>
                    <w:pageBreakBefore w:val="0"/>
                    <w:kinsoku/>
                    <w:wordWrap/>
                    <w:overflowPunct/>
                    <w:topLinePunct w:val="0"/>
                    <w:autoSpaceDE/>
                    <w:autoSpaceDN/>
                    <w:bidi w:val="0"/>
                    <w:snapToGrid/>
                    <w:spacing w:line="360" w:lineRule="exact"/>
                    <w:ind w:left="0" w:lef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1、生活垃圾：生活垃圾集中收集并定期统一清运</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至托里县生活垃圾填埋场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填埋处置。2、建筑垃圾：建筑垃圾可回收利用的进行再利用，不能回收利用的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运至主管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部门指定的建筑垃圾填埋场处理。</w:t>
                  </w:r>
                </w:p>
                <w:p w14:paraId="461B8D38">
                  <w:pP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运营期：</w:t>
                  </w:r>
                </w:p>
                <w:p w14:paraId="35D9ABA5">
                  <w:pPr>
                    <w:widowControl/>
                    <w:spacing w:line="360" w:lineRule="exact"/>
                    <w:ind w:left="0"/>
                    <w:jc w:val="center"/>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1、一般固废</w:t>
                  </w:r>
                  <w:r>
                    <w:rPr>
                      <w:rFonts w:hint="default"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检修废件具有回收利用价值的废配件出售给废品收购站，没有回收利用价值的废配件送至</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垃圾填</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埋场</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处置。2、危险</w:t>
                  </w:r>
                  <w:r>
                    <w:rPr>
                      <w:rFonts w:hint="eastAsia" w:cs="Times New Roman"/>
                      <w:color w:val="000000" w:themeColor="text1"/>
                      <w:kern w:val="2"/>
                      <w:sz w:val="21"/>
                      <w:szCs w:val="21"/>
                      <w:highlight w:val="none"/>
                      <w:lang w:val="en-US" w:eastAsia="zh-CN" w:bidi="ar-SA"/>
                      <w14:textFill>
                        <w14:solidFill>
                          <w14:schemeClr w14:val="tx1"/>
                        </w14:solidFill>
                      </w14:textFill>
                    </w:rPr>
                    <w:t>废物</w:t>
                  </w:r>
                  <w:r>
                    <w:rPr>
                      <w:rFonts w:hint="default" w:cs="Times New Roman"/>
                      <w:color w:val="000000" w:themeColor="text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14:textFill>
                        <w14:solidFill>
                          <w14:schemeClr w14:val="tx1"/>
                        </w14:solidFill>
                      </w14:textFill>
                    </w:rPr>
                    <w:t>本</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项目箱式变压器</w:t>
                  </w:r>
                  <w:r>
                    <w:rPr>
                      <w:rFonts w:hint="eastAsia"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采用钢筋混凝土箱型基础，混凝土强度等级采用C30，抗渗等级为P6</w:t>
                  </w:r>
                  <w:r>
                    <w:rPr>
                      <w:rFonts w:hint="eastAsia"/>
                      <w:highlight w:val="none"/>
                      <w:lang w:eastAsia="zh-CN"/>
                    </w:rPr>
                    <w:t>（</w:t>
                  </w:r>
                  <w:r>
                    <w:rPr>
                      <w:rFonts w:hint="eastAsia"/>
                      <w:highlight w:val="none"/>
                      <w:lang w:val="en-US" w:eastAsia="zh-CN"/>
                    </w:rPr>
                    <w:t>防渗系数为1×10</w:t>
                  </w:r>
                  <w:r>
                    <w:rPr>
                      <w:rFonts w:hint="eastAsia"/>
                      <w:highlight w:val="none"/>
                      <w:vertAlign w:val="superscript"/>
                      <w:lang w:val="en-US" w:eastAsia="zh-CN"/>
                    </w:rPr>
                    <w:t>-7</w:t>
                  </w:r>
                  <w:r>
                    <w:rPr>
                      <w:rFonts w:hint="eastAsia"/>
                      <w:highlight w:val="none"/>
                      <w:lang w:val="en-US" w:eastAsia="zh-CN"/>
                    </w:rPr>
                    <w:t>cm/s）</w:t>
                  </w:r>
                  <w:r>
                    <w:rPr>
                      <w:rFonts w:hint="eastAsia"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基础外围配套设置100%容积储油的防渗集油坑，集油坑整体采用抗渗混凝土现浇施工完成后铺设防渗膜，防渗性能满足土壤及地下水污染防控要求，可完全容纳单台变压器全部油量，杜绝事故漏油外溢</w:t>
                  </w:r>
                  <w:r>
                    <w:rPr>
                      <w:rFonts w:hint="default"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检修产生的废润滑油、废含油抹布和废手套</w:t>
                  </w:r>
                  <w:r>
                    <w:rPr>
                      <w:rFonts w:hint="eastAsia" w:cs="Times New Roman"/>
                      <w:color w:val="000000" w:themeColor="text1"/>
                      <w:kern w:val="2"/>
                      <w:sz w:val="21"/>
                      <w:szCs w:val="21"/>
                      <w:highlight w:val="none"/>
                      <w:lang w:val="en-US" w:eastAsia="zh-CN" w:bidi="ar-SA"/>
                      <w14:textFill>
                        <w14:solidFill>
                          <w14:schemeClr w14:val="tx1"/>
                        </w14:solidFill>
                      </w14:textFill>
                    </w:rPr>
                    <w:t>暂存在拟建升压站中危险废物贮存点</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，交由有资质单位</w:t>
                  </w:r>
                  <w:r>
                    <w:rPr>
                      <w:rFonts w:hint="eastAsia" w:cs="Times New Roman"/>
                      <w:color w:val="000000" w:themeColor="text1"/>
                      <w:kern w:val="2"/>
                      <w:sz w:val="21"/>
                      <w:szCs w:val="21"/>
                      <w:highlight w:val="none"/>
                      <w:lang w:val="en-US" w:eastAsia="zh-CN" w:bidi="ar-SA"/>
                      <w14:textFill>
                        <w14:solidFill>
                          <w14:schemeClr w14:val="tx1"/>
                        </w14:solidFill>
                      </w14:textFill>
                    </w:rPr>
                    <w:t>处置，</w:t>
                  </w:r>
                  <w:r>
                    <w:rPr>
                      <w:rFonts w:hint="default" w:ascii="Times New Roman" w:hAnsi="Times New Roman" w:eastAsia="宋体" w:cs="Times New Roman"/>
                      <w:color w:val="000000" w:themeColor="text1"/>
                      <w:kern w:val="2"/>
                      <w:sz w:val="21"/>
                      <w:szCs w:val="21"/>
                      <w:highlight w:val="none"/>
                      <w:lang w:bidi="ar-SA"/>
                      <w14:textFill>
                        <w14:solidFill>
                          <w14:schemeClr w14:val="tx1"/>
                        </w14:solidFill>
                      </w14:textFill>
                    </w:rPr>
                    <w:t>危废暂存执行</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《危险废物贮存污染控制标准》（GB 18597</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2023）</w:t>
                  </w:r>
                  <w:r>
                    <w:rPr>
                      <w:rFonts w:hint="default" w:ascii="Times New Roman" w:hAnsi="Times New Roman" w:eastAsia="宋体" w:cs="Times New Roman"/>
                      <w:color w:val="000000" w:themeColor="text1"/>
                      <w:kern w:val="2"/>
                      <w:sz w:val="21"/>
                      <w:szCs w:val="21"/>
                      <w:highlight w:val="none"/>
                      <w:lang w:bidi="ar-SA"/>
                      <w14:textFill>
                        <w14:solidFill>
                          <w14:schemeClr w14:val="tx1"/>
                        </w14:solidFill>
                      </w14:textFill>
                    </w:rPr>
                    <w:t>中相关规定</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534" w:type="pct"/>
                  <w:tcBorders>
                    <w:tl2br w:val="nil"/>
                    <w:tr2bl w:val="nil"/>
                  </w:tcBorders>
                  <w:noWrap w:val="0"/>
                  <w:vAlign w:val="center"/>
                </w:tcPr>
                <w:p w14:paraId="5423DCB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708725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7DBDCBE5">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2B4A698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生态保护</w:t>
                  </w:r>
                </w:p>
              </w:tc>
              <w:tc>
                <w:tcPr>
                  <w:tcW w:w="3166" w:type="pct"/>
                  <w:tcBorders>
                    <w:tl2br w:val="nil"/>
                    <w:tr2bl w:val="nil"/>
                  </w:tcBorders>
                  <w:noWrap w:val="0"/>
                  <w:vAlign w:val="center"/>
                </w:tcPr>
                <w:p w14:paraId="7926D34F">
                  <w:pPr>
                    <w:keepNext w:val="0"/>
                    <w:keepLines w:val="0"/>
                    <w:pageBreakBefore w:val="0"/>
                    <w:widowControl/>
                    <w:suppressLineNumbers w:val="0"/>
                    <w:kinsoku/>
                    <w:wordWrap/>
                    <w:overflowPunct/>
                    <w:topLinePunct w:val="0"/>
                    <w:autoSpaceDE/>
                    <w:autoSpaceDN/>
                    <w:bidi w:val="0"/>
                    <w:snapToGrid/>
                    <w:spacing w:line="360" w:lineRule="exact"/>
                    <w:ind w:left="0"/>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lang w:val="en-US" w:eastAsia="zh-CN"/>
                      <w14:textFill>
                        <w14:solidFill>
                          <w14:schemeClr w14:val="tx1"/>
                        </w14:solidFill>
                      </w14:textFill>
                    </w:rPr>
                    <w:t>优化风电机组位置，减少植被破坏。施工期加强环境管理，减少施工临时占地，避免对植物的破坏。施工结束后，及时</w:t>
                  </w:r>
                  <w:r>
                    <w:rPr>
                      <w:rFonts w:hint="eastAsia" w:cs="Times New Roman"/>
                      <w:color w:val="000000" w:themeColor="text1"/>
                      <w:szCs w:val="21"/>
                      <w:highlight w:val="none"/>
                      <w:lang w:val="en-US" w:eastAsia="zh-CN"/>
                      <w14:textFill>
                        <w14:solidFill>
                          <w14:schemeClr w14:val="tx1"/>
                        </w14:solidFill>
                      </w14:textFill>
                    </w:rPr>
                    <w:t>进行生态</w:t>
                  </w:r>
                  <w:r>
                    <w:rPr>
                      <w:rFonts w:hint="default" w:ascii="Times New Roman" w:hAnsi="Times New Roman" w:cs="Times New Roman"/>
                      <w:color w:val="000000" w:themeColor="text1"/>
                      <w:szCs w:val="21"/>
                      <w:highlight w:val="none"/>
                      <w:lang w:val="en-US" w:eastAsia="zh-CN"/>
                      <w14:textFill>
                        <w14:solidFill>
                          <w14:schemeClr w14:val="tx1"/>
                        </w14:solidFill>
                      </w14:textFill>
                    </w:rPr>
                    <w:t>恢复</w:t>
                  </w:r>
                  <w:r>
                    <w:rPr>
                      <w:rFonts w:hint="eastAsia" w:cs="Times New Roman"/>
                      <w:color w:val="000000" w:themeColor="text1"/>
                      <w:szCs w:val="21"/>
                      <w:highlight w:val="none"/>
                      <w:lang w:val="en-US" w:eastAsia="zh-CN"/>
                      <w14:textFill>
                        <w14:solidFill>
                          <w14:schemeClr w14:val="tx1"/>
                        </w14:solidFill>
                      </w14:textFill>
                    </w:rPr>
                    <w:t>。</w:t>
                  </w:r>
                </w:p>
              </w:tc>
              <w:tc>
                <w:tcPr>
                  <w:tcW w:w="534" w:type="pct"/>
                  <w:tcBorders>
                    <w:tl2br w:val="nil"/>
                    <w:tr2bl w:val="nil"/>
                  </w:tcBorders>
                  <w:noWrap w:val="0"/>
                  <w:vAlign w:val="center"/>
                </w:tcPr>
                <w:p w14:paraId="4B16030F">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3D6284A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710" w:hRule="atLeast"/>
                <w:jc w:val="center"/>
              </w:trPr>
              <w:tc>
                <w:tcPr>
                  <w:tcW w:w="530" w:type="pct"/>
                  <w:vMerge w:val="restart"/>
                  <w:tcBorders>
                    <w:tl2br w:val="nil"/>
                    <w:tr2bl w:val="nil"/>
                  </w:tcBorders>
                  <w:noWrap w:val="0"/>
                  <w:vAlign w:val="center"/>
                </w:tcPr>
                <w:p w14:paraId="5CC9C79F">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临时工程</w:t>
                  </w:r>
                </w:p>
              </w:tc>
              <w:tc>
                <w:tcPr>
                  <w:tcW w:w="768" w:type="pct"/>
                  <w:tcBorders>
                    <w:tl2br w:val="nil"/>
                    <w:tr2bl w:val="nil"/>
                  </w:tcBorders>
                  <w:noWrap w:val="0"/>
                  <w:vAlign w:val="center"/>
                </w:tcPr>
                <w:p w14:paraId="736FB239">
                  <w:pPr>
                    <w:pStyle w:val="41"/>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spacing w:val="0"/>
                      <w:sz w:val="21"/>
                      <w:szCs w:val="21"/>
                      <w:highlight w:val="none"/>
                    </w:rPr>
                    <w:t>集电线路</w:t>
                  </w:r>
                </w:p>
              </w:tc>
              <w:tc>
                <w:tcPr>
                  <w:tcW w:w="3166" w:type="pct"/>
                  <w:tcBorders>
                    <w:tl2br w:val="nil"/>
                    <w:tr2bl w:val="nil"/>
                  </w:tcBorders>
                  <w:noWrap w:val="0"/>
                  <w:vAlign w:val="center"/>
                </w:tcPr>
                <w:p w14:paraId="41065CDF">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用于</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输电线路</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占地面积为</w:t>
                  </w:r>
                  <w:r>
                    <w:rPr>
                      <w:rFonts w:hint="eastAsia" w:cs="Times New Roman"/>
                      <w:color w:val="000000" w:themeColor="text1"/>
                      <w:sz w:val="21"/>
                      <w:szCs w:val="21"/>
                      <w:highlight w:val="none"/>
                      <w:lang w:val="en-US" w:eastAsia="zh-CN"/>
                      <w14:textFill>
                        <w14:solidFill>
                          <w14:schemeClr w14:val="tx1"/>
                        </w14:solidFill>
                      </w14:textFill>
                    </w:rPr>
                    <w:t>10948</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43E1CFE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46AAFCB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21ECF173">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1911C239">
                  <w:pPr>
                    <w:pStyle w:val="41"/>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Times New Roman" w:hAnsi="Times New Roman"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spacing w:val="0"/>
                      <w:sz w:val="21"/>
                      <w:szCs w:val="21"/>
                      <w:highlight w:val="none"/>
                    </w:rPr>
                    <w:t>场区道路</w:t>
                  </w:r>
                </w:p>
              </w:tc>
              <w:tc>
                <w:tcPr>
                  <w:tcW w:w="3166" w:type="pct"/>
                  <w:tcBorders>
                    <w:tl2br w:val="nil"/>
                    <w:tr2bl w:val="nil"/>
                  </w:tcBorders>
                  <w:noWrap w:val="0"/>
                  <w:vAlign w:val="center"/>
                </w:tcPr>
                <w:p w14:paraId="0B6AE8E4">
                  <w:pPr>
                    <w:widowControl/>
                    <w:jc w:val="left"/>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用于项目工程车辆进出，占地面积</w:t>
                  </w:r>
                  <w:r>
                    <w:rPr>
                      <w:rFonts w:hint="default" w:ascii="Times New Roman" w:hAnsi="Times New Roman" w:eastAsia="宋体" w:cs="Times New Roman"/>
                      <w:color w:val="000000"/>
                      <w:kern w:val="0"/>
                      <w:sz w:val="22"/>
                      <w:szCs w:val="22"/>
                      <w:highlight w:val="none"/>
                      <w:lang w:val="en-US" w:eastAsia="zh-CN" w:bidi="ar"/>
                    </w:rPr>
                    <w:t>525327</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18E92389">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744D384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0" w:hRule="atLeast"/>
                <w:jc w:val="center"/>
              </w:trPr>
              <w:tc>
                <w:tcPr>
                  <w:tcW w:w="530" w:type="pct"/>
                  <w:vMerge w:val="continue"/>
                  <w:tcBorders>
                    <w:tl2br w:val="nil"/>
                    <w:tr2bl w:val="nil"/>
                  </w:tcBorders>
                  <w:noWrap w:val="0"/>
                  <w:vAlign w:val="center"/>
                </w:tcPr>
                <w:p w14:paraId="394B2B63">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562EF281">
                  <w:pPr>
                    <w:pStyle w:val="41"/>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spacing w:val="0"/>
                      <w:sz w:val="21"/>
                      <w:szCs w:val="21"/>
                      <w:highlight w:val="none"/>
                      <w:lang w:val="en-US" w:eastAsia="zh-CN"/>
                    </w:rPr>
                    <w:t>安装场地</w:t>
                  </w:r>
                </w:p>
              </w:tc>
              <w:tc>
                <w:tcPr>
                  <w:tcW w:w="3166" w:type="pct"/>
                  <w:tcBorders>
                    <w:tl2br w:val="nil"/>
                    <w:tr2bl w:val="nil"/>
                  </w:tcBorders>
                  <w:noWrap w:val="0"/>
                  <w:vAlign w:val="center"/>
                </w:tcPr>
                <w:p w14:paraId="7FF083A0">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安装场地占地面积173250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项目建成后拆除并恢复原状</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5465BC3C">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r w14:paraId="4AF64B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737" w:hRule="atLeast"/>
                <w:jc w:val="center"/>
              </w:trPr>
              <w:tc>
                <w:tcPr>
                  <w:tcW w:w="530" w:type="pct"/>
                  <w:vMerge w:val="continue"/>
                  <w:tcBorders>
                    <w:tl2br w:val="nil"/>
                    <w:tr2bl w:val="nil"/>
                  </w:tcBorders>
                  <w:noWrap w:val="0"/>
                  <w:vAlign w:val="center"/>
                </w:tcPr>
                <w:p w14:paraId="2AD1B1CB">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FF"/>
                      <w:sz w:val="21"/>
                      <w:szCs w:val="21"/>
                      <w:highlight w:val="none"/>
                      <w:vertAlign w:val="baseline"/>
                      <w:lang w:val="en-US" w:eastAsia="zh-CN"/>
                    </w:rPr>
                  </w:pPr>
                </w:p>
              </w:tc>
              <w:tc>
                <w:tcPr>
                  <w:tcW w:w="768" w:type="pct"/>
                  <w:tcBorders>
                    <w:tl2br w:val="nil"/>
                    <w:tr2bl w:val="nil"/>
                  </w:tcBorders>
                  <w:noWrap w:val="0"/>
                  <w:vAlign w:val="center"/>
                </w:tcPr>
                <w:p w14:paraId="10BAF83E">
                  <w:pPr>
                    <w:pStyle w:val="41"/>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spacing w:val="0"/>
                      <w:sz w:val="21"/>
                      <w:szCs w:val="21"/>
                      <w:highlight w:val="none"/>
                      <w:lang w:val="en-US" w:eastAsia="zh-CN"/>
                    </w:rPr>
                  </w:pPr>
                  <w:r>
                    <w:rPr>
                      <w:rFonts w:hint="eastAsia" w:ascii="Times New Roman" w:hAnsi="Times New Roman" w:cs="Times New Roman"/>
                      <w:spacing w:val="0"/>
                      <w:sz w:val="21"/>
                      <w:szCs w:val="21"/>
                      <w:highlight w:val="none"/>
                      <w:lang w:val="en-US" w:eastAsia="zh-CN"/>
                    </w:rPr>
                    <w:t>临时施工场地</w:t>
                  </w:r>
                </w:p>
              </w:tc>
              <w:tc>
                <w:tcPr>
                  <w:tcW w:w="3166" w:type="pct"/>
                  <w:tcBorders>
                    <w:tl2br w:val="nil"/>
                    <w:tr2bl w:val="nil"/>
                  </w:tcBorders>
                  <w:noWrap w:val="0"/>
                  <w:vAlign w:val="center"/>
                </w:tcPr>
                <w:p w14:paraId="75E46709">
                  <w:pPr>
                    <w:pStyle w:val="7"/>
                    <w:rPr>
                      <w:rFonts w:hint="default" w:cs="Times New Roman"/>
                      <w:color w:val="000000" w:themeColor="text1"/>
                      <w:sz w:val="21"/>
                      <w:szCs w:val="21"/>
                      <w:highlight w:val="none"/>
                      <w:vertAlign w:val="baseline"/>
                      <w:lang w:val="en-US" w:eastAsia="zh-CN"/>
                      <w14:textFill>
                        <w14:solidFill>
                          <w14:schemeClr w14:val="tx1"/>
                        </w14:solidFill>
                      </w14:textFill>
                    </w:rPr>
                  </w:pPr>
                  <w:r>
                    <w:rPr>
                      <w:rFonts w:hint="eastAsia" w:cs="Times New Roman"/>
                      <w:color w:val="000000" w:themeColor="text1"/>
                      <w:sz w:val="21"/>
                      <w:szCs w:val="21"/>
                      <w:highlight w:val="none"/>
                      <w:vertAlign w:val="baseline"/>
                      <w:lang w:val="en-US" w:eastAsia="zh-CN"/>
                      <w14:textFill>
                        <w14:solidFill>
                          <w14:schemeClr w14:val="tx1"/>
                        </w14:solidFill>
                      </w14:textFill>
                    </w:rPr>
                    <w:t>项目</w:t>
                  </w:r>
                  <w:r>
                    <w:rPr>
                      <w:rFonts w:hint="eastAsia"/>
                      <w:highlight w:val="none"/>
                      <w:lang w:val="en-US" w:eastAsia="zh-CN"/>
                    </w:rPr>
                    <w:t>施工营地、材料堆放场</w:t>
                  </w:r>
                  <w:r>
                    <w:rPr>
                      <w:rFonts w:hint="eastAsia" w:cs="Times New Roman"/>
                      <w:color w:val="000000" w:themeColor="text1"/>
                      <w:sz w:val="21"/>
                      <w:szCs w:val="21"/>
                      <w:highlight w:val="none"/>
                      <w:vertAlign w:val="baseline"/>
                      <w:lang w:val="en-US" w:eastAsia="zh-CN"/>
                      <w14:textFill>
                        <w14:solidFill>
                          <w14:schemeClr w14:val="tx1"/>
                        </w14:solidFill>
                      </w14:textFill>
                    </w:rPr>
                    <w:t>地，占地面积9100m</w:t>
                  </w:r>
                  <w:r>
                    <w:rPr>
                      <w:rFonts w:hint="eastAsia" w:cs="Times New Roman"/>
                      <w:color w:val="000000" w:themeColor="text1"/>
                      <w:sz w:val="21"/>
                      <w:szCs w:val="21"/>
                      <w:highlight w:val="none"/>
                      <w:vertAlign w:val="superscript"/>
                      <w:lang w:val="en-US" w:eastAsia="zh-CN"/>
                      <w14:textFill>
                        <w14:solidFill>
                          <w14:schemeClr w14:val="tx1"/>
                        </w14:solidFill>
                      </w14:textFill>
                    </w:rPr>
                    <w:t>2</w:t>
                  </w:r>
                  <w:r>
                    <w:rPr>
                      <w:rFonts w:hint="eastAsia" w:cs="Times New Roman"/>
                      <w:color w:val="000000" w:themeColor="text1"/>
                      <w:sz w:val="21"/>
                      <w:szCs w:val="21"/>
                      <w:highlight w:val="none"/>
                      <w:vertAlign w:val="baseline"/>
                      <w:lang w:val="en-US" w:eastAsia="zh-CN"/>
                      <w14:textFill>
                        <w14:solidFill>
                          <w14:schemeClr w14:val="tx1"/>
                        </w14:solidFill>
                      </w14:textFill>
                    </w:rPr>
                    <w:t>。</w:t>
                  </w:r>
                </w:p>
              </w:tc>
              <w:tc>
                <w:tcPr>
                  <w:tcW w:w="534" w:type="pct"/>
                  <w:tcBorders>
                    <w:tl2br w:val="nil"/>
                    <w:tr2bl w:val="nil"/>
                  </w:tcBorders>
                  <w:noWrap w:val="0"/>
                  <w:vAlign w:val="center"/>
                </w:tcPr>
                <w:p w14:paraId="1D53F6F7">
                  <w:pPr>
                    <w:pStyle w:val="12"/>
                    <w:keepNext w:val="0"/>
                    <w:keepLines w:val="0"/>
                    <w:pageBreakBefore w:val="0"/>
                    <w:widowControl w:val="0"/>
                    <w:kinsoku/>
                    <w:wordWrap/>
                    <w:overflowPunct/>
                    <w:topLinePunct w:val="0"/>
                    <w:autoSpaceDE/>
                    <w:autoSpaceDN/>
                    <w:bidi w:val="0"/>
                    <w:adjustRightInd/>
                    <w:snapToGrid/>
                    <w:spacing w:before="0" w:after="0" w:line="360" w:lineRule="exact"/>
                    <w:ind w:left="0" w:leftChars="0" w:firstLine="0" w:firstLineChars="0"/>
                    <w:jc w:val="center"/>
                    <w:textAlignment w:val="auto"/>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新建</w:t>
                  </w:r>
                </w:p>
              </w:tc>
            </w:tr>
          </w:tbl>
          <w:p w14:paraId="52D7B0A4">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风电场工程特性</w:t>
            </w:r>
          </w:p>
          <w:p w14:paraId="1C7A078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本项目相关工程特性见下表：</w:t>
            </w:r>
          </w:p>
          <w:p w14:paraId="15B98FD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表</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w:t>
            </w:r>
            <w:r>
              <w:rPr>
                <w:rFonts w:hint="eastAsia"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本项目相关工程特性表</w:t>
            </w:r>
          </w:p>
          <w:tbl>
            <w:tblPr>
              <w:tblStyle w:val="25"/>
              <w:tblW w:w="785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22"/>
              <w:gridCol w:w="611"/>
              <w:gridCol w:w="1042"/>
              <w:gridCol w:w="1664"/>
              <w:gridCol w:w="1459"/>
              <w:gridCol w:w="1831"/>
              <w:gridCol w:w="623"/>
            </w:tblGrid>
            <w:tr w14:paraId="7B58604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3939" w:type="dxa"/>
                  <w:gridSpan w:val="4"/>
                  <w:tcBorders>
                    <w:tl2br w:val="nil"/>
                    <w:tr2bl w:val="nil"/>
                  </w:tcBorders>
                  <w:shd w:val="clear" w:color="auto" w:fill="auto"/>
                  <w:vAlign w:val="center"/>
                </w:tcPr>
                <w:p w14:paraId="50D9853E">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名称</w:t>
                  </w:r>
                </w:p>
              </w:tc>
              <w:tc>
                <w:tcPr>
                  <w:tcW w:w="1459" w:type="dxa"/>
                  <w:tcBorders>
                    <w:tl2br w:val="nil"/>
                    <w:tr2bl w:val="nil"/>
                  </w:tcBorders>
                  <w:shd w:val="clear" w:color="auto" w:fill="auto"/>
                  <w:vAlign w:val="center"/>
                </w:tcPr>
                <w:p w14:paraId="782E7619">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单位（型号）</w:t>
                  </w:r>
                </w:p>
              </w:tc>
              <w:tc>
                <w:tcPr>
                  <w:tcW w:w="1831" w:type="dxa"/>
                  <w:tcBorders>
                    <w:tl2br w:val="nil"/>
                    <w:tr2bl w:val="nil"/>
                  </w:tcBorders>
                  <w:shd w:val="clear" w:color="auto" w:fill="auto"/>
                  <w:vAlign w:val="center"/>
                </w:tcPr>
                <w:p w14:paraId="3CC3D5CB">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数量</w:t>
                  </w:r>
                </w:p>
              </w:tc>
              <w:tc>
                <w:tcPr>
                  <w:tcW w:w="623" w:type="dxa"/>
                  <w:tcBorders>
                    <w:tl2br w:val="nil"/>
                    <w:tr2bl w:val="nil"/>
                  </w:tcBorders>
                  <w:shd w:val="clear" w:color="auto" w:fill="auto"/>
                  <w:vAlign w:val="center"/>
                </w:tcPr>
                <w:p w14:paraId="5F878B39">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备注</w:t>
                  </w:r>
                </w:p>
              </w:tc>
            </w:tr>
            <w:tr w14:paraId="6F9A891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restart"/>
                  <w:tcBorders>
                    <w:tl2br w:val="nil"/>
                    <w:tr2bl w:val="nil"/>
                  </w:tcBorders>
                  <w:shd w:val="clear" w:color="auto" w:fill="auto"/>
                  <w:vAlign w:val="center"/>
                </w:tcPr>
                <w:p w14:paraId="6B0AAA94">
                  <w:pPr>
                    <w:pStyle w:val="41"/>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0"/>
                      <w:sz w:val="21"/>
                      <w:szCs w:val="21"/>
                      <w:highlight w:val="none"/>
                    </w:rPr>
                    <w:t>风电</w:t>
                  </w:r>
                </w:p>
                <w:p w14:paraId="31D71F48">
                  <w:pPr>
                    <w:pStyle w:val="41"/>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pacing w:val="0"/>
                      <w:sz w:val="21"/>
                      <w:szCs w:val="21"/>
                      <w:highlight w:val="none"/>
                    </w:rPr>
                    <w:t>场场</w:t>
                  </w:r>
                </w:p>
                <w:p w14:paraId="157876A5">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rPr>
                    <w:t>址</w:t>
                  </w:r>
                </w:p>
              </w:tc>
              <w:tc>
                <w:tcPr>
                  <w:tcW w:w="3317" w:type="dxa"/>
                  <w:gridSpan w:val="3"/>
                  <w:tcBorders>
                    <w:tl2br w:val="nil"/>
                    <w:tr2bl w:val="nil"/>
                  </w:tcBorders>
                  <w:shd w:val="clear" w:color="auto" w:fill="auto"/>
                  <w:vAlign w:val="center"/>
                </w:tcPr>
                <w:p w14:paraId="0C787BE3">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海拔高度</w:t>
                  </w:r>
                </w:p>
              </w:tc>
              <w:tc>
                <w:tcPr>
                  <w:tcW w:w="1459" w:type="dxa"/>
                  <w:tcBorders>
                    <w:tl2br w:val="nil"/>
                    <w:tr2bl w:val="nil"/>
                  </w:tcBorders>
                  <w:shd w:val="clear" w:color="auto" w:fill="auto"/>
                  <w:vAlign w:val="center"/>
                </w:tcPr>
                <w:p w14:paraId="612173D4">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w:t>
                  </w:r>
                </w:p>
              </w:tc>
              <w:tc>
                <w:tcPr>
                  <w:tcW w:w="1831" w:type="dxa"/>
                  <w:tcBorders>
                    <w:tl2br w:val="nil"/>
                    <w:tr2bl w:val="nil"/>
                  </w:tcBorders>
                  <w:shd w:val="clear" w:color="auto" w:fill="auto"/>
                  <w:vAlign w:val="center"/>
                </w:tcPr>
                <w:p w14:paraId="4E956C47">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cs="Times New Roman"/>
                      <w:spacing w:val="0"/>
                      <w:kern w:val="2"/>
                      <w:sz w:val="21"/>
                      <w:szCs w:val="21"/>
                      <w:highlight w:val="none"/>
                      <w:lang w:val="en-US" w:eastAsia="zh-CN" w:bidi="ar-SA"/>
                    </w:rPr>
                    <w:t>1580</w:t>
                  </w:r>
                  <w:r>
                    <w:rPr>
                      <w:rFonts w:hint="default" w:ascii="Times New Roman" w:hAnsi="Times New Roman" w:eastAsia="宋体" w:cs="Times New Roman"/>
                      <w:spacing w:val="0"/>
                      <w:kern w:val="2"/>
                      <w:sz w:val="21"/>
                      <w:szCs w:val="21"/>
                      <w:highlight w:val="none"/>
                      <w:lang w:val="en-US" w:eastAsia="zh-CN" w:bidi="ar-SA"/>
                    </w:rPr>
                    <w:t>~</w:t>
                  </w:r>
                  <w:r>
                    <w:rPr>
                      <w:rFonts w:hint="eastAsia" w:ascii="Times New Roman" w:hAnsi="Times New Roman" w:cs="Times New Roman"/>
                      <w:spacing w:val="0"/>
                      <w:kern w:val="2"/>
                      <w:sz w:val="21"/>
                      <w:szCs w:val="21"/>
                      <w:highlight w:val="none"/>
                      <w:lang w:val="en-US" w:eastAsia="zh-CN" w:bidi="ar-SA"/>
                    </w:rPr>
                    <w:t>1680</w:t>
                  </w:r>
                </w:p>
              </w:tc>
              <w:tc>
                <w:tcPr>
                  <w:tcW w:w="623" w:type="dxa"/>
                  <w:tcBorders>
                    <w:tl2br w:val="nil"/>
                    <w:tr2bl w:val="nil"/>
                  </w:tcBorders>
                  <w:shd w:val="clear" w:color="auto" w:fill="auto"/>
                  <w:vAlign w:val="center"/>
                </w:tcPr>
                <w:p w14:paraId="42308094">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p>
              </w:tc>
            </w:tr>
            <w:tr w14:paraId="5313A0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334A841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76EAA981">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年平均风速（轮毂高度）</w:t>
                  </w:r>
                </w:p>
              </w:tc>
              <w:tc>
                <w:tcPr>
                  <w:tcW w:w="1459" w:type="dxa"/>
                  <w:tcBorders>
                    <w:tl2br w:val="nil"/>
                    <w:tr2bl w:val="nil"/>
                  </w:tcBorders>
                  <w:shd w:val="clear" w:color="auto" w:fill="auto"/>
                  <w:vAlign w:val="center"/>
                </w:tcPr>
                <w:p w14:paraId="6C993AD2">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m/s</w:t>
                  </w:r>
                </w:p>
              </w:tc>
              <w:tc>
                <w:tcPr>
                  <w:tcW w:w="1831" w:type="dxa"/>
                  <w:tcBorders>
                    <w:tl2br w:val="nil"/>
                    <w:tr2bl w:val="nil"/>
                  </w:tcBorders>
                  <w:shd w:val="clear" w:color="auto" w:fill="auto"/>
                  <w:vAlign w:val="center"/>
                </w:tcPr>
                <w:p w14:paraId="1E23C95C">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8.089.53</w:t>
                  </w:r>
                </w:p>
              </w:tc>
              <w:tc>
                <w:tcPr>
                  <w:tcW w:w="623" w:type="dxa"/>
                  <w:tcBorders>
                    <w:tl2br w:val="nil"/>
                    <w:tr2bl w:val="nil"/>
                  </w:tcBorders>
                  <w:shd w:val="clear" w:color="auto" w:fill="auto"/>
                  <w:vAlign w:val="center"/>
                </w:tcPr>
                <w:p w14:paraId="37AB5F73">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p>
              </w:tc>
            </w:tr>
            <w:tr w14:paraId="12B9CB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5F1B919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06A0D35A">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风功率密度（轮毂高度）</w:t>
                  </w:r>
                </w:p>
              </w:tc>
              <w:tc>
                <w:tcPr>
                  <w:tcW w:w="1459" w:type="dxa"/>
                  <w:tcBorders>
                    <w:tl2br w:val="nil"/>
                    <w:tr2bl w:val="nil"/>
                  </w:tcBorders>
                  <w:shd w:val="clear" w:color="auto" w:fill="auto"/>
                  <w:vAlign w:val="center"/>
                </w:tcPr>
                <w:p w14:paraId="3E355C24">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pacing w:val="0"/>
                      <w:position w:val="0"/>
                      <w:sz w:val="21"/>
                      <w:szCs w:val="21"/>
                      <w:highlight w:val="none"/>
                    </w:rPr>
                    <w:t>W/</w:t>
                  </w:r>
                  <w:r>
                    <w:rPr>
                      <w:rFonts w:hint="default" w:ascii="Times New Roman" w:hAnsi="Times New Roman" w:eastAsia="宋体" w:cs="Times New Roman"/>
                      <w:spacing w:val="0"/>
                      <w:position w:val="0"/>
                      <w:sz w:val="21"/>
                      <w:szCs w:val="21"/>
                      <w:highlight w:val="none"/>
                      <w:lang w:val="en-US" w:eastAsia="zh-CN"/>
                    </w:rPr>
                    <w:t>m</w:t>
                  </w:r>
                  <w:r>
                    <w:rPr>
                      <w:rFonts w:hint="default" w:ascii="Times New Roman" w:hAnsi="Times New Roman" w:eastAsia="宋体" w:cs="Times New Roman"/>
                      <w:spacing w:val="0"/>
                      <w:position w:val="0"/>
                      <w:sz w:val="21"/>
                      <w:szCs w:val="21"/>
                      <w:highlight w:val="none"/>
                      <w:vertAlign w:val="superscript"/>
                      <w:lang w:val="en-US" w:eastAsia="zh-CN"/>
                    </w:rPr>
                    <w:t>2</w:t>
                  </w:r>
                </w:p>
              </w:tc>
              <w:tc>
                <w:tcPr>
                  <w:tcW w:w="1831" w:type="dxa"/>
                  <w:tcBorders>
                    <w:tl2br w:val="nil"/>
                    <w:tr2bl w:val="nil"/>
                  </w:tcBorders>
                  <w:shd w:val="clear" w:color="auto" w:fill="auto"/>
                  <w:vAlign w:val="center"/>
                </w:tcPr>
                <w:p w14:paraId="059535C9">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562.5</w:t>
                  </w:r>
                  <w:r>
                    <w:rPr>
                      <w:rFonts w:hint="eastAsia" w:ascii="Times New Roman" w:hAnsi="Times New Roman" w:cs="Times New Roman"/>
                      <w:spacing w:val="0"/>
                      <w:sz w:val="21"/>
                      <w:szCs w:val="21"/>
                      <w:highlight w:val="none"/>
                      <w:lang w:val="en-US" w:eastAsia="zh-CN"/>
                    </w:rPr>
                    <w:t>/</w:t>
                  </w:r>
                  <w:r>
                    <w:rPr>
                      <w:rFonts w:hint="eastAsia" w:cs="Times New Roman"/>
                      <w:spacing w:val="0"/>
                      <w:sz w:val="21"/>
                      <w:szCs w:val="21"/>
                      <w:highlight w:val="none"/>
                      <w:lang w:val="en-US" w:eastAsia="zh-CN"/>
                    </w:rPr>
                    <w:t>859</w:t>
                  </w:r>
                </w:p>
              </w:tc>
              <w:tc>
                <w:tcPr>
                  <w:tcW w:w="623" w:type="dxa"/>
                  <w:tcBorders>
                    <w:tl2br w:val="nil"/>
                    <w:tr2bl w:val="nil"/>
                  </w:tcBorders>
                  <w:vAlign w:val="center"/>
                </w:tcPr>
                <w:p w14:paraId="02C6C3B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6FA22F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23" w:hRule="atLeast"/>
                <w:jc w:val="center"/>
              </w:trPr>
              <w:tc>
                <w:tcPr>
                  <w:tcW w:w="622" w:type="dxa"/>
                  <w:vMerge w:val="continue"/>
                  <w:tcBorders>
                    <w:tl2br w:val="nil"/>
                    <w:tr2bl w:val="nil"/>
                  </w:tcBorders>
                  <w:vAlign w:val="center"/>
                </w:tcPr>
                <w:p w14:paraId="722E259D">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17955A9F">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盛行风向</w:t>
                  </w:r>
                </w:p>
              </w:tc>
              <w:tc>
                <w:tcPr>
                  <w:tcW w:w="1459" w:type="dxa"/>
                  <w:tcBorders>
                    <w:tl2br w:val="nil"/>
                    <w:tr2bl w:val="nil"/>
                  </w:tcBorders>
                  <w:shd w:val="clear" w:color="auto" w:fill="auto"/>
                  <w:vAlign w:val="center"/>
                </w:tcPr>
                <w:p w14:paraId="716AA4C8">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cs="Times New Roman"/>
                      <w:snapToGrid w:val="0"/>
                      <w:color w:val="000000"/>
                      <w:kern w:val="0"/>
                      <w:sz w:val="21"/>
                      <w:szCs w:val="21"/>
                      <w:highlight w:val="none"/>
                      <w:lang w:val="en-US" w:eastAsia="zh-CN" w:bidi="ar-SA"/>
                    </w:rPr>
                    <w:t>/</w:t>
                  </w:r>
                </w:p>
              </w:tc>
              <w:tc>
                <w:tcPr>
                  <w:tcW w:w="1831" w:type="dxa"/>
                  <w:tcBorders>
                    <w:tl2br w:val="nil"/>
                    <w:tr2bl w:val="nil"/>
                  </w:tcBorders>
                  <w:shd w:val="clear" w:color="auto" w:fill="auto"/>
                  <w:vAlign w:val="center"/>
                </w:tcPr>
                <w:p w14:paraId="03C42387">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eastAsia" w:ascii="Times New Roman" w:hAnsi="Times New Roman" w:cs="Times New Roman"/>
                      <w:spacing w:val="0"/>
                      <w:sz w:val="21"/>
                      <w:szCs w:val="21"/>
                      <w:highlight w:val="none"/>
                      <w:lang w:val="en-US" w:eastAsia="zh-CN"/>
                    </w:rPr>
                    <w:t>NW</w:t>
                  </w:r>
                  <w:r>
                    <w:rPr>
                      <w:rFonts w:hint="default" w:ascii="Times New Roman" w:hAnsi="Times New Roman" w:eastAsia="宋体" w:cs="Times New Roman"/>
                      <w:spacing w:val="0"/>
                      <w:sz w:val="21"/>
                      <w:szCs w:val="21"/>
                      <w:highlight w:val="none"/>
                    </w:rPr>
                    <w:t>、</w:t>
                  </w:r>
                  <w:r>
                    <w:rPr>
                      <w:rFonts w:hint="eastAsia" w:ascii="Times New Roman" w:hAnsi="Times New Roman" w:cs="Times New Roman"/>
                      <w:sz w:val="21"/>
                      <w:szCs w:val="21"/>
                      <w:highlight w:val="none"/>
                      <w:lang w:val="en-US" w:eastAsia="zh-CN"/>
                    </w:rPr>
                    <w:t>N</w:t>
                  </w:r>
                  <w:r>
                    <w:rPr>
                      <w:rFonts w:hint="default" w:ascii="Times New Roman" w:hAnsi="Times New Roman" w:eastAsia="宋体" w:cs="Times New Roman"/>
                      <w:sz w:val="21"/>
                      <w:szCs w:val="21"/>
                      <w:highlight w:val="none"/>
                    </w:rPr>
                    <w:t>NW</w:t>
                  </w:r>
                </w:p>
              </w:tc>
              <w:tc>
                <w:tcPr>
                  <w:tcW w:w="623" w:type="dxa"/>
                  <w:tcBorders>
                    <w:tl2br w:val="nil"/>
                    <w:tr2bl w:val="nil"/>
                  </w:tcBorders>
                  <w:shd w:val="clear" w:color="auto" w:fill="auto"/>
                  <w:vAlign w:val="center"/>
                </w:tcPr>
                <w:p w14:paraId="0215A62D">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p>
              </w:tc>
            </w:tr>
            <w:tr w14:paraId="0C8702F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restart"/>
                  <w:tcBorders>
                    <w:tl2br w:val="nil"/>
                    <w:tr2bl w:val="nil"/>
                  </w:tcBorders>
                  <w:shd w:val="clear" w:color="auto" w:fill="auto"/>
                  <w:vAlign w:val="center"/>
                </w:tcPr>
                <w:p w14:paraId="656899B8">
                  <w:pPr>
                    <w:pStyle w:val="41"/>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rPr>
                    <w:t>主要</w:t>
                  </w:r>
                </w:p>
                <w:p w14:paraId="1A30AFD4">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rPr>
                    <w:t>设备</w:t>
                  </w:r>
                </w:p>
                <w:p w14:paraId="4081B02D">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restart"/>
                  <w:tcBorders>
                    <w:tl2br w:val="nil"/>
                    <w:tr2bl w:val="nil"/>
                  </w:tcBorders>
                  <w:shd w:val="clear" w:color="auto" w:fill="auto"/>
                  <w:vAlign w:val="center"/>
                </w:tcPr>
                <w:p w14:paraId="37823C27">
                  <w:pPr>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风电场主要机电设备</w:t>
                  </w:r>
                </w:p>
                <w:p w14:paraId="2780299B">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p>
              </w:tc>
              <w:tc>
                <w:tcPr>
                  <w:tcW w:w="1042" w:type="dxa"/>
                  <w:vMerge w:val="restart"/>
                  <w:tcBorders>
                    <w:tl2br w:val="nil"/>
                    <w:tr2bl w:val="nil"/>
                  </w:tcBorders>
                  <w:shd w:val="clear" w:color="auto" w:fill="auto"/>
                  <w:vAlign w:val="center"/>
                </w:tcPr>
                <w:p w14:paraId="2ED87303">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风力发电机组</w:t>
                  </w:r>
                </w:p>
              </w:tc>
              <w:tc>
                <w:tcPr>
                  <w:tcW w:w="1664" w:type="dxa"/>
                  <w:tcBorders>
                    <w:tl2br w:val="nil"/>
                    <w:tr2bl w:val="nil"/>
                  </w:tcBorders>
                  <w:shd w:val="clear" w:color="auto" w:fill="auto"/>
                  <w:vAlign w:val="center"/>
                </w:tcPr>
                <w:p w14:paraId="11EA643D">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台数</w:t>
                  </w:r>
                </w:p>
              </w:tc>
              <w:tc>
                <w:tcPr>
                  <w:tcW w:w="1459" w:type="dxa"/>
                  <w:tcBorders>
                    <w:tl2br w:val="nil"/>
                    <w:tr2bl w:val="nil"/>
                  </w:tcBorders>
                  <w:shd w:val="clear" w:color="auto" w:fill="auto"/>
                  <w:vAlign w:val="center"/>
                </w:tcPr>
                <w:p w14:paraId="5DF9EAC7">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台</w:t>
                  </w:r>
                </w:p>
              </w:tc>
              <w:tc>
                <w:tcPr>
                  <w:tcW w:w="1831" w:type="dxa"/>
                  <w:tcBorders>
                    <w:tl2br w:val="nil"/>
                    <w:tr2bl w:val="nil"/>
                  </w:tcBorders>
                  <w:shd w:val="clear" w:color="auto" w:fill="auto"/>
                  <w:vAlign w:val="center"/>
                </w:tcPr>
                <w:p w14:paraId="38E885DF">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42</w:t>
                  </w:r>
                </w:p>
              </w:tc>
              <w:tc>
                <w:tcPr>
                  <w:tcW w:w="623" w:type="dxa"/>
                  <w:tcBorders>
                    <w:tl2br w:val="nil"/>
                    <w:tr2bl w:val="nil"/>
                  </w:tcBorders>
                  <w:vAlign w:val="center"/>
                </w:tcPr>
                <w:p w14:paraId="50142B4D">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29C36B8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51AB5D8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648B9940">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62EB2B28">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381FF88F">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额定功率</w:t>
                  </w:r>
                </w:p>
              </w:tc>
              <w:tc>
                <w:tcPr>
                  <w:tcW w:w="1459" w:type="dxa"/>
                  <w:tcBorders>
                    <w:tl2br w:val="nil"/>
                    <w:tr2bl w:val="nil"/>
                  </w:tcBorders>
                  <w:shd w:val="clear" w:color="auto" w:fill="auto"/>
                  <w:vAlign w:val="center"/>
                </w:tcPr>
                <w:p w14:paraId="705BDE5C">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kW</w:t>
                  </w:r>
                </w:p>
              </w:tc>
              <w:tc>
                <w:tcPr>
                  <w:tcW w:w="1831" w:type="dxa"/>
                  <w:tcBorders>
                    <w:tl2br w:val="nil"/>
                    <w:tr2bl w:val="nil"/>
                  </w:tcBorders>
                  <w:shd w:val="clear" w:color="auto" w:fill="auto"/>
                  <w:vAlign w:val="center"/>
                </w:tcPr>
                <w:p w14:paraId="0E3595B9">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10000</w:t>
                  </w:r>
                </w:p>
              </w:tc>
              <w:tc>
                <w:tcPr>
                  <w:tcW w:w="623" w:type="dxa"/>
                  <w:tcBorders>
                    <w:tl2br w:val="nil"/>
                    <w:tr2bl w:val="nil"/>
                  </w:tcBorders>
                  <w:vAlign w:val="center"/>
                </w:tcPr>
                <w:p w14:paraId="3834F48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30C4DF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16AD76E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66E988C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1F7F4F8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02E88550">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叶片数</w:t>
                  </w:r>
                </w:p>
              </w:tc>
              <w:tc>
                <w:tcPr>
                  <w:tcW w:w="1459" w:type="dxa"/>
                  <w:tcBorders>
                    <w:tl2br w:val="nil"/>
                    <w:tr2bl w:val="nil"/>
                  </w:tcBorders>
                  <w:shd w:val="clear" w:color="auto" w:fill="auto"/>
                  <w:vAlign w:val="center"/>
                </w:tcPr>
                <w:p w14:paraId="6149AC24">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片</w:t>
                  </w:r>
                </w:p>
              </w:tc>
              <w:tc>
                <w:tcPr>
                  <w:tcW w:w="1831" w:type="dxa"/>
                  <w:tcBorders>
                    <w:tl2br w:val="nil"/>
                    <w:tr2bl w:val="nil"/>
                  </w:tcBorders>
                  <w:shd w:val="clear" w:color="auto" w:fill="auto"/>
                  <w:vAlign w:val="center"/>
                </w:tcPr>
                <w:p w14:paraId="5D8A87DB">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3</w:t>
                  </w:r>
                </w:p>
              </w:tc>
              <w:tc>
                <w:tcPr>
                  <w:tcW w:w="623" w:type="dxa"/>
                  <w:tcBorders>
                    <w:tl2br w:val="nil"/>
                    <w:tr2bl w:val="nil"/>
                  </w:tcBorders>
                  <w:vAlign w:val="center"/>
                </w:tcPr>
                <w:p w14:paraId="1603E53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6665B3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3812BC6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154078F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535D7B3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5ADC6EC1">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风轮直径</w:t>
                  </w:r>
                </w:p>
              </w:tc>
              <w:tc>
                <w:tcPr>
                  <w:tcW w:w="1459" w:type="dxa"/>
                  <w:tcBorders>
                    <w:tl2br w:val="nil"/>
                    <w:tr2bl w:val="nil"/>
                  </w:tcBorders>
                  <w:shd w:val="clear" w:color="auto" w:fill="auto"/>
                  <w:vAlign w:val="center"/>
                </w:tcPr>
                <w:p w14:paraId="30C1A40B">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w:t>
                  </w:r>
                </w:p>
              </w:tc>
              <w:tc>
                <w:tcPr>
                  <w:tcW w:w="1831" w:type="dxa"/>
                  <w:tcBorders>
                    <w:tl2br w:val="nil"/>
                    <w:tr2bl w:val="nil"/>
                  </w:tcBorders>
                  <w:shd w:val="clear" w:color="auto" w:fill="auto"/>
                  <w:vAlign w:val="center"/>
                </w:tcPr>
                <w:p w14:paraId="733EC341">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cs="Times New Roman"/>
                      <w:spacing w:val="0"/>
                      <w:sz w:val="21"/>
                      <w:szCs w:val="21"/>
                      <w:highlight w:val="none"/>
                      <w:lang w:val="en-US" w:eastAsia="zh-CN"/>
                    </w:rPr>
                    <w:t>2</w:t>
                  </w:r>
                  <w:r>
                    <w:rPr>
                      <w:rFonts w:hint="eastAsia" w:cs="Times New Roman"/>
                      <w:spacing w:val="0"/>
                      <w:sz w:val="21"/>
                      <w:szCs w:val="21"/>
                      <w:highlight w:val="none"/>
                      <w:lang w:val="en-US" w:eastAsia="zh-CN"/>
                    </w:rPr>
                    <w:t>3</w:t>
                  </w:r>
                  <w:r>
                    <w:rPr>
                      <w:rFonts w:hint="default" w:ascii="Times New Roman" w:hAnsi="Times New Roman" w:cs="Times New Roman"/>
                      <w:spacing w:val="0"/>
                      <w:sz w:val="21"/>
                      <w:szCs w:val="21"/>
                      <w:highlight w:val="none"/>
                      <w:lang w:val="en-US" w:eastAsia="zh-CN"/>
                    </w:rPr>
                    <w:t>0</w:t>
                  </w:r>
                </w:p>
              </w:tc>
              <w:tc>
                <w:tcPr>
                  <w:tcW w:w="623" w:type="dxa"/>
                  <w:tcBorders>
                    <w:tl2br w:val="nil"/>
                    <w:tr2bl w:val="nil"/>
                  </w:tcBorders>
                  <w:vAlign w:val="center"/>
                </w:tcPr>
                <w:p w14:paraId="03407080">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2340FF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0045E9AE">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1C4B30EB">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3C6D829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1E791A40">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风轮扫掠面积</w:t>
                  </w:r>
                </w:p>
              </w:tc>
              <w:tc>
                <w:tcPr>
                  <w:tcW w:w="1459" w:type="dxa"/>
                  <w:tcBorders>
                    <w:tl2br w:val="nil"/>
                    <w:tr2bl w:val="nil"/>
                  </w:tcBorders>
                  <w:shd w:val="clear" w:color="auto" w:fill="auto"/>
                  <w:vAlign w:val="center"/>
                </w:tcPr>
                <w:p w14:paraId="425ABD45">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pacing w:val="0"/>
                      <w:position w:val="0"/>
                      <w:sz w:val="21"/>
                      <w:szCs w:val="21"/>
                      <w:highlight w:val="none"/>
                      <w:lang w:val="en-US" w:eastAsia="zh-CN"/>
                    </w:rPr>
                    <w:t>m</w:t>
                  </w:r>
                  <w:r>
                    <w:rPr>
                      <w:rFonts w:hint="default" w:ascii="Times New Roman" w:hAnsi="Times New Roman" w:eastAsia="宋体" w:cs="Times New Roman"/>
                      <w:spacing w:val="0"/>
                      <w:position w:val="0"/>
                      <w:sz w:val="21"/>
                      <w:szCs w:val="21"/>
                      <w:highlight w:val="none"/>
                      <w:vertAlign w:val="superscript"/>
                      <w:lang w:val="en-US" w:eastAsia="zh-CN"/>
                    </w:rPr>
                    <w:t>2</w:t>
                  </w:r>
                </w:p>
              </w:tc>
              <w:tc>
                <w:tcPr>
                  <w:tcW w:w="1831" w:type="dxa"/>
                  <w:tcBorders>
                    <w:tl2br w:val="nil"/>
                    <w:tr2bl w:val="nil"/>
                  </w:tcBorders>
                  <w:shd w:val="clear" w:color="auto" w:fill="auto"/>
                  <w:vAlign w:val="center"/>
                </w:tcPr>
                <w:p w14:paraId="71AE3ACF">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41526.5</w:t>
                  </w:r>
                </w:p>
              </w:tc>
              <w:tc>
                <w:tcPr>
                  <w:tcW w:w="623" w:type="dxa"/>
                  <w:tcBorders>
                    <w:tl2br w:val="nil"/>
                    <w:tr2bl w:val="nil"/>
                  </w:tcBorders>
                  <w:vAlign w:val="center"/>
                </w:tcPr>
                <w:p w14:paraId="64B99C26">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11D4FE0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2AC3C86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70EE8179">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01BD2A3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4DB3C81C">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切入风速</w:t>
                  </w:r>
                </w:p>
              </w:tc>
              <w:tc>
                <w:tcPr>
                  <w:tcW w:w="1459" w:type="dxa"/>
                  <w:tcBorders>
                    <w:tl2br w:val="nil"/>
                    <w:tr2bl w:val="nil"/>
                  </w:tcBorders>
                  <w:shd w:val="clear" w:color="auto" w:fill="auto"/>
                  <w:vAlign w:val="center"/>
                </w:tcPr>
                <w:p w14:paraId="5683E9FF">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m/s</w:t>
                  </w:r>
                </w:p>
              </w:tc>
              <w:tc>
                <w:tcPr>
                  <w:tcW w:w="1831" w:type="dxa"/>
                  <w:tcBorders>
                    <w:tl2br w:val="nil"/>
                    <w:tr2bl w:val="nil"/>
                  </w:tcBorders>
                  <w:shd w:val="clear" w:color="auto" w:fill="auto"/>
                  <w:vAlign w:val="center"/>
                </w:tcPr>
                <w:p w14:paraId="53F8D627">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3</w:t>
                  </w:r>
                </w:p>
              </w:tc>
              <w:tc>
                <w:tcPr>
                  <w:tcW w:w="623" w:type="dxa"/>
                  <w:tcBorders>
                    <w:tl2br w:val="nil"/>
                    <w:tr2bl w:val="nil"/>
                  </w:tcBorders>
                  <w:vAlign w:val="center"/>
                </w:tcPr>
                <w:p w14:paraId="4C585AC0">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41EAC02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2D0A1D33">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7215960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7BD800AE">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0AAE5058">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额定风速</w:t>
                  </w:r>
                </w:p>
              </w:tc>
              <w:tc>
                <w:tcPr>
                  <w:tcW w:w="1459" w:type="dxa"/>
                  <w:tcBorders>
                    <w:tl2br w:val="nil"/>
                    <w:tr2bl w:val="nil"/>
                  </w:tcBorders>
                  <w:shd w:val="clear" w:color="auto" w:fill="auto"/>
                  <w:vAlign w:val="center"/>
                </w:tcPr>
                <w:p w14:paraId="4F75D13B">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m/s</w:t>
                  </w:r>
                </w:p>
              </w:tc>
              <w:tc>
                <w:tcPr>
                  <w:tcW w:w="1831" w:type="dxa"/>
                  <w:tcBorders>
                    <w:tl2br w:val="nil"/>
                    <w:tr2bl w:val="nil"/>
                  </w:tcBorders>
                  <w:shd w:val="clear" w:color="auto" w:fill="auto"/>
                  <w:vAlign w:val="center"/>
                </w:tcPr>
                <w:p w14:paraId="0224D7FA">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w:t>
                  </w:r>
                </w:p>
              </w:tc>
              <w:tc>
                <w:tcPr>
                  <w:tcW w:w="623" w:type="dxa"/>
                  <w:tcBorders>
                    <w:tl2br w:val="nil"/>
                    <w:tr2bl w:val="nil"/>
                  </w:tcBorders>
                  <w:vAlign w:val="center"/>
                </w:tcPr>
                <w:p w14:paraId="3594146A">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64FCA2A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56B2D80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196C4D71">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5F12954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5981CB92">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切出风速</w:t>
                  </w:r>
                </w:p>
              </w:tc>
              <w:tc>
                <w:tcPr>
                  <w:tcW w:w="1459" w:type="dxa"/>
                  <w:tcBorders>
                    <w:tl2br w:val="nil"/>
                    <w:tr2bl w:val="nil"/>
                  </w:tcBorders>
                  <w:shd w:val="clear" w:color="auto" w:fill="auto"/>
                  <w:vAlign w:val="center"/>
                </w:tcPr>
                <w:p w14:paraId="52C7A249">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m/s</w:t>
                  </w:r>
                </w:p>
              </w:tc>
              <w:tc>
                <w:tcPr>
                  <w:tcW w:w="1831" w:type="dxa"/>
                  <w:tcBorders>
                    <w:tl2br w:val="nil"/>
                    <w:tr2bl w:val="nil"/>
                  </w:tcBorders>
                  <w:shd w:val="clear" w:color="auto" w:fill="auto"/>
                  <w:vAlign w:val="center"/>
                </w:tcPr>
                <w:p w14:paraId="3F918F8E">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ascii="Times New Roman" w:hAnsi="Times New Roman" w:cs="Times New Roman"/>
                      <w:spacing w:val="0"/>
                      <w:sz w:val="21"/>
                      <w:szCs w:val="21"/>
                      <w:highlight w:val="none"/>
                      <w:lang w:val="en-US" w:eastAsia="zh-CN"/>
                    </w:rPr>
                    <w:t>25</w:t>
                  </w:r>
                </w:p>
              </w:tc>
              <w:tc>
                <w:tcPr>
                  <w:tcW w:w="623" w:type="dxa"/>
                  <w:tcBorders>
                    <w:tl2br w:val="nil"/>
                    <w:tr2bl w:val="nil"/>
                  </w:tcBorders>
                  <w:vAlign w:val="center"/>
                </w:tcPr>
                <w:p w14:paraId="43F95B2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347113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7ED0B77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35AAC40A">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59936BBA">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11FEE36A">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eastAsia" w:ascii="Times New Roman" w:hAnsi="Times New Roman" w:cs="Times New Roman"/>
                      <w:spacing w:val="0"/>
                      <w:sz w:val="21"/>
                      <w:szCs w:val="21"/>
                      <w:highlight w:val="none"/>
                      <w:lang w:eastAsia="zh-CN"/>
                    </w:rPr>
                    <w:t>安全</w:t>
                  </w:r>
                  <w:r>
                    <w:rPr>
                      <w:rFonts w:hint="default" w:ascii="Times New Roman" w:hAnsi="Times New Roman" w:eastAsia="宋体" w:cs="Times New Roman"/>
                      <w:spacing w:val="0"/>
                      <w:sz w:val="21"/>
                      <w:szCs w:val="21"/>
                      <w:highlight w:val="none"/>
                    </w:rPr>
                    <w:t>风速</w:t>
                  </w:r>
                </w:p>
              </w:tc>
              <w:tc>
                <w:tcPr>
                  <w:tcW w:w="1459" w:type="dxa"/>
                  <w:tcBorders>
                    <w:tl2br w:val="nil"/>
                    <w:tr2bl w:val="nil"/>
                  </w:tcBorders>
                  <w:shd w:val="clear" w:color="auto" w:fill="auto"/>
                  <w:vAlign w:val="center"/>
                </w:tcPr>
                <w:p w14:paraId="4CD42189">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m/s</w:t>
                  </w:r>
                </w:p>
              </w:tc>
              <w:tc>
                <w:tcPr>
                  <w:tcW w:w="1831" w:type="dxa"/>
                  <w:tcBorders>
                    <w:tl2br w:val="nil"/>
                    <w:tr2bl w:val="nil"/>
                  </w:tcBorders>
                  <w:shd w:val="clear" w:color="auto" w:fill="auto"/>
                  <w:vAlign w:val="center"/>
                </w:tcPr>
                <w:p w14:paraId="24AA46D1">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52.5</w:t>
                  </w:r>
                </w:p>
              </w:tc>
              <w:tc>
                <w:tcPr>
                  <w:tcW w:w="623" w:type="dxa"/>
                  <w:tcBorders>
                    <w:tl2br w:val="nil"/>
                    <w:tr2bl w:val="nil"/>
                  </w:tcBorders>
                  <w:vAlign w:val="center"/>
                </w:tcPr>
                <w:p w14:paraId="02642633">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7D0B5A3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2913B37B">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vAlign w:val="center"/>
                </w:tcPr>
                <w:p w14:paraId="534EE17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042" w:type="dxa"/>
                  <w:vMerge w:val="continue"/>
                  <w:tcBorders>
                    <w:tl2br w:val="nil"/>
                    <w:tr2bl w:val="nil"/>
                  </w:tcBorders>
                  <w:vAlign w:val="center"/>
                </w:tcPr>
                <w:p w14:paraId="4696E40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42D07635">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轮毂高度</w:t>
                  </w:r>
                </w:p>
              </w:tc>
              <w:tc>
                <w:tcPr>
                  <w:tcW w:w="1459" w:type="dxa"/>
                  <w:tcBorders>
                    <w:tl2br w:val="nil"/>
                    <w:tr2bl w:val="nil"/>
                  </w:tcBorders>
                  <w:shd w:val="clear" w:color="auto" w:fill="auto"/>
                  <w:vAlign w:val="center"/>
                </w:tcPr>
                <w:p w14:paraId="4C4E8862">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w:t>
                  </w:r>
                </w:p>
              </w:tc>
              <w:tc>
                <w:tcPr>
                  <w:tcW w:w="1831" w:type="dxa"/>
                  <w:tcBorders>
                    <w:tl2br w:val="nil"/>
                    <w:tr2bl w:val="nil"/>
                  </w:tcBorders>
                  <w:shd w:val="clear" w:color="auto" w:fill="auto"/>
                  <w:vAlign w:val="center"/>
                </w:tcPr>
                <w:p w14:paraId="0FDF47F7">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130</w:t>
                  </w:r>
                </w:p>
              </w:tc>
              <w:tc>
                <w:tcPr>
                  <w:tcW w:w="623" w:type="dxa"/>
                  <w:tcBorders>
                    <w:tl2br w:val="nil"/>
                    <w:tr2bl w:val="nil"/>
                  </w:tcBorders>
                  <w:vAlign w:val="center"/>
                </w:tcPr>
                <w:p w14:paraId="28FDDCD6">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4A15A4B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6634A24E">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611" w:type="dxa"/>
                  <w:vMerge w:val="continue"/>
                  <w:tcBorders>
                    <w:tl2br w:val="nil"/>
                    <w:tr2bl w:val="nil"/>
                  </w:tcBorders>
                  <w:shd w:val="clear" w:color="auto" w:fill="auto"/>
                  <w:vAlign w:val="center"/>
                </w:tcPr>
                <w:p w14:paraId="50D2D6A0">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p>
              </w:tc>
              <w:tc>
                <w:tcPr>
                  <w:tcW w:w="1042" w:type="dxa"/>
                  <w:tcBorders>
                    <w:tl2br w:val="nil"/>
                    <w:tr2bl w:val="nil"/>
                  </w:tcBorders>
                  <w:shd w:val="clear" w:color="auto" w:fill="auto"/>
                  <w:vAlign w:val="center"/>
                </w:tcPr>
                <w:p w14:paraId="43CFE0CA">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主要机电设备</w:t>
                  </w:r>
                </w:p>
              </w:tc>
              <w:tc>
                <w:tcPr>
                  <w:tcW w:w="1664" w:type="dxa"/>
                  <w:tcBorders>
                    <w:tl2br w:val="nil"/>
                    <w:tr2bl w:val="nil"/>
                  </w:tcBorders>
                  <w:shd w:val="clear" w:color="auto" w:fill="auto"/>
                  <w:vAlign w:val="center"/>
                </w:tcPr>
                <w:p w14:paraId="02B371A5">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箱式变电站</w:t>
                  </w:r>
                </w:p>
              </w:tc>
              <w:tc>
                <w:tcPr>
                  <w:tcW w:w="1459" w:type="dxa"/>
                  <w:tcBorders>
                    <w:tl2br w:val="nil"/>
                    <w:tr2bl w:val="nil"/>
                  </w:tcBorders>
                  <w:shd w:val="clear" w:color="auto" w:fill="auto"/>
                  <w:vAlign w:val="center"/>
                </w:tcPr>
                <w:p w14:paraId="2F637557">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z w:val="21"/>
                      <w:szCs w:val="21"/>
                      <w:highlight w:val="none"/>
                    </w:rPr>
                    <w:t>台</w:t>
                  </w:r>
                </w:p>
              </w:tc>
              <w:tc>
                <w:tcPr>
                  <w:tcW w:w="1831" w:type="dxa"/>
                  <w:tcBorders>
                    <w:tl2br w:val="nil"/>
                    <w:tr2bl w:val="nil"/>
                  </w:tcBorders>
                  <w:shd w:val="clear" w:color="auto" w:fill="auto"/>
                  <w:vAlign w:val="center"/>
                </w:tcPr>
                <w:p w14:paraId="19E6176F">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firstLineChars="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42</w:t>
                  </w:r>
                </w:p>
              </w:tc>
              <w:tc>
                <w:tcPr>
                  <w:tcW w:w="623" w:type="dxa"/>
                  <w:tcBorders>
                    <w:tl2br w:val="nil"/>
                    <w:tr2bl w:val="nil"/>
                  </w:tcBorders>
                  <w:vAlign w:val="center"/>
                </w:tcPr>
                <w:p w14:paraId="273EB27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78717F8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restart"/>
                  <w:tcBorders>
                    <w:tl2br w:val="nil"/>
                    <w:tr2bl w:val="nil"/>
                  </w:tcBorders>
                  <w:vAlign w:val="center"/>
                </w:tcPr>
                <w:p w14:paraId="7BBDBEB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土建</w:t>
                  </w:r>
                </w:p>
              </w:tc>
              <w:tc>
                <w:tcPr>
                  <w:tcW w:w="1653" w:type="dxa"/>
                  <w:gridSpan w:val="2"/>
                  <w:vMerge w:val="restart"/>
                  <w:tcBorders>
                    <w:tl2br w:val="nil"/>
                    <w:tr2bl w:val="nil"/>
                  </w:tcBorders>
                  <w:vAlign w:val="center"/>
                </w:tcPr>
                <w:p w14:paraId="2E1844C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风电机组基础</w:t>
                  </w:r>
                </w:p>
              </w:tc>
              <w:tc>
                <w:tcPr>
                  <w:tcW w:w="1664" w:type="dxa"/>
                  <w:tcBorders>
                    <w:tl2br w:val="nil"/>
                    <w:tr2bl w:val="nil"/>
                  </w:tcBorders>
                  <w:vAlign w:val="center"/>
                </w:tcPr>
                <w:p w14:paraId="7EB68CC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台数</w:t>
                  </w:r>
                </w:p>
              </w:tc>
              <w:tc>
                <w:tcPr>
                  <w:tcW w:w="1459" w:type="dxa"/>
                  <w:tcBorders>
                    <w:tl2br w:val="nil"/>
                    <w:tr2bl w:val="nil"/>
                  </w:tcBorders>
                  <w:vAlign w:val="center"/>
                </w:tcPr>
                <w:p w14:paraId="18F9651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rPr>
                    <w:t>台</w:t>
                  </w:r>
                </w:p>
              </w:tc>
              <w:tc>
                <w:tcPr>
                  <w:tcW w:w="1831" w:type="dxa"/>
                  <w:tcBorders>
                    <w:tl2br w:val="nil"/>
                    <w:tr2bl w:val="nil"/>
                  </w:tcBorders>
                  <w:vAlign w:val="center"/>
                </w:tcPr>
                <w:p w14:paraId="5F7DF4E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42</w:t>
                  </w:r>
                </w:p>
              </w:tc>
              <w:tc>
                <w:tcPr>
                  <w:tcW w:w="623" w:type="dxa"/>
                  <w:tcBorders>
                    <w:tl2br w:val="nil"/>
                    <w:tr2bl w:val="nil"/>
                  </w:tcBorders>
                  <w:vAlign w:val="center"/>
                </w:tcPr>
                <w:p w14:paraId="7821BAF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0B318B0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76DF16BD">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53" w:type="dxa"/>
                  <w:gridSpan w:val="2"/>
                  <w:vMerge w:val="continue"/>
                  <w:tcBorders>
                    <w:tl2br w:val="nil"/>
                    <w:tr2bl w:val="nil"/>
                  </w:tcBorders>
                  <w:vAlign w:val="center"/>
                </w:tcPr>
                <w:p w14:paraId="65537CA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vAlign w:val="center"/>
                </w:tcPr>
                <w:p w14:paraId="6DE88A6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型式</w:t>
                  </w:r>
                </w:p>
              </w:tc>
              <w:tc>
                <w:tcPr>
                  <w:tcW w:w="1459" w:type="dxa"/>
                  <w:tcBorders>
                    <w:tl2br w:val="nil"/>
                    <w:tr2bl w:val="nil"/>
                  </w:tcBorders>
                  <w:vAlign w:val="center"/>
                </w:tcPr>
                <w:p w14:paraId="4A13268D">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cs="Times New Roman"/>
                      <w:snapToGrid w:val="0"/>
                      <w:color w:val="000000"/>
                      <w:kern w:val="0"/>
                      <w:sz w:val="21"/>
                      <w:szCs w:val="21"/>
                      <w:highlight w:val="none"/>
                      <w:lang w:val="en-US" w:eastAsia="zh-CN" w:bidi="ar-SA"/>
                    </w:rPr>
                    <w:t>/</w:t>
                  </w:r>
                </w:p>
              </w:tc>
              <w:tc>
                <w:tcPr>
                  <w:tcW w:w="1831" w:type="dxa"/>
                  <w:tcBorders>
                    <w:tl2br w:val="nil"/>
                    <w:tr2bl w:val="nil"/>
                  </w:tcBorders>
                  <w:vAlign w:val="center"/>
                </w:tcPr>
                <w:p w14:paraId="6923D7DE">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现浇钢筋混凝土结构</w:t>
                  </w:r>
                </w:p>
              </w:tc>
              <w:tc>
                <w:tcPr>
                  <w:tcW w:w="623" w:type="dxa"/>
                  <w:tcBorders>
                    <w:tl2br w:val="nil"/>
                    <w:tr2bl w:val="nil"/>
                  </w:tcBorders>
                  <w:vAlign w:val="center"/>
                </w:tcPr>
                <w:p w14:paraId="78D4982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1B640D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35FDD599">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53" w:type="dxa"/>
                  <w:gridSpan w:val="2"/>
                  <w:vMerge w:val="continue"/>
                  <w:tcBorders>
                    <w:tl2br w:val="nil"/>
                    <w:tr2bl w:val="nil"/>
                  </w:tcBorders>
                  <w:vAlign w:val="center"/>
                </w:tcPr>
                <w:p w14:paraId="5712F69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vAlign w:val="center"/>
                </w:tcPr>
                <w:p w14:paraId="13B0EC80">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地基特性</w:t>
                  </w:r>
                </w:p>
              </w:tc>
              <w:tc>
                <w:tcPr>
                  <w:tcW w:w="1459" w:type="dxa"/>
                  <w:tcBorders>
                    <w:tl2br w:val="nil"/>
                    <w:tr2bl w:val="nil"/>
                  </w:tcBorders>
                  <w:vAlign w:val="center"/>
                </w:tcPr>
                <w:p w14:paraId="7C090E61">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cs="Times New Roman"/>
                      <w:snapToGrid w:val="0"/>
                      <w:color w:val="000000"/>
                      <w:kern w:val="0"/>
                      <w:sz w:val="21"/>
                      <w:szCs w:val="21"/>
                      <w:highlight w:val="none"/>
                      <w:lang w:val="en-US" w:eastAsia="zh-CN" w:bidi="ar-SA"/>
                    </w:rPr>
                    <w:t>/</w:t>
                  </w:r>
                </w:p>
              </w:tc>
              <w:tc>
                <w:tcPr>
                  <w:tcW w:w="1831" w:type="dxa"/>
                  <w:tcBorders>
                    <w:tl2br w:val="nil"/>
                    <w:tr2bl w:val="nil"/>
                  </w:tcBorders>
                  <w:vAlign w:val="center"/>
                </w:tcPr>
                <w:p w14:paraId="1E6061C9">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eastAsia" w:ascii="Times New Roman" w:hAnsi="Times New Roman" w:cs="Times New Roman"/>
                      <w:sz w:val="21"/>
                      <w:szCs w:val="21"/>
                      <w:highlight w:val="none"/>
                      <w:vertAlign w:val="baseline"/>
                      <w:lang w:eastAsia="zh-CN"/>
                    </w:rPr>
                    <w:t>扩展</w:t>
                  </w:r>
                  <w:r>
                    <w:rPr>
                      <w:rFonts w:hint="default" w:ascii="Times New Roman" w:hAnsi="Times New Roman" w:eastAsia="宋体" w:cs="Times New Roman"/>
                      <w:sz w:val="21"/>
                      <w:szCs w:val="21"/>
                      <w:highlight w:val="none"/>
                      <w:vertAlign w:val="baseline"/>
                    </w:rPr>
                    <w:t>地基</w:t>
                  </w:r>
                </w:p>
              </w:tc>
              <w:tc>
                <w:tcPr>
                  <w:tcW w:w="623" w:type="dxa"/>
                  <w:tcBorders>
                    <w:tl2br w:val="nil"/>
                    <w:tr2bl w:val="nil"/>
                  </w:tcBorders>
                  <w:vAlign w:val="center"/>
                </w:tcPr>
                <w:p w14:paraId="1DE9A0A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47184E7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34E8A712">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53" w:type="dxa"/>
                  <w:gridSpan w:val="2"/>
                  <w:vMerge w:val="restart"/>
                  <w:tcBorders>
                    <w:tl2br w:val="nil"/>
                    <w:tr2bl w:val="nil"/>
                  </w:tcBorders>
                  <w:vAlign w:val="center"/>
                </w:tcPr>
                <w:p w14:paraId="2AB31BD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箱式变电站基础</w:t>
                  </w:r>
                </w:p>
              </w:tc>
              <w:tc>
                <w:tcPr>
                  <w:tcW w:w="1664" w:type="dxa"/>
                  <w:tcBorders>
                    <w:tl2br w:val="nil"/>
                    <w:tr2bl w:val="nil"/>
                  </w:tcBorders>
                  <w:shd w:val="clear" w:color="auto" w:fill="auto"/>
                  <w:vAlign w:val="center"/>
                </w:tcPr>
                <w:p w14:paraId="086E2984">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jc w:val="center"/>
                    <w:textAlignment w:val="baseline"/>
                    <w:rPr>
                      <w:rFonts w:hint="default" w:ascii="Times New Roman" w:hAnsi="Times New Roman" w:eastAsia="宋体" w:cs="Times New Roman"/>
                      <w:snapToGrid w:val="0"/>
                      <w:color w:val="000000"/>
                      <w:kern w:val="0"/>
                      <w:sz w:val="21"/>
                      <w:szCs w:val="21"/>
                      <w:highlight w:val="none"/>
                      <w:vertAlign w:val="baseline"/>
                      <w:lang w:val="en-US" w:eastAsia="en-US" w:bidi="ar-SA"/>
                    </w:rPr>
                  </w:pPr>
                  <w:r>
                    <w:rPr>
                      <w:rFonts w:hint="default" w:ascii="Times New Roman" w:hAnsi="Times New Roman" w:eastAsia="宋体" w:cs="Times New Roman"/>
                      <w:sz w:val="21"/>
                      <w:szCs w:val="21"/>
                      <w:highlight w:val="none"/>
                      <w:vertAlign w:val="baseline"/>
                    </w:rPr>
                    <w:t>台数</w:t>
                  </w:r>
                </w:p>
              </w:tc>
              <w:tc>
                <w:tcPr>
                  <w:tcW w:w="1459" w:type="dxa"/>
                  <w:tcBorders>
                    <w:tl2br w:val="nil"/>
                    <w:tr2bl w:val="nil"/>
                  </w:tcBorders>
                  <w:vAlign w:val="center"/>
                </w:tcPr>
                <w:p w14:paraId="4149D186">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rPr>
                    <w:t>台</w:t>
                  </w:r>
                </w:p>
              </w:tc>
              <w:tc>
                <w:tcPr>
                  <w:tcW w:w="1831" w:type="dxa"/>
                  <w:tcBorders>
                    <w:tl2br w:val="nil"/>
                    <w:tr2bl w:val="nil"/>
                  </w:tcBorders>
                  <w:vAlign w:val="center"/>
                </w:tcPr>
                <w:p w14:paraId="67AF809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42</w:t>
                  </w:r>
                </w:p>
              </w:tc>
              <w:tc>
                <w:tcPr>
                  <w:tcW w:w="623" w:type="dxa"/>
                  <w:tcBorders>
                    <w:tl2br w:val="nil"/>
                    <w:tr2bl w:val="nil"/>
                  </w:tcBorders>
                  <w:vAlign w:val="center"/>
                </w:tcPr>
                <w:p w14:paraId="3D91E55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2208DD8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620B7E3F">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53" w:type="dxa"/>
                  <w:gridSpan w:val="2"/>
                  <w:vMerge w:val="continue"/>
                  <w:tcBorders>
                    <w:tl2br w:val="nil"/>
                    <w:tr2bl w:val="nil"/>
                  </w:tcBorders>
                  <w:vAlign w:val="center"/>
                </w:tcPr>
                <w:p w14:paraId="45A1A99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1664" w:type="dxa"/>
                  <w:tcBorders>
                    <w:tl2br w:val="nil"/>
                    <w:tr2bl w:val="nil"/>
                  </w:tcBorders>
                  <w:shd w:val="clear" w:color="auto" w:fill="auto"/>
                  <w:vAlign w:val="center"/>
                </w:tcPr>
                <w:p w14:paraId="759E6897">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rightChars="0" w:firstLine="0"/>
                    <w:jc w:val="center"/>
                    <w:textAlignment w:val="baseline"/>
                    <w:rPr>
                      <w:rFonts w:hint="default" w:ascii="Times New Roman" w:hAnsi="Times New Roman" w:eastAsia="宋体" w:cs="Times New Roman"/>
                      <w:snapToGrid w:val="0"/>
                      <w:color w:val="000000"/>
                      <w:kern w:val="0"/>
                      <w:sz w:val="21"/>
                      <w:szCs w:val="21"/>
                      <w:highlight w:val="none"/>
                      <w:vertAlign w:val="baseline"/>
                      <w:lang w:val="en-US" w:eastAsia="en-US" w:bidi="ar-SA"/>
                    </w:rPr>
                  </w:pPr>
                  <w:r>
                    <w:rPr>
                      <w:rFonts w:hint="default" w:ascii="Times New Roman" w:hAnsi="Times New Roman" w:eastAsia="宋体" w:cs="Times New Roman"/>
                      <w:sz w:val="21"/>
                      <w:szCs w:val="21"/>
                      <w:highlight w:val="none"/>
                      <w:vertAlign w:val="baseline"/>
                    </w:rPr>
                    <w:t>型式</w:t>
                  </w:r>
                </w:p>
              </w:tc>
              <w:tc>
                <w:tcPr>
                  <w:tcW w:w="1459" w:type="dxa"/>
                  <w:tcBorders>
                    <w:tl2br w:val="nil"/>
                    <w:tr2bl w:val="nil"/>
                  </w:tcBorders>
                  <w:vAlign w:val="center"/>
                </w:tcPr>
                <w:p w14:paraId="260E95D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r>
                    <w:rPr>
                      <w:rFonts w:hint="default" w:ascii="Times New Roman" w:hAnsi="Times New Roman" w:cs="Times New Roman"/>
                      <w:snapToGrid w:val="0"/>
                      <w:color w:val="000000"/>
                      <w:kern w:val="0"/>
                      <w:sz w:val="21"/>
                      <w:szCs w:val="21"/>
                      <w:highlight w:val="none"/>
                      <w:lang w:val="en-US" w:eastAsia="zh-CN" w:bidi="ar-SA"/>
                    </w:rPr>
                    <w:t>/</w:t>
                  </w:r>
                </w:p>
              </w:tc>
              <w:tc>
                <w:tcPr>
                  <w:tcW w:w="1831" w:type="dxa"/>
                  <w:tcBorders>
                    <w:tl2br w:val="nil"/>
                    <w:tr2bl w:val="nil"/>
                  </w:tcBorders>
                  <w:vAlign w:val="center"/>
                </w:tcPr>
                <w:p w14:paraId="0F0B8AC6">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eastAsia" w:ascii="Times New Roman" w:hAnsi="Times New Roman" w:eastAsia="宋体" w:cs="Times New Roman"/>
                      <w:sz w:val="21"/>
                      <w:szCs w:val="21"/>
                      <w:highlight w:val="none"/>
                      <w:vertAlign w:val="baseline"/>
                      <w:lang w:eastAsia="zh-CN"/>
                    </w:rPr>
                  </w:pPr>
                  <w:r>
                    <w:rPr>
                      <w:rFonts w:hint="eastAsia" w:ascii="Times New Roman" w:hAnsi="Times New Roman" w:cs="Times New Roman"/>
                      <w:sz w:val="21"/>
                      <w:szCs w:val="21"/>
                      <w:highlight w:val="none"/>
                      <w:vertAlign w:val="baseline"/>
                      <w:lang w:eastAsia="zh-CN"/>
                    </w:rPr>
                    <w:t>砼</w:t>
                  </w:r>
                </w:p>
              </w:tc>
              <w:tc>
                <w:tcPr>
                  <w:tcW w:w="623" w:type="dxa"/>
                  <w:tcBorders>
                    <w:tl2br w:val="nil"/>
                    <w:tr2bl w:val="nil"/>
                  </w:tcBorders>
                  <w:vAlign w:val="center"/>
                </w:tcPr>
                <w:p w14:paraId="41EE6CB4">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73F517D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restart"/>
                  <w:tcBorders>
                    <w:tl2br w:val="nil"/>
                    <w:tr2bl w:val="nil"/>
                  </w:tcBorders>
                  <w:shd w:val="clear" w:color="auto" w:fill="auto"/>
                  <w:vAlign w:val="center"/>
                </w:tcPr>
                <w:p w14:paraId="3C59E9DB">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概算指标</w:t>
                  </w:r>
                </w:p>
              </w:tc>
              <w:tc>
                <w:tcPr>
                  <w:tcW w:w="3317" w:type="dxa"/>
                  <w:gridSpan w:val="3"/>
                  <w:tcBorders>
                    <w:tl2br w:val="nil"/>
                    <w:tr2bl w:val="nil"/>
                  </w:tcBorders>
                  <w:shd w:val="clear" w:color="auto" w:fill="auto"/>
                  <w:vAlign w:val="center"/>
                </w:tcPr>
                <w:p w14:paraId="66B3B6F3">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静态投资（编制年）</w:t>
                  </w:r>
                </w:p>
              </w:tc>
              <w:tc>
                <w:tcPr>
                  <w:tcW w:w="1459" w:type="dxa"/>
                  <w:tcBorders>
                    <w:tl2br w:val="nil"/>
                    <w:tr2bl w:val="nil"/>
                  </w:tcBorders>
                  <w:shd w:val="clear" w:color="auto" w:fill="auto"/>
                  <w:vAlign w:val="center"/>
                </w:tcPr>
                <w:p w14:paraId="3028C4FD">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万元</w:t>
                  </w:r>
                </w:p>
              </w:tc>
              <w:tc>
                <w:tcPr>
                  <w:tcW w:w="1831" w:type="dxa"/>
                  <w:tcBorders>
                    <w:tl2br w:val="nil"/>
                    <w:tr2bl w:val="nil"/>
                  </w:tcBorders>
                  <w:shd w:val="clear" w:color="auto" w:fill="auto"/>
                  <w:vAlign w:val="center"/>
                </w:tcPr>
                <w:p w14:paraId="333FAFC0">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182280</w:t>
                  </w:r>
                </w:p>
              </w:tc>
              <w:tc>
                <w:tcPr>
                  <w:tcW w:w="623" w:type="dxa"/>
                  <w:tcBorders>
                    <w:tl2br w:val="nil"/>
                    <w:tr2bl w:val="nil"/>
                  </w:tcBorders>
                  <w:vAlign w:val="center"/>
                </w:tcPr>
                <w:p w14:paraId="7AD1B3B5">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0F1C352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1E48E763">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5685F9EF">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动态投资</w:t>
                  </w:r>
                </w:p>
              </w:tc>
              <w:tc>
                <w:tcPr>
                  <w:tcW w:w="1459" w:type="dxa"/>
                  <w:tcBorders>
                    <w:tl2br w:val="nil"/>
                    <w:tr2bl w:val="nil"/>
                  </w:tcBorders>
                  <w:shd w:val="clear" w:color="auto" w:fill="auto"/>
                  <w:vAlign w:val="center"/>
                </w:tcPr>
                <w:p w14:paraId="3ED3E78D">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万元</w:t>
                  </w:r>
                </w:p>
              </w:tc>
              <w:tc>
                <w:tcPr>
                  <w:tcW w:w="1831" w:type="dxa"/>
                  <w:tcBorders>
                    <w:tl2br w:val="nil"/>
                    <w:tr2bl w:val="nil"/>
                  </w:tcBorders>
                  <w:shd w:val="clear" w:color="auto" w:fill="auto"/>
                  <w:vAlign w:val="center"/>
                </w:tcPr>
                <w:p w14:paraId="7C4827E5">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174700</w:t>
                  </w:r>
                </w:p>
              </w:tc>
              <w:tc>
                <w:tcPr>
                  <w:tcW w:w="623" w:type="dxa"/>
                  <w:tcBorders>
                    <w:tl2br w:val="nil"/>
                    <w:tr2bl w:val="nil"/>
                  </w:tcBorders>
                  <w:vAlign w:val="center"/>
                </w:tcPr>
                <w:p w14:paraId="77E36BC6">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5286470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0673B129">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7943808F">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单位千瓦静态投资</w:t>
                  </w:r>
                </w:p>
              </w:tc>
              <w:tc>
                <w:tcPr>
                  <w:tcW w:w="1459" w:type="dxa"/>
                  <w:tcBorders>
                    <w:tl2br w:val="nil"/>
                    <w:tr2bl w:val="nil"/>
                  </w:tcBorders>
                  <w:shd w:val="clear" w:color="auto" w:fill="auto"/>
                  <w:vAlign w:val="center"/>
                </w:tcPr>
                <w:p w14:paraId="18F6DD4A">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Times New Roman"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元</w:t>
                  </w:r>
                  <w:r>
                    <w:rPr>
                      <w:rFonts w:hint="default" w:ascii="Times New Roman" w:hAnsi="Times New Roman" w:eastAsia="Times New Roman" w:cs="Times New Roman"/>
                      <w:spacing w:val="0"/>
                      <w:sz w:val="21"/>
                      <w:szCs w:val="21"/>
                      <w:highlight w:val="none"/>
                    </w:rPr>
                    <w:t>/</w:t>
                  </w:r>
                  <w:r>
                    <w:rPr>
                      <w:rFonts w:hint="default" w:ascii="Times New Roman" w:hAnsi="Times New Roman" w:eastAsia="Times New Roman" w:cs="Times New Roman"/>
                      <w:sz w:val="21"/>
                      <w:szCs w:val="21"/>
                      <w:highlight w:val="none"/>
                    </w:rPr>
                    <w:t>kW</w:t>
                  </w:r>
                </w:p>
              </w:tc>
              <w:tc>
                <w:tcPr>
                  <w:tcW w:w="1831" w:type="dxa"/>
                  <w:tcBorders>
                    <w:tl2br w:val="nil"/>
                    <w:tr2bl w:val="nil"/>
                  </w:tcBorders>
                  <w:shd w:val="clear" w:color="auto" w:fill="auto"/>
                  <w:vAlign w:val="center"/>
                </w:tcPr>
                <w:p w14:paraId="0DF05056">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4340</w:t>
                  </w:r>
                </w:p>
              </w:tc>
              <w:tc>
                <w:tcPr>
                  <w:tcW w:w="623" w:type="dxa"/>
                  <w:tcBorders>
                    <w:tl2br w:val="nil"/>
                    <w:tr2bl w:val="nil"/>
                  </w:tcBorders>
                  <w:vAlign w:val="center"/>
                </w:tcPr>
                <w:p w14:paraId="565EC5EC">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0DB395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vAlign w:val="center"/>
                </w:tcPr>
                <w:p w14:paraId="14F56A8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c>
                <w:tcPr>
                  <w:tcW w:w="3317" w:type="dxa"/>
                  <w:gridSpan w:val="3"/>
                  <w:tcBorders>
                    <w:tl2br w:val="nil"/>
                    <w:tr2bl w:val="nil"/>
                  </w:tcBorders>
                  <w:shd w:val="clear" w:color="auto" w:fill="auto"/>
                  <w:vAlign w:val="center"/>
                </w:tcPr>
                <w:p w14:paraId="5A481B30">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单位千瓦动态投资</w:t>
                  </w:r>
                </w:p>
              </w:tc>
              <w:tc>
                <w:tcPr>
                  <w:tcW w:w="1459" w:type="dxa"/>
                  <w:tcBorders>
                    <w:tl2br w:val="nil"/>
                    <w:tr2bl w:val="nil"/>
                  </w:tcBorders>
                  <w:shd w:val="clear" w:color="auto" w:fill="auto"/>
                  <w:vAlign w:val="center"/>
                </w:tcPr>
                <w:p w14:paraId="17B2A17D">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Times New Roman" w:cs="Times New Roman"/>
                      <w:snapToGrid w:val="0"/>
                      <w:color w:val="000000"/>
                      <w:kern w:val="0"/>
                      <w:sz w:val="21"/>
                      <w:szCs w:val="21"/>
                      <w:highlight w:val="none"/>
                      <w:lang w:val="en-US" w:eastAsia="en-US" w:bidi="ar-SA"/>
                    </w:rPr>
                  </w:pPr>
                  <w:r>
                    <w:rPr>
                      <w:rFonts w:hint="default" w:ascii="Times New Roman" w:hAnsi="Times New Roman" w:cs="Times New Roman"/>
                      <w:spacing w:val="0"/>
                      <w:sz w:val="21"/>
                      <w:szCs w:val="21"/>
                      <w:highlight w:val="none"/>
                    </w:rPr>
                    <w:t>元</w:t>
                  </w:r>
                  <w:r>
                    <w:rPr>
                      <w:rFonts w:hint="default" w:ascii="Times New Roman" w:hAnsi="Times New Roman" w:eastAsia="Times New Roman" w:cs="Times New Roman"/>
                      <w:spacing w:val="0"/>
                      <w:sz w:val="21"/>
                      <w:szCs w:val="21"/>
                      <w:highlight w:val="none"/>
                    </w:rPr>
                    <w:t>/</w:t>
                  </w:r>
                  <w:r>
                    <w:rPr>
                      <w:rFonts w:hint="default" w:ascii="Times New Roman" w:hAnsi="Times New Roman" w:eastAsia="Times New Roman" w:cs="Times New Roman"/>
                      <w:sz w:val="21"/>
                      <w:szCs w:val="21"/>
                      <w:highlight w:val="none"/>
                    </w:rPr>
                    <w:t>kW</w:t>
                  </w:r>
                </w:p>
              </w:tc>
              <w:tc>
                <w:tcPr>
                  <w:tcW w:w="1831" w:type="dxa"/>
                  <w:tcBorders>
                    <w:tl2br w:val="nil"/>
                    <w:tr2bl w:val="nil"/>
                  </w:tcBorders>
                  <w:shd w:val="clear" w:color="auto" w:fill="auto"/>
                  <w:vAlign w:val="center"/>
                </w:tcPr>
                <w:p w14:paraId="280C55D7">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4400.55</w:t>
                  </w:r>
                </w:p>
              </w:tc>
              <w:tc>
                <w:tcPr>
                  <w:tcW w:w="623" w:type="dxa"/>
                  <w:tcBorders>
                    <w:tl2br w:val="nil"/>
                    <w:tr2bl w:val="nil"/>
                  </w:tcBorders>
                  <w:vAlign w:val="center"/>
                </w:tcPr>
                <w:p w14:paraId="01317A4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5228420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restart"/>
                  <w:tcBorders>
                    <w:tl2br w:val="nil"/>
                    <w:tr2bl w:val="nil"/>
                  </w:tcBorders>
                  <w:shd w:val="clear" w:color="auto" w:fill="auto"/>
                  <w:vAlign w:val="center"/>
                </w:tcPr>
                <w:p w14:paraId="110C091D">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pacing w:val="0"/>
                      <w:sz w:val="21"/>
                      <w:szCs w:val="21"/>
                      <w:highlight w:val="none"/>
                    </w:rPr>
                    <w:t>经济</w:t>
                  </w:r>
                  <w:r>
                    <w:rPr>
                      <w:rFonts w:hint="default" w:ascii="Times New Roman" w:hAnsi="Times New Roman" w:eastAsia="宋体" w:cs="Times New Roman"/>
                      <w:spacing w:val="0"/>
                      <w:sz w:val="21"/>
                      <w:szCs w:val="21"/>
                      <w:highlight w:val="none"/>
                      <w:lang w:val="en-US" w:eastAsia="zh-CN"/>
                    </w:rPr>
                    <w:t>指标</w:t>
                  </w:r>
                </w:p>
              </w:tc>
              <w:tc>
                <w:tcPr>
                  <w:tcW w:w="3317" w:type="dxa"/>
                  <w:gridSpan w:val="3"/>
                  <w:tcBorders>
                    <w:tl2br w:val="nil"/>
                    <w:tr2bl w:val="nil"/>
                  </w:tcBorders>
                  <w:shd w:val="clear" w:color="auto" w:fill="auto"/>
                  <w:vAlign w:val="center"/>
                </w:tcPr>
                <w:p w14:paraId="4EB68E0C">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装机容量</w:t>
                  </w:r>
                </w:p>
              </w:tc>
              <w:tc>
                <w:tcPr>
                  <w:tcW w:w="1459" w:type="dxa"/>
                  <w:tcBorders>
                    <w:tl2br w:val="nil"/>
                    <w:tr2bl w:val="nil"/>
                  </w:tcBorders>
                  <w:shd w:val="clear" w:color="auto" w:fill="auto"/>
                  <w:vAlign w:val="center"/>
                </w:tcPr>
                <w:p w14:paraId="75835915">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MW</w:t>
                  </w:r>
                </w:p>
              </w:tc>
              <w:tc>
                <w:tcPr>
                  <w:tcW w:w="1831" w:type="dxa"/>
                  <w:tcBorders>
                    <w:tl2br w:val="nil"/>
                    <w:tr2bl w:val="nil"/>
                  </w:tcBorders>
                  <w:shd w:val="clear" w:color="auto" w:fill="auto"/>
                  <w:vAlign w:val="center"/>
                </w:tcPr>
                <w:p w14:paraId="30D09EDA">
                  <w:pPr>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420</w:t>
                  </w:r>
                </w:p>
              </w:tc>
              <w:tc>
                <w:tcPr>
                  <w:tcW w:w="623" w:type="dxa"/>
                  <w:tcBorders>
                    <w:tl2br w:val="nil"/>
                    <w:tr2bl w:val="nil"/>
                  </w:tcBorders>
                  <w:vAlign w:val="center"/>
                </w:tcPr>
                <w:p w14:paraId="5E185979">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1914FBC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shd w:val="clear" w:color="auto" w:fill="auto"/>
                  <w:vAlign w:val="center"/>
                </w:tcPr>
                <w:p w14:paraId="2301548B">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pacing w:val="0"/>
                      <w:sz w:val="21"/>
                      <w:szCs w:val="21"/>
                      <w:highlight w:val="none"/>
                    </w:rPr>
                  </w:pPr>
                </w:p>
              </w:tc>
              <w:tc>
                <w:tcPr>
                  <w:tcW w:w="3317" w:type="dxa"/>
                  <w:gridSpan w:val="3"/>
                  <w:tcBorders>
                    <w:tl2br w:val="nil"/>
                    <w:tr2bl w:val="nil"/>
                  </w:tcBorders>
                  <w:shd w:val="clear" w:color="auto" w:fill="auto"/>
                  <w:vAlign w:val="center"/>
                </w:tcPr>
                <w:p w14:paraId="32D47847">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年上网电量</w:t>
                  </w:r>
                  <w:r>
                    <w:rPr>
                      <w:rFonts w:hint="eastAsia" w:ascii="Times New Roman" w:hAnsi="Times New Roman" w:cs="Times New Roman"/>
                      <w:spacing w:val="0"/>
                      <w:sz w:val="21"/>
                      <w:szCs w:val="21"/>
                      <w:highlight w:val="none"/>
                      <w:lang w:eastAsia="zh-CN"/>
                    </w:rPr>
                    <w:t>（</w:t>
                  </w:r>
                  <w:r>
                    <w:rPr>
                      <w:rFonts w:hint="eastAsia" w:ascii="Times New Roman" w:hAnsi="Times New Roman" w:cs="Times New Roman"/>
                      <w:spacing w:val="0"/>
                      <w:sz w:val="21"/>
                      <w:szCs w:val="21"/>
                      <w:highlight w:val="none"/>
                      <w:lang w:val="en-US" w:eastAsia="zh-CN"/>
                    </w:rPr>
                    <w:t>限电25%）</w:t>
                  </w:r>
                </w:p>
              </w:tc>
              <w:tc>
                <w:tcPr>
                  <w:tcW w:w="1459" w:type="dxa"/>
                  <w:tcBorders>
                    <w:tl2br w:val="nil"/>
                    <w:tr2bl w:val="nil"/>
                  </w:tcBorders>
                  <w:shd w:val="clear" w:color="auto" w:fill="auto"/>
                  <w:vAlign w:val="center"/>
                </w:tcPr>
                <w:p w14:paraId="56C78CAD">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万 kW</w:t>
                  </w:r>
                  <w:r>
                    <w:rPr>
                      <w:rFonts w:hint="default" w:ascii="Times New Roman" w:hAnsi="Times New Roman" w:cs="Times New Roman"/>
                      <w:spacing w:val="0"/>
                      <w:sz w:val="21"/>
                      <w:szCs w:val="21"/>
                      <w:highlight w:val="none"/>
                      <w:lang w:val="en-US" w:eastAsia="zh-CN"/>
                    </w:rPr>
                    <w:t>·</w:t>
                  </w:r>
                  <w:r>
                    <w:rPr>
                      <w:rFonts w:hint="default" w:ascii="Times New Roman" w:hAnsi="Times New Roman" w:eastAsia="宋体" w:cs="Times New Roman"/>
                      <w:spacing w:val="0"/>
                      <w:sz w:val="21"/>
                      <w:szCs w:val="21"/>
                      <w:highlight w:val="none"/>
                    </w:rPr>
                    <w:t>h</w:t>
                  </w:r>
                </w:p>
              </w:tc>
              <w:tc>
                <w:tcPr>
                  <w:tcW w:w="1831" w:type="dxa"/>
                  <w:tcBorders>
                    <w:tl2br w:val="nil"/>
                    <w:tr2bl w:val="nil"/>
                  </w:tcBorders>
                  <w:shd w:val="clear" w:color="auto" w:fill="auto"/>
                  <w:vAlign w:val="center"/>
                </w:tcPr>
                <w:p w14:paraId="5B012D80">
                  <w:pPr>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949419.08</w:t>
                  </w:r>
                </w:p>
              </w:tc>
              <w:tc>
                <w:tcPr>
                  <w:tcW w:w="623" w:type="dxa"/>
                  <w:tcBorders>
                    <w:tl2br w:val="nil"/>
                    <w:tr2bl w:val="nil"/>
                  </w:tcBorders>
                  <w:vAlign w:val="center"/>
                </w:tcPr>
                <w:p w14:paraId="0994441A">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4835ADD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shd w:val="clear" w:color="auto" w:fill="auto"/>
                  <w:vAlign w:val="center"/>
                </w:tcPr>
                <w:p w14:paraId="73CDFEEC">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pacing w:val="0"/>
                      <w:sz w:val="21"/>
                      <w:szCs w:val="21"/>
                      <w:highlight w:val="none"/>
                    </w:rPr>
                  </w:pPr>
                </w:p>
              </w:tc>
              <w:tc>
                <w:tcPr>
                  <w:tcW w:w="3317" w:type="dxa"/>
                  <w:gridSpan w:val="3"/>
                  <w:tcBorders>
                    <w:tl2br w:val="nil"/>
                    <w:tr2bl w:val="nil"/>
                  </w:tcBorders>
                  <w:shd w:val="clear" w:color="auto" w:fill="auto"/>
                  <w:vAlign w:val="center"/>
                </w:tcPr>
                <w:p w14:paraId="17735268">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年等效满负荷小时数</w:t>
                  </w:r>
                </w:p>
              </w:tc>
              <w:tc>
                <w:tcPr>
                  <w:tcW w:w="1459" w:type="dxa"/>
                  <w:tcBorders>
                    <w:tl2br w:val="nil"/>
                    <w:tr2bl w:val="nil"/>
                  </w:tcBorders>
                  <w:shd w:val="clear" w:color="auto" w:fill="auto"/>
                  <w:vAlign w:val="center"/>
                </w:tcPr>
                <w:p w14:paraId="153A4E13">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小时</w:t>
                  </w:r>
                </w:p>
              </w:tc>
              <w:tc>
                <w:tcPr>
                  <w:tcW w:w="1831" w:type="dxa"/>
                  <w:tcBorders>
                    <w:tl2br w:val="nil"/>
                    <w:tr2bl w:val="nil"/>
                  </w:tcBorders>
                  <w:shd w:val="clear" w:color="auto" w:fill="auto"/>
                  <w:vAlign w:val="center"/>
                </w:tcPr>
                <w:p w14:paraId="04111283">
                  <w:pPr>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pacing w:val="0"/>
                      <w:sz w:val="21"/>
                      <w:szCs w:val="21"/>
                      <w:highlight w:val="none"/>
                      <w:lang w:val="en-US" w:eastAsia="zh-CN"/>
                    </w:rPr>
                    <w:t>2260.52</w:t>
                  </w:r>
                </w:p>
              </w:tc>
              <w:tc>
                <w:tcPr>
                  <w:tcW w:w="623" w:type="dxa"/>
                  <w:tcBorders>
                    <w:tl2br w:val="nil"/>
                    <w:tr2bl w:val="nil"/>
                  </w:tcBorders>
                  <w:vAlign w:val="center"/>
                </w:tcPr>
                <w:p w14:paraId="47128180">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r w14:paraId="76A53F7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622" w:type="dxa"/>
                  <w:vMerge w:val="continue"/>
                  <w:tcBorders>
                    <w:tl2br w:val="nil"/>
                    <w:tr2bl w:val="nil"/>
                  </w:tcBorders>
                  <w:shd w:val="clear" w:color="auto" w:fill="auto"/>
                  <w:vAlign w:val="center"/>
                </w:tcPr>
                <w:p w14:paraId="790A61EA">
                  <w:pPr>
                    <w:pStyle w:val="41"/>
                    <w:keepNext w:val="0"/>
                    <w:keepLines w:val="0"/>
                    <w:pageBreakBefore w:val="0"/>
                    <w:widowControl/>
                    <w:kinsoku w:val="0"/>
                    <w:wordWrap/>
                    <w:overflowPunct/>
                    <w:topLinePunct w:val="0"/>
                    <w:autoSpaceDE w:val="0"/>
                    <w:autoSpaceDN w:val="0"/>
                    <w:bidi w:val="0"/>
                    <w:adjustRightInd/>
                    <w:snapToGrid/>
                    <w:spacing w:line="360" w:lineRule="exact"/>
                    <w:ind w:left="0" w:leftChars="0" w:right="0" w:firstLine="0"/>
                    <w:jc w:val="center"/>
                    <w:textAlignment w:val="baseline"/>
                    <w:rPr>
                      <w:rFonts w:hint="default" w:ascii="Times New Roman" w:hAnsi="Times New Roman" w:eastAsia="宋体" w:cs="Times New Roman"/>
                      <w:spacing w:val="0"/>
                      <w:sz w:val="21"/>
                      <w:szCs w:val="21"/>
                      <w:highlight w:val="none"/>
                    </w:rPr>
                  </w:pPr>
                </w:p>
              </w:tc>
              <w:tc>
                <w:tcPr>
                  <w:tcW w:w="3317" w:type="dxa"/>
                  <w:gridSpan w:val="3"/>
                  <w:tcBorders>
                    <w:tl2br w:val="nil"/>
                    <w:tr2bl w:val="nil"/>
                  </w:tcBorders>
                  <w:shd w:val="clear" w:color="auto" w:fill="auto"/>
                  <w:vAlign w:val="center"/>
                </w:tcPr>
                <w:p w14:paraId="55601438">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项目总投资</w:t>
                  </w:r>
                </w:p>
              </w:tc>
              <w:tc>
                <w:tcPr>
                  <w:tcW w:w="1459" w:type="dxa"/>
                  <w:tcBorders>
                    <w:tl2br w:val="nil"/>
                    <w:tr2bl w:val="nil"/>
                  </w:tcBorders>
                  <w:shd w:val="clear" w:color="auto" w:fill="auto"/>
                  <w:vAlign w:val="center"/>
                </w:tcPr>
                <w:p w14:paraId="0E5E586E">
                  <w:pPr>
                    <w:pStyle w:val="41"/>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en-US" w:bidi="ar-SA"/>
                    </w:rPr>
                  </w:pPr>
                  <w:r>
                    <w:rPr>
                      <w:rFonts w:hint="default" w:ascii="Times New Roman" w:hAnsi="Times New Roman" w:eastAsia="宋体" w:cs="Times New Roman"/>
                      <w:spacing w:val="0"/>
                      <w:sz w:val="21"/>
                      <w:szCs w:val="21"/>
                      <w:highlight w:val="none"/>
                    </w:rPr>
                    <w:t>万元</w:t>
                  </w:r>
                </w:p>
              </w:tc>
              <w:tc>
                <w:tcPr>
                  <w:tcW w:w="1831" w:type="dxa"/>
                  <w:tcBorders>
                    <w:tl2br w:val="nil"/>
                    <w:tr2bl w:val="nil"/>
                  </w:tcBorders>
                  <w:shd w:val="clear" w:color="auto" w:fill="auto"/>
                  <w:vAlign w:val="center"/>
                </w:tcPr>
                <w:p w14:paraId="4007F10E">
                  <w:pPr>
                    <w:keepNext w:val="0"/>
                    <w:keepLines w:val="0"/>
                    <w:pageBreakBefore w:val="0"/>
                    <w:widowControl/>
                    <w:kinsoku w:val="0"/>
                    <w:wordWrap/>
                    <w:overflowPunct/>
                    <w:topLinePunct w:val="0"/>
                    <w:autoSpaceDE w:val="0"/>
                    <w:autoSpaceDN w:val="0"/>
                    <w:bidi w:val="0"/>
                    <w:adjustRightInd/>
                    <w:snapToGrid/>
                    <w:spacing w:line="360" w:lineRule="exact"/>
                    <w:ind w:right="0" w:firstLine="0"/>
                    <w:jc w:val="center"/>
                    <w:textAlignment w:val="baseline"/>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z w:val="21"/>
                      <w:szCs w:val="21"/>
                      <w:highlight w:val="none"/>
                      <w:lang w:val="en-US" w:eastAsia="zh-CN"/>
                    </w:rPr>
                    <w:t>174700</w:t>
                  </w:r>
                </w:p>
              </w:tc>
              <w:tc>
                <w:tcPr>
                  <w:tcW w:w="623" w:type="dxa"/>
                  <w:tcBorders>
                    <w:tl2br w:val="nil"/>
                    <w:tr2bl w:val="nil"/>
                  </w:tcBorders>
                  <w:vAlign w:val="center"/>
                </w:tcPr>
                <w:p w14:paraId="33F07B67">
                  <w:pPr>
                    <w:keepNext w:val="0"/>
                    <w:keepLines w:val="0"/>
                    <w:pageBreakBefore w:val="0"/>
                    <w:widowControl/>
                    <w:kinsoku w:val="0"/>
                    <w:wordWrap/>
                    <w:overflowPunct/>
                    <w:topLinePunct w:val="0"/>
                    <w:autoSpaceDE w:val="0"/>
                    <w:autoSpaceDN w:val="0"/>
                    <w:bidi w:val="0"/>
                    <w:adjustRightInd/>
                    <w:snapToGrid/>
                    <w:spacing w:line="360" w:lineRule="exact"/>
                    <w:ind w:left="0" w:right="0" w:firstLine="0"/>
                    <w:jc w:val="center"/>
                    <w:textAlignment w:val="baseline"/>
                    <w:rPr>
                      <w:rFonts w:hint="default" w:ascii="Times New Roman" w:hAnsi="Times New Roman" w:eastAsia="宋体" w:cs="Times New Roman"/>
                      <w:sz w:val="21"/>
                      <w:szCs w:val="21"/>
                      <w:highlight w:val="none"/>
                      <w:vertAlign w:val="baseline"/>
                    </w:rPr>
                  </w:pPr>
                </w:p>
              </w:tc>
            </w:tr>
          </w:tbl>
          <w:p w14:paraId="37D48043">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eastAsia"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5</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 xml:space="preserve"> </w:t>
            </w:r>
            <w:r>
              <w:rPr>
                <w:rFonts w:hint="eastAsia" w:cs="Times New Roman"/>
                <w:b/>
                <w:bCs/>
                <w:color w:val="000000" w:themeColor="text1"/>
                <w:sz w:val="24"/>
                <w:szCs w:val="24"/>
                <w:highlight w:val="none"/>
                <w:lang w:val="en-US" w:eastAsia="zh-CN"/>
                <w14:textFill>
                  <w14:solidFill>
                    <w14:schemeClr w14:val="tx1"/>
                  </w14:solidFill>
                </w14:textFill>
              </w:rPr>
              <w:t>公用工程</w:t>
            </w:r>
          </w:p>
          <w:tbl>
            <w:tblPr>
              <w:tblStyle w:val="42"/>
              <w:tblW w:w="4998"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369"/>
              <w:gridCol w:w="1628"/>
              <w:gridCol w:w="1923"/>
              <w:gridCol w:w="1927"/>
            </w:tblGrid>
            <w:tr w14:paraId="3F2F95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509" w:type="pct"/>
                  <w:tcBorders>
                    <w:tl2br w:val="nil"/>
                    <w:tr2bl w:val="nil"/>
                  </w:tcBorders>
                  <w:vAlign w:val="center"/>
                </w:tcPr>
                <w:p w14:paraId="200DDEF7">
                  <w:pPr>
                    <w:spacing w:before="0" w:line="360" w:lineRule="exact"/>
                    <w:ind w:left="0"/>
                    <w:jc w:val="center"/>
                    <w:rPr>
                      <w:rFonts w:hint="default" w:ascii="Times New Roman" w:hAnsi="Times New Roman" w:cs="Times New Roman" w:eastAsiaTheme="minorEastAsia"/>
                      <w:sz w:val="21"/>
                      <w:szCs w:val="21"/>
                      <w:highlight w:val="none"/>
                    </w:rPr>
                  </w:pPr>
                </w:p>
              </w:tc>
              <w:tc>
                <w:tcPr>
                  <w:tcW w:w="1037" w:type="pct"/>
                  <w:tcBorders>
                    <w:tl2br w:val="nil"/>
                    <w:tr2bl w:val="nil"/>
                  </w:tcBorders>
                  <w:vAlign w:val="center"/>
                </w:tcPr>
                <w:p w14:paraId="03C6780F">
                  <w:pPr>
                    <w:pStyle w:val="41"/>
                    <w:spacing w:before="0" w:line="360" w:lineRule="exact"/>
                    <w:ind w:left="0"/>
                    <w:jc w:val="center"/>
                    <w:rPr>
                      <w:rFonts w:hint="default" w:ascii="Times New Roman" w:hAnsi="Times New Roman" w:cs="Times New Roman" w:eastAsiaTheme="minorEastAsia"/>
                      <w:sz w:val="21"/>
                      <w:szCs w:val="21"/>
                      <w:highlight w:val="none"/>
                    </w:rPr>
                  </w:pPr>
                </w:p>
              </w:tc>
              <w:tc>
                <w:tcPr>
                  <w:tcW w:w="1225" w:type="pct"/>
                  <w:tcBorders>
                    <w:tl2br w:val="nil"/>
                    <w:tr2bl w:val="nil"/>
                  </w:tcBorders>
                  <w:vAlign w:val="center"/>
                </w:tcPr>
                <w:p w14:paraId="135EEA14">
                  <w:pPr>
                    <w:pStyle w:val="41"/>
                    <w:spacing w:before="0" w:line="360" w:lineRule="exact"/>
                    <w:ind w:left="0"/>
                    <w:jc w:val="center"/>
                    <w:rPr>
                      <w:rFonts w:hint="default" w:ascii="Times New Roman" w:hAnsi="Times New Roman" w:cs="Times New Roman" w:eastAsiaTheme="minorEastAsia"/>
                      <w:sz w:val="21"/>
                      <w:szCs w:val="21"/>
                      <w:highlight w:val="none"/>
                    </w:rPr>
                  </w:pPr>
                </w:p>
              </w:tc>
              <w:tc>
                <w:tcPr>
                  <w:tcW w:w="1227" w:type="pct"/>
                  <w:tcBorders>
                    <w:tl2br w:val="nil"/>
                    <w:tr2bl w:val="nil"/>
                  </w:tcBorders>
                  <w:vAlign w:val="center"/>
                </w:tcPr>
                <w:p w14:paraId="6B5C50E9">
                  <w:pPr>
                    <w:pStyle w:val="41"/>
                    <w:spacing w:before="0" w:line="360" w:lineRule="exact"/>
                    <w:ind w:left="0"/>
                    <w:jc w:val="center"/>
                    <w:rPr>
                      <w:rFonts w:hint="default" w:ascii="Times New Roman" w:hAnsi="Times New Roman" w:cs="Times New Roman" w:eastAsiaTheme="minorEastAsia"/>
                      <w:sz w:val="21"/>
                      <w:szCs w:val="21"/>
                      <w:highlight w:val="none"/>
                    </w:rPr>
                  </w:pPr>
                </w:p>
              </w:tc>
            </w:tr>
          </w:tbl>
          <w:p w14:paraId="4B816C3B">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施工期工艺流程简述</w:t>
            </w:r>
          </w:p>
          <w:p w14:paraId="7B04FC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auto"/>
                <w:sz w:val="24"/>
                <w:szCs w:val="24"/>
                <w:highlight w:val="none"/>
              </w:rPr>
              <w:t>风电场区施工内</w:t>
            </w:r>
            <w:r>
              <w:rPr>
                <w:rFonts w:hint="default" w:ascii="Times New Roman" w:hAnsi="Times New Roman" w:eastAsia="宋体" w:cs="Times New Roman"/>
                <w:color w:val="000000" w:themeColor="text1"/>
                <w:sz w:val="24"/>
                <w:szCs w:val="24"/>
                <w:highlight w:val="none"/>
                <w14:textFill>
                  <w14:solidFill>
                    <w14:schemeClr w14:val="tx1"/>
                  </w14:solidFill>
                </w14:textFill>
              </w:rPr>
              <w:t>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主要包括风机及箱变工程、集电线路</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。本项目采用分段施工，其各施工段施工工艺流程图见图</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71B64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37B95586">
            <w:pPr>
              <w:pStyle w:val="13"/>
              <w:snapToGrid w:val="0"/>
              <w:spacing w:line="480" w:lineRule="exact"/>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注：G：废气、W：废水、S：固体废物、N：噪声</w:t>
            </w:r>
          </w:p>
          <w:p w14:paraId="18F5B8C1">
            <w:pPr>
              <w:pStyle w:val="13"/>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14:textFill>
                  <w14:solidFill>
                    <w14:schemeClr w14:val="tx1"/>
                  </w14:solidFill>
                </w14:textFill>
              </w:rPr>
              <w:t>图</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 xml:space="preserve">4-1    </w:t>
            </w:r>
            <w:r>
              <w:rPr>
                <w:rFonts w:hint="default" w:ascii="Times New Roman" w:hAnsi="Times New Roman" w:cs="Times New Roman"/>
                <w:b/>
                <w:bCs/>
                <w:color w:val="000000" w:themeColor="text1"/>
                <w:sz w:val="24"/>
                <w:szCs w:val="24"/>
                <w:highlight w:val="none"/>
                <w14:textFill>
                  <w14:solidFill>
                    <w14:schemeClr w14:val="tx1"/>
                  </w14:solidFill>
                </w14:textFill>
              </w:rPr>
              <w:t>施工期工艺流程及产污环节</w:t>
            </w:r>
          </w:p>
          <w:p w14:paraId="221BDD63">
            <w:pPr>
              <w:pStyle w:val="31"/>
              <w:keepNext w:val="0"/>
              <w:keepLines w:val="0"/>
              <w:pageBreakBefore w:val="0"/>
              <w:widowControl w:val="0"/>
              <w:kinsoku/>
              <w:wordWrap/>
              <w:overflowPunct/>
              <w:topLinePunct w:val="0"/>
              <w:bidi w:val="0"/>
              <w:adjustRightInd w:val="0"/>
              <w:spacing w:line="480" w:lineRule="exact"/>
              <w:ind w:firstLine="0" w:firstLineChars="0"/>
              <w:jc w:val="both"/>
              <w:textAlignment w:val="auto"/>
              <w:rPr>
                <w:rFonts w:hint="default"/>
                <w:highlight w:val="none"/>
                <w:lang w:val="en-US" w:eastAsia="zh-CN"/>
              </w:rPr>
            </w:pPr>
          </w:p>
        </w:tc>
      </w:tr>
      <w:tr w14:paraId="7E788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274" w:type="pct"/>
            <w:tcBorders>
              <w:tl2br w:val="nil"/>
              <w:tr2bl w:val="nil"/>
            </w:tcBorders>
            <w:noWrap w:val="0"/>
            <w:vAlign w:val="center"/>
          </w:tcPr>
          <w:p w14:paraId="1B2F4ABB">
            <w:pPr>
              <w:adjustRightInd w:val="0"/>
              <w:snapToGrid w:val="0"/>
              <w:jc w:val="center"/>
              <w:rPr>
                <w:rFonts w:hint="default" w:ascii="Times New Roman" w:hAnsi="Times New Roman" w:cs="Times New Roman"/>
                <w:color w:val="0000FF"/>
                <w:kern w:val="0"/>
                <w:sz w:val="24"/>
                <w:szCs w:val="24"/>
                <w:highlight w:val="none"/>
              </w:rPr>
            </w:pPr>
            <w:r>
              <w:rPr>
                <w:rFonts w:hint="default" w:ascii="Times New Roman" w:hAnsi="Times New Roman" w:cs="Times New Roman"/>
                <w:color w:val="000000" w:themeColor="text1"/>
                <w:kern w:val="0"/>
                <w:sz w:val="24"/>
                <w:szCs w:val="24"/>
                <w:highlight w:val="none"/>
                <w14:textFill>
                  <w14:solidFill>
                    <w14:schemeClr w14:val="tx1"/>
                  </w14:solidFill>
                </w14:textFill>
              </w:rPr>
              <w:t>总平面及现场布置</w:t>
            </w:r>
          </w:p>
        </w:tc>
        <w:tc>
          <w:tcPr>
            <w:tcW w:w="4725" w:type="pct"/>
            <w:tcBorders>
              <w:tl2br w:val="nil"/>
              <w:tr2bl w:val="nil"/>
            </w:tcBorders>
            <w:noWrap w:val="0"/>
            <w:vAlign w:val="center"/>
          </w:tcPr>
          <w:p w14:paraId="68270879">
            <w:pPr>
              <w:keepNext w:val="0"/>
              <w:keepLines w:val="0"/>
              <w:pageBreakBefore w:val="0"/>
              <w:widowControl w:val="0"/>
              <w:kinsoku/>
              <w:wordWrap/>
              <w:overflowPunct/>
              <w:topLinePunct w:val="0"/>
              <w:autoSpaceDE/>
              <w:autoSpaceDN/>
              <w:bidi w:val="0"/>
              <w:adjustRightInd w:val="0"/>
              <w:snapToGrid w:val="0"/>
              <w:spacing w:line="480" w:lineRule="exact"/>
              <w:jc w:val="left"/>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1 风机总平面布置</w:t>
            </w:r>
          </w:p>
          <w:p w14:paraId="5CC90C6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考虑到风场主风能方向的分布，本风电场机组按照垂直于主风向3~5倍叶轮直径、平行主风向5~8倍叶轮直径原则布机，轮毂高度按照厂家推荐轮毂高度选取。考虑到地形地貌、周边已建风电场分布情况及增容项目规划等多方面因素，在风电场场区及周边范围内进行方案设计。综合考虑多种因素，本次</w:t>
            </w:r>
            <w:r>
              <w:rPr>
                <w:rFonts w:hint="eastAsia" w:cs="Times New Roman"/>
                <w:color w:val="000000" w:themeColor="text1"/>
                <w:spacing w:val="0"/>
                <w:w w:val="100"/>
                <w:position w:val="0"/>
                <w:sz w:val="24"/>
                <w:szCs w:val="24"/>
                <w:highlight w:val="none"/>
                <w:lang w:val="en-US" w:eastAsia="zh-CN"/>
                <w14:textFill>
                  <w14:solidFill>
                    <w14:schemeClr w14:val="tx1"/>
                  </w14:solidFill>
                </w14:textFill>
              </w:rPr>
              <w:t>中煤塔城托里县风力发电项目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最终</w:t>
            </w:r>
            <w:r>
              <w:rPr>
                <w:rFonts w:hint="eastAsia" w:cs="Times New Roman"/>
                <w:color w:val="000000" w:themeColor="text1"/>
                <w:sz w:val="24"/>
                <w:szCs w:val="24"/>
                <w:highlight w:val="none"/>
                <w:lang w:val="en-US" w:eastAsia="zh-CN"/>
                <w14:textFill>
                  <w14:solidFill>
                    <w14:schemeClr w14:val="tx1"/>
                  </w14:solidFill>
                </w14:textFill>
              </w:rPr>
              <w:t>42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台机位布置图如图</w:t>
            </w:r>
            <w:r>
              <w:rPr>
                <w:rFonts w:hint="eastAsia"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所示。</w:t>
            </w:r>
          </w:p>
          <w:p w14:paraId="5A9673B8">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2 施工现场布置</w:t>
            </w:r>
          </w:p>
          <w:p w14:paraId="689BF379">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eastAsia"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组装场地</w:t>
            </w:r>
          </w:p>
          <w:p w14:paraId="7B856A1E">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both"/>
              <w:textAlignment w:val="auto"/>
              <w:rPr>
                <w:rFonts w:hint="default" w:ascii="Times New Roman" w:hAnsi="Times New Roman" w:cs="Times New Roman"/>
                <w:color w:val="0000FF"/>
                <w:highlight w:val="none"/>
                <w:lang w:val="en-US" w:eastAsia="zh-CN"/>
              </w:rPr>
            </w:pPr>
          </w:p>
        </w:tc>
      </w:tr>
    </w:tbl>
    <w:p w14:paraId="2248E5B3">
      <w:pPr>
        <w:adjustRightInd w:val="0"/>
        <w:snapToGrid w:val="0"/>
        <w:jc w:val="center"/>
        <w:rPr>
          <w:rFonts w:hint="default" w:ascii="Times New Roman" w:hAnsi="Times New Roman" w:cs="Times New Roman"/>
          <w:color w:val="0000FF"/>
          <w:kern w:val="0"/>
          <w:sz w:val="24"/>
          <w:szCs w:val="24"/>
          <w:highlight w:val="none"/>
        </w:rPr>
      </w:pPr>
    </w:p>
    <w:p w14:paraId="4E6A898B">
      <w:pPr>
        <w:adjustRightInd w:val="0"/>
        <w:snapToGrid w:val="0"/>
        <w:jc w:val="center"/>
        <w:rPr>
          <w:rFonts w:hint="default"/>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tbl>
      <w:tblPr>
        <w:tblStyle w:val="24"/>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7008"/>
      </w:tblGrid>
      <w:tr w14:paraId="2A34E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24" w:hRule="atLeast"/>
          <w:jc w:val="center"/>
        </w:trPr>
        <w:tc>
          <w:tcPr>
            <w:tcW w:w="887" w:type="pct"/>
            <w:tcBorders>
              <w:tl2br w:val="nil"/>
              <w:tr2bl w:val="nil"/>
            </w:tcBorders>
            <w:noWrap w:val="0"/>
            <w:vAlign w:val="center"/>
          </w:tcPr>
          <w:p w14:paraId="1FCA5892">
            <w:pPr>
              <w:adjustRightInd w:val="0"/>
              <w:snapToGrid w:val="0"/>
              <w:jc w:val="center"/>
              <w:rPr>
                <w:rFonts w:hint="default" w:ascii="Times New Roman" w:hAnsi="Times New Roman" w:cs="Times New Roman"/>
                <w:color w:val="0000FF"/>
                <w:kern w:val="0"/>
                <w:sz w:val="24"/>
                <w:szCs w:val="24"/>
                <w:highlight w:val="none"/>
                <w:lang w:val="en-US" w:eastAsia="zh-CN" w:bidi="ar-SA"/>
              </w:rPr>
            </w:pPr>
            <w:r>
              <w:rPr>
                <w:rFonts w:hint="default" w:ascii="Times New Roman" w:hAnsi="Times New Roman" w:cs="Times New Roman"/>
                <w:color w:val="000000" w:themeColor="text1"/>
                <w:kern w:val="0"/>
                <w:sz w:val="24"/>
                <w:szCs w:val="24"/>
                <w:highlight w:val="none"/>
                <w14:textFill>
                  <w14:solidFill>
                    <w14:schemeClr w14:val="tx1"/>
                  </w14:solidFill>
                </w14:textFill>
              </w:rPr>
              <w:t>施工方案</w:t>
            </w:r>
          </w:p>
        </w:tc>
        <w:tc>
          <w:tcPr>
            <w:tcW w:w="4112" w:type="pct"/>
            <w:tcBorders>
              <w:tl2br w:val="nil"/>
              <w:tr2bl w:val="nil"/>
            </w:tcBorders>
            <w:noWrap w:val="0"/>
            <w:vAlign w:val="top"/>
          </w:tcPr>
          <w:p w14:paraId="44AB1788">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1 施工条件</w:t>
            </w:r>
          </w:p>
          <w:p w14:paraId="36BE43A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color w:val="0000FF"/>
                <w:sz w:val="24"/>
                <w:szCs w:val="24"/>
                <w:highlight w:val="none"/>
                <w:lang w:val="en-US" w:eastAsia="zh-CN"/>
              </w:rPr>
            </w:pPr>
            <w:r>
              <w:rPr>
                <w:rFonts w:hint="default"/>
                <w:color w:val="000000" w:themeColor="text1"/>
                <w:sz w:val="24"/>
                <w:szCs w:val="24"/>
                <w:highlight w:val="none"/>
                <w:lang w:val="en-US" w:eastAsia="zh-CN"/>
                <w14:textFill>
                  <w14:solidFill>
                    <w14:schemeClr w14:val="tx1"/>
                  </w14:solidFill>
                </w14:textFill>
              </w:rPr>
              <w:t>区域风电场地势较开阔平坦，施工时只需部分挖填平整，即可形成良好的施工场地。有利于吊车吊装风机与吊车回转移动、风机扇叶组装、集装箱临时堆放</w:t>
            </w:r>
            <w:r>
              <w:rPr>
                <w:rFonts w:hint="eastAsia"/>
                <w:color w:val="000000" w:themeColor="text1"/>
                <w:sz w:val="24"/>
                <w:szCs w:val="24"/>
                <w:highlight w:val="none"/>
                <w:lang w:val="en-US" w:eastAsia="zh-CN"/>
                <w14:textFill>
                  <w14:solidFill>
                    <w14:schemeClr w14:val="tx1"/>
                  </w14:solidFill>
                </w14:textFill>
              </w:rPr>
              <w:t>，施工条件优越</w:t>
            </w:r>
            <w:r>
              <w:rPr>
                <w:rFonts w:hint="default"/>
                <w:color w:val="000000" w:themeColor="text1"/>
                <w:sz w:val="24"/>
                <w:szCs w:val="24"/>
                <w:highlight w:val="none"/>
                <w:lang w:val="en-US" w:eastAsia="zh-CN"/>
                <w14:textFill>
                  <w14:solidFill>
                    <w14:schemeClr w14:val="tx1"/>
                  </w14:solidFill>
                </w14:textFill>
              </w:rPr>
              <w:t>。</w:t>
            </w:r>
          </w:p>
          <w:p w14:paraId="182EC5C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color w:val="000000" w:themeColor="text1"/>
                <w:sz w:val="24"/>
                <w:szCs w:val="24"/>
                <w:highlight w:val="none"/>
                <w:lang w:val="en-US" w:eastAsia="zh-CN"/>
                <w14:textFill>
                  <w14:solidFill>
                    <w14:schemeClr w14:val="tx1"/>
                  </w14:solidFill>
                </w14:textFill>
              </w:rPr>
            </w:pPr>
            <w:r>
              <w:rPr>
                <w:rFonts w:hint="default"/>
                <w:color w:val="000000" w:themeColor="text1"/>
                <w:sz w:val="24"/>
                <w:szCs w:val="24"/>
                <w:highlight w:val="none"/>
                <w:lang w:val="en-US" w:eastAsia="zh-CN"/>
                <w14:textFill>
                  <w14:solidFill>
                    <w14:schemeClr w14:val="tx1"/>
                  </w14:solidFill>
                </w14:textFill>
              </w:rPr>
              <w:t>本工程拟安装</w:t>
            </w:r>
            <w:r>
              <w:rPr>
                <w:rFonts w:hint="eastAsia"/>
                <w:color w:val="000000" w:themeColor="text1"/>
                <w:sz w:val="24"/>
                <w:szCs w:val="24"/>
                <w:highlight w:val="none"/>
                <w:lang w:val="en-US" w:eastAsia="zh-CN"/>
                <w14:textFill>
                  <w14:solidFill>
                    <w14:schemeClr w14:val="tx1"/>
                  </w14:solidFill>
                </w14:textFill>
              </w:rPr>
              <w:t>42</w:t>
            </w:r>
            <w:r>
              <w:rPr>
                <w:rFonts w:hint="default"/>
                <w:color w:val="000000" w:themeColor="text1"/>
                <w:sz w:val="24"/>
                <w:szCs w:val="24"/>
                <w:highlight w:val="none"/>
                <w:lang w:val="en-US" w:eastAsia="zh-CN"/>
                <w14:textFill>
                  <w14:solidFill>
                    <w14:schemeClr w14:val="tx1"/>
                  </w14:solidFill>
                </w14:textFill>
              </w:rPr>
              <w:t>台单机容量10MW、轮毂高度</w:t>
            </w:r>
            <w:r>
              <w:rPr>
                <w:rFonts w:hint="eastAsia"/>
                <w:color w:val="000000" w:themeColor="text1"/>
                <w:sz w:val="24"/>
                <w:szCs w:val="24"/>
                <w:highlight w:val="none"/>
                <w:lang w:val="en-US" w:eastAsia="zh-CN"/>
                <w14:textFill>
                  <w14:solidFill>
                    <w14:schemeClr w14:val="tx1"/>
                  </w14:solidFill>
                </w14:textFill>
              </w:rPr>
              <w:t>130m</w:t>
            </w:r>
            <w:r>
              <w:rPr>
                <w:rFonts w:hint="default"/>
                <w:color w:val="000000" w:themeColor="text1"/>
                <w:sz w:val="24"/>
                <w:szCs w:val="24"/>
                <w:highlight w:val="none"/>
                <w:lang w:val="en-US" w:eastAsia="zh-CN"/>
                <w14:textFill>
                  <w14:solidFill>
                    <w14:schemeClr w14:val="tx1"/>
                  </w14:solidFill>
                </w14:textFill>
              </w:rPr>
              <w:t>的风力发电机组。本工程集电线路采用架空和直埋线路相结合的方案，风机总体布置较为集中，根据机位布置图总体规划道路走向，道路应贯穿整个风电场并修至每个风机机位。</w:t>
            </w:r>
          </w:p>
          <w:p w14:paraId="361A04ED">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施工道路布置</w:t>
            </w:r>
          </w:p>
          <w:p w14:paraId="7B3C92B6">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3</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风机施工工艺</w:t>
            </w:r>
          </w:p>
          <w:p w14:paraId="55B7639B">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 xml:space="preserve">3.1 </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风力发电机组</w:t>
            </w:r>
            <w:r>
              <w:rPr>
                <w:rFonts w:hint="eastAsia" w:cs="Times New Roman"/>
                <w:b/>
                <w:bCs/>
                <w:color w:val="000000" w:themeColor="text1"/>
                <w:sz w:val="24"/>
                <w:szCs w:val="24"/>
                <w:highlight w:val="none"/>
                <w:lang w:val="en-US" w:eastAsia="zh-CN"/>
                <w14:textFill>
                  <w14:solidFill>
                    <w14:schemeClr w14:val="tx1"/>
                  </w14:solidFill>
                </w14:textFill>
              </w:rPr>
              <w:t>基础施工</w:t>
            </w:r>
          </w:p>
          <w:p w14:paraId="4A9F9678">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 xml:space="preserve">3.2 </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风力发电机组安装</w:t>
            </w:r>
          </w:p>
          <w:p w14:paraId="1456F632">
            <w:pPr>
              <w:pStyle w:val="9"/>
              <w:keepNext w:val="0"/>
              <w:keepLines w:val="0"/>
              <w:pageBreakBefore w:val="0"/>
              <w:widowControl/>
              <w:kinsoku/>
              <w:wordWrap/>
              <w:overflowPunct/>
              <w:topLinePunct w:val="0"/>
              <w:autoSpaceDE/>
              <w:autoSpaceDN/>
              <w:bidi w:val="0"/>
              <w:adjustRightInd/>
              <w:snapToGrid w:val="0"/>
              <w:spacing w:before="0" w:after="0" w:line="480" w:lineRule="exact"/>
              <w:ind w:left="0" w:right="0" w:firstLine="480" w:firstLineChars="200"/>
              <w:jc w:val="both"/>
              <w:textAlignment w:val="auto"/>
              <w:rPr>
                <w:rFonts w:hint="eastAsia" w:ascii="Times New Roman" w:hAnsi="Times New Roman" w:eastAsia="宋体" w:cs="Times New Roman"/>
                <w:color w:val="0000FF"/>
                <w:kern w:val="2"/>
                <w:sz w:val="24"/>
                <w:szCs w:val="24"/>
                <w:highlight w:val="none"/>
                <w:lang w:val="en-US" w:eastAsia="zh-CN" w:bidi="ar-SA"/>
              </w:rPr>
            </w:pPr>
          </w:p>
        </w:tc>
      </w:tr>
      <w:tr w14:paraId="3CF4B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887" w:type="pct"/>
            <w:tcBorders>
              <w:tl2br w:val="nil"/>
              <w:tr2bl w:val="nil"/>
            </w:tcBorders>
            <w:noWrap w:val="0"/>
            <w:vAlign w:val="center"/>
          </w:tcPr>
          <w:p w14:paraId="640F60F9">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其他</w:t>
            </w:r>
          </w:p>
        </w:tc>
        <w:tc>
          <w:tcPr>
            <w:tcW w:w="4112" w:type="pct"/>
            <w:tcBorders>
              <w:tl2br w:val="nil"/>
              <w:tr2bl w:val="nil"/>
            </w:tcBorders>
            <w:noWrap w:val="0"/>
            <w:vAlign w:val="center"/>
          </w:tcPr>
          <w:p w14:paraId="56A344C0">
            <w:pPr>
              <w:widowControl w:val="0"/>
              <w:adjustRightInd w:val="0"/>
              <w:spacing w:line="520" w:lineRule="exact"/>
              <w:ind w:firstLine="480" w:firstLineChars="200"/>
              <w:jc w:val="center"/>
              <w:rPr>
                <w:rFonts w:hint="default"/>
                <w:highlight w:val="none"/>
                <w:lang w:val="en-US" w:eastAsia="zh-CN"/>
              </w:rPr>
            </w:pPr>
            <w:r>
              <w:rPr>
                <w:rFonts w:hint="eastAsia"/>
                <w:color w:val="auto"/>
                <w:sz w:val="24"/>
                <w:szCs w:val="24"/>
                <w:highlight w:val="none"/>
                <w:lang w:val="en-US" w:eastAsia="zh-CN"/>
              </w:rPr>
              <w:t>无</w:t>
            </w:r>
          </w:p>
        </w:tc>
      </w:tr>
    </w:tbl>
    <w:p w14:paraId="3A8B9EE4">
      <w:pPr>
        <w:rPr>
          <w:rFonts w:hint="default"/>
          <w:color w:val="0000FF"/>
          <w:highlight w:val="none"/>
          <w:lang w:val="en-US" w:eastAsia="zh-CN"/>
        </w:rPr>
      </w:pPr>
      <w:r>
        <w:rPr>
          <w:rFonts w:hint="default"/>
          <w:color w:val="0000FF"/>
          <w:highlight w:val="none"/>
          <w:lang w:val="en-US" w:eastAsia="zh-CN"/>
        </w:rPr>
        <w:br w:type="page"/>
      </w:r>
    </w:p>
    <w:p w14:paraId="0606C79F">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1" w:name="_Toc26216"/>
      <w:r>
        <w:rPr>
          <w:rFonts w:hint="eastAsia" w:ascii="黑体" w:hAnsi="黑体" w:eastAsia="黑体"/>
          <w:snapToGrid w:val="0"/>
          <w:color w:val="000000" w:themeColor="text1"/>
          <w:sz w:val="30"/>
          <w:szCs w:val="30"/>
          <w:highlight w:val="none"/>
          <w14:textFill>
            <w14:solidFill>
              <w14:schemeClr w14:val="tx1"/>
            </w14:solidFill>
          </w14:textFill>
        </w:rPr>
        <w:t>三、生态环境现状、保护目标及评价标准</w:t>
      </w:r>
      <w:bookmarkEnd w:id="11"/>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4"/>
        <w:gridCol w:w="7008"/>
      </w:tblGrid>
      <w:tr w14:paraId="60CD0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8" w:type="pct"/>
            <w:tcBorders>
              <w:tl2br w:val="nil"/>
              <w:tr2bl w:val="nil"/>
            </w:tcBorders>
            <w:noWrap w:val="0"/>
            <w:vAlign w:val="center"/>
          </w:tcPr>
          <w:p w14:paraId="1D620EE2">
            <w:pPr>
              <w:adjustRightInd w:val="0"/>
              <w:snapToGrid w:val="0"/>
              <w:jc w:val="center"/>
              <w:rPr>
                <w:rFonts w:hint="default" w:ascii="Times New Roman" w:hAnsi="Times New Roman" w:cs="Times New Roman"/>
                <w:color w:val="0000FF"/>
                <w:kern w:val="0"/>
                <w:sz w:val="24"/>
                <w:szCs w:val="24"/>
                <w:highlight w:val="none"/>
              </w:rPr>
            </w:pPr>
            <w:bookmarkStart w:id="43" w:name="_GoBack"/>
            <w:r>
              <w:rPr>
                <w:rFonts w:hint="default" w:ascii="Times New Roman" w:hAnsi="Times New Roman" w:cs="Times New Roman"/>
                <w:color w:val="000000" w:themeColor="text1"/>
                <w:kern w:val="0"/>
                <w:sz w:val="24"/>
                <w:szCs w:val="24"/>
                <w:highlight w:val="none"/>
                <w14:textFill>
                  <w14:solidFill>
                    <w14:schemeClr w14:val="tx1"/>
                  </w14:solidFill>
                </w14:textFill>
              </w:rPr>
              <w:t>生态环境现状</w:t>
            </w:r>
          </w:p>
        </w:tc>
        <w:tc>
          <w:tcPr>
            <w:tcW w:w="4111" w:type="pct"/>
            <w:tcBorders>
              <w:tl2br w:val="nil"/>
              <w:tr2bl w:val="nil"/>
            </w:tcBorders>
            <w:noWrap w:val="0"/>
            <w:vAlign w:val="center"/>
          </w:tcPr>
          <w:p w14:paraId="168C971A">
            <w:pPr>
              <w:adjustRightInd w:val="0"/>
              <w:snapToGrid w:val="0"/>
              <w:spacing w:line="520" w:lineRule="exact"/>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1 生态环境现状</w:t>
            </w:r>
          </w:p>
          <w:p w14:paraId="6EEB131D">
            <w:pPr>
              <w:adjustRightInd w:val="0"/>
              <w:snapToGrid w:val="0"/>
              <w:spacing w:line="52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1.1主体功能区规划</w:t>
            </w:r>
          </w:p>
          <w:p w14:paraId="6B353232">
            <w:pPr>
              <w:pStyle w:val="30"/>
              <w:keepNext w:val="0"/>
              <w:keepLines w:val="0"/>
              <w:pageBreakBefore w:val="0"/>
              <w:widowControl w:val="0"/>
              <w:kinsoku/>
              <w:wordWrap/>
              <w:overflowPunct/>
              <w:topLinePunct w:val="0"/>
              <w:autoSpaceDE/>
              <w:autoSpaceDN/>
              <w:bidi w:val="0"/>
              <w:adjustRightInd w:val="0"/>
              <w:snapToGrid w:val="0"/>
              <w:spacing w:line="520" w:lineRule="exact"/>
              <w:ind w:firstLine="0" w:firstLineChars="0"/>
              <w:textAlignment w:val="auto"/>
              <w:rPr>
                <w:rFonts w:hint="eastAsia"/>
                <w:color w:val="000000" w:themeColor="text1"/>
                <w:sz w:val="24"/>
                <w:highlight w:val="none"/>
                <w14:textFill>
                  <w14:solidFill>
                    <w14:schemeClr w14:val="tx1"/>
                  </w14:solidFill>
                </w14:textFill>
              </w:rPr>
            </w:pPr>
            <w:r>
              <w:rPr>
                <w:rFonts w:hint="default" w:ascii="Times New Roman" w:hAnsi="Times New Roman" w:eastAsia="宋体" w:cs="Times New Roman"/>
                <w:color w:val="auto"/>
                <w:sz w:val="24"/>
                <w:szCs w:val="24"/>
                <w:highlight w:val="none"/>
              </w:rPr>
              <w:t>根据《新疆维吾尔自治区主体功能区规划》，新疆维吾尔自治区国土空间分为以下主体功能区：按开发内容，分为城市化地区、农产品主产区和重点生态功能区；按层级，包括国家和自治区两个层面。本项目位于新疆</w:t>
            </w:r>
            <w:r>
              <w:rPr>
                <w:rFonts w:hint="eastAsia" w:cs="Times New Roman"/>
                <w:color w:val="auto"/>
                <w:sz w:val="24"/>
                <w:szCs w:val="24"/>
                <w:highlight w:val="none"/>
                <w:lang w:eastAsia="zh-CN"/>
              </w:rPr>
              <w:t>塔城地区托里县</w:t>
            </w:r>
            <w:r>
              <w:rPr>
                <w:rFonts w:hint="default" w:ascii="Times New Roman" w:hAnsi="Times New Roman" w:eastAsia="宋体" w:cs="Times New Roman"/>
                <w:color w:val="auto"/>
                <w:sz w:val="24"/>
                <w:szCs w:val="24"/>
                <w:highlight w:val="none"/>
              </w:rPr>
              <w:t>，对照《新疆维吾尔自治区主体功能区规划》的划分，</w:t>
            </w:r>
            <w:r>
              <w:rPr>
                <w:rFonts w:hint="eastAsia" w:cs="Times New Roman"/>
                <w:color w:val="auto"/>
                <w:sz w:val="24"/>
                <w:szCs w:val="24"/>
                <w:highlight w:val="none"/>
                <w:lang w:val="en-US" w:eastAsia="zh-CN"/>
              </w:rPr>
              <w:t>托里县</w:t>
            </w:r>
            <w:r>
              <w:rPr>
                <w:rFonts w:hint="default" w:ascii="Times New Roman" w:hAnsi="Times New Roman" w:eastAsia="宋体" w:cs="Times New Roman"/>
                <w:color w:val="auto"/>
                <w:sz w:val="24"/>
                <w:szCs w:val="24"/>
                <w:highlight w:val="none"/>
              </w:rPr>
              <w:t>属于</w:t>
            </w:r>
            <w:r>
              <w:rPr>
                <w:rFonts w:hint="eastAsia" w:cs="Times New Roman"/>
                <w:color w:val="auto"/>
                <w:sz w:val="24"/>
                <w:szCs w:val="24"/>
                <w:highlight w:val="none"/>
                <w:lang w:val="en-US" w:eastAsia="zh-CN"/>
              </w:rPr>
              <w:t>自治区级</w:t>
            </w:r>
            <w:r>
              <w:rPr>
                <w:rFonts w:hint="default" w:ascii="Times New Roman" w:hAnsi="Times New Roman" w:eastAsia="宋体" w:cs="Times New Roman"/>
                <w:color w:val="auto"/>
                <w:sz w:val="24"/>
                <w:szCs w:val="24"/>
                <w:highlight w:val="none"/>
              </w:rPr>
              <w:t>重点开发区域。该区域的功能定位是：“</w:t>
            </w:r>
            <w:r>
              <w:rPr>
                <w:rFonts w:hint="eastAsia"/>
                <w:highlight w:val="none"/>
              </w:rPr>
              <w:t>推进新型工业化、农牧业现代化、新型城镇化的重要节点。加强城市建设，完善城市功能，增强经济实力，实现人口集聚，强化对周边经济发展的辐射带动作用。依托当地生态与资源优势，重点发展优势资源加工业、生态旅游业，鼓励发展新兴产业。加强水土流失综合防治，实施重点生态环境综合治理、退牧还草、水土保持等工程，保护和建设好绿色生态屏障。</w:t>
            </w:r>
            <w:r>
              <w:rPr>
                <w:rFonts w:hint="default" w:ascii="Times New Roman" w:hAnsi="Times New Roman" w:eastAsia="宋体" w:cs="Times New Roman"/>
                <w:color w:val="auto"/>
                <w:sz w:val="24"/>
                <w:szCs w:val="24"/>
                <w:highlight w:val="none"/>
              </w:rPr>
              <w:t>”。</w:t>
            </w:r>
          </w:p>
          <w:p w14:paraId="3EF65940">
            <w:pPr>
              <w:spacing w:line="520" w:lineRule="exact"/>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相符性分析：</w:t>
            </w:r>
          </w:p>
          <w:p w14:paraId="6E06AF68">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auto"/>
                <w:sz w:val="24"/>
                <w:szCs w:val="24"/>
                <w:highlight w:val="none"/>
              </w:rPr>
            </w:pPr>
            <w:r>
              <w:rPr>
                <w:rFonts w:hint="eastAsia"/>
                <w:color w:val="000000" w:themeColor="text1"/>
                <w:sz w:val="24"/>
                <w:highlight w:val="none"/>
                <w14:textFill>
                  <w14:solidFill>
                    <w14:schemeClr w14:val="tx1"/>
                  </w14:solidFill>
                </w14:textFill>
              </w:rPr>
              <w:t>本项目为</w:t>
            </w:r>
            <w:r>
              <w:rPr>
                <w:rFonts w:hint="eastAsia"/>
                <w:color w:val="000000" w:themeColor="text1"/>
                <w:sz w:val="24"/>
                <w:highlight w:val="none"/>
                <w:lang w:val="en-US" w:eastAsia="zh-CN"/>
                <w14:textFill>
                  <w14:solidFill>
                    <w14:schemeClr w14:val="tx1"/>
                  </w14:solidFill>
                </w14:textFill>
              </w:rPr>
              <w:t>新建</w:t>
            </w:r>
            <w:r>
              <w:rPr>
                <w:rFonts w:hint="eastAsia"/>
                <w:color w:val="000000" w:themeColor="text1"/>
                <w:sz w:val="24"/>
                <w:highlight w:val="none"/>
                <w14:textFill>
                  <w14:solidFill>
                    <w14:schemeClr w14:val="tx1"/>
                  </w14:solidFill>
                </w14:textFill>
              </w:rPr>
              <w:t>风电</w:t>
            </w:r>
            <w:r>
              <w:rPr>
                <w:rFonts w:hint="eastAsia"/>
                <w:color w:val="000000" w:themeColor="text1"/>
                <w:sz w:val="24"/>
                <w:highlight w:val="none"/>
                <w:lang w:val="en-US" w:eastAsia="zh-CN"/>
                <w14:textFill>
                  <w14:solidFill>
                    <w14:schemeClr w14:val="tx1"/>
                  </w14:solidFill>
                </w14:textFill>
              </w:rPr>
              <w:t>场</w:t>
            </w:r>
            <w:r>
              <w:rPr>
                <w:rFonts w:hint="eastAsia"/>
                <w:color w:val="000000" w:themeColor="text1"/>
                <w:sz w:val="24"/>
                <w:highlight w:val="none"/>
                <w14:textFill>
                  <w14:solidFill>
                    <w14:schemeClr w14:val="tx1"/>
                  </w14:solidFill>
                </w14:textFill>
              </w:rPr>
              <w:t>项目，</w:t>
            </w:r>
            <w:r>
              <w:rPr>
                <w:rFonts w:hint="default" w:ascii="Times New Roman" w:hAnsi="Times New Roman" w:eastAsia="宋体" w:cs="Times New Roman"/>
                <w:color w:val="auto"/>
                <w:sz w:val="24"/>
                <w:szCs w:val="24"/>
                <w:highlight w:val="none"/>
              </w:rPr>
              <w:t>是国家鼓励的清洁能源风力发电的配套建设项目，符合以上“</w:t>
            </w:r>
            <w:r>
              <w:rPr>
                <w:rFonts w:hint="eastAsia"/>
                <w:highlight w:val="none"/>
              </w:rPr>
              <w:t>推进新型工业化、农牧业现代化、新型城镇化的重要节点。加强城市建设，完善城市功能，增强经济实力，实现人口集聚，强化对周边经济发展的辐射带动作用。依托当地生态与资源优势，重点发展优势资源加工业、生态旅游业，鼓励发展新兴产业。加强水土流失综合防治，实施重点生态环境综合治理、退牧还草、水土保持等工程，保护和建设好绿色生态屏障。</w:t>
            </w:r>
            <w:r>
              <w:rPr>
                <w:rFonts w:hint="default" w:ascii="Times New Roman" w:hAnsi="Times New Roman" w:eastAsia="宋体" w:cs="Times New Roman"/>
                <w:color w:val="auto"/>
                <w:sz w:val="24"/>
                <w:szCs w:val="24"/>
                <w:highlight w:val="none"/>
              </w:rPr>
              <w:t>”的</w:t>
            </w:r>
            <w:r>
              <w:rPr>
                <w:rFonts w:hint="eastAsia" w:cs="Times New Roman"/>
                <w:color w:val="auto"/>
                <w:sz w:val="24"/>
                <w:szCs w:val="24"/>
                <w:highlight w:val="none"/>
                <w:lang w:val="en-US" w:eastAsia="zh-CN"/>
              </w:rPr>
              <w:t>区域功能定位</w:t>
            </w:r>
            <w:r>
              <w:rPr>
                <w:rFonts w:hint="default" w:ascii="Times New Roman" w:hAnsi="Times New Roman" w:eastAsia="宋体" w:cs="Times New Roman"/>
                <w:color w:val="auto"/>
                <w:sz w:val="24"/>
                <w:szCs w:val="24"/>
                <w:highlight w:val="none"/>
              </w:rPr>
              <w:t>。本环评已提出尽量少占用土地及施工后的生态恢复相关要求，同时要求建设单位需对开发活动严格控制，尽可能减少对生态系统的干扰；在项目实施过程中积极采取生态保护措施，加强对生态系统保护和恢复，高度注意保护植被，保护野生动物，保护地貌，维护自然生态环境，积极落实本环评提出的各项生态环境保护措施。</w:t>
            </w:r>
          </w:p>
          <w:p w14:paraId="39C6309F">
            <w:pPr>
              <w:spacing w:line="520" w:lineRule="exact"/>
              <w:ind w:firstLine="480"/>
              <w:rPr>
                <w:color w:val="000000" w:themeColor="text1"/>
                <w:sz w:val="24"/>
                <w:highlight w:val="none"/>
                <w14:textFill>
                  <w14:solidFill>
                    <w14:schemeClr w14:val="tx1"/>
                  </w14:solidFill>
                </w14:textFill>
              </w:rPr>
            </w:pPr>
            <w:r>
              <w:rPr>
                <w:rFonts w:hint="default" w:ascii="Times New Roman" w:hAnsi="Times New Roman" w:eastAsia="宋体" w:cs="Times New Roman"/>
                <w:color w:val="auto"/>
                <w:sz w:val="24"/>
                <w:szCs w:val="24"/>
                <w:highlight w:val="none"/>
              </w:rPr>
              <w:t>因此，本项目建设符合《新疆维吾尔自治区主体功能区规划》</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对于工程区块的定位要求及开发原则，与区域生态功能的保护是协调的。</w:t>
            </w:r>
          </w:p>
          <w:p w14:paraId="02CE9C9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1.2生态功能区划</w:t>
            </w:r>
          </w:p>
          <w:p w14:paraId="0497F535">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imes New Roman" w:hAnsi="Times New Roman" w:cs="Times New Roman"/>
                <w:b/>
                <w:color w:val="000000" w:themeColor="text1"/>
                <w:kern w:val="0"/>
                <w:sz w:val="24"/>
                <w:szCs w:val="22"/>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根据《新疆生态功能区划》，</w:t>
            </w:r>
            <w:r>
              <w:rPr>
                <w:rFonts w:hint="default" w:ascii="Times New Roman" w:hAnsi="Times New Roman" w:eastAsia="宋体" w:cs="Times New Roman"/>
                <w:color w:val="auto"/>
                <w:sz w:val="24"/>
                <w:szCs w:val="24"/>
                <w:highlight w:val="none"/>
              </w:rPr>
              <w:t>本项目所在区域位于</w:t>
            </w:r>
            <w:r>
              <w:rPr>
                <w:rFonts w:hint="eastAsia" w:ascii="Times New Roman" w:hAnsi="Times New Roman" w:eastAsia="宋体" w:cs="Times New Roman"/>
                <w:color w:val="auto"/>
                <w:sz w:val="24"/>
                <w:szCs w:val="24"/>
                <w:highlight w:val="none"/>
              </w:rPr>
              <w:t>Ⅰ阿尔泰—准噶尔西部山地温凉森林、草原生态区Ⅰ3准噶尔西部山地草原牧业及盆地绿洲农业生态亚区13．托里谷地草原牧业、风蚀敏感生态功能区</w:t>
            </w:r>
            <w:r>
              <w:rPr>
                <w:rFonts w:hint="default" w:ascii="Times New Roman" w:hAnsi="Times New Roman" w:eastAsia="宋体" w:cs="Times New Roman"/>
                <w:color w:val="auto"/>
                <w:sz w:val="24"/>
                <w:szCs w:val="24"/>
                <w:highlight w:val="none"/>
              </w:rPr>
              <w:t>。该功能区</w:t>
            </w:r>
            <w:r>
              <w:rPr>
                <w:rFonts w:hint="eastAsia" w:cs="Times New Roman"/>
                <w:color w:val="auto"/>
                <w:sz w:val="24"/>
                <w:szCs w:val="24"/>
                <w:highlight w:val="none"/>
                <w:lang w:eastAsia="zh-CN"/>
              </w:rPr>
              <w:t>主要</w:t>
            </w:r>
            <w:r>
              <w:rPr>
                <w:rFonts w:hint="default" w:ascii="Times New Roman" w:hAnsi="Times New Roman" w:eastAsia="宋体" w:cs="Times New Roman"/>
                <w:color w:val="auto"/>
                <w:sz w:val="24"/>
                <w:szCs w:val="24"/>
                <w:highlight w:val="none"/>
              </w:rPr>
              <w:t>特征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，详见表</w:t>
            </w:r>
            <w:r>
              <w:rPr>
                <w:rFonts w:hint="eastAsia" w:cs="Times New Roman"/>
                <w:color w:val="000000" w:themeColor="text1"/>
                <w:sz w:val="24"/>
                <w:szCs w:val="24"/>
                <w:highlight w:val="none"/>
                <w:lang w:val="en-US" w:eastAsia="zh-CN"/>
                <w14:textFill>
                  <w14:solidFill>
                    <w14:schemeClr w14:val="tx1"/>
                  </w14:solidFill>
                </w14:textFill>
              </w:rPr>
              <w:t>3-1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，生态功能区划图见图</w:t>
            </w:r>
            <w:r>
              <w:rPr>
                <w:rFonts w:hint="eastAsia"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B358C7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cs="Times New Roman"/>
                <w:b/>
                <w:color w:val="000000" w:themeColor="text1"/>
                <w:kern w:val="0"/>
                <w:sz w:val="24"/>
                <w:szCs w:val="22"/>
                <w:highlight w:val="none"/>
                <w14:textFill>
                  <w14:solidFill>
                    <w14:schemeClr w14:val="tx1"/>
                  </w14:solidFill>
                </w14:textFill>
              </w:rPr>
            </w:pPr>
            <w:r>
              <w:rPr>
                <w:rFonts w:ascii="Times New Roman" w:hAnsi="Times New Roman" w:cs="Times New Roman"/>
                <w:b/>
                <w:color w:val="000000" w:themeColor="text1"/>
                <w:kern w:val="0"/>
                <w:sz w:val="24"/>
                <w:szCs w:val="22"/>
                <w:highlight w:val="none"/>
                <w14:textFill>
                  <w14:solidFill>
                    <w14:schemeClr w14:val="tx1"/>
                  </w14:solidFill>
                </w14:textFill>
              </w:rPr>
              <w:t>表</w:t>
            </w:r>
            <w:r>
              <w:rPr>
                <w:rFonts w:hint="eastAsia" w:cs="Times New Roman"/>
                <w:b/>
                <w:color w:val="000000" w:themeColor="text1"/>
                <w:kern w:val="0"/>
                <w:sz w:val="24"/>
                <w:szCs w:val="22"/>
                <w:highlight w:val="none"/>
                <w:lang w:val="en-US" w:eastAsia="zh-CN"/>
                <w14:textFill>
                  <w14:solidFill>
                    <w14:schemeClr w14:val="tx1"/>
                  </w14:solidFill>
                </w14:textFill>
              </w:rPr>
              <w:t>3-1</w:t>
            </w:r>
            <w:r>
              <w:rPr>
                <w:rFonts w:hint="eastAsia" w:ascii="Times New Roman" w:hAnsi="Times New Roman" w:cs="Times New Roman"/>
                <w:b/>
                <w:color w:val="000000" w:themeColor="text1"/>
                <w:kern w:val="0"/>
                <w:sz w:val="24"/>
                <w:szCs w:val="22"/>
                <w:highlight w:val="none"/>
                <w:lang w:val="en-US" w:eastAsia="zh-CN"/>
                <w14:textFill>
                  <w14:solidFill>
                    <w14:schemeClr w14:val="tx1"/>
                  </w14:solidFill>
                </w14:textFill>
              </w:rPr>
              <w:t xml:space="preserve"> </w:t>
            </w:r>
            <w:r>
              <w:rPr>
                <w:rFonts w:hint="eastAsia" w:cs="Times New Roman"/>
                <w:b/>
                <w:color w:val="000000" w:themeColor="text1"/>
                <w:kern w:val="0"/>
                <w:sz w:val="24"/>
                <w:szCs w:val="22"/>
                <w:highlight w:val="none"/>
                <w:lang w:val="en-US" w:eastAsia="zh-CN"/>
                <w14:textFill>
                  <w14:solidFill>
                    <w14:schemeClr w14:val="tx1"/>
                  </w14:solidFill>
                </w14:textFill>
              </w:rPr>
              <w:t xml:space="preserve">   </w:t>
            </w:r>
            <w:r>
              <w:rPr>
                <w:rFonts w:ascii="Times New Roman" w:hAnsi="Times New Roman" w:cs="Times New Roman"/>
                <w:b/>
                <w:color w:val="000000" w:themeColor="text1"/>
                <w:kern w:val="0"/>
                <w:sz w:val="24"/>
                <w:szCs w:val="22"/>
                <w:highlight w:val="none"/>
                <w14:textFill>
                  <w14:solidFill>
                    <w14:schemeClr w14:val="tx1"/>
                  </w14:solidFill>
                </w14:textFill>
              </w:rPr>
              <w:t>项目区生态功能区划</w:t>
            </w:r>
          </w:p>
          <w:tbl>
            <w:tblPr>
              <w:tblStyle w:val="25"/>
              <w:tblW w:w="0" w:type="auto"/>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594"/>
              <w:gridCol w:w="4196"/>
            </w:tblGrid>
            <w:tr w14:paraId="30FEB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2C06DB8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snapToGrid w:val="0"/>
                      <w:color w:val="auto"/>
                      <w:kern w:val="0"/>
                      <w:sz w:val="21"/>
                      <w:szCs w:val="21"/>
                      <w:highlight w:val="none"/>
                    </w:rPr>
                    <w:t>名   称</w:t>
                  </w:r>
                </w:p>
              </w:tc>
              <w:tc>
                <w:tcPr>
                  <w:tcW w:w="0" w:type="auto"/>
                  <w:tcBorders>
                    <w:tl2br w:val="nil"/>
                    <w:tr2bl w:val="nil"/>
                  </w:tcBorders>
                  <w:noWrap w:val="0"/>
                  <w:vAlign w:val="center"/>
                </w:tcPr>
                <w:p w14:paraId="219588A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snapToGrid w:val="0"/>
                      <w:color w:val="auto"/>
                      <w:kern w:val="0"/>
                      <w:sz w:val="21"/>
                      <w:szCs w:val="21"/>
                      <w:highlight w:val="none"/>
                    </w:rPr>
                    <w:t>13．托里谷地草原牧业、风蚀敏感生态功能区</w:t>
                  </w:r>
                </w:p>
              </w:tc>
            </w:tr>
            <w:tr w14:paraId="441036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44AEEEE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主要生态服务功能</w:t>
                  </w:r>
                </w:p>
              </w:tc>
              <w:tc>
                <w:tcPr>
                  <w:tcW w:w="0" w:type="auto"/>
                  <w:tcBorders>
                    <w:tl2br w:val="nil"/>
                    <w:tr2bl w:val="nil"/>
                  </w:tcBorders>
                  <w:noWrap w:val="0"/>
                  <w:vAlign w:val="center"/>
                </w:tcPr>
                <w:p w14:paraId="02A9C44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畜产品生产、土壤保持</w:t>
                  </w:r>
                </w:p>
              </w:tc>
            </w:tr>
            <w:tr w14:paraId="6835AA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37FC0C8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主要生态环境问题</w:t>
                  </w:r>
                </w:p>
              </w:tc>
              <w:tc>
                <w:tcPr>
                  <w:tcW w:w="0" w:type="auto"/>
                  <w:tcBorders>
                    <w:tl2br w:val="nil"/>
                    <w:tr2bl w:val="nil"/>
                  </w:tcBorders>
                  <w:noWrap w:val="0"/>
                  <w:vAlign w:val="center"/>
                </w:tcPr>
                <w:p w14:paraId="138FD52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草场退化、毁草开荒、土壤风蚀、阿魏资源减少</w:t>
                  </w:r>
                </w:p>
              </w:tc>
            </w:tr>
            <w:tr w14:paraId="08831C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1E34E53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主要生态敏感因子、敏感程度</w:t>
                  </w:r>
                </w:p>
              </w:tc>
              <w:tc>
                <w:tcPr>
                  <w:tcW w:w="0" w:type="auto"/>
                  <w:tcBorders>
                    <w:tl2br w:val="nil"/>
                    <w:tr2bl w:val="nil"/>
                  </w:tcBorders>
                  <w:noWrap w:val="0"/>
                  <w:vAlign w:val="center"/>
                </w:tcPr>
                <w:p w14:paraId="0EB1946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生物多样性及其生境中度敏感，土壤侵蚀中度敏感</w:t>
                  </w:r>
                </w:p>
              </w:tc>
            </w:tr>
            <w:tr w14:paraId="3B4A89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07ECB2B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主要保护目标</w:t>
                  </w:r>
                </w:p>
              </w:tc>
              <w:tc>
                <w:tcPr>
                  <w:tcW w:w="0" w:type="auto"/>
                  <w:tcBorders>
                    <w:tl2br w:val="nil"/>
                    <w:tr2bl w:val="nil"/>
                  </w:tcBorders>
                  <w:noWrap w:val="0"/>
                  <w:vAlign w:val="center"/>
                </w:tcPr>
                <w:p w14:paraId="4C580DF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保护草场、保护阿魏等资源植物、防风固土</w:t>
                  </w:r>
                </w:p>
              </w:tc>
            </w:tr>
            <w:tr w14:paraId="157E71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3C95CA3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主要保护措施</w:t>
                  </w:r>
                </w:p>
              </w:tc>
              <w:tc>
                <w:tcPr>
                  <w:tcW w:w="0" w:type="auto"/>
                  <w:tcBorders>
                    <w:tl2br w:val="nil"/>
                    <w:tr2bl w:val="nil"/>
                  </w:tcBorders>
                  <w:noWrap w:val="0"/>
                  <w:vAlign w:val="center"/>
                </w:tcPr>
                <w:p w14:paraId="6BF27E7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围栏封育、植树造林、退耕还草、严禁滥挖阿魏</w:t>
                  </w:r>
                </w:p>
              </w:tc>
            </w:tr>
            <w:tr w14:paraId="13A333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0" w:type="auto"/>
                  <w:tcBorders>
                    <w:tl2br w:val="nil"/>
                    <w:tr2bl w:val="nil"/>
                  </w:tcBorders>
                  <w:noWrap w:val="0"/>
                  <w:vAlign w:val="center"/>
                </w:tcPr>
                <w:p w14:paraId="008A467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snapToGrid w:val="0"/>
                      <w:color w:val="auto"/>
                      <w:kern w:val="0"/>
                      <w:sz w:val="21"/>
                      <w:szCs w:val="21"/>
                      <w:highlight w:val="none"/>
                    </w:rPr>
                    <w:t>适宜发展方向</w:t>
                  </w:r>
                </w:p>
              </w:tc>
              <w:tc>
                <w:tcPr>
                  <w:tcW w:w="0" w:type="auto"/>
                  <w:tcBorders>
                    <w:tl2br w:val="nil"/>
                    <w:tr2bl w:val="nil"/>
                  </w:tcBorders>
                  <w:noWrap w:val="0"/>
                  <w:vAlign w:val="center"/>
                </w:tcPr>
                <w:p w14:paraId="1F9CE7B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cs="Times New Roman"/>
                      <w:snapToGrid w:val="0"/>
                      <w:color w:val="auto"/>
                      <w:kern w:val="0"/>
                      <w:sz w:val="21"/>
                      <w:szCs w:val="21"/>
                      <w:highlight w:val="none"/>
                      <w:lang w:val="en-US" w:eastAsia="zh-CN"/>
                    </w:rPr>
                  </w:pPr>
                  <w:r>
                    <w:rPr>
                      <w:rFonts w:hint="eastAsia" w:ascii="Times New Roman" w:hAnsi="Times New Roman" w:cs="Times New Roman"/>
                      <w:snapToGrid w:val="0"/>
                      <w:color w:val="auto"/>
                      <w:kern w:val="0"/>
                      <w:sz w:val="21"/>
                      <w:szCs w:val="21"/>
                      <w:highlight w:val="none"/>
                    </w:rPr>
                    <w:t>加强以草原为主的生态建设，促进畜牧业发展</w:t>
                  </w:r>
                </w:p>
              </w:tc>
            </w:tr>
          </w:tbl>
          <w:p w14:paraId="4BA1622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本项目规范化施工建设，临时占地结束后恢复原始地貌，控制施工范围保护区域植被，保护区域土壤环境质量，符合生态功能区划。</w:t>
            </w:r>
          </w:p>
          <w:p w14:paraId="5C8B3C18">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土地利用类型</w:t>
            </w:r>
          </w:p>
          <w:p w14:paraId="7F8D9C45">
            <w:pPr>
              <w:pStyle w:val="3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本项目风电场</w:t>
            </w:r>
            <w:r>
              <w:rPr>
                <w:rFonts w:hint="eastAsia" w:cs="Times New Roman"/>
                <w:color w:val="000000" w:themeColor="text1"/>
                <w:sz w:val="24"/>
                <w:szCs w:val="24"/>
                <w:highlight w:val="none"/>
                <w:lang w:val="en-US" w:eastAsia="zh-CN"/>
                <w14:textFill>
                  <w14:solidFill>
                    <w14:schemeClr w14:val="tx1"/>
                  </w14:solidFill>
                </w14:textFill>
              </w:rPr>
              <w:t>场址范围</w:t>
            </w:r>
            <w:r>
              <w:rPr>
                <w:rFonts w:hint="eastAsia" w:cs="Times New Roman"/>
                <w:color w:val="auto"/>
                <w:highlight w:val="none"/>
                <w:lang w:val="en-US" w:eastAsia="zh-CN"/>
              </w:rPr>
              <w:t>均位于塔城地区托里县</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sz w:val="24"/>
                <w:highlight w:val="none"/>
                <w:lang w:val="en-US" w:eastAsia="zh-CN"/>
              </w:rPr>
              <w:t>不占用准噶尔盆地西部山地水源涵养与生物多样性维护生态保护红线区用地</w:t>
            </w:r>
            <w:r>
              <w:rPr>
                <w:rFonts w:hint="default" w:ascii="Times New Roman" w:hAnsi="Times New Roman" w:eastAsia="宋体" w:cs="Times New Roman"/>
                <w:color w:val="auto"/>
                <w:highlight w:val="none"/>
                <w:lang w:val="en-US" w:eastAsia="zh-CN"/>
              </w:rPr>
              <w:t>，本项目用地包括永久占地及临时占地，根据查询，本项目土地利用类型为</w:t>
            </w:r>
            <w:r>
              <w:rPr>
                <w:rFonts w:hint="eastAsia" w:cs="Times New Roman"/>
                <w:color w:val="auto"/>
                <w:highlight w:val="none"/>
                <w:lang w:val="en-US" w:eastAsia="zh-CN"/>
              </w:rPr>
              <w:t>草地</w:t>
            </w:r>
            <w:r>
              <w:rPr>
                <w:rFonts w:hint="default" w:ascii="Times New Roman" w:hAnsi="Times New Roman" w:eastAsia="宋体" w:cs="Times New Roman"/>
                <w:color w:val="auto"/>
                <w:highlight w:val="none"/>
                <w:lang w:val="en-US" w:eastAsia="zh-CN"/>
              </w:rPr>
              <w:t>，厂址地形平坦，开阔，具备建站条件。根据现场踏勘，项目区不在自然保护区、风景名胜区内。</w:t>
            </w:r>
          </w:p>
          <w:p w14:paraId="4395A441">
            <w:pPr>
              <w:pStyle w:val="3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本项目占地性质为未利用地，占地类型为</w:t>
            </w:r>
            <w:r>
              <w:rPr>
                <w:rFonts w:hint="eastAsia" w:cs="Times New Roman"/>
                <w:color w:val="000000" w:themeColor="text1"/>
                <w:highlight w:val="none"/>
                <w:lang w:val="en-US" w:eastAsia="zh-CN"/>
                <w14:textFill>
                  <w14:solidFill>
                    <w14:schemeClr w14:val="tx1"/>
                  </w14:solidFill>
                </w14:textFill>
              </w:rPr>
              <w:t>其他草地</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草地等级为三级</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，本项目土地利用类型图</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见图</w:t>
            </w:r>
            <w:r>
              <w:rPr>
                <w:rFonts w:hint="eastAsia" w:cs="Times New Roman"/>
                <w:color w:val="000000" w:themeColor="text1"/>
                <w:sz w:val="24"/>
                <w:szCs w:val="24"/>
                <w:highlight w:val="none"/>
                <w:lang w:val="en-US" w:eastAsia="zh-CN"/>
                <w14:textFill>
                  <w14:solidFill>
                    <w14:schemeClr w14:val="tx1"/>
                  </w14:solidFill>
                </w14:textFill>
              </w:rPr>
              <w:t>6</w:t>
            </w:r>
          </w:p>
          <w:p w14:paraId="6AAF54E3">
            <w:pPr>
              <w:pStyle w:val="41"/>
              <w:keepNext w:val="0"/>
              <w:keepLines w:val="0"/>
              <w:pageBreakBefore w:val="0"/>
              <w:widowControl w:val="0"/>
              <w:kinsoku/>
              <w:wordWrap/>
              <w:overflowPunct/>
              <w:topLinePunct w:val="0"/>
              <w:autoSpaceDE/>
              <w:autoSpaceDN/>
              <w:bidi w:val="0"/>
              <w:spacing w:line="480" w:lineRule="exact"/>
              <w:ind w:left="0" w:right="0" w:firstLine="482" w:firstLineChars="20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1.4</w:t>
            </w:r>
            <w:r>
              <w:rPr>
                <w:rFonts w:hint="default" w:ascii="Times New Roman" w:hAnsi="Times New Roman" w:eastAsia="宋体" w:cs="Times New Roman"/>
                <w:b/>
                <w:bCs/>
                <w:color w:val="000000" w:themeColor="text1"/>
                <w:sz w:val="24"/>
                <w:highlight w:val="none"/>
                <w14:textFill>
                  <w14:solidFill>
                    <w14:schemeClr w14:val="tx1"/>
                  </w14:solidFill>
                </w14:textFill>
              </w:rPr>
              <w:t>土壤类型现状调查</w:t>
            </w:r>
          </w:p>
          <w:p w14:paraId="32AAFDF8">
            <w:pPr>
              <w:keepNext w:val="0"/>
              <w:keepLines w:val="0"/>
              <w:pageBreakBefore w:val="0"/>
              <w:widowControl w:val="0"/>
              <w:kinsoku/>
              <w:wordWrap/>
              <w:overflowPunct/>
              <w:topLinePunct w:val="0"/>
              <w:autoSpaceDE/>
              <w:autoSpaceDN/>
              <w:bidi w:val="0"/>
              <w:spacing w:line="480" w:lineRule="exact"/>
              <w:ind w:left="0" w:right="0" w:firstLine="480" w:firstLineChars="200"/>
              <w:jc w:val="both"/>
              <w:textAlignment w:val="auto"/>
              <w:rPr>
                <w:rFonts w:hint="default" w:ascii="Times New Roman" w:hAnsi="Times New Roman" w:eastAsia="宋体" w:cs="Times New Roman"/>
                <w:color w:val="000000"/>
                <w:spacing w:val="0"/>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按照《中国土壤》和《新疆土壤》等著述的土壤分类系统，依据《新疆维吾尔自治区土壤类型图》和野外实地调查，本项目土壤类型为</w:t>
            </w:r>
            <w:r>
              <w:rPr>
                <w:rFonts w:hint="eastAsia" w:cs="Times New Roman"/>
                <w:color w:val="auto"/>
                <w:sz w:val="24"/>
                <w:szCs w:val="24"/>
                <w:highlight w:val="none"/>
                <w:lang w:val="en-US" w:eastAsia="zh-CN"/>
              </w:rPr>
              <w:t>淡栗钙土+粗骨土</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highlight w:val="none"/>
                <w:lang w:val="en-US" w:eastAsia="zh-CN"/>
              </w:rPr>
              <w:t>土壤类型图见</w:t>
            </w:r>
            <w:r>
              <w:rPr>
                <w:rFonts w:hint="default" w:ascii="Times New Roman" w:hAnsi="Times New Roman" w:eastAsia="宋体" w:cs="Times New Roman"/>
                <w:color w:val="000000"/>
                <w:spacing w:val="0"/>
                <w:kern w:val="2"/>
                <w:sz w:val="24"/>
                <w:szCs w:val="24"/>
                <w:highlight w:val="none"/>
                <w:lang w:val="en-US" w:eastAsia="zh-CN" w:bidi="ar-SA"/>
              </w:rPr>
              <w:t>图</w:t>
            </w:r>
            <w:r>
              <w:rPr>
                <w:rFonts w:hint="eastAsia" w:cs="Times New Roman"/>
                <w:color w:val="000000"/>
                <w:spacing w:val="0"/>
                <w:kern w:val="2"/>
                <w:sz w:val="24"/>
                <w:szCs w:val="24"/>
                <w:highlight w:val="none"/>
                <w:lang w:val="en-US" w:eastAsia="zh-CN" w:bidi="ar-SA"/>
              </w:rPr>
              <w:t>7</w:t>
            </w:r>
            <w:r>
              <w:rPr>
                <w:rFonts w:hint="default" w:ascii="Times New Roman" w:hAnsi="Times New Roman" w:eastAsia="宋体" w:cs="Times New Roman"/>
                <w:color w:val="000000"/>
                <w:spacing w:val="0"/>
                <w:kern w:val="2"/>
                <w:sz w:val="24"/>
                <w:szCs w:val="24"/>
                <w:highlight w:val="none"/>
                <w:lang w:val="en-US" w:eastAsia="zh-CN" w:bidi="ar-SA"/>
              </w:rPr>
              <w:t>。</w:t>
            </w:r>
          </w:p>
          <w:p w14:paraId="5AD7A245">
            <w:pPr>
              <w:pStyle w:val="41"/>
              <w:keepNext w:val="0"/>
              <w:keepLines w:val="0"/>
              <w:pageBreakBefore w:val="0"/>
              <w:widowControl w:val="0"/>
              <w:kinsoku/>
              <w:wordWrap/>
              <w:overflowPunct/>
              <w:topLinePunct w:val="0"/>
              <w:autoSpaceDE/>
              <w:autoSpaceDN/>
              <w:bidi w:val="0"/>
              <w:spacing w:line="480" w:lineRule="exact"/>
              <w:ind w:left="0" w:right="0" w:firstLine="482" w:firstLineChars="20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1.5植被现状调查</w:t>
            </w:r>
          </w:p>
          <w:p w14:paraId="6A3A6B84">
            <w:pPr>
              <w:pStyle w:val="41"/>
              <w:keepNext w:val="0"/>
              <w:keepLines w:val="0"/>
              <w:pageBreakBefore w:val="0"/>
              <w:widowControl w:val="0"/>
              <w:kinsoku/>
              <w:wordWrap/>
              <w:overflowPunct/>
              <w:topLinePunct w:val="0"/>
              <w:autoSpaceDE/>
              <w:autoSpaceDN/>
              <w:bidi w:val="0"/>
              <w:spacing w:line="480" w:lineRule="exact"/>
              <w:ind w:left="0" w:right="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kern w:val="0"/>
                <w:highlight w:val="none"/>
              </w:rPr>
              <w:t>根据现场调查</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lang w:val="en-US" w:eastAsia="zh-CN"/>
              </w:rPr>
              <w:t>项目区</w:t>
            </w:r>
            <w:r>
              <w:rPr>
                <w:rFonts w:hint="default" w:ascii="Times New Roman" w:hAnsi="Times New Roman" w:cs="Times New Roman"/>
                <w:color w:val="auto"/>
                <w:kern w:val="0"/>
                <w:highlight w:val="none"/>
              </w:rPr>
              <w:t>自然植被主要为</w:t>
            </w:r>
            <w:r>
              <w:rPr>
                <w:rFonts w:hint="eastAsia" w:ascii="Times New Roman" w:hAnsi="Times New Roman" w:cs="Times New Roman"/>
                <w:color w:val="auto"/>
                <w:kern w:val="0"/>
                <w:highlight w:val="none"/>
                <w:lang w:val="en-US" w:eastAsia="zh-CN"/>
              </w:rPr>
              <w:t>兔儿条、羊茅、冷蒿</w:t>
            </w:r>
            <w:r>
              <w:rPr>
                <w:rFonts w:hint="default" w:ascii="Times New Roman" w:hAnsi="Times New Roman" w:cs="Times New Roman"/>
                <w:color w:val="auto"/>
                <w:kern w:val="0"/>
                <w:highlight w:val="none"/>
                <w:lang w:val="en-US" w:eastAsia="zh-CN"/>
              </w:rPr>
              <w:t>、盐豆木及杂类草，草原锦鸡儿及驼绒藜</w:t>
            </w:r>
            <w:r>
              <w:rPr>
                <w:rFonts w:hint="default" w:ascii="Times New Roman" w:hAnsi="Times New Roman" w:cs="Times New Roman"/>
                <w:color w:val="auto"/>
                <w:kern w:val="0"/>
                <w:highlight w:val="none"/>
              </w:rPr>
              <w:t>成为评价区分布最广的植物群落</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lang w:val="en-US" w:eastAsia="zh-CN"/>
              </w:rPr>
              <w:t>根据《国家重点保护野生植物名录》《新疆维吾尔自治区重点保护野生植物名录》，项目植物不涉及保护植物。</w:t>
            </w:r>
            <w:r>
              <w:rPr>
                <w:rFonts w:hint="eastAsia" w:ascii="Times New Roman" w:hAnsi="Times New Roman" w:cs="Times New Roman"/>
                <w:color w:val="auto"/>
                <w:highlight w:val="none"/>
                <w:lang w:val="en-US" w:eastAsia="zh-CN"/>
              </w:rPr>
              <w:t>植被类型图见图8。</w:t>
            </w:r>
          </w:p>
          <w:p w14:paraId="4A6B4467">
            <w:pPr>
              <w:pStyle w:val="46"/>
              <w:spacing w:line="480" w:lineRule="exact"/>
              <w:ind w:firstLine="0"/>
              <w:jc w:val="center"/>
              <w:rPr>
                <w:rFonts w:hint="default" w:ascii="Times New Roman" w:hAnsi="Times New Roman" w:cs="Times New Roman"/>
                <w:b/>
                <w:color w:val="auto"/>
                <w:kern w:val="0"/>
                <w:sz w:val="24"/>
                <w:szCs w:val="24"/>
                <w:highlight w:val="none"/>
              </w:rPr>
            </w:pPr>
            <w:r>
              <w:rPr>
                <w:rFonts w:hint="default" w:ascii="Times New Roman" w:hAnsi="Times New Roman" w:cs="Times New Roman"/>
                <w:b/>
                <w:color w:val="auto"/>
                <w:kern w:val="0"/>
                <w:sz w:val="24"/>
                <w:szCs w:val="24"/>
                <w:highlight w:val="none"/>
              </w:rPr>
              <w:t>表3-</w:t>
            </w:r>
            <w:r>
              <w:rPr>
                <w:rFonts w:hint="eastAsia" w:ascii="Times New Roman" w:hAnsi="Times New Roman" w:cs="Times New Roman"/>
                <w:b/>
                <w:color w:val="auto"/>
                <w:kern w:val="0"/>
                <w:sz w:val="24"/>
                <w:szCs w:val="24"/>
                <w:highlight w:val="none"/>
                <w:lang w:val="en-US" w:eastAsia="zh-CN"/>
              </w:rPr>
              <w:t>2</w:t>
            </w:r>
            <w:r>
              <w:rPr>
                <w:rFonts w:hint="default" w:ascii="Times New Roman" w:hAnsi="Times New Roman" w:cs="Times New Roman"/>
                <w:b/>
                <w:color w:val="auto"/>
                <w:kern w:val="0"/>
                <w:sz w:val="24"/>
                <w:szCs w:val="24"/>
                <w:highlight w:val="none"/>
              </w:rPr>
              <w:t xml:space="preserve">    评价区主要植物名录</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975"/>
              <w:gridCol w:w="808"/>
              <w:gridCol w:w="1851"/>
              <w:gridCol w:w="530"/>
            </w:tblGrid>
            <w:tr w14:paraId="31714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96" w:type="pct"/>
                  <w:tcBorders>
                    <w:tl2br w:val="nil"/>
                    <w:tr2bl w:val="nil"/>
                  </w:tcBorders>
                  <w:noWrap w:val="0"/>
                  <w:vAlign w:val="center"/>
                </w:tcPr>
                <w:p w14:paraId="65A62E20">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科</w:t>
                  </w:r>
                </w:p>
              </w:tc>
              <w:tc>
                <w:tcPr>
                  <w:tcW w:w="1454" w:type="pct"/>
                  <w:tcBorders>
                    <w:tl2br w:val="nil"/>
                    <w:tr2bl w:val="nil"/>
                  </w:tcBorders>
                  <w:noWrap w:val="0"/>
                  <w:vAlign w:val="center"/>
                </w:tcPr>
                <w:p w14:paraId="7531C0FB">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属</w:t>
                  </w:r>
                </w:p>
              </w:tc>
              <w:tc>
                <w:tcPr>
                  <w:tcW w:w="595" w:type="pct"/>
                  <w:tcBorders>
                    <w:tl2br w:val="nil"/>
                    <w:tr2bl w:val="nil"/>
                  </w:tcBorders>
                  <w:noWrap w:val="0"/>
                  <w:vAlign w:val="center"/>
                </w:tcPr>
                <w:p w14:paraId="77BC71DB">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种名</w:t>
                  </w:r>
                </w:p>
              </w:tc>
              <w:tc>
                <w:tcPr>
                  <w:tcW w:w="1363" w:type="pct"/>
                  <w:tcBorders>
                    <w:tl2br w:val="nil"/>
                    <w:tr2bl w:val="nil"/>
                  </w:tcBorders>
                  <w:noWrap w:val="0"/>
                  <w:vAlign w:val="center"/>
                </w:tcPr>
                <w:p w14:paraId="35F2250A">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拉丁名</w:t>
                  </w:r>
                </w:p>
              </w:tc>
              <w:tc>
                <w:tcPr>
                  <w:tcW w:w="390" w:type="pct"/>
                  <w:tcBorders>
                    <w:tl2br w:val="nil"/>
                    <w:tr2bl w:val="nil"/>
                  </w:tcBorders>
                  <w:noWrap w:val="0"/>
                  <w:vAlign w:val="center"/>
                </w:tcPr>
                <w:p w14:paraId="3E151D2E">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保护级别</w:t>
                  </w:r>
                </w:p>
              </w:tc>
            </w:tr>
            <w:tr w14:paraId="415EB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96" w:type="pct"/>
                  <w:vMerge w:val="restart"/>
                  <w:tcBorders>
                    <w:tl2br w:val="nil"/>
                    <w:tr2bl w:val="nil"/>
                  </w:tcBorders>
                  <w:noWrap w:val="0"/>
                  <w:vAlign w:val="center"/>
                </w:tcPr>
                <w:p w14:paraId="740EE9A7">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蔷薇科</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cs="Times New Roman"/>
                      <w:b w:val="0"/>
                      <w:i/>
                      <w:iCs/>
                      <w:color w:val="auto"/>
                      <w:sz w:val="21"/>
                      <w:szCs w:val="21"/>
                      <w:highlight w:val="none"/>
                      <w:lang w:val="en-US" w:eastAsia="zh-CN"/>
                    </w:rPr>
                    <w:t>Rosaceae</w:t>
                  </w:r>
                </w:p>
              </w:tc>
              <w:tc>
                <w:tcPr>
                  <w:tcW w:w="1454" w:type="pct"/>
                  <w:vMerge w:val="restart"/>
                  <w:tcBorders>
                    <w:tl2br w:val="nil"/>
                    <w:tr2bl w:val="nil"/>
                  </w:tcBorders>
                  <w:noWrap w:val="0"/>
                  <w:vAlign w:val="center"/>
                </w:tcPr>
                <w:p w14:paraId="45DB70EF">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绣线菊</w:t>
                  </w:r>
                  <w:r>
                    <w:rPr>
                      <w:rFonts w:hint="default" w:ascii="Times New Roman" w:hAnsi="Times New Roman" w:eastAsia="宋体" w:cs="Times New Roman"/>
                      <w:b w:val="0"/>
                      <w:bCs w:val="0"/>
                      <w:color w:val="auto"/>
                      <w:sz w:val="21"/>
                      <w:szCs w:val="21"/>
                      <w:highlight w:val="none"/>
                      <w:lang w:val="en-US" w:eastAsia="zh-CN"/>
                    </w:rPr>
                    <w:t>属</w:t>
                  </w:r>
                  <w:r>
                    <w:rPr>
                      <w:rFonts w:hint="eastAsia" w:ascii="Times New Roman" w:hAnsi="Times New Roman" w:eastAsia="宋体" w:cs="Times New Roman"/>
                      <w:b w:val="0"/>
                      <w:bCs w:val="0"/>
                      <w:color w:val="auto"/>
                      <w:sz w:val="21"/>
                      <w:szCs w:val="21"/>
                      <w:highlight w:val="none"/>
                      <w:lang w:val="en-US" w:eastAsia="zh-CN"/>
                    </w:rPr>
                    <w:t xml:space="preserve"> </w:t>
                  </w:r>
                  <w:r>
                    <w:rPr>
                      <w:rFonts w:hint="eastAsia" w:ascii="Times New Roman" w:cs="Times New Roman"/>
                      <w:b w:val="0"/>
                      <w:i/>
                      <w:iCs/>
                      <w:color w:val="auto"/>
                      <w:sz w:val="21"/>
                      <w:szCs w:val="21"/>
                      <w:highlight w:val="none"/>
                      <w:lang w:val="en-US" w:eastAsia="zh-CN"/>
                    </w:rPr>
                    <w:t>Spiraea</w:t>
                  </w:r>
                </w:p>
              </w:tc>
              <w:tc>
                <w:tcPr>
                  <w:tcW w:w="595" w:type="pct"/>
                  <w:vMerge w:val="restart"/>
                  <w:tcBorders>
                    <w:tl2br w:val="nil"/>
                    <w:tr2bl w:val="nil"/>
                  </w:tcBorders>
                  <w:noWrap w:val="0"/>
                  <w:vAlign w:val="center"/>
                </w:tcPr>
                <w:p w14:paraId="1470C412">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cs="Times New Roman"/>
                      <w:b w:val="0"/>
                      <w:color w:val="auto"/>
                      <w:sz w:val="21"/>
                      <w:szCs w:val="21"/>
                      <w:highlight w:val="none"/>
                      <w:lang w:val="en-US" w:eastAsia="zh-CN"/>
                    </w:rPr>
                    <w:t>兔儿条</w:t>
                  </w:r>
                </w:p>
              </w:tc>
              <w:tc>
                <w:tcPr>
                  <w:tcW w:w="1363" w:type="pct"/>
                  <w:vMerge w:val="restart"/>
                  <w:tcBorders>
                    <w:tl2br w:val="nil"/>
                    <w:tr2bl w:val="nil"/>
                  </w:tcBorders>
                  <w:noWrap w:val="0"/>
                  <w:vAlign w:val="center"/>
                </w:tcPr>
                <w:p w14:paraId="0BD20B5B">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ascii="Times New Roman" w:hAnsi="Times New Roman" w:eastAsia="宋体" w:cs="Times New Roman"/>
                      <w:b w:val="0"/>
                      <w:bCs w:val="0"/>
                      <w:i/>
                      <w:iCs/>
                      <w:caps w:val="0"/>
                      <w:color w:val="auto"/>
                      <w:spacing w:val="0"/>
                      <w:sz w:val="21"/>
                      <w:szCs w:val="21"/>
                      <w:highlight w:val="none"/>
                      <w:shd w:val="clear"/>
                    </w:rPr>
                    <w:t>Spiraea hypericifolia</w:t>
                  </w:r>
                  <w:r>
                    <w:rPr>
                      <w:rFonts w:hint="eastAsia" w:ascii="Times New Roman" w:hAnsi="Times New Roman" w:eastAsia="宋体" w:cs="Times New Roman"/>
                      <w:b w:val="0"/>
                      <w:bCs w:val="0"/>
                      <w:i/>
                      <w:iCs/>
                      <w:caps w:val="0"/>
                      <w:color w:val="auto"/>
                      <w:spacing w:val="0"/>
                      <w:sz w:val="21"/>
                      <w:szCs w:val="21"/>
                      <w:highlight w:val="none"/>
                      <w:shd w:val="clear"/>
                      <w:lang w:val="en-US" w:eastAsia="zh-CN"/>
                    </w:rPr>
                    <w:t xml:space="preserve"> </w:t>
                  </w:r>
                  <w:r>
                    <w:rPr>
                      <w:rFonts w:hint="default" w:ascii="Times New Roman" w:hAnsi="Times New Roman" w:eastAsia="宋体" w:cs="Times New Roman"/>
                      <w:b w:val="0"/>
                      <w:bCs w:val="0"/>
                      <w:i/>
                      <w:iCs/>
                      <w:caps w:val="0"/>
                      <w:color w:val="auto"/>
                      <w:spacing w:val="0"/>
                      <w:sz w:val="21"/>
                      <w:szCs w:val="21"/>
                      <w:highlight w:val="none"/>
                      <w:shd w:val="clear"/>
                    </w:rPr>
                    <w:t>L.</w:t>
                  </w:r>
                </w:p>
              </w:tc>
              <w:tc>
                <w:tcPr>
                  <w:tcW w:w="390" w:type="pct"/>
                  <w:tcBorders>
                    <w:tl2br w:val="nil"/>
                    <w:tr2bl w:val="nil"/>
                  </w:tcBorders>
                  <w:noWrap w:val="0"/>
                  <w:vAlign w:val="center"/>
                </w:tcPr>
                <w:p w14:paraId="420AA6BE">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无</w:t>
                  </w:r>
                </w:p>
              </w:tc>
            </w:tr>
            <w:tr w14:paraId="27CCF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196" w:type="pct"/>
                  <w:vMerge w:val="continue"/>
                  <w:tcBorders>
                    <w:tl2br w:val="nil"/>
                    <w:tr2bl w:val="nil"/>
                  </w:tcBorders>
                  <w:noWrap w:val="0"/>
                  <w:vAlign w:val="center"/>
                </w:tcPr>
                <w:p w14:paraId="38F47104">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454" w:type="pct"/>
                  <w:vMerge w:val="continue"/>
                  <w:tcBorders>
                    <w:tl2br w:val="nil"/>
                    <w:tr2bl w:val="nil"/>
                  </w:tcBorders>
                  <w:noWrap w:val="0"/>
                  <w:vAlign w:val="center"/>
                </w:tcPr>
                <w:p w14:paraId="5A14765F">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p>
              </w:tc>
              <w:tc>
                <w:tcPr>
                  <w:tcW w:w="595" w:type="pct"/>
                  <w:vMerge w:val="continue"/>
                  <w:tcBorders>
                    <w:tl2br w:val="nil"/>
                    <w:tr2bl w:val="nil"/>
                  </w:tcBorders>
                  <w:noWrap w:val="0"/>
                  <w:vAlign w:val="center"/>
                </w:tcPr>
                <w:p w14:paraId="05430391">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p>
              </w:tc>
              <w:tc>
                <w:tcPr>
                  <w:tcW w:w="1363" w:type="pct"/>
                  <w:vMerge w:val="continue"/>
                  <w:tcBorders>
                    <w:tl2br w:val="nil"/>
                    <w:tr2bl w:val="nil"/>
                  </w:tcBorders>
                  <w:noWrap w:val="0"/>
                  <w:vAlign w:val="center"/>
                </w:tcPr>
                <w:p w14:paraId="7FAF42D8">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p>
              </w:tc>
              <w:tc>
                <w:tcPr>
                  <w:tcW w:w="390" w:type="pct"/>
                  <w:tcBorders>
                    <w:tl2br w:val="nil"/>
                    <w:tr2bl w:val="nil"/>
                  </w:tcBorders>
                  <w:noWrap w:val="0"/>
                  <w:vAlign w:val="center"/>
                </w:tcPr>
                <w:p w14:paraId="294992C6">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无</w:t>
                  </w:r>
                </w:p>
              </w:tc>
            </w:tr>
            <w:tr w14:paraId="50C67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196" w:type="pct"/>
                  <w:tcBorders>
                    <w:tl2br w:val="nil"/>
                    <w:tr2bl w:val="nil"/>
                  </w:tcBorders>
                  <w:noWrap w:val="0"/>
                  <w:vAlign w:val="center"/>
                </w:tcPr>
                <w:p w14:paraId="1E324390">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eastAsia"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en-US" w:bidi="en-US"/>
                    </w:rPr>
                    <w:t>禾本科</w:t>
                  </w:r>
                  <w:r>
                    <w:rPr>
                      <w:rFonts w:hint="eastAsia" w:ascii="Times New Roman" w:cs="Times New Roman"/>
                      <w:b w:val="0"/>
                      <w:i/>
                      <w:iCs/>
                      <w:color w:val="auto"/>
                      <w:kern w:val="0"/>
                      <w:sz w:val="21"/>
                      <w:szCs w:val="21"/>
                      <w:highlight w:val="none"/>
                      <w:lang w:val="en-US" w:eastAsia="zh-CN" w:bidi="en-US"/>
                    </w:rPr>
                    <w:t>Gramineae</w:t>
                  </w:r>
                </w:p>
              </w:tc>
              <w:tc>
                <w:tcPr>
                  <w:tcW w:w="1454" w:type="pct"/>
                  <w:tcBorders>
                    <w:tl2br w:val="nil"/>
                    <w:tr2bl w:val="nil"/>
                  </w:tcBorders>
                  <w:noWrap w:val="0"/>
                  <w:vAlign w:val="center"/>
                </w:tcPr>
                <w:p w14:paraId="2F2371B9">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eastAsia" w:ascii="Times New Roman" w:hAnsi="Times New Roman" w:eastAsia="宋体" w:cs="Times New Roman"/>
                      <w:b w:val="0"/>
                      <w:color w:val="auto"/>
                      <w:kern w:val="0"/>
                      <w:sz w:val="21"/>
                      <w:szCs w:val="21"/>
                      <w:highlight w:val="none"/>
                      <w:lang w:val="en-US" w:eastAsia="zh-CN" w:bidi="en-US"/>
                    </w:rPr>
                  </w:pPr>
                  <w:bookmarkStart w:id="12" w:name="_Toc458391324"/>
                  <w:r>
                    <w:rPr>
                      <w:rFonts w:hint="eastAsia" w:ascii="Times New Roman" w:cs="Times New Roman"/>
                      <w:b w:val="0"/>
                      <w:color w:val="auto"/>
                      <w:kern w:val="0"/>
                      <w:sz w:val="21"/>
                      <w:szCs w:val="21"/>
                      <w:highlight w:val="none"/>
                      <w:lang w:val="en-US" w:eastAsia="zh-CN" w:bidi="en-US"/>
                    </w:rPr>
                    <w:t>羊</w:t>
                  </w:r>
                  <w:r>
                    <w:rPr>
                      <w:rFonts w:hint="default" w:ascii="Times New Roman" w:hAnsi="Times New Roman" w:eastAsia="宋体" w:cs="Times New Roman"/>
                      <w:b w:val="0"/>
                      <w:color w:val="auto"/>
                      <w:kern w:val="0"/>
                      <w:sz w:val="21"/>
                      <w:szCs w:val="21"/>
                      <w:highlight w:val="none"/>
                      <w:lang w:val="en-US" w:eastAsia="en-US" w:bidi="en-US"/>
                    </w:rPr>
                    <w:t>茅属</w:t>
                  </w:r>
                  <w:bookmarkEnd w:id="12"/>
                  <w:r>
                    <w:rPr>
                      <w:rFonts w:hint="eastAsia" w:ascii="Times New Roman" w:cs="Times New Roman"/>
                      <w:b w:val="0"/>
                      <w:color w:val="auto"/>
                      <w:kern w:val="0"/>
                      <w:sz w:val="21"/>
                      <w:szCs w:val="21"/>
                      <w:highlight w:val="none"/>
                      <w:lang w:val="en-US" w:eastAsia="zh-CN" w:bidi="en-US"/>
                    </w:rPr>
                    <w:t>Festuca</w:t>
                  </w:r>
                </w:p>
              </w:tc>
              <w:tc>
                <w:tcPr>
                  <w:tcW w:w="595" w:type="pct"/>
                  <w:tcBorders>
                    <w:tl2br w:val="nil"/>
                    <w:tr2bl w:val="nil"/>
                  </w:tcBorders>
                  <w:noWrap w:val="0"/>
                  <w:vAlign w:val="center"/>
                </w:tcPr>
                <w:p w14:paraId="6EE9FAA3">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eastAsia" w:ascii="Times New Roman" w:cs="Times New Roman"/>
                      <w:b w:val="0"/>
                      <w:color w:val="auto"/>
                      <w:kern w:val="0"/>
                      <w:sz w:val="21"/>
                      <w:szCs w:val="21"/>
                      <w:highlight w:val="none"/>
                      <w:lang w:val="en-US" w:eastAsia="zh-CN" w:bidi="en-US"/>
                    </w:rPr>
                    <w:t>羊</w:t>
                  </w:r>
                  <w:r>
                    <w:rPr>
                      <w:rFonts w:hint="default" w:ascii="Times New Roman" w:hAnsi="Times New Roman" w:eastAsia="宋体" w:cs="Times New Roman"/>
                      <w:b w:val="0"/>
                      <w:color w:val="auto"/>
                      <w:kern w:val="0"/>
                      <w:sz w:val="21"/>
                      <w:szCs w:val="21"/>
                      <w:highlight w:val="none"/>
                      <w:lang w:val="en-US" w:eastAsia="zh-CN" w:bidi="en-US"/>
                    </w:rPr>
                    <w:t>茅</w:t>
                  </w:r>
                </w:p>
              </w:tc>
              <w:tc>
                <w:tcPr>
                  <w:tcW w:w="1363" w:type="pct"/>
                  <w:tcBorders>
                    <w:tl2br w:val="nil"/>
                    <w:tr2bl w:val="nil"/>
                  </w:tcBorders>
                  <w:noWrap w:val="0"/>
                  <w:vAlign w:val="center"/>
                </w:tcPr>
                <w:p w14:paraId="074AFC24">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kern w:val="0"/>
                      <w:sz w:val="21"/>
                      <w:szCs w:val="21"/>
                      <w:highlight w:val="none"/>
                      <w:lang w:val="en-US" w:eastAsia="zh-CN" w:bidi="en-US"/>
                    </w:rPr>
                  </w:pPr>
                  <w:r>
                    <w:rPr>
                      <w:rFonts w:hint="eastAsia" w:ascii="Times New Roman" w:cs="Times New Roman"/>
                      <w:b w:val="0"/>
                      <w:i/>
                      <w:iCs/>
                      <w:color w:val="auto"/>
                      <w:sz w:val="21"/>
                      <w:szCs w:val="21"/>
                      <w:highlight w:val="none"/>
                      <w:lang w:val="en-US" w:eastAsia="zh-CN"/>
                    </w:rPr>
                    <w:t xml:space="preserve">Festuca ovina L. </w:t>
                  </w:r>
                  <w:r>
                    <w:rPr>
                      <w:rFonts w:hint="default" w:ascii="Times New Roman" w:hAnsi="Times New Roman" w:eastAsia="宋体" w:cs="Times New Roman"/>
                      <w:b w:val="0"/>
                      <w:i/>
                      <w:iCs/>
                      <w:color w:val="auto"/>
                      <w:sz w:val="21"/>
                      <w:szCs w:val="21"/>
                      <w:highlight w:val="none"/>
                      <w:lang w:val="en-US" w:eastAsia="zh-CN"/>
                    </w:rPr>
                    <w:t>.</w:t>
                  </w:r>
                </w:p>
              </w:tc>
              <w:tc>
                <w:tcPr>
                  <w:tcW w:w="390" w:type="pct"/>
                  <w:tcBorders>
                    <w:tl2br w:val="nil"/>
                    <w:tr2bl w:val="nil"/>
                  </w:tcBorders>
                  <w:noWrap w:val="0"/>
                  <w:vAlign w:val="center"/>
                </w:tcPr>
                <w:p w14:paraId="67E186EF">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无</w:t>
                  </w:r>
                </w:p>
              </w:tc>
            </w:tr>
            <w:tr w14:paraId="6CCED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6" w:type="pct"/>
                  <w:vMerge w:val="restart"/>
                  <w:tcBorders>
                    <w:tl2br w:val="nil"/>
                    <w:tr2bl w:val="nil"/>
                  </w:tcBorders>
                  <w:noWrap w:val="0"/>
                  <w:vAlign w:val="center"/>
                </w:tcPr>
                <w:p w14:paraId="756EEBD8">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菊科</w:t>
                  </w:r>
                  <w:r>
                    <w:rPr>
                      <w:rFonts w:hint="default" w:ascii="Times New Roman" w:hAnsi="Times New Roman" w:eastAsia="宋体" w:cs="Times New Roman"/>
                      <w:b w:val="0"/>
                      <w:i/>
                      <w:iCs/>
                      <w:color w:val="auto"/>
                      <w:kern w:val="0"/>
                      <w:sz w:val="21"/>
                      <w:szCs w:val="21"/>
                      <w:highlight w:val="none"/>
                      <w:lang w:val="en-US" w:eastAsia="zh-CN" w:bidi="en-US"/>
                    </w:rPr>
                    <w:t>Asteraceae</w:t>
                  </w:r>
                </w:p>
              </w:tc>
              <w:tc>
                <w:tcPr>
                  <w:tcW w:w="1454" w:type="pct"/>
                  <w:tcBorders>
                    <w:tl2br w:val="nil"/>
                    <w:tr2bl w:val="nil"/>
                  </w:tcBorders>
                  <w:noWrap w:val="0"/>
                  <w:vAlign w:val="center"/>
                </w:tcPr>
                <w:p w14:paraId="6954E10D">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eastAsia" w:ascii="Times New Roman" w:hAnsi="Times New Roman" w:eastAsia="宋体" w:cs="Times New Roman"/>
                      <w:b w:val="0"/>
                      <w:color w:val="auto"/>
                      <w:kern w:val="0"/>
                      <w:sz w:val="21"/>
                      <w:szCs w:val="21"/>
                      <w:highlight w:val="none"/>
                      <w:lang w:val="en-US" w:eastAsia="zh-CN" w:bidi="en-US"/>
                    </w:rPr>
                  </w:pPr>
                  <w:bookmarkStart w:id="13" w:name="_Toc458391268"/>
                  <w:r>
                    <w:rPr>
                      <w:rFonts w:hint="default" w:ascii="Times New Roman" w:hAnsi="Times New Roman" w:eastAsia="宋体" w:cs="Times New Roman"/>
                      <w:b w:val="0"/>
                      <w:color w:val="auto"/>
                      <w:kern w:val="0"/>
                      <w:sz w:val="21"/>
                      <w:szCs w:val="21"/>
                      <w:highlight w:val="none"/>
                      <w:lang w:val="en-US" w:eastAsia="en-US" w:bidi="en-US"/>
                    </w:rPr>
                    <w:t>蒿属</w:t>
                  </w:r>
                  <w:bookmarkEnd w:id="13"/>
                  <w:r>
                    <w:rPr>
                      <w:rFonts w:hint="eastAsia" w:ascii="Times New Roman" w:cs="Times New Roman"/>
                      <w:b w:val="0"/>
                      <w:i/>
                      <w:iCs/>
                      <w:color w:val="auto"/>
                      <w:kern w:val="0"/>
                      <w:sz w:val="21"/>
                      <w:szCs w:val="21"/>
                      <w:highlight w:val="none"/>
                      <w:lang w:val="en-US" w:eastAsia="zh-CN" w:bidi="en-US"/>
                    </w:rPr>
                    <w:t>Artemisia</w:t>
                  </w:r>
                </w:p>
              </w:tc>
              <w:tc>
                <w:tcPr>
                  <w:tcW w:w="595" w:type="pct"/>
                  <w:tcBorders>
                    <w:tl2br w:val="nil"/>
                    <w:tr2bl w:val="nil"/>
                  </w:tcBorders>
                  <w:noWrap w:val="0"/>
                  <w:vAlign w:val="center"/>
                </w:tcPr>
                <w:p w14:paraId="559ED26A">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eastAsia" w:ascii="Times New Roman" w:cs="Times New Roman"/>
                      <w:b w:val="0"/>
                      <w:color w:val="auto"/>
                      <w:kern w:val="0"/>
                      <w:sz w:val="21"/>
                      <w:szCs w:val="21"/>
                      <w:highlight w:val="none"/>
                      <w:lang w:val="en-US" w:eastAsia="zh-CN" w:bidi="en-US"/>
                    </w:rPr>
                    <w:t>冷</w:t>
                  </w:r>
                  <w:r>
                    <w:rPr>
                      <w:rFonts w:hint="default" w:ascii="Times New Roman" w:hAnsi="Times New Roman" w:eastAsia="宋体" w:cs="Times New Roman"/>
                      <w:b w:val="0"/>
                      <w:color w:val="auto"/>
                      <w:kern w:val="0"/>
                      <w:sz w:val="21"/>
                      <w:szCs w:val="21"/>
                      <w:highlight w:val="none"/>
                      <w:lang w:val="en-US" w:eastAsia="zh-CN" w:bidi="en-US"/>
                    </w:rPr>
                    <w:t>蒿</w:t>
                  </w:r>
                </w:p>
              </w:tc>
              <w:tc>
                <w:tcPr>
                  <w:tcW w:w="1363" w:type="pct"/>
                  <w:tcBorders>
                    <w:tl2br w:val="nil"/>
                    <w:tr2bl w:val="nil"/>
                  </w:tcBorders>
                  <w:noWrap w:val="0"/>
                  <w:vAlign w:val="center"/>
                </w:tcPr>
                <w:p w14:paraId="3B55FAE2">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eastAsia" w:ascii="Times New Roman" w:cs="Times New Roman"/>
                      <w:b w:val="0"/>
                      <w:i/>
                      <w:iCs/>
                      <w:color w:val="auto"/>
                      <w:sz w:val="21"/>
                      <w:szCs w:val="21"/>
                      <w:highlight w:val="none"/>
                      <w:lang w:val="en-US" w:eastAsia="zh-CN"/>
                    </w:rPr>
                    <w:t>Artemisia frigida Willd.</w:t>
                  </w:r>
                </w:p>
              </w:tc>
              <w:tc>
                <w:tcPr>
                  <w:tcW w:w="390" w:type="pct"/>
                  <w:tcBorders>
                    <w:tl2br w:val="nil"/>
                    <w:tr2bl w:val="nil"/>
                  </w:tcBorders>
                  <w:noWrap w:val="0"/>
                  <w:vAlign w:val="center"/>
                </w:tcPr>
                <w:p w14:paraId="1E3122FD">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无</w:t>
                  </w:r>
                </w:p>
              </w:tc>
            </w:tr>
            <w:tr w14:paraId="0F94A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196" w:type="pct"/>
                  <w:tcBorders>
                    <w:tl2br w:val="nil"/>
                    <w:tr2bl w:val="nil"/>
                  </w:tcBorders>
                  <w:noWrap w:val="0"/>
                  <w:vAlign w:val="center"/>
                </w:tcPr>
                <w:p w14:paraId="4EE1CC60">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豆科</w:t>
                  </w:r>
                </w:p>
              </w:tc>
              <w:tc>
                <w:tcPr>
                  <w:tcW w:w="1454" w:type="pct"/>
                  <w:tcBorders>
                    <w:tl2br w:val="nil"/>
                    <w:tr2bl w:val="nil"/>
                  </w:tcBorders>
                  <w:noWrap w:val="0"/>
                  <w:vAlign w:val="center"/>
                </w:tcPr>
                <w:p w14:paraId="796EA44B">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fldChar w:fldCharType="begin"/>
                  </w:r>
                  <w:r>
                    <w:rPr>
                      <w:rFonts w:hint="default" w:ascii="Times New Roman" w:hAnsi="Times New Roman" w:eastAsia="宋体" w:cs="Times New Roman"/>
                      <w:b w:val="0"/>
                      <w:color w:val="auto"/>
                      <w:kern w:val="0"/>
                      <w:sz w:val="21"/>
                      <w:szCs w:val="21"/>
                      <w:highlight w:val="none"/>
                      <w:lang w:val="en-US" w:eastAsia="zh-CN" w:bidi="en-US"/>
                    </w:rPr>
                    <w:instrText xml:space="preserve"> HYPERLINK "https://www.baidu.com/s?word=%E9%94%A6%E9%B8%A1%E5%84%BF%E5%B1%9E&amp;sa=re_dqa_zy" \t "https://answer.baidu.com/answer/_self" </w:instrText>
                  </w:r>
                  <w:r>
                    <w:rPr>
                      <w:rFonts w:hint="default" w:ascii="Times New Roman" w:hAnsi="Times New Roman" w:eastAsia="宋体" w:cs="Times New Roman"/>
                      <w:b w:val="0"/>
                      <w:color w:val="auto"/>
                      <w:kern w:val="0"/>
                      <w:sz w:val="21"/>
                      <w:szCs w:val="21"/>
                      <w:highlight w:val="none"/>
                      <w:lang w:val="en-US" w:eastAsia="zh-CN" w:bidi="en-US"/>
                    </w:rPr>
                    <w:fldChar w:fldCharType="separate"/>
                  </w:r>
                  <w:r>
                    <w:rPr>
                      <w:rFonts w:hint="default" w:ascii="Times New Roman" w:hAnsi="Times New Roman" w:eastAsia="宋体" w:cs="Times New Roman"/>
                      <w:b w:val="0"/>
                      <w:color w:val="auto"/>
                      <w:kern w:val="0"/>
                      <w:sz w:val="21"/>
                      <w:szCs w:val="21"/>
                      <w:highlight w:val="none"/>
                      <w:lang w:val="en-US" w:eastAsia="zh-CN" w:bidi="en-US"/>
                    </w:rPr>
                    <w:t>锦鸡儿属</w:t>
                  </w:r>
                  <w:r>
                    <w:rPr>
                      <w:rFonts w:hint="default" w:ascii="Times New Roman" w:hAnsi="Times New Roman" w:eastAsia="宋体" w:cs="Times New Roman"/>
                      <w:b w:val="0"/>
                      <w:color w:val="auto"/>
                      <w:kern w:val="0"/>
                      <w:sz w:val="21"/>
                      <w:szCs w:val="21"/>
                      <w:highlight w:val="none"/>
                      <w:lang w:val="en-US" w:eastAsia="zh-CN" w:bidi="en-US"/>
                    </w:rPr>
                    <w:fldChar w:fldCharType="end"/>
                  </w:r>
                  <w:r>
                    <w:rPr>
                      <w:rFonts w:hint="eastAsia" w:ascii="Times New Roman" w:hAnsi="Times New Roman" w:eastAsia="宋体" w:cs="Times New Roman"/>
                      <w:b w:val="0"/>
                      <w:color w:val="auto"/>
                      <w:kern w:val="0"/>
                      <w:sz w:val="21"/>
                      <w:szCs w:val="21"/>
                      <w:highlight w:val="none"/>
                      <w:lang w:val="en-US" w:eastAsia="zh-CN" w:bidi="en-US"/>
                    </w:rPr>
                    <w:t xml:space="preserve"> </w:t>
                  </w:r>
                  <w:r>
                    <w:rPr>
                      <w:rFonts w:hint="eastAsia" w:ascii="Times New Roman" w:hAnsi="Times New Roman" w:eastAsia="宋体" w:cs="Times New Roman"/>
                      <w:b w:val="0"/>
                      <w:i/>
                      <w:iCs/>
                      <w:color w:val="auto"/>
                      <w:kern w:val="0"/>
                      <w:sz w:val="21"/>
                      <w:szCs w:val="21"/>
                      <w:highlight w:val="none"/>
                      <w:lang w:val="en-US" w:eastAsia="zh-CN" w:bidi="en-US"/>
                    </w:rPr>
                    <w:t>Caragana</w:t>
                  </w:r>
                  <w:r>
                    <w:rPr>
                      <w:rFonts w:hint="eastAsia" w:ascii="Times New Roman" w:hAnsi="Times New Roman" w:eastAsia="宋体" w:cs="Times New Roman"/>
                      <w:b w:val="0"/>
                      <w:color w:val="auto"/>
                      <w:kern w:val="0"/>
                      <w:sz w:val="21"/>
                      <w:szCs w:val="21"/>
                      <w:highlight w:val="none"/>
                      <w:lang w:val="en-US" w:eastAsia="zh-CN" w:bidi="en-US"/>
                    </w:rPr>
                    <w:t xml:space="preserve"> Fabr.</w:t>
                  </w:r>
                </w:p>
              </w:tc>
              <w:tc>
                <w:tcPr>
                  <w:tcW w:w="595" w:type="pct"/>
                  <w:tcBorders>
                    <w:tl2br w:val="nil"/>
                    <w:tr2bl w:val="nil"/>
                  </w:tcBorders>
                  <w:noWrap w:val="0"/>
                  <w:vAlign w:val="center"/>
                </w:tcPr>
                <w:p w14:paraId="229740B5">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草原锦鸡儿</w:t>
                  </w:r>
                </w:p>
              </w:tc>
              <w:tc>
                <w:tcPr>
                  <w:tcW w:w="1363" w:type="pct"/>
                  <w:tcBorders>
                    <w:tl2br w:val="nil"/>
                    <w:tr2bl w:val="nil"/>
                  </w:tcBorders>
                  <w:noWrap w:val="0"/>
                  <w:vAlign w:val="center"/>
                </w:tcPr>
                <w:p w14:paraId="5177C074">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i/>
                      <w:iCs/>
                      <w:color w:val="auto"/>
                      <w:kern w:val="0"/>
                      <w:sz w:val="21"/>
                      <w:szCs w:val="21"/>
                      <w:highlight w:val="none"/>
                      <w:lang w:val="en-US" w:eastAsia="zh-CN" w:bidi="en-US"/>
                    </w:rPr>
                  </w:pPr>
                  <w:r>
                    <w:rPr>
                      <w:rFonts w:hint="default" w:ascii="Times New Roman" w:hAnsi="Times New Roman" w:eastAsia="宋体" w:cs="Times New Roman"/>
                      <w:b w:val="0"/>
                      <w:i/>
                      <w:iCs/>
                      <w:color w:val="auto"/>
                      <w:sz w:val="21"/>
                      <w:szCs w:val="21"/>
                      <w:highlight w:val="none"/>
                      <w:lang w:val="en-US" w:eastAsia="zh-CN"/>
                    </w:rPr>
                    <w:t>Caragana Fabr.</w:t>
                  </w:r>
                </w:p>
              </w:tc>
              <w:tc>
                <w:tcPr>
                  <w:tcW w:w="390" w:type="pct"/>
                  <w:tcBorders>
                    <w:tl2br w:val="nil"/>
                    <w:tr2bl w:val="nil"/>
                  </w:tcBorders>
                  <w:noWrap w:val="0"/>
                  <w:vAlign w:val="center"/>
                </w:tcPr>
                <w:p w14:paraId="3F506B9D">
                  <w:pPr>
                    <w:pStyle w:val="29"/>
                    <w:keepNext w:val="0"/>
                    <w:keepLines w:val="0"/>
                    <w:pageBreakBefore w:val="0"/>
                    <w:widowControl/>
                    <w:kinsoku/>
                    <w:wordWrap/>
                    <w:overflowPunct/>
                    <w:topLinePunct w:val="0"/>
                    <w:autoSpaceDE/>
                    <w:autoSpaceDN/>
                    <w:bidi w:val="0"/>
                    <w:adjustRightInd/>
                    <w:snapToGrid/>
                    <w:spacing w:beforeLines="0" w:afterLines="0" w:line="360" w:lineRule="exact"/>
                    <w:ind w:left="0" w:leftChars="0" w:right="0" w:rightChars="0"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en-US"/>
                    </w:rPr>
                  </w:pPr>
                  <w:r>
                    <w:rPr>
                      <w:rFonts w:hint="default" w:ascii="Times New Roman" w:hAnsi="Times New Roman" w:eastAsia="宋体" w:cs="Times New Roman"/>
                      <w:b w:val="0"/>
                      <w:color w:val="auto"/>
                      <w:kern w:val="0"/>
                      <w:sz w:val="21"/>
                      <w:szCs w:val="21"/>
                      <w:highlight w:val="none"/>
                      <w:lang w:val="en-US" w:eastAsia="zh-CN" w:bidi="en-US"/>
                    </w:rPr>
                    <w:t>无</w:t>
                  </w:r>
                </w:p>
              </w:tc>
            </w:tr>
          </w:tbl>
          <w:p w14:paraId="5A4B68F1">
            <w:pPr>
              <w:pStyle w:val="41"/>
              <w:keepNext w:val="0"/>
              <w:keepLines w:val="0"/>
              <w:pageBreakBefore w:val="0"/>
              <w:widowControl w:val="0"/>
              <w:kinsoku/>
              <w:wordWrap/>
              <w:overflowPunct/>
              <w:topLinePunct w:val="0"/>
              <w:autoSpaceDE/>
              <w:autoSpaceDN/>
              <w:bidi w:val="0"/>
              <w:spacing w:line="480" w:lineRule="exact"/>
              <w:ind w:right="0" w:firstLine="482" w:firstLineChars="20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1.6野生动物现状调查</w:t>
            </w:r>
          </w:p>
          <w:p w14:paraId="059AF215">
            <w:pPr>
              <w:pStyle w:val="3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宋体" w:cs="Times New Roman"/>
                <w:color w:val="auto"/>
                <w:highlight w:val="none"/>
                <w:lang w:val="en-US" w:eastAsia="zh-CN"/>
              </w:rPr>
            </w:pPr>
            <w:bookmarkStart w:id="14" w:name="_Toc722"/>
            <w:bookmarkStart w:id="15" w:name="_Toc16289"/>
            <w:r>
              <w:rPr>
                <w:rFonts w:hint="default" w:ascii="Times New Roman" w:hAnsi="Times New Roman" w:eastAsia="宋体" w:cs="Times New Roman"/>
                <w:color w:val="auto"/>
                <w:highlight w:val="none"/>
                <w:lang w:val="en-US" w:eastAsia="zh-CN"/>
              </w:rPr>
              <w:t>由于干旱的大陆性气候控制下的自然环境条件，致使评价区所属动物区系的野生动物种类贫乏，组成简单，分布于该区的动物以北方型耐寒种类和中亚型耐旱种类为主。</w:t>
            </w:r>
          </w:p>
          <w:p w14:paraId="31941FAA">
            <w:pPr>
              <w:pStyle w:val="3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经踏勘，项目沿线评价范围内未见国家、地方保护野生动物活动。咨询项目区周边区域的居民，在项目范围附近未见到大型兽类动物活动，偶见草兔、麻雀、荒漠麻蜥。</w:t>
            </w:r>
            <w:bookmarkEnd w:id="14"/>
            <w:bookmarkEnd w:id="15"/>
          </w:p>
          <w:p w14:paraId="30F3F475">
            <w:pPr>
              <w:overflowPunct w:val="0"/>
              <w:topLinePunct/>
              <w:adjustRightInd w:val="0"/>
              <w:spacing w:line="480" w:lineRule="exact"/>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表</w:t>
            </w:r>
            <w:r>
              <w:rPr>
                <w:rFonts w:hint="eastAsia" w:ascii="Times New Roman" w:hAnsi="Times New Roman" w:eastAsia="宋体" w:cs="Times New Roman"/>
                <w:b/>
                <w:color w:val="auto"/>
                <w:sz w:val="24"/>
                <w:szCs w:val="24"/>
                <w:highlight w:val="none"/>
                <w:lang w:val="en-US" w:eastAsia="zh-CN"/>
              </w:rPr>
              <w:t>3-3</w:t>
            </w:r>
            <w:r>
              <w:rPr>
                <w:rFonts w:hint="default" w:ascii="Times New Roman" w:hAnsi="Times New Roman" w:eastAsia="宋体" w:cs="Times New Roman"/>
                <w:b/>
                <w:color w:val="auto"/>
                <w:sz w:val="24"/>
                <w:szCs w:val="24"/>
                <w:highlight w:val="none"/>
                <w:lang w:val="en-US" w:eastAsia="zh-CN"/>
              </w:rPr>
              <w:t xml:space="preserve">  </w:t>
            </w:r>
            <w:r>
              <w:rPr>
                <w:rFonts w:hint="eastAsia" w:ascii="Times New Roman" w:hAnsi="Times New Roman" w:eastAsia="宋体" w:cs="Times New Roman"/>
                <w:b/>
                <w:color w:val="auto"/>
                <w:sz w:val="24"/>
                <w:szCs w:val="24"/>
                <w:highlight w:val="none"/>
                <w:lang w:val="en-US" w:eastAsia="zh-CN"/>
              </w:rPr>
              <w:t xml:space="preserve"> </w:t>
            </w:r>
            <w:r>
              <w:rPr>
                <w:rFonts w:hint="default" w:ascii="Times New Roman" w:hAnsi="Times New Roman" w:eastAsia="宋体" w:cs="Times New Roman"/>
                <w:b/>
                <w:color w:val="auto"/>
                <w:sz w:val="24"/>
                <w:szCs w:val="24"/>
                <w:highlight w:val="none"/>
                <w:lang w:val="en-US" w:eastAsia="zh-CN"/>
              </w:rPr>
              <w:t xml:space="preserve"> </w:t>
            </w:r>
            <w:r>
              <w:rPr>
                <w:rFonts w:hint="default" w:ascii="Times New Roman" w:hAnsi="Times New Roman" w:eastAsia="宋体" w:cs="Times New Roman"/>
                <w:b/>
                <w:color w:val="auto"/>
                <w:sz w:val="24"/>
                <w:szCs w:val="24"/>
                <w:highlight w:val="none"/>
              </w:rPr>
              <w:t>区域主要脊椎动物名录</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11"/>
              <w:gridCol w:w="1187"/>
              <w:gridCol w:w="677"/>
              <w:gridCol w:w="1139"/>
              <w:gridCol w:w="647"/>
              <w:gridCol w:w="750"/>
              <w:gridCol w:w="1177"/>
            </w:tblGrid>
            <w:tr w14:paraId="251C72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892" w:type="pct"/>
                  <w:tcBorders>
                    <w:tl2br w:val="nil"/>
                    <w:tr2bl w:val="nil"/>
                  </w:tcBorders>
                  <w:noWrap w:val="0"/>
                  <w:vAlign w:val="center"/>
                </w:tcPr>
                <w:p w14:paraId="16AC8F10">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科</w:t>
                  </w:r>
                </w:p>
              </w:tc>
              <w:tc>
                <w:tcPr>
                  <w:tcW w:w="874" w:type="pct"/>
                  <w:tcBorders>
                    <w:tl2br w:val="nil"/>
                    <w:tr2bl w:val="nil"/>
                  </w:tcBorders>
                  <w:noWrap w:val="0"/>
                  <w:vAlign w:val="center"/>
                </w:tcPr>
                <w:p w14:paraId="1890DB17">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属</w:t>
                  </w:r>
                </w:p>
              </w:tc>
              <w:tc>
                <w:tcPr>
                  <w:tcW w:w="498" w:type="pct"/>
                  <w:tcBorders>
                    <w:tl2br w:val="nil"/>
                    <w:tr2bl w:val="nil"/>
                  </w:tcBorders>
                  <w:noWrap w:val="0"/>
                  <w:vAlign w:val="center"/>
                </w:tcPr>
                <w:p w14:paraId="5910E52D">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物种名称</w:t>
                  </w:r>
                </w:p>
              </w:tc>
              <w:tc>
                <w:tcPr>
                  <w:tcW w:w="838" w:type="pct"/>
                  <w:tcBorders>
                    <w:tl2br w:val="nil"/>
                    <w:tr2bl w:val="nil"/>
                  </w:tcBorders>
                  <w:noWrap w:val="0"/>
                  <w:vAlign w:val="center"/>
                </w:tcPr>
                <w:p w14:paraId="5663F8B9">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拉丁名</w:t>
                  </w:r>
                </w:p>
              </w:tc>
              <w:tc>
                <w:tcPr>
                  <w:tcW w:w="476" w:type="pct"/>
                  <w:tcBorders>
                    <w:tl2br w:val="nil"/>
                    <w:tr2bl w:val="nil"/>
                  </w:tcBorders>
                  <w:noWrap w:val="0"/>
                  <w:vAlign w:val="center"/>
                </w:tcPr>
                <w:p w14:paraId="200F5766">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保护级别</w:t>
                  </w:r>
                </w:p>
              </w:tc>
              <w:tc>
                <w:tcPr>
                  <w:tcW w:w="552" w:type="pct"/>
                  <w:tcBorders>
                    <w:tl2br w:val="nil"/>
                    <w:tr2bl w:val="nil"/>
                  </w:tcBorders>
                  <w:noWrap w:val="0"/>
                  <w:vAlign w:val="center"/>
                </w:tcPr>
                <w:p w14:paraId="055A6367">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濒危等级</w:t>
                  </w:r>
                </w:p>
              </w:tc>
              <w:tc>
                <w:tcPr>
                  <w:tcW w:w="866" w:type="pct"/>
                  <w:tcBorders>
                    <w:tl2br w:val="nil"/>
                    <w:tr2bl w:val="nil"/>
                  </w:tcBorders>
                  <w:noWrap w:val="0"/>
                  <w:vAlign w:val="center"/>
                </w:tcPr>
                <w:p w14:paraId="02996FCC">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工程占用</w:t>
                  </w:r>
                  <w:r>
                    <w:rPr>
                      <w:rFonts w:hint="eastAsia" w:ascii="Times New Roman" w:hAnsi="Times New Roman" w:eastAsia="宋体" w:cs="Times New Roman"/>
                      <w:b/>
                      <w:bCs/>
                      <w:color w:val="auto"/>
                      <w:sz w:val="21"/>
                      <w:szCs w:val="21"/>
                      <w:highlight w:val="none"/>
                      <w:lang w:val="en-US" w:eastAsia="zh-CN"/>
                    </w:rPr>
                    <w:t>生境</w:t>
                  </w:r>
                  <w:r>
                    <w:rPr>
                      <w:rFonts w:hint="default" w:ascii="Times New Roman" w:hAnsi="Times New Roman" w:eastAsia="宋体" w:cs="Times New Roman"/>
                      <w:b/>
                      <w:bCs/>
                      <w:color w:val="auto"/>
                      <w:sz w:val="21"/>
                      <w:szCs w:val="21"/>
                      <w:highlight w:val="none"/>
                      <w:lang w:val="en-US" w:eastAsia="zh-CN"/>
                    </w:rPr>
                    <w:t>情况（是/否）</w:t>
                  </w:r>
                </w:p>
              </w:tc>
            </w:tr>
            <w:tr w14:paraId="441A33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2" w:type="pct"/>
                  <w:tcBorders>
                    <w:tl2br w:val="nil"/>
                    <w:tr2bl w:val="nil"/>
                  </w:tcBorders>
                  <w:noWrap w:val="0"/>
                  <w:vAlign w:val="center"/>
                </w:tcPr>
                <w:p w14:paraId="5C5A482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蜥蜴科Lacertidae</w:t>
                  </w:r>
                </w:p>
              </w:tc>
              <w:tc>
                <w:tcPr>
                  <w:tcW w:w="874" w:type="pct"/>
                  <w:tcBorders>
                    <w:tl2br w:val="nil"/>
                    <w:tr2bl w:val="nil"/>
                  </w:tcBorders>
                  <w:noWrap w:val="0"/>
                  <w:vAlign w:val="center"/>
                </w:tcPr>
                <w:p w14:paraId="58A6E4C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麻蜥属Eremias</w:t>
                  </w:r>
                </w:p>
              </w:tc>
              <w:tc>
                <w:tcPr>
                  <w:tcW w:w="498" w:type="pct"/>
                  <w:tcBorders>
                    <w:tl2br w:val="nil"/>
                    <w:tr2bl w:val="nil"/>
                  </w:tcBorders>
                  <w:noWrap w:val="0"/>
                  <w:vAlign w:val="center"/>
                </w:tcPr>
                <w:p w14:paraId="5CCD9945">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荒漠麻蜥</w:t>
                  </w:r>
                </w:p>
              </w:tc>
              <w:tc>
                <w:tcPr>
                  <w:tcW w:w="838" w:type="pct"/>
                  <w:tcBorders>
                    <w:tl2br w:val="nil"/>
                    <w:tr2bl w:val="nil"/>
                  </w:tcBorders>
                  <w:noWrap w:val="0"/>
                  <w:vAlign w:val="center"/>
                </w:tcPr>
                <w:p w14:paraId="6B50DA73">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default" w:ascii="Times New Roman" w:hAnsi="Times New Roman" w:eastAsia="宋体" w:cs="Times New Roman"/>
                      <w:b w:val="0"/>
                      <w:i/>
                      <w:iCs/>
                      <w:color w:val="auto"/>
                      <w:sz w:val="21"/>
                      <w:szCs w:val="21"/>
                      <w:highlight w:val="none"/>
                      <w:lang w:val="en-US" w:eastAsia="zh-CN"/>
                    </w:rPr>
                    <w:t>Eremias przewalskii</w:t>
                  </w:r>
                </w:p>
              </w:tc>
              <w:tc>
                <w:tcPr>
                  <w:tcW w:w="476" w:type="pct"/>
                  <w:tcBorders>
                    <w:tl2br w:val="nil"/>
                    <w:tr2bl w:val="nil"/>
                  </w:tcBorders>
                  <w:noWrap w:val="0"/>
                  <w:vAlign w:val="center"/>
                </w:tcPr>
                <w:p w14:paraId="27C32DC8">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无</w:t>
                  </w:r>
                </w:p>
              </w:tc>
              <w:tc>
                <w:tcPr>
                  <w:tcW w:w="552" w:type="pct"/>
                  <w:tcBorders>
                    <w:tl2br w:val="nil"/>
                    <w:tr2bl w:val="nil"/>
                  </w:tcBorders>
                  <w:noWrap w:val="0"/>
                  <w:vAlign w:val="center"/>
                </w:tcPr>
                <w:p w14:paraId="183D818A">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LC</w:t>
                  </w:r>
                </w:p>
              </w:tc>
              <w:tc>
                <w:tcPr>
                  <w:tcW w:w="866" w:type="pct"/>
                  <w:tcBorders>
                    <w:tl2br w:val="nil"/>
                    <w:tr2bl w:val="nil"/>
                  </w:tcBorders>
                  <w:noWrap w:val="0"/>
                  <w:vAlign w:val="center"/>
                </w:tcPr>
                <w:p w14:paraId="46E1D091">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否</w:t>
                  </w:r>
                </w:p>
              </w:tc>
            </w:tr>
            <w:tr w14:paraId="26A008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2" w:type="pct"/>
                  <w:vMerge w:val="restart"/>
                  <w:tcBorders>
                    <w:tl2br w:val="nil"/>
                    <w:tr2bl w:val="nil"/>
                  </w:tcBorders>
                  <w:noWrap w:val="0"/>
                  <w:vAlign w:val="center"/>
                </w:tcPr>
                <w:p w14:paraId="2F9897E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fldChar w:fldCharType="begin"/>
                  </w:r>
                  <w:r>
                    <w:rPr>
                      <w:rFonts w:hint="default" w:ascii="Times New Roman" w:hAnsi="Times New Roman" w:eastAsia="宋体" w:cs="Times New Roman"/>
                      <w:b w:val="0"/>
                      <w:color w:val="auto"/>
                      <w:sz w:val="21"/>
                      <w:szCs w:val="21"/>
                      <w:highlight w:val="none"/>
                      <w:lang w:val="en-US" w:eastAsia="zh-CN"/>
                    </w:rPr>
                    <w:instrText xml:space="preserve"> HYPERLINK "https://baike.baidu.com/item/%E9%BC%A0%E7%A7%91/2043117?fromModule=lemma_inlink" \t "https://baike.baidu.com/item/_blank" </w:instrText>
                  </w:r>
                  <w:r>
                    <w:rPr>
                      <w:rFonts w:hint="default" w:ascii="Times New Roman" w:hAnsi="Times New Roman" w:eastAsia="宋体" w:cs="Times New Roman"/>
                      <w:b w:val="0"/>
                      <w:color w:val="auto"/>
                      <w:sz w:val="21"/>
                      <w:szCs w:val="21"/>
                      <w:highlight w:val="none"/>
                      <w:lang w:val="en-US" w:eastAsia="zh-CN"/>
                    </w:rPr>
                    <w:fldChar w:fldCharType="separate"/>
                  </w:r>
                  <w:r>
                    <w:rPr>
                      <w:rFonts w:hint="default" w:ascii="Times New Roman" w:hAnsi="Times New Roman" w:eastAsia="宋体" w:cs="Times New Roman"/>
                      <w:b w:val="0"/>
                      <w:color w:val="auto"/>
                      <w:sz w:val="21"/>
                      <w:szCs w:val="21"/>
                      <w:highlight w:val="none"/>
                      <w:lang w:val="en-US" w:eastAsia="zh-CN"/>
                    </w:rPr>
                    <w:t>鼠科</w:t>
                  </w:r>
                  <w:r>
                    <w:rPr>
                      <w:rFonts w:hint="default" w:ascii="Times New Roman" w:hAnsi="Times New Roman" w:eastAsia="宋体" w:cs="Times New Roman"/>
                      <w:b w:val="0"/>
                      <w:color w:val="auto"/>
                      <w:sz w:val="21"/>
                      <w:szCs w:val="21"/>
                      <w:highlight w:val="none"/>
                      <w:lang w:val="en-US" w:eastAsia="zh-CN"/>
                    </w:rPr>
                    <w:fldChar w:fldCharType="end"/>
                  </w:r>
                  <w:r>
                    <w:rPr>
                      <w:rFonts w:hint="default" w:ascii="Times New Roman" w:hAnsi="Times New Roman" w:eastAsia="宋体" w:cs="Times New Roman"/>
                      <w:b w:val="0"/>
                      <w:color w:val="auto"/>
                      <w:sz w:val="21"/>
                      <w:szCs w:val="21"/>
                      <w:highlight w:val="none"/>
                      <w:lang w:val="en-US" w:eastAsia="zh-CN"/>
                    </w:rPr>
                    <w:t>Muridae</w:t>
                  </w:r>
                </w:p>
              </w:tc>
              <w:tc>
                <w:tcPr>
                  <w:tcW w:w="874" w:type="pct"/>
                  <w:tcBorders>
                    <w:tl2br w:val="nil"/>
                    <w:tr2bl w:val="nil"/>
                  </w:tcBorders>
                  <w:noWrap w:val="0"/>
                  <w:vAlign w:val="center"/>
                </w:tcPr>
                <w:p w14:paraId="11CDBC9E">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鼠属Apodemus</w:t>
                  </w:r>
                </w:p>
              </w:tc>
              <w:tc>
                <w:tcPr>
                  <w:tcW w:w="498" w:type="pct"/>
                  <w:tcBorders>
                    <w:tl2br w:val="nil"/>
                    <w:tr2bl w:val="nil"/>
                  </w:tcBorders>
                  <w:noWrap w:val="0"/>
                  <w:vAlign w:val="center"/>
                </w:tcPr>
                <w:p w14:paraId="2CBA99CE">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小家鼠</w:t>
                  </w:r>
                </w:p>
              </w:tc>
              <w:tc>
                <w:tcPr>
                  <w:tcW w:w="838" w:type="pct"/>
                  <w:tcBorders>
                    <w:tl2br w:val="nil"/>
                    <w:tr2bl w:val="nil"/>
                  </w:tcBorders>
                  <w:noWrap w:val="0"/>
                  <w:vAlign w:val="center"/>
                </w:tcPr>
                <w:p w14:paraId="5F560E9E">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default" w:ascii="Times New Roman" w:hAnsi="Times New Roman" w:eastAsia="宋体" w:cs="Times New Roman"/>
                      <w:b w:val="0"/>
                      <w:i/>
                      <w:iCs/>
                      <w:color w:val="auto"/>
                      <w:sz w:val="21"/>
                      <w:szCs w:val="21"/>
                      <w:highlight w:val="none"/>
                      <w:lang w:val="en-US" w:eastAsia="zh-CN"/>
                    </w:rPr>
                    <w:t>Mus musculus</w:t>
                  </w:r>
                </w:p>
              </w:tc>
              <w:tc>
                <w:tcPr>
                  <w:tcW w:w="476" w:type="pct"/>
                  <w:tcBorders>
                    <w:tl2br w:val="nil"/>
                    <w:tr2bl w:val="nil"/>
                  </w:tcBorders>
                  <w:noWrap w:val="0"/>
                  <w:vAlign w:val="center"/>
                </w:tcPr>
                <w:p w14:paraId="1AD675F2">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无</w:t>
                  </w:r>
                </w:p>
              </w:tc>
              <w:tc>
                <w:tcPr>
                  <w:tcW w:w="552" w:type="pct"/>
                  <w:tcBorders>
                    <w:tl2br w:val="nil"/>
                    <w:tr2bl w:val="nil"/>
                  </w:tcBorders>
                  <w:noWrap w:val="0"/>
                  <w:vAlign w:val="center"/>
                </w:tcPr>
                <w:p w14:paraId="3AA26164">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LC</w:t>
                  </w:r>
                </w:p>
              </w:tc>
              <w:tc>
                <w:tcPr>
                  <w:tcW w:w="866" w:type="pct"/>
                  <w:tcBorders>
                    <w:tl2br w:val="nil"/>
                    <w:tr2bl w:val="nil"/>
                  </w:tcBorders>
                  <w:noWrap w:val="0"/>
                  <w:vAlign w:val="center"/>
                </w:tcPr>
                <w:p w14:paraId="45603CE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否</w:t>
                  </w:r>
                </w:p>
              </w:tc>
            </w:tr>
            <w:tr w14:paraId="5A651D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2" w:type="pct"/>
                  <w:vMerge w:val="continue"/>
                  <w:tcBorders>
                    <w:tl2br w:val="nil"/>
                    <w:tr2bl w:val="nil"/>
                  </w:tcBorders>
                  <w:noWrap w:val="0"/>
                  <w:vAlign w:val="center"/>
                </w:tcPr>
                <w:p w14:paraId="22EAD459">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p>
              </w:tc>
              <w:tc>
                <w:tcPr>
                  <w:tcW w:w="874" w:type="pct"/>
                  <w:tcBorders>
                    <w:tl2br w:val="nil"/>
                    <w:tr2bl w:val="nil"/>
                  </w:tcBorders>
                  <w:noWrap w:val="0"/>
                  <w:vAlign w:val="center"/>
                </w:tcPr>
                <w:p w14:paraId="794B8AED">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沙鼠属Meriones</w:t>
                  </w:r>
                </w:p>
              </w:tc>
              <w:tc>
                <w:tcPr>
                  <w:tcW w:w="498" w:type="pct"/>
                  <w:tcBorders>
                    <w:tl2br w:val="nil"/>
                    <w:tr2bl w:val="nil"/>
                  </w:tcBorders>
                  <w:noWrap w:val="0"/>
                  <w:vAlign w:val="center"/>
                </w:tcPr>
                <w:p w14:paraId="2A26DAF0">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沙鼠</w:t>
                  </w:r>
                </w:p>
              </w:tc>
              <w:tc>
                <w:tcPr>
                  <w:tcW w:w="838" w:type="pct"/>
                  <w:tcBorders>
                    <w:tl2br w:val="nil"/>
                    <w:tr2bl w:val="nil"/>
                  </w:tcBorders>
                  <w:noWrap w:val="0"/>
                  <w:vAlign w:val="center"/>
                </w:tcPr>
                <w:p w14:paraId="6843B4D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default" w:ascii="Times New Roman" w:hAnsi="Times New Roman" w:eastAsia="宋体" w:cs="Times New Roman"/>
                      <w:b w:val="0"/>
                      <w:i/>
                      <w:iCs/>
                      <w:color w:val="auto"/>
                      <w:sz w:val="21"/>
                      <w:szCs w:val="21"/>
                      <w:highlight w:val="none"/>
                      <w:lang w:val="en-US" w:eastAsia="zh-CN"/>
                    </w:rPr>
                    <w:t>Gerbillinae</w:t>
                  </w:r>
                </w:p>
              </w:tc>
              <w:tc>
                <w:tcPr>
                  <w:tcW w:w="476" w:type="pct"/>
                  <w:tcBorders>
                    <w:tl2br w:val="nil"/>
                    <w:tr2bl w:val="nil"/>
                  </w:tcBorders>
                  <w:noWrap w:val="0"/>
                  <w:vAlign w:val="center"/>
                </w:tcPr>
                <w:p w14:paraId="661A1DB6">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无</w:t>
                  </w:r>
                </w:p>
              </w:tc>
              <w:tc>
                <w:tcPr>
                  <w:tcW w:w="552" w:type="pct"/>
                  <w:tcBorders>
                    <w:tl2br w:val="nil"/>
                    <w:tr2bl w:val="nil"/>
                  </w:tcBorders>
                  <w:noWrap w:val="0"/>
                  <w:vAlign w:val="center"/>
                </w:tcPr>
                <w:p w14:paraId="0253AFAA">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LC</w:t>
                  </w:r>
                </w:p>
              </w:tc>
              <w:tc>
                <w:tcPr>
                  <w:tcW w:w="866" w:type="pct"/>
                  <w:tcBorders>
                    <w:tl2br w:val="nil"/>
                    <w:tr2bl w:val="nil"/>
                  </w:tcBorders>
                  <w:noWrap w:val="0"/>
                  <w:vAlign w:val="center"/>
                </w:tcPr>
                <w:p w14:paraId="51772D1C">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否</w:t>
                  </w:r>
                </w:p>
              </w:tc>
            </w:tr>
            <w:tr w14:paraId="24FD0B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2" w:type="pct"/>
                  <w:tcBorders>
                    <w:tl2br w:val="nil"/>
                    <w:tr2bl w:val="nil"/>
                  </w:tcBorders>
                  <w:noWrap w:val="0"/>
                  <w:vAlign w:val="center"/>
                </w:tcPr>
                <w:p w14:paraId="23E4116A">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兔科Leporidae</w:t>
                  </w:r>
                </w:p>
              </w:tc>
              <w:tc>
                <w:tcPr>
                  <w:tcW w:w="874" w:type="pct"/>
                  <w:tcBorders>
                    <w:tl2br w:val="nil"/>
                    <w:tr2bl w:val="nil"/>
                  </w:tcBorders>
                  <w:noWrap w:val="0"/>
                  <w:vAlign w:val="center"/>
                </w:tcPr>
                <w:p w14:paraId="3EFEE8A5">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兔属Lepus</w:t>
                  </w:r>
                </w:p>
              </w:tc>
              <w:tc>
                <w:tcPr>
                  <w:tcW w:w="498" w:type="pct"/>
                  <w:tcBorders>
                    <w:tl2br w:val="nil"/>
                    <w:tr2bl w:val="nil"/>
                  </w:tcBorders>
                  <w:noWrap w:val="0"/>
                  <w:vAlign w:val="center"/>
                </w:tcPr>
                <w:p w14:paraId="3BAC8E7E">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草兔</w:t>
                  </w:r>
                </w:p>
              </w:tc>
              <w:tc>
                <w:tcPr>
                  <w:tcW w:w="838" w:type="pct"/>
                  <w:tcBorders>
                    <w:tl2br w:val="nil"/>
                    <w:tr2bl w:val="nil"/>
                  </w:tcBorders>
                  <w:noWrap w:val="0"/>
                  <w:vAlign w:val="center"/>
                </w:tcPr>
                <w:p w14:paraId="560F435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default" w:ascii="Times New Roman" w:hAnsi="Times New Roman" w:eastAsia="宋体" w:cs="Times New Roman"/>
                      <w:b w:val="0"/>
                      <w:i/>
                      <w:iCs/>
                      <w:color w:val="auto"/>
                      <w:sz w:val="21"/>
                      <w:szCs w:val="21"/>
                      <w:highlight w:val="none"/>
                      <w:lang w:val="en-US" w:eastAsia="zh-CN"/>
                    </w:rPr>
                    <w:t>Lepus capensis</w:t>
                  </w:r>
                </w:p>
              </w:tc>
              <w:tc>
                <w:tcPr>
                  <w:tcW w:w="476" w:type="pct"/>
                  <w:tcBorders>
                    <w:tl2br w:val="nil"/>
                    <w:tr2bl w:val="nil"/>
                  </w:tcBorders>
                  <w:noWrap w:val="0"/>
                  <w:vAlign w:val="center"/>
                </w:tcPr>
                <w:p w14:paraId="61690F5F">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无</w:t>
                  </w:r>
                </w:p>
              </w:tc>
              <w:tc>
                <w:tcPr>
                  <w:tcW w:w="552" w:type="pct"/>
                  <w:tcBorders>
                    <w:tl2br w:val="nil"/>
                    <w:tr2bl w:val="nil"/>
                  </w:tcBorders>
                  <w:noWrap w:val="0"/>
                  <w:vAlign w:val="center"/>
                </w:tcPr>
                <w:p w14:paraId="024844A2">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LC</w:t>
                  </w:r>
                </w:p>
              </w:tc>
              <w:tc>
                <w:tcPr>
                  <w:tcW w:w="866" w:type="pct"/>
                  <w:tcBorders>
                    <w:tl2br w:val="nil"/>
                    <w:tr2bl w:val="nil"/>
                  </w:tcBorders>
                  <w:noWrap w:val="0"/>
                  <w:vAlign w:val="center"/>
                </w:tcPr>
                <w:p w14:paraId="1CE62671">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否</w:t>
                  </w:r>
                </w:p>
              </w:tc>
            </w:tr>
            <w:tr w14:paraId="30E610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2" w:type="pct"/>
                  <w:tcBorders>
                    <w:tl2br w:val="nil"/>
                    <w:tr2bl w:val="nil"/>
                  </w:tcBorders>
                  <w:noWrap w:val="0"/>
                  <w:vAlign w:val="center"/>
                </w:tcPr>
                <w:p w14:paraId="15AA882B">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雀科Passeridae</w:t>
                  </w:r>
                </w:p>
              </w:tc>
              <w:tc>
                <w:tcPr>
                  <w:tcW w:w="874" w:type="pct"/>
                  <w:tcBorders>
                    <w:tl2br w:val="nil"/>
                    <w:tr2bl w:val="nil"/>
                  </w:tcBorders>
                  <w:noWrap w:val="0"/>
                  <w:vAlign w:val="center"/>
                </w:tcPr>
                <w:p w14:paraId="73974F14">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麻雀属</w:t>
                  </w:r>
                  <w:r>
                    <w:rPr>
                      <w:rFonts w:hint="default" w:ascii="Times New Roman" w:hAnsi="Times New Roman" w:eastAsia="宋体" w:cs="Times New Roman"/>
                      <w:b w:val="0"/>
                      <w:i/>
                      <w:iCs/>
                      <w:color w:val="auto"/>
                      <w:sz w:val="21"/>
                      <w:szCs w:val="21"/>
                      <w:highlight w:val="none"/>
                      <w:lang w:val="en-US" w:eastAsia="zh-CN"/>
                    </w:rPr>
                    <w:t>Passer</w:t>
                  </w:r>
                </w:p>
              </w:tc>
              <w:tc>
                <w:tcPr>
                  <w:tcW w:w="498" w:type="pct"/>
                  <w:tcBorders>
                    <w:tl2br w:val="nil"/>
                    <w:tr2bl w:val="nil"/>
                  </w:tcBorders>
                  <w:noWrap w:val="0"/>
                  <w:vAlign w:val="center"/>
                </w:tcPr>
                <w:p w14:paraId="392DFF32">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麻雀</w:t>
                  </w:r>
                </w:p>
              </w:tc>
              <w:tc>
                <w:tcPr>
                  <w:tcW w:w="838" w:type="pct"/>
                  <w:tcBorders>
                    <w:tl2br w:val="nil"/>
                    <w:tr2bl w:val="nil"/>
                  </w:tcBorders>
                  <w:noWrap w:val="0"/>
                  <w:vAlign w:val="center"/>
                </w:tcPr>
                <w:p w14:paraId="203A6BBD">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i/>
                      <w:iCs/>
                      <w:color w:val="auto"/>
                      <w:sz w:val="21"/>
                      <w:szCs w:val="21"/>
                      <w:highlight w:val="none"/>
                      <w:lang w:val="en-US" w:eastAsia="zh-CN"/>
                    </w:rPr>
                  </w:pPr>
                  <w:r>
                    <w:rPr>
                      <w:rFonts w:hint="default" w:ascii="Times New Roman" w:hAnsi="Times New Roman" w:eastAsia="宋体" w:cs="Times New Roman"/>
                      <w:b w:val="0"/>
                      <w:i/>
                      <w:iCs/>
                      <w:color w:val="auto"/>
                      <w:sz w:val="21"/>
                      <w:szCs w:val="21"/>
                      <w:highlight w:val="none"/>
                      <w:lang w:val="en-US" w:eastAsia="zh-CN"/>
                    </w:rPr>
                    <w:t>Passer</w:t>
                  </w:r>
                </w:p>
              </w:tc>
              <w:tc>
                <w:tcPr>
                  <w:tcW w:w="476" w:type="pct"/>
                  <w:tcBorders>
                    <w:tl2br w:val="nil"/>
                    <w:tr2bl w:val="nil"/>
                  </w:tcBorders>
                  <w:noWrap w:val="0"/>
                  <w:vAlign w:val="center"/>
                </w:tcPr>
                <w:p w14:paraId="5E83865A">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无</w:t>
                  </w:r>
                </w:p>
              </w:tc>
              <w:tc>
                <w:tcPr>
                  <w:tcW w:w="552" w:type="pct"/>
                  <w:tcBorders>
                    <w:tl2br w:val="nil"/>
                    <w:tr2bl w:val="nil"/>
                  </w:tcBorders>
                  <w:noWrap w:val="0"/>
                  <w:vAlign w:val="center"/>
                </w:tcPr>
                <w:p w14:paraId="321DE78A">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eastAsia="宋体" w:cs="Times New Roman"/>
                      <w:b w:val="0"/>
                      <w:color w:val="auto"/>
                      <w:sz w:val="21"/>
                      <w:szCs w:val="21"/>
                      <w:highlight w:val="none"/>
                      <w:lang w:val="en-US" w:eastAsia="zh-CN"/>
                    </w:rPr>
                    <w:t>LC</w:t>
                  </w:r>
                </w:p>
              </w:tc>
              <w:tc>
                <w:tcPr>
                  <w:tcW w:w="866" w:type="pct"/>
                  <w:tcBorders>
                    <w:tl2br w:val="nil"/>
                    <w:tr2bl w:val="nil"/>
                  </w:tcBorders>
                  <w:noWrap w:val="0"/>
                  <w:vAlign w:val="center"/>
                </w:tcPr>
                <w:p w14:paraId="1F9E94F8">
                  <w:pPr>
                    <w:pStyle w:val="29"/>
                    <w:keepNext w:val="0"/>
                    <w:keepLines w:val="0"/>
                    <w:pageBreakBefore w:val="0"/>
                    <w:widowControl/>
                    <w:kinsoku/>
                    <w:wordWrap/>
                    <w:overflowPunct/>
                    <w:topLinePunct w:val="0"/>
                    <w:autoSpaceDE/>
                    <w:autoSpaceDN/>
                    <w:bidi w:val="0"/>
                    <w:adjustRightInd/>
                    <w:snapToGrid/>
                    <w:spacing w:after="0" w:line="360" w:lineRule="exact"/>
                    <w:ind w:left="-105" w:leftChars="-50" w:right="-105" w:rightChars="-5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否</w:t>
                  </w:r>
                </w:p>
              </w:tc>
            </w:tr>
          </w:tbl>
          <w:p w14:paraId="786C266C">
            <w:pPr>
              <w:pStyle w:val="41"/>
              <w:keepNext w:val="0"/>
              <w:keepLines w:val="0"/>
              <w:pageBreakBefore w:val="0"/>
              <w:widowControl w:val="0"/>
              <w:kinsoku/>
              <w:wordWrap/>
              <w:overflowPunct/>
              <w:topLinePunct w:val="0"/>
              <w:autoSpaceDE/>
              <w:autoSpaceDN/>
              <w:bidi w:val="0"/>
              <w:spacing w:line="480" w:lineRule="exact"/>
              <w:ind w:left="0" w:right="0" w:firstLine="482" w:firstLineChars="200"/>
              <w:jc w:val="both"/>
              <w:textAlignment w:val="auto"/>
              <w:rPr>
                <w:rFonts w:hint="default" w:ascii="Times New Roman" w:hAnsi="Times New Roman" w:eastAsia="宋体" w:cs="Times New Roman"/>
                <w:b/>
                <w:bCs/>
                <w:color w:val="000000" w:themeColor="text1"/>
                <w:spacing w:val="0"/>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pacing w:val="0"/>
                <w:sz w:val="24"/>
                <w:szCs w:val="24"/>
                <w:highlight w:val="none"/>
                <w:lang w:val="en-US" w:eastAsia="zh-CN"/>
                <w14:textFill>
                  <w14:solidFill>
                    <w14:schemeClr w14:val="tx1"/>
                  </w14:solidFill>
                </w14:textFill>
              </w:rPr>
              <w:t>1.7</w:t>
            </w:r>
            <w:r>
              <w:rPr>
                <w:rFonts w:hint="default" w:ascii="Times New Roman" w:hAnsi="Times New Roman" w:eastAsia="宋体" w:cs="Times New Roman"/>
                <w:b/>
                <w:bCs/>
                <w:color w:val="000000" w:themeColor="text1"/>
                <w:spacing w:val="0"/>
                <w:sz w:val="24"/>
                <w:szCs w:val="24"/>
                <w:highlight w:val="none"/>
                <w14:textFill>
                  <w14:solidFill>
                    <w14:schemeClr w14:val="tx1"/>
                  </w14:solidFill>
                </w14:textFill>
              </w:rPr>
              <w:t>水土流失现状</w:t>
            </w:r>
          </w:p>
          <w:p w14:paraId="11B6E0A3">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项目施工过程中，由于部分植被的破坏，造成一定的水土流失。项目水土流失的影响范围仅限于项目区，且主要在施工期。由于当地的土壤岩性和本项目拟采取的一系列行之有效的防治措施，故当施工期结束，风电场正常运营后，植被恢复到一定程度时，该项目对区域水土流失的影响也随之基本消失。由于不同部位的措施对地表影响程度不同，水土流失的影响时限也不同，临时压埋区植被恢复一般只需要1年左右，铲除植被区开始施工到植被基本恢复需要3~4年。由此可见，因项目建设造成的区域水土流失几年后是可以消除的。</w:t>
            </w:r>
          </w:p>
          <w:p w14:paraId="3EBAE3A8">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拟建项目建设过程中人为活动造成水土流失的原因主要是破坏植被、破坏表层结皮，可能造成水土流失的危害主要有</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w:t>
            </w:r>
          </w:p>
          <w:p w14:paraId="33374009">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①破坏植被加速土地沙化。工程建设区植被一旦遭到破坏，靠自然力量很难恢复。该项目开发建设，降低了地表的粗糙度，一遇起沙风速，就会出现强烈的扬沙天气，将会加速该区域的土质沙化。</w:t>
            </w:r>
          </w:p>
          <w:p w14:paraId="79191656">
            <w:pPr>
              <w:spacing w:line="520" w:lineRule="exact"/>
              <w:ind w:firstLine="480"/>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②破坏原有地表结皮，降低其水土保持功能，增大风力侵蚀强度。</w:t>
            </w:r>
          </w:p>
          <w:p w14:paraId="5274085B">
            <w:pPr>
              <w:pStyle w:val="41"/>
              <w:keepNext w:val="0"/>
              <w:keepLines w:val="0"/>
              <w:pageBreakBefore w:val="0"/>
              <w:widowControl w:val="0"/>
              <w:kinsoku/>
              <w:wordWrap/>
              <w:overflowPunct/>
              <w:topLinePunct w:val="0"/>
              <w:autoSpaceDE/>
              <w:autoSpaceDN/>
              <w:bidi w:val="0"/>
              <w:spacing w:line="480" w:lineRule="exact"/>
              <w:ind w:left="0" w:right="0" w:firstLine="482" w:firstLineChars="200"/>
              <w:jc w:val="both"/>
              <w:textAlignment w:val="auto"/>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1.8土地沙化现状</w:t>
            </w:r>
          </w:p>
          <w:p w14:paraId="0E1B2D31">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根据《新疆第</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六</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次沙化土地监测报告》，</w:t>
            </w:r>
            <w:r>
              <w:rPr>
                <w:rFonts w:hint="default"/>
                <w:highlight w:val="none"/>
              </w:rPr>
              <w:t>新疆国土总面积为16648</w:t>
            </w:r>
            <w:r>
              <w:rPr>
                <w:rFonts w:hint="eastAsia"/>
                <w:highlight w:val="none"/>
                <w:lang w:val="en-US" w:eastAsia="zh-CN"/>
              </w:rPr>
              <w:t>.</w:t>
            </w:r>
            <w:r>
              <w:rPr>
                <w:rFonts w:hint="default"/>
                <w:highlight w:val="none"/>
              </w:rPr>
              <w:t>97</w:t>
            </w:r>
            <w:r>
              <w:rPr>
                <w:rFonts w:hint="eastAsia"/>
                <w:highlight w:val="none"/>
                <w:lang w:val="en-US" w:eastAsia="zh-CN"/>
              </w:rPr>
              <w:t>万</w:t>
            </w:r>
            <w:r>
              <w:rPr>
                <w:rFonts w:hint="default"/>
                <w:highlight w:val="none"/>
              </w:rPr>
              <w:t>公顷，</w:t>
            </w:r>
            <w:r>
              <w:rPr>
                <w:rFonts w:hint="eastAsia"/>
                <w:highlight w:val="none"/>
                <w:lang w:eastAsia="zh-CN"/>
              </w:rPr>
              <w:t>沙化</w:t>
            </w:r>
            <w:r>
              <w:rPr>
                <w:rFonts w:hint="default"/>
                <w:highlight w:val="none"/>
              </w:rPr>
              <w:t>监测</w:t>
            </w:r>
            <w:r>
              <w:rPr>
                <w:rFonts w:hint="eastAsia"/>
                <w:highlight w:val="none"/>
                <w:lang w:eastAsia="zh-CN"/>
              </w:rPr>
              <w:t>区</w:t>
            </w:r>
            <w:r>
              <w:rPr>
                <w:rFonts w:hint="default"/>
                <w:highlight w:val="none"/>
              </w:rPr>
              <w:t>面积为15689</w:t>
            </w:r>
            <w:r>
              <w:rPr>
                <w:rFonts w:hint="eastAsia"/>
                <w:highlight w:val="none"/>
                <w:lang w:val="en-US" w:eastAsia="zh-CN"/>
              </w:rPr>
              <w:t>.</w:t>
            </w:r>
            <w:r>
              <w:rPr>
                <w:rFonts w:hint="default"/>
                <w:highlight w:val="none"/>
              </w:rPr>
              <w:t>1</w:t>
            </w:r>
            <w:r>
              <w:rPr>
                <w:rFonts w:hint="eastAsia"/>
                <w:highlight w:val="none"/>
                <w:lang w:val="en-US" w:eastAsia="zh-CN"/>
              </w:rPr>
              <w:t>3万</w:t>
            </w:r>
            <w:r>
              <w:rPr>
                <w:rFonts w:hint="default"/>
                <w:highlight w:val="none"/>
              </w:rPr>
              <w:t>公顷，沙化监测区分布在14个地州</w:t>
            </w:r>
            <w:r>
              <w:rPr>
                <w:rFonts w:hint="eastAsia"/>
                <w:highlight w:val="none"/>
                <w:lang w:eastAsia="zh-CN"/>
              </w:rPr>
              <w:t>市，</w:t>
            </w:r>
            <w:r>
              <w:rPr>
                <w:rFonts w:hint="default"/>
                <w:highlight w:val="none"/>
              </w:rPr>
              <w:t>88个县市（区）</w:t>
            </w:r>
            <w:r>
              <w:rPr>
                <w:rFonts w:hint="eastAsia"/>
                <w:highlight w:val="none"/>
                <w:lang w:eastAsia="zh-CN"/>
              </w:rPr>
              <w:t>、</w:t>
            </w:r>
            <w:r>
              <w:rPr>
                <w:rFonts w:hint="default"/>
                <w:highlight w:val="none"/>
              </w:rPr>
              <w:t>10个自治区直辖市共98个行政区域</w:t>
            </w:r>
            <w:r>
              <w:rPr>
                <w:rFonts w:hint="eastAsia"/>
                <w:highlight w:val="none"/>
                <w:lang w:eastAsia="zh-CN"/>
              </w:rPr>
              <w:t>。监测结果显示：</w:t>
            </w:r>
            <w:r>
              <w:rPr>
                <w:rFonts w:hint="default"/>
                <w:highlight w:val="none"/>
              </w:rPr>
              <w:t>沙化土地面积7468</w:t>
            </w:r>
            <w:r>
              <w:rPr>
                <w:rFonts w:hint="eastAsia"/>
                <w:highlight w:val="none"/>
                <w:lang w:val="en-US" w:eastAsia="zh-CN"/>
              </w:rPr>
              <w:t>.</w:t>
            </w:r>
            <w:r>
              <w:rPr>
                <w:rFonts w:hint="default"/>
                <w:highlight w:val="none"/>
              </w:rPr>
              <w:t>21</w:t>
            </w:r>
            <w:r>
              <w:rPr>
                <w:rFonts w:hint="eastAsia"/>
                <w:highlight w:val="none"/>
                <w:lang w:val="en-US" w:eastAsia="zh-CN"/>
              </w:rPr>
              <w:t>万</w:t>
            </w:r>
            <w:r>
              <w:rPr>
                <w:rFonts w:hint="default"/>
                <w:highlight w:val="none"/>
              </w:rPr>
              <w:t>公顷，占监测区总面积47.60%，具有明显沙化趋势的土地面积</w:t>
            </w:r>
            <w:r>
              <w:rPr>
                <w:rFonts w:hint="eastAsia"/>
                <w:highlight w:val="none"/>
                <w:lang w:eastAsia="zh-CN"/>
              </w:rPr>
              <w:t>437</w:t>
            </w:r>
            <w:r>
              <w:rPr>
                <w:rFonts w:hint="eastAsia"/>
                <w:highlight w:val="none"/>
                <w:lang w:val="en-US" w:eastAsia="zh-CN"/>
              </w:rPr>
              <w:t>.</w:t>
            </w:r>
            <w:r>
              <w:rPr>
                <w:rFonts w:hint="eastAsia"/>
                <w:highlight w:val="none"/>
                <w:lang w:eastAsia="zh-CN"/>
              </w:rPr>
              <w:t>96</w:t>
            </w:r>
            <w:r>
              <w:rPr>
                <w:rFonts w:hint="eastAsia"/>
                <w:highlight w:val="none"/>
                <w:lang w:val="en-US" w:eastAsia="zh-CN"/>
              </w:rPr>
              <w:t>万</w:t>
            </w:r>
            <w:r>
              <w:rPr>
                <w:rFonts w:hint="default"/>
                <w:highlight w:val="none"/>
              </w:rPr>
              <w:t>公顷，占监测区总面积2.79%，</w:t>
            </w:r>
            <w:r>
              <w:rPr>
                <w:rFonts w:hint="eastAsia"/>
                <w:highlight w:val="none"/>
                <w:lang w:eastAsia="zh-CN"/>
              </w:rPr>
              <w:t>非沙化</w:t>
            </w:r>
            <w:r>
              <w:rPr>
                <w:rFonts w:hint="default"/>
                <w:highlight w:val="none"/>
              </w:rPr>
              <w:t>土地面积7782</w:t>
            </w:r>
            <w:r>
              <w:rPr>
                <w:rFonts w:hint="eastAsia"/>
                <w:highlight w:val="none"/>
                <w:lang w:val="en-US" w:eastAsia="zh-CN"/>
              </w:rPr>
              <w:t>.</w:t>
            </w:r>
            <w:r>
              <w:rPr>
                <w:rFonts w:hint="default"/>
                <w:highlight w:val="none"/>
              </w:rPr>
              <w:t>9</w:t>
            </w:r>
            <w:r>
              <w:rPr>
                <w:rFonts w:hint="eastAsia"/>
                <w:highlight w:val="none"/>
                <w:lang w:val="en-US" w:eastAsia="zh-CN"/>
              </w:rPr>
              <w:t>5万</w:t>
            </w:r>
            <w:r>
              <w:rPr>
                <w:rFonts w:hint="default"/>
                <w:highlight w:val="none"/>
              </w:rPr>
              <w:t>公顷，占监测区总面积49.61%。</w:t>
            </w:r>
          </w:p>
          <w:p w14:paraId="31BE3F37">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塔城地区</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沙化土地面积为</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909.22万</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公顷。根据查询，本项目所在位置属于</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非</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沙化土地</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。沙化土地分布见图</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9</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w:t>
            </w:r>
          </w:p>
          <w:p w14:paraId="5FB1DAF6">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2 大气环境现状评价</w:t>
            </w:r>
          </w:p>
          <w:p w14:paraId="5C57D7CA">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根据《环境影响评价技术导则 大气环境》（HJ2.2-2018）要求，基本污染物环境质量现状数据优先采用国家或地方生态环境主管部门公开发布的评价基准年环境质量公告或环境质量报告中的数据或结论。</w:t>
            </w:r>
          </w:p>
          <w:p w14:paraId="1E7C8868">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本次评价引用《新疆维吾尔自治区202</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年生态环境状况公报》中202</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年</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塔城地区</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环境空气质量，作为本项目环境空气现状评价基本污染物二氧化硫、二氧化氮、可吸入颗粒物、细颗粒物、一氧化碳和臭氧的数据来源。</w:t>
            </w:r>
          </w:p>
          <w:p w14:paraId="1F373129">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基本污染物按照《环境空气质量评价技术规范》（HJ663-20</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26</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）中各评价项目的年评价指标进行判定。</w:t>
            </w:r>
          </w:p>
          <w:p w14:paraId="07A97FD8">
            <w:pPr>
              <w:keepNext w:val="0"/>
              <w:keepLines w:val="0"/>
              <w:pageBreakBefore w:val="0"/>
              <w:widowControl w:val="0"/>
              <w:kinsoku/>
              <w:wordWrap/>
              <w:overflowPunct w:val="0"/>
              <w:topLinePunct/>
              <w:autoSpaceDE/>
              <w:autoSpaceDN/>
              <w:bidi w:val="0"/>
              <w:adjustRightInd w:val="0"/>
              <w:snapToGrid/>
              <w:spacing w:line="520" w:lineRule="exact"/>
              <w:jc w:val="center"/>
              <w:textAlignment w:val="auto"/>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表3-</w:t>
            </w:r>
            <w:r>
              <w:rPr>
                <w:rFonts w:hint="eastAsia"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4</w:t>
            </w: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 xml:space="preserve">    区域空气质量现状评价表（202</w:t>
            </w:r>
            <w:r>
              <w:rPr>
                <w:rFonts w:hint="eastAsia" w:cs="Times New Roman"/>
                <w:b/>
                <w:bCs/>
                <w:color w:val="000000" w:themeColor="text1"/>
                <w:kern w:val="2"/>
                <w:sz w:val="24"/>
                <w:szCs w:val="24"/>
                <w:highlight w:val="none"/>
                <w:vertAlign w:val="baseline"/>
                <w:lang w:val="en-US" w:eastAsia="zh-CN" w:bidi="ar-SA"/>
                <w14:textFill>
                  <w14:solidFill>
                    <w14:schemeClr w14:val="tx1"/>
                  </w14:solidFill>
                </w14:textFill>
              </w:rPr>
              <w:t>5</w:t>
            </w: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年）</w:t>
            </w:r>
          </w:p>
          <w:tbl>
            <w:tblPr>
              <w:tblStyle w:val="42"/>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993"/>
              <w:gridCol w:w="2108"/>
              <w:gridCol w:w="964"/>
              <w:gridCol w:w="957"/>
              <w:gridCol w:w="853"/>
              <w:gridCol w:w="914"/>
            </w:tblGrid>
            <w:tr w14:paraId="74F142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08FBC8F7">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污染物</w:t>
                  </w:r>
                </w:p>
              </w:tc>
              <w:tc>
                <w:tcPr>
                  <w:tcW w:w="1552" w:type="pct"/>
                  <w:tcBorders>
                    <w:tl2br w:val="nil"/>
                    <w:tr2bl w:val="nil"/>
                  </w:tcBorders>
                  <w:noWrap w:val="0"/>
                  <w:vAlign w:val="center"/>
                </w:tcPr>
                <w:p w14:paraId="1E0AC34F">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年评价指标</w:t>
                  </w:r>
                </w:p>
              </w:tc>
              <w:tc>
                <w:tcPr>
                  <w:tcW w:w="710" w:type="pct"/>
                  <w:tcBorders>
                    <w:tl2br w:val="nil"/>
                    <w:tr2bl w:val="nil"/>
                  </w:tcBorders>
                  <w:noWrap w:val="0"/>
                  <w:vAlign w:val="center"/>
                </w:tcPr>
                <w:p w14:paraId="012FBDCA">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现状浓度（μg/</w:t>
                  </w:r>
                  <w:r>
                    <w:rPr>
                      <w:rFonts w:hint="eastAsia"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m</w:t>
                  </w:r>
                  <w:r>
                    <w:rPr>
                      <w:rFonts w:hint="eastAsia" w:ascii="Times New Roman" w:hAnsi="Times New Roman" w:eastAsia="宋体" w:cs="Times New Roman"/>
                      <w:b/>
                      <w:bCs/>
                      <w:color w:val="000000" w:themeColor="text1"/>
                      <w:kern w:val="2"/>
                      <w:sz w:val="21"/>
                      <w:szCs w:val="21"/>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w:t>
                  </w:r>
                </w:p>
              </w:tc>
              <w:tc>
                <w:tcPr>
                  <w:tcW w:w="702" w:type="pct"/>
                  <w:tcBorders>
                    <w:tl2br w:val="nil"/>
                    <w:tr2bl w:val="nil"/>
                  </w:tcBorders>
                  <w:noWrap w:val="0"/>
                  <w:vAlign w:val="center"/>
                </w:tcPr>
                <w:p w14:paraId="32A55D42">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标准值（μg/</w:t>
                  </w:r>
                  <w:r>
                    <w:rPr>
                      <w:rFonts w:hint="eastAsia"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m</w:t>
                  </w:r>
                  <w:r>
                    <w:rPr>
                      <w:rFonts w:hint="eastAsia" w:ascii="Times New Roman" w:hAnsi="Times New Roman" w:eastAsia="宋体" w:cs="Times New Roman"/>
                      <w:b/>
                      <w:bCs/>
                      <w:color w:val="000000" w:themeColor="text1"/>
                      <w:kern w:val="2"/>
                      <w:sz w:val="21"/>
                      <w:szCs w:val="21"/>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w:t>
                  </w:r>
                </w:p>
              </w:tc>
              <w:tc>
                <w:tcPr>
                  <w:tcW w:w="628" w:type="pct"/>
                  <w:tcBorders>
                    <w:tl2br w:val="nil"/>
                    <w:tr2bl w:val="nil"/>
                  </w:tcBorders>
                  <w:noWrap w:val="0"/>
                  <w:vAlign w:val="center"/>
                </w:tcPr>
                <w:p w14:paraId="009D9F02">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占标率%</w:t>
                  </w:r>
                </w:p>
              </w:tc>
              <w:tc>
                <w:tcPr>
                  <w:tcW w:w="673" w:type="pct"/>
                  <w:tcBorders>
                    <w:tl2br w:val="nil"/>
                    <w:tr2bl w:val="nil"/>
                  </w:tcBorders>
                  <w:noWrap w:val="0"/>
                  <w:vAlign w:val="center"/>
                </w:tcPr>
                <w:p w14:paraId="5BD16450">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vertAlign w:val="baseline"/>
                      <w:lang w:val="en-US" w:eastAsia="zh-CN" w:bidi="ar-SA"/>
                      <w14:textFill>
                        <w14:solidFill>
                          <w14:schemeClr w14:val="tx1"/>
                        </w14:solidFill>
                      </w14:textFill>
                    </w:rPr>
                    <w:t>达标情况</w:t>
                  </w:r>
                </w:p>
              </w:tc>
            </w:tr>
            <w:tr w14:paraId="02DFDF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53BAD88C">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SO</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2</w:t>
                  </w:r>
                </w:p>
              </w:tc>
              <w:tc>
                <w:tcPr>
                  <w:tcW w:w="1552" w:type="pct"/>
                  <w:tcBorders>
                    <w:tl2br w:val="nil"/>
                    <w:tr2bl w:val="nil"/>
                  </w:tcBorders>
                  <w:noWrap w:val="0"/>
                  <w:vAlign w:val="center"/>
                </w:tcPr>
                <w:p w14:paraId="61027A89">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年平均质量浓度</w:t>
                  </w:r>
                </w:p>
              </w:tc>
              <w:tc>
                <w:tcPr>
                  <w:tcW w:w="710" w:type="pct"/>
                  <w:tcBorders>
                    <w:tl2br w:val="nil"/>
                    <w:tr2bl w:val="nil"/>
                  </w:tcBorders>
                  <w:noWrap w:val="0"/>
                  <w:vAlign w:val="center"/>
                </w:tcPr>
                <w:p w14:paraId="1A0A1A28">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4</w:t>
                  </w:r>
                </w:p>
              </w:tc>
              <w:tc>
                <w:tcPr>
                  <w:tcW w:w="702" w:type="pct"/>
                  <w:tcBorders>
                    <w:tl2br w:val="nil"/>
                    <w:tr2bl w:val="nil"/>
                  </w:tcBorders>
                  <w:noWrap w:val="0"/>
                  <w:vAlign w:val="center"/>
                </w:tcPr>
                <w:p w14:paraId="5ADA7822">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60</w:t>
                  </w:r>
                </w:p>
              </w:tc>
              <w:tc>
                <w:tcPr>
                  <w:tcW w:w="628" w:type="pct"/>
                  <w:tcBorders>
                    <w:tl2br w:val="nil"/>
                    <w:tr2bl w:val="nil"/>
                  </w:tcBorders>
                  <w:noWrap w:val="0"/>
                  <w:vAlign w:val="center"/>
                </w:tcPr>
                <w:p w14:paraId="5EBCC045">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6.66</w:t>
                  </w:r>
                </w:p>
              </w:tc>
              <w:tc>
                <w:tcPr>
                  <w:tcW w:w="673" w:type="pct"/>
                  <w:tcBorders>
                    <w:tl2br w:val="nil"/>
                    <w:tr2bl w:val="nil"/>
                  </w:tcBorders>
                  <w:noWrap w:val="0"/>
                  <w:vAlign w:val="center"/>
                </w:tcPr>
                <w:p w14:paraId="50877A3D">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r w14:paraId="3C2762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7D1244BC">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NO</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2</w:t>
                  </w:r>
                </w:p>
              </w:tc>
              <w:tc>
                <w:tcPr>
                  <w:tcW w:w="1552" w:type="pct"/>
                  <w:tcBorders>
                    <w:tl2br w:val="nil"/>
                    <w:tr2bl w:val="nil"/>
                  </w:tcBorders>
                  <w:noWrap w:val="0"/>
                  <w:vAlign w:val="center"/>
                </w:tcPr>
                <w:p w14:paraId="1F9EBC76">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年平均质量浓度</w:t>
                  </w:r>
                </w:p>
              </w:tc>
              <w:tc>
                <w:tcPr>
                  <w:tcW w:w="710" w:type="pct"/>
                  <w:tcBorders>
                    <w:tl2br w:val="nil"/>
                    <w:tr2bl w:val="nil"/>
                  </w:tcBorders>
                  <w:noWrap w:val="0"/>
                  <w:vAlign w:val="center"/>
                </w:tcPr>
                <w:p w14:paraId="7A80DE93">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9</w:t>
                  </w:r>
                </w:p>
              </w:tc>
              <w:tc>
                <w:tcPr>
                  <w:tcW w:w="702" w:type="pct"/>
                  <w:tcBorders>
                    <w:tl2br w:val="nil"/>
                    <w:tr2bl w:val="nil"/>
                  </w:tcBorders>
                  <w:noWrap w:val="0"/>
                  <w:vAlign w:val="center"/>
                </w:tcPr>
                <w:p w14:paraId="0DEB5C1C">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40</w:t>
                  </w:r>
                </w:p>
              </w:tc>
              <w:tc>
                <w:tcPr>
                  <w:tcW w:w="628" w:type="pct"/>
                  <w:tcBorders>
                    <w:tl2br w:val="nil"/>
                    <w:tr2bl w:val="nil"/>
                  </w:tcBorders>
                  <w:noWrap w:val="0"/>
                  <w:vAlign w:val="center"/>
                </w:tcPr>
                <w:p w14:paraId="5DEA74DB">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22.5</w:t>
                  </w:r>
                </w:p>
              </w:tc>
              <w:tc>
                <w:tcPr>
                  <w:tcW w:w="673" w:type="pct"/>
                  <w:tcBorders>
                    <w:tl2br w:val="nil"/>
                    <w:tr2bl w:val="nil"/>
                  </w:tcBorders>
                  <w:noWrap w:val="0"/>
                  <w:vAlign w:val="center"/>
                </w:tcPr>
                <w:p w14:paraId="3F81BCC1">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r w14:paraId="2CE99B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1D875C01">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PM</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10</w:t>
                  </w:r>
                </w:p>
              </w:tc>
              <w:tc>
                <w:tcPr>
                  <w:tcW w:w="1552" w:type="pct"/>
                  <w:tcBorders>
                    <w:tl2br w:val="nil"/>
                    <w:tr2bl w:val="nil"/>
                  </w:tcBorders>
                  <w:noWrap w:val="0"/>
                  <w:vAlign w:val="center"/>
                </w:tcPr>
                <w:p w14:paraId="1B5E88D3">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年平均质量浓度</w:t>
                  </w:r>
                </w:p>
              </w:tc>
              <w:tc>
                <w:tcPr>
                  <w:tcW w:w="710" w:type="pct"/>
                  <w:tcBorders>
                    <w:tl2br w:val="nil"/>
                    <w:tr2bl w:val="nil"/>
                  </w:tcBorders>
                  <w:noWrap w:val="0"/>
                  <w:vAlign w:val="center"/>
                </w:tcPr>
                <w:p w14:paraId="00B919D6">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26</w:t>
                  </w:r>
                </w:p>
              </w:tc>
              <w:tc>
                <w:tcPr>
                  <w:tcW w:w="702" w:type="pct"/>
                  <w:tcBorders>
                    <w:tl2br w:val="nil"/>
                    <w:tr2bl w:val="nil"/>
                  </w:tcBorders>
                  <w:noWrap w:val="0"/>
                  <w:vAlign w:val="center"/>
                </w:tcPr>
                <w:p w14:paraId="0DE1B55C">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60</w:t>
                  </w:r>
                </w:p>
              </w:tc>
              <w:tc>
                <w:tcPr>
                  <w:tcW w:w="628" w:type="pct"/>
                  <w:tcBorders>
                    <w:tl2br w:val="nil"/>
                    <w:tr2bl w:val="nil"/>
                  </w:tcBorders>
                  <w:noWrap w:val="0"/>
                  <w:vAlign w:val="center"/>
                </w:tcPr>
                <w:p w14:paraId="4B6D4D0A">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43.33</w:t>
                  </w:r>
                </w:p>
              </w:tc>
              <w:tc>
                <w:tcPr>
                  <w:tcW w:w="673" w:type="pct"/>
                  <w:tcBorders>
                    <w:tl2br w:val="nil"/>
                    <w:tr2bl w:val="nil"/>
                  </w:tcBorders>
                  <w:noWrap w:val="0"/>
                  <w:vAlign w:val="center"/>
                </w:tcPr>
                <w:p w14:paraId="3D3D8379">
                  <w:pPr>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r w14:paraId="3361C9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5D290118">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PM</w:t>
                  </w:r>
                  <w:r>
                    <w:rPr>
                      <w:rFonts w:hint="default" w:ascii="Times New Roman" w:hAnsi="Times New Roman" w:eastAsia="宋体" w:cs="Times New Roman"/>
                      <w:color w:val="000000" w:themeColor="text1"/>
                      <w:kern w:val="2"/>
                      <w:sz w:val="21"/>
                      <w:szCs w:val="21"/>
                      <w:highlight w:val="none"/>
                      <w:vertAlign w:val="subscript"/>
                      <w:lang w:val="en-US" w:eastAsia="zh-CN" w:bidi="ar-SA"/>
                      <w14:textFill>
                        <w14:solidFill>
                          <w14:schemeClr w14:val="tx1"/>
                        </w14:solidFill>
                      </w14:textFill>
                    </w:rPr>
                    <w:t>2.5</w:t>
                  </w:r>
                </w:p>
              </w:tc>
              <w:tc>
                <w:tcPr>
                  <w:tcW w:w="1552" w:type="pct"/>
                  <w:tcBorders>
                    <w:tl2br w:val="nil"/>
                    <w:tr2bl w:val="nil"/>
                  </w:tcBorders>
                  <w:noWrap w:val="0"/>
                  <w:vAlign w:val="center"/>
                </w:tcPr>
                <w:p w14:paraId="12CD4501">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年平均质量浓度</w:t>
                  </w:r>
                </w:p>
              </w:tc>
              <w:tc>
                <w:tcPr>
                  <w:tcW w:w="710" w:type="pct"/>
                  <w:tcBorders>
                    <w:tl2br w:val="nil"/>
                    <w:tr2bl w:val="nil"/>
                  </w:tcBorders>
                  <w:noWrap w:val="0"/>
                  <w:vAlign w:val="center"/>
                </w:tcPr>
                <w:p w14:paraId="3D7BE7F4">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10</w:t>
                  </w:r>
                </w:p>
              </w:tc>
              <w:tc>
                <w:tcPr>
                  <w:tcW w:w="702" w:type="pct"/>
                  <w:tcBorders>
                    <w:tl2br w:val="nil"/>
                    <w:tr2bl w:val="nil"/>
                  </w:tcBorders>
                  <w:noWrap w:val="0"/>
                  <w:vAlign w:val="center"/>
                </w:tcPr>
                <w:p w14:paraId="5F0A807B">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30</w:t>
                  </w:r>
                </w:p>
              </w:tc>
              <w:tc>
                <w:tcPr>
                  <w:tcW w:w="628" w:type="pct"/>
                  <w:tcBorders>
                    <w:tl2br w:val="nil"/>
                    <w:tr2bl w:val="nil"/>
                  </w:tcBorders>
                  <w:noWrap w:val="0"/>
                  <w:vAlign w:val="center"/>
                </w:tcPr>
                <w:p w14:paraId="6F16468B">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33.33</w:t>
                  </w:r>
                </w:p>
              </w:tc>
              <w:tc>
                <w:tcPr>
                  <w:tcW w:w="673" w:type="pct"/>
                  <w:tcBorders>
                    <w:tl2br w:val="nil"/>
                    <w:tr2bl w:val="nil"/>
                  </w:tcBorders>
                  <w:noWrap w:val="0"/>
                  <w:vAlign w:val="center"/>
                </w:tcPr>
                <w:p w14:paraId="248CE2FA">
                  <w:pPr>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r w14:paraId="026E9F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31E5D85A">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CO</w:t>
                  </w:r>
                </w:p>
              </w:tc>
              <w:tc>
                <w:tcPr>
                  <w:tcW w:w="1552" w:type="pct"/>
                  <w:tcBorders>
                    <w:tl2br w:val="nil"/>
                    <w:tr2bl w:val="nil"/>
                  </w:tcBorders>
                  <w:noWrap w:val="0"/>
                  <w:vAlign w:val="center"/>
                </w:tcPr>
                <w:p w14:paraId="3CF656D8">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24小时平均第95百分位数</w:t>
                  </w:r>
                </w:p>
              </w:tc>
              <w:tc>
                <w:tcPr>
                  <w:tcW w:w="710" w:type="pct"/>
                  <w:tcBorders>
                    <w:tl2br w:val="nil"/>
                    <w:tr2bl w:val="nil"/>
                  </w:tcBorders>
                  <w:noWrap w:val="0"/>
                  <w:vAlign w:val="center"/>
                </w:tcPr>
                <w:p w14:paraId="375C0DB0">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700</w:t>
                  </w:r>
                </w:p>
              </w:tc>
              <w:tc>
                <w:tcPr>
                  <w:tcW w:w="702" w:type="pct"/>
                  <w:tcBorders>
                    <w:tl2br w:val="nil"/>
                    <w:tr2bl w:val="nil"/>
                  </w:tcBorders>
                  <w:noWrap w:val="0"/>
                  <w:vAlign w:val="center"/>
                </w:tcPr>
                <w:p w14:paraId="3633D8A4">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4000</w:t>
                  </w:r>
                </w:p>
              </w:tc>
              <w:tc>
                <w:tcPr>
                  <w:tcW w:w="628" w:type="pct"/>
                  <w:tcBorders>
                    <w:tl2br w:val="nil"/>
                    <w:tr2bl w:val="nil"/>
                  </w:tcBorders>
                  <w:noWrap w:val="0"/>
                  <w:vAlign w:val="center"/>
                </w:tcPr>
                <w:p w14:paraId="4BD906BE">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17.5</w:t>
                  </w:r>
                </w:p>
              </w:tc>
              <w:tc>
                <w:tcPr>
                  <w:tcW w:w="673" w:type="pct"/>
                  <w:tcBorders>
                    <w:tl2br w:val="nil"/>
                    <w:tr2bl w:val="nil"/>
                  </w:tcBorders>
                  <w:noWrap w:val="0"/>
                  <w:vAlign w:val="center"/>
                </w:tcPr>
                <w:p w14:paraId="54BDB977">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r w14:paraId="7BB6C2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32" w:type="pct"/>
                  <w:tcBorders>
                    <w:tl2br w:val="nil"/>
                    <w:tr2bl w:val="nil"/>
                  </w:tcBorders>
                  <w:noWrap w:val="0"/>
                  <w:vAlign w:val="center"/>
                </w:tcPr>
                <w:p w14:paraId="1E2F6E88">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O3</w:t>
                  </w:r>
                </w:p>
              </w:tc>
              <w:tc>
                <w:tcPr>
                  <w:tcW w:w="1552" w:type="pct"/>
                  <w:tcBorders>
                    <w:tl2br w:val="nil"/>
                    <w:tr2bl w:val="nil"/>
                  </w:tcBorders>
                  <w:noWrap w:val="0"/>
                  <w:vAlign w:val="center"/>
                </w:tcPr>
                <w:p w14:paraId="36B4A4DE">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日最大8小时平均质量浓度</w:t>
                  </w:r>
                </w:p>
              </w:tc>
              <w:tc>
                <w:tcPr>
                  <w:tcW w:w="710" w:type="pct"/>
                  <w:tcBorders>
                    <w:tl2br w:val="nil"/>
                    <w:tr2bl w:val="nil"/>
                  </w:tcBorders>
                  <w:noWrap w:val="0"/>
                  <w:vAlign w:val="center"/>
                </w:tcPr>
                <w:p w14:paraId="2AA08B0A">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109</w:t>
                  </w:r>
                </w:p>
              </w:tc>
              <w:tc>
                <w:tcPr>
                  <w:tcW w:w="702" w:type="pct"/>
                  <w:tcBorders>
                    <w:tl2br w:val="nil"/>
                    <w:tr2bl w:val="nil"/>
                  </w:tcBorders>
                  <w:noWrap w:val="0"/>
                  <w:vAlign w:val="center"/>
                </w:tcPr>
                <w:p w14:paraId="03237735">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160</w:t>
                  </w:r>
                </w:p>
              </w:tc>
              <w:tc>
                <w:tcPr>
                  <w:tcW w:w="628" w:type="pct"/>
                  <w:tcBorders>
                    <w:tl2br w:val="nil"/>
                    <w:tr2bl w:val="nil"/>
                  </w:tcBorders>
                  <w:noWrap w:val="0"/>
                  <w:vAlign w:val="center"/>
                </w:tcPr>
                <w:p w14:paraId="7848FA4F">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kern w:val="2"/>
                      <w:sz w:val="21"/>
                      <w:szCs w:val="21"/>
                      <w:highlight w:val="none"/>
                      <w:vertAlign w:val="baseline"/>
                      <w:lang w:val="en-US" w:eastAsia="zh-CN" w:bidi="ar-SA"/>
                      <w14:textFill>
                        <w14:solidFill>
                          <w14:schemeClr w14:val="tx1"/>
                        </w14:solidFill>
                      </w14:textFill>
                    </w:rPr>
                    <w:t>68.12</w:t>
                  </w:r>
                </w:p>
              </w:tc>
              <w:tc>
                <w:tcPr>
                  <w:tcW w:w="673" w:type="pct"/>
                  <w:tcBorders>
                    <w:tl2br w:val="nil"/>
                    <w:tr2bl w:val="nil"/>
                  </w:tcBorders>
                  <w:noWrap w:val="0"/>
                  <w:vAlign w:val="center"/>
                </w:tcPr>
                <w:p w14:paraId="15460424">
                  <w:pPr>
                    <w:pStyle w:val="29"/>
                    <w:keepNext w:val="0"/>
                    <w:keepLines w:val="0"/>
                    <w:pageBreakBefore w:val="0"/>
                    <w:widowControl/>
                    <w:kinsoku/>
                    <w:wordWrap/>
                    <w:overflowPunct/>
                    <w:topLinePunct w:val="0"/>
                    <w:autoSpaceDE/>
                    <w:autoSpaceDN/>
                    <w:bidi w:val="0"/>
                    <w:adjustRightInd/>
                    <w:snapToGrid/>
                    <w:spacing w:beforeLines="0" w:after="0" w:afterLines="0" w:line="360" w:lineRule="exac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达标</w:t>
                  </w:r>
                </w:p>
              </w:tc>
            </w:tr>
          </w:tbl>
          <w:p w14:paraId="28FA7C1F">
            <w:pPr>
              <w:pStyle w:val="30"/>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根据表</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3-4</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分析可知，</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各类</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污染物年平均质量浓度均满足《环境空气质量标准》（</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GB3095-2026</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）及修改单中</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过渡阶段</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二级标准限值要求，</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本项目</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所在区域为达标区。</w:t>
            </w:r>
          </w:p>
          <w:p w14:paraId="40D1F60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 xml:space="preserve">3 </w:t>
            </w:r>
            <w:r>
              <w:rPr>
                <w:rFonts w:hint="default" w:ascii="Times New Roman" w:hAnsi="Times New Roman" w:eastAsia="宋体" w:cs="Times New Roman"/>
                <w:b/>
                <w:bCs/>
                <w:color w:val="000000" w:themeColor="text1"/>
                <w:kern w:val="2"/>
                <w:sz w:val="24"/>
                <w:szCs w:val="24"/>
                <w:highlight w:val="none"/>
                <w:vertAlign w:val="baseline"/>
                <w:lang w:val="en-US" w:eastAsia="zh-CN" w:bidi="ar-SA"/>
                <w14:textFill>
                  <w14:solidFill>
                    <w14:schemeClr w14:val="tx1"/>
                  </w14:solidFill>
                </w14:textFill>
              </w:rPr>
              <w:t>声环境质量现状调查及评价</w:t>
            </w:r>
          </w:p>
          <w:p w14:paraId="122EA487">
            <w:pPr>
              <w:pStyle w:val="30"/>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根据生态环境部</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《建设项目环境影响报告表编制技术指南（生态影响类）（试行）》</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要求，组织填写建设项目环境影响报告表。厂界外周边50</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米</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范围内存在声环境保护目标的建设项目，应监测保护目标声环境质量现状并评价达标情况。</w:t>
            </w:r>
          </w:p>
          <w:p w14:paraId="26AB7866">
            <w:pPr>
              <w:pStyle w:val="30"/>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根据现场踏勘，本项目周围50</w:t>
            </w:r>
            <w:r>
              <w:rPr>
                <w:rFonts w:hint="eastAsia"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米</w:t>
            </w:r>
            <w:r>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t>范围内无声环境保护目标，因此无需对声环境质量现状进行监测。</w:t>
            </w:r>
          </w:p>
          <w:p w14:paraId="4176EF0A">
            <w:pPr>
              <w:pStyle w:val="31"/>
              <w:pageBreakBefore w:val="0"/>
              <w:widowControl w:val="0"/>
              <w:kinsoku/>
              <w:wordWrap/>
              <w:overflowPunct/>
              <w:topLinePunct w:val="0"/>
              <w:bidi w:val="0"/>
              <w:spacing w:line="480" w:lineRule="exact"/>
              <w:jc w:val="both"/>
              <w:rPr>
                <w:rFonts w:hint="default" w:ascii="Times New Roman" w:hAnsi="Times New Roman" w:eastAsia="宋体" w:cs="Times New Roman"/>
                <w:b/>
                <w:bCs/>
                <w:color w:val="auto"/>
                <w:sz w:val="24"/>
                <w:szCs w:val="24"/>
                <w:highlight w:val="none"/>
              </w:rPr>
            </w:pPr>
            <w:r>
              <w:rPr>
                <w:rFonts w:hint="eastAsia" w:asci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地</w:t>
            </w:r>
            <w:r>
              <w:rPr>
                <w:rFonts w:hint="eastAsia" w:ascii="Times New Roman" w:cs="Times New Roman"/>
                <w:b/>
                <w:bCs/>
                <w:color w:val="auto"/>
                <w:sz w:val="24"/>
                <w:szCs w:val="24"/>
                <w:highlight w:val="none"/>
                <w:lang w:eastAsia="zh-CN"/>
              </w:rPr>
              <w:t>表</w:t>
            </w:r>
            <w:r>
              <w:rPr>
                <w:rFonts w:hint="default" w:ascii="Times New Roman" w:hAnsi="Times New Roman" w:eastAsia="宋体" w:cs="Times New Roman"/>
                <w:b/>
                <w:bCs/>
                <w:color w:val="auto"/>
                <w:sz w:val="24"/>
                <w:szCs w:val="24"/>
                <w:highlight w:val="none"/>
              </w:rPr>
              <w:t>水</w:t>
            </w:r>
            <w:r>
              <w:rPr>
                <w:rFonts w:hint="default" w:ascii="Times New Roman" w:hAnsi="Times New Roman" w:eastAsia="宋体" w:cs="Times New Roman"/>
                <w:b/>
                <w:bCs/>
                <w:color w:val="auto"/>
                <w:sz w:val="24"/>
                <w:szCs w:val="24"/>
                <w:highlight w:val="none"/>
                <w:lang w:eastAsia="zh-CN"/>
              </w:rPr>
              <w:t>环境质量</w:t>
            </w:r>
            <w:r>
              <w:rPr>
                <w:rFonts w:hint="default" w:ascii="Times New Roman" w:hAnsi="Times New Roman" w:eastAsia="宋体" w:cs="Times New Roman"/>
                <w:b/>
                <w:bCs/>
                <w:color w:val="auto"/>
                <w:sz w:val="24"/>
                <w:szCs w:val="24"/>
                <w:highlight w:val="none"/>
              </w:rPr>
              <w:t>现状调查及评价</w:t>
            </w:r>
          </w:p>
          <w:p w14:paraId="3ABBA784">
            <w:pPr>
              <w:pStyle w:val="30"/>
              <w:pageBreakBefore w:val="0"/>
              <w:widowControl w:val="0"/>
              <w:kinsoku/>
              <w:wordWrap/>
              <w:overflowPunct/>
              <w:topLinePunct w:val="0"/>
              <w:bidi w:val="0"/>
              <w:adjustRightInd w:val="0"/>
              <w:snapToGrid w:val="0"/>
              <w:spacing w:line="480" w:lineRule="exact"/>
              <w:jc w:val="both"/>
              <w:rPr>
                <w:rFonts w:hint="eastAsia" w:cs="Times New Roman"/>
                <w:color w:val="000000" w:themeColor="text1"/>
                <w:kern w:val="2"/>
                <w:sz w:val="24"/>
                <w:szCs w:val="24"/>
                <w:highlight w:val="none"/>
                <w:u w:val="dotted"/>
                <w:vertAlign w:val="baseline"/>
                <w:lang w:val="en-US" w:eastAsia="zh-CN" w:bidi="ar-SA"/>
                <w14:textFill>
                  <w14:solidFill>
                    <w14:schemeClr w14:val="tx1"/>
                  </w14:solidFill>
                </w14:textFill>
              </w:rPr>
            </w:pPr>
            <w:r>
              <w:rPr>
                <w:rFonts w:hint="eastAsia" w:cs="Times New Roman"/>
                <w:color w:val="000000" w:themeColor="text1"/>
                <w:kern w:val="2"/>
                <w:sz w:val="24"/>
                <w:szCs w:val="24"/>
                <w:highlight w:val="none"/>
                <w:u w:val="dotted"/>
                <w:vertAlign w:val="baseline"/>
                <w:lang w:val="en-US" w:eastAsia="zh-CN" w:bidi="ar-SA"/>
                <w14:textFill>
                  <w14:solidFill>
                    <w14:schemeClr w14:val="tx1"/>
                  </w14:solidFill>
                </w14:textFill>
              </w:rPr>
              <w:t>本项目施工期施工废水经处理达标后回用，生活污水排入临时防渗化粪池后拉运至托里县生活污水处理场处置，运营期不产生生产废水，场站无人值守无生活污水，因此本项目与地表水无水利联系。</w:t>
            </w:r>
          </w:p>
          <w:p w14:paraId="29A0B9FD">
            <w:pPr>
              <w:pStyle w:val="30"/>
              <w:pageBreakBefore w:val="0"/>
              <w:widowControl w:val="0"/>
              <w:kinsoku/>
              <w:wordWrap/>
              <w:overflowPunct/>
              <w:topLinePunct w:val="0"/>
              <w:bidi w:val="0"/>
              <w:adjustRightInd w:val="0"/>
              <w:snapToGrid w:val="0"/>
              <w:spacing w:line="480" w:lineRule="exact"/>
              <w:jc w:val="both"/>
              <w:rPr>
                <w:rFonts w:hint="default" w:ascii="Times New Roman" w:hAnsi="Times New Roman" w:eastAsia="宋体" w:cs="Times New Roman"/>
                <w:color w:val="000000" w:themeColor="text1"/>
                <w:kern w:val="2"/>
                <w:sz w:val="24"/>
                <w:szCs w:val="24"/>
                <w:highlight w:val="none"/>
                <w:vertAlign w:val="baseline"/>
                <w:lang w:val="en-US" w:eastAsia="zh-CN" w:bidi="ar-SA"/>
                <w14:textFill>
                  <w14:solidFill>
                    <w14:schemeClr w14:val="tx1"/>
                  </w14:solidFill>
                </w14:textFill>
              </w:rPr>
            </w:pPr>
            <w:r>
              <w:rPr>
                <w:rFonts w:hint="eastAsia" w:cs="Times New Roman"/>
                <w:color w:val="000000" w:themeColor="text1"/>
                <w:kern w:val="2"/>
                <w:sz w:val="24"/>
                <w:szCs w:val="24"/>
                <w:highlight w:val="none"/>
                <w:u w:val="dotted"/>
                <w:vertAlign w:val="baseline"/>
                <w:lang w:val="en-US" w:eastAsia="zh-CN" w:bidi="ar-SA"/>
                <w14:textFill>
                  <w14:solidFill>
                    <w14:schemeClr w14:val="tx1"/>
                  </w14:solidFill>
                </w14:textFill>
              </w:rPr>
              <w:t>经现场踏勘</w:t>
            </w:r>
            <w:r>
              <w:rPr>
                <w:rFonts w:hint="eastAsia" w:cs="Times New Roman"/>
                <w:color w:val="000000" w:themeColor="text1"/>
                <w:kern w:val="2"/>
                <w:sz w:val="24"/>
                <w:szCs w:val="24"/>
                <w:highlight w:val="none"/>
                <w:vertAlign w:val="baseline"/>
                <w:lang w:val="en-US" w:eastAsia="zh-CN" w:bidi="ar-SA"/>
                <w14:textFill>
                  <w14:solidFill>
                    <w14:schemeClr w14:val="tx1"/>
                  </w14:solidFill>
                </w14:textFill>
              </w:rPr>
              <w:t>四</w:t>
            </w:r>
            <w:r>
              <w:rPr>
                <w:rFonts w:hint="eastAsia" w:cs="Times New Roman"/>
                <w:color w:val="000000" w:themeColor="text1"/>
                <w:kern w:val="2"/>
                <w:sz w:val="24"/>
                <w:szCs w:val="24"/>
                <w:highlight w:val="none"/>
                <w:u w:val="dotted"/>
                <w:vertAlign w:val="baseline"/>
                <w:lang w:val="en-US" w:eastAsia="zh-CN" w:bidi="ar-SA"/>
                <w14:textFill>
                  <w14:solidFill>
                    <w14:schemeClr w14:val="tx1"/>
                  </w14:solidFill>
                </w14:textFill>
              </w:rPr>
              <w:t>周无地表水。</w:t>
            </w:r>
          </w:p>
          <w:p w14:paraId="3BBC2F5B">
            <w:pPr>
              <w:pStyle w:val="30"/>
              <w:pageBreakBefore w:val="0"/>
              <w:widowControl w:val="0"/>
              <w:kinsoku/>
              <w:wordWrap/>
              <w:overflowPunct/>
              <w:topLinePunct w:val="0"/>
              <w:bidi w:val="0"/>
              <w:adjustRightInd w:val="0"/>
              <w:snapToGrid w:val="0"/>
              <w:spacing w:line="480" w:lineRule="exact"/>
              <w:ind w:firstLine="0" w:firstLineChars="0"/>
              <w:jc w:val="both"/>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 xml:space="preserve">5 </w:t>
            </w:r>
            <w:r>
              <w:rPr>
                <w:rFonts w:hint="default" w:ascii="Times New Roman" w:hAnsi="Times New Roman" w:eastAsia="宋体" w:cs="Times New Roman"/>
                <w:b/>
                <w:bCs/>
                <w:color w:val="auto"/>
                <w:sz w:val="24"/>
                <w:highlight w:val="none"/>
                <w:lang w:val="en-US" w:eastAsia="zh-CN"/>
              </w:rPr>
              <w:t>地下水</w:t>
            </w:r>
            <w:r>
              <w:rPr>
                <w:rFonts w:hint="eastAsia" w:cs="Times New Roman"/>
                <w:b/>
                <w:bCs/>
                <w:color w:val="auto"/>
                <w:sz w:val="24"/>
                <w:highlight w:val="none"/>
                <w:lang w:val="en-US" w:eastAsia="zh-CN"/>
              </w:rPr>
              <w:t>、土壤</w:t>
            </w:r>
            <w:r>
              <w:rPr>
                <w:rFonts w:hint="default" w:ascii="Times New Roman" w:hAnsi="Times New Roman" w:eastAsia="宋体" w:cs="Times New Roman"/>
                <w:b/>
                <w:bCs/>
                <w:color w:val="auto"/>
                <w:sz w:val="24"/>
                <w:highlight w:val="none"/>
                <w:lang w:val="en-US" w:eastAsia="zh-CN"/>
              </w:rPr>
              <w:t>环境现状评价</w:t>
            </w:r>
          </w:p>
          <w:p w14:paraId="69CDFC34">
            <w:pPr>
              <w:pStyle w:val="30"/>
              <w:adjustRightInd w:val="0"/>
              <w:snapToGrid w:val="0"/>
              <w:ind w:firstLine="480" w:firstLineChars="200"/>
              <w:rPr>
                <w:rFonts w:hint="default" w:cs="Times New Roman"/>
                <w:color w:val="000000" w:themeColor="text1"/>
                <w:kern w:val="2"/>
                <w:sz w:val="24"/>
                <w:szCs w:val="24"/>
                <w:highlight w:val="none"/>
                <w:lang w:eastAsia="zh-CN"/>
                <w14:textFill>
                  <w14:solidFill>
                    <w14:schemeClr w14:val="tx1"/>
                  </w14:solidFill>
                </w14:textFill>
              </w:rPr>
            </w:pPr>
            <w:r>
              <w:rPr>
                <w:rFonts w:ascii="Times New Roman" w:hAnsi="Times New Roman" w:eastAsia="宋体" w:cs="Times New Roman"/>
                <w:snapToGrid w:val="0"/>
                <w:color w:val="auto"/>
                <w:kern w:val="0"/>
                <w:sz w:val="24"/>
                <w:highlight w:val="none"/>
              </w:rPr>
              <w:t>按照《生态环境部印发新版〈建设项目环境影响报告表〉内容、格式及编制技术指南的通知》：</w:t>
            </w:r>
            <w:r>
              <w:rPr>
                <w:rFonts w:hint="eastAsia"/>
                <w:snapToGrid w:val="0"/>
                <w:color w:val="auto"/>
                <w:kern w:val="0"/>
                <w:sz w:val="24"/>
                <w:highlight w:val="none"/>
              </w:rPr>
              <w:t>“</w:t>
            </w:r>
            <w:r>
              <w:rPr>
                <w:snapToGrid w:val="0"/>
                <w:color w:val="auto"/>
                <w:kern w:val="0"/>
                <w:sz w:val="24"/>
                <w:highlight w:val="none"/>
              </w:rPr>
              <w:t>建设项目存在土壤、地下水环境污染途径的，应结合污染源、保护目标分布情况开展现状调查以留作背景值。</w:t>
            </w:r>
            <w:r>
              <w:rPr>
                <w:rFonts w:hint="eastAsia"/>
                <w:snapToGrid w:val="0"/>
                <w:color w:val="auto"/>
                <w:kern w:val="0"/>
                <w:sz w:val="24"/>
                <w:highlight w:val="none"/>
              </w:rPr>
              <w:t>”</w:t>
            </w:r>
            <w:r>
              <w:rPr>
                <w:snapToGrid w:val="0"/>
                <w:color w:val="auto"/>
                <w:kern w:val="0"/>
                <w:sz w:val="24"/>
                <w:highlight w:val="none"/>
              </w:rPr>
              <w:t>本项目运营期不产生生产废水，</w:t>
            </w:r>
            <w:r>
              <w:rPr>
                <w:rFonts w:hint="eastAsia"/>
                <w:snapToGrid w:val="0"/>
                <w:color w:val="auto"/>
                <w:kern w:val="0"/>
                <w:sz w:val="24"/>
                <w:highlight w:val="none"/>
                <w:lang w:val="en-US" w:eastAsia="zh-CN"/>
              </w:rPr>
              <w:t>采用污染值守</w:t>
            </w:r>
            <w:r>
              <w:rPr>
                <w:rFonts w:hint="eastAsia"/>
                <w:snapToGrid w:val="0"/>
                <w:color w:val="auto"/>
                <w:kern w:val="0"/>
                <w:sz w:val="24"/>
                <w:highlight w:val="none"/>
              </w:rPr>
              <w:t>，</w:t>
            </w:r>
            <w:r>
              <w:rPr>
                <w:rFonts w:hint="eastAsia"/>
                <w:snapToGrid w:val="0"/>
                <w:color w:val="auto"/>
                <w:kern w:val="0"/>
                <w:sz w:val="24"/>
                <w:highlight w:val="none"/>
                <w:lang w:val="en-US" w:eastAsia="zh-CN"/>
              </w:rPr>
              <w:t>依托升压</w:t>
            </w:r>
            <w:r>
              <w:rPr>
                <w:rFonts w:hint="eastAsia"/>
                <w:snapToGrid w:val="0"/>
                <w:color w:val="auto"/>
                <w:kern w:val="0"/>
                <w:sz w:val="24"/>
                <w:highlight w:val="none"/>
              </w:rPr>
              <w:t>站内生活污水经</w:t>
            </w:r>
            <w:r>
              <w:rPr>
                <w:snapToGrid w:val="0"/>
                <w:color w:val="auto"/>
                <w:kern w:val="0"/>
                <w:sz w:val="24"/>
                <w:highlight w:val="none"/>
              </w:rPr>
              <w:t>地埋式一体化污水处理设施处理，不外排，正常情况下不存在土壤、地下水环境污染途径的。</w:t>
            </w:r>
            <w:r>
              <w:rPr>
                <w:rFonts w:hint="eastAsia" w:ascii="Times New Roman" w:hAnsi="Times New Roman" w:eastAsia="宋体" w:cs="Times New Roman"/>
                <w:color w:val="FF0000"/>
                <w:sz w:val="24"/>
                <w:highlight w:val="none"/>
              </w:rPr>
              <w:t>根据《环境影响评价技术导则 土壤环境</w:t>
            </w:r>
            <w:r>
              <w:rPr>
                <w:rFonts w:hint="eastAsia" w:ascii="Times New Roman" w:hAnsi="Times New Roman" w:eastAsia="宋体" w:cs="Times New Roman"/>
                <w:color w:val="FF0000"/>
                <w:sz w:val="24"/>
                <w:highlight w:val="none"/>
                <w:lang w:eastAsia="zh-CN"/>
              </w:rPr>
              <w:t>（</w:t>
            </w:r>
            <w:r>
              <w:rPr>
                <w:rFonts w:hint="eastAsia" w:ascii="Times New Roman" w:hAnsi="Times New Roman" w:eastAsia="宋体" w:cs="Times New Roman"/>
                <w:color w:val="FF0000"/>
                <w:sz w:val="24"/>
                <w:highlight w:val="none"/>
              </w:rPr>
              <w:t>试行</w:t>
            </w:r>
            <w:r>
              <w:rPr>
                <w:rFonts w:hint="eastAsia" w:ascii="Times New Roman" w:hAnsi="Times New Roman" w:eastAsia="宋体" w:cs="Times New Roman"/>
                <w:color w:val="FF0000"/>
                <w:sz w:val="24"/>
                <w:highlight w:val="none"/>
                <w:lang w:eastAsia="zh-CN"/>
              </w:rPr>
              <w:t>）</w:t>
            </w:r>
            <w:r>
              <w:rPr>
                <w:rFonts w:hint="eastAsia" w:ascii="Times New Roman" w:hAnsi="Times New Roman" w:eastAsia="宋体" w:cs="Times New Roman"/>
                <w:color w:val="FF0000"/>
                <w:sz w:val="24"/>
                <w:highlight w:val="none"/>
              </w:rPr>
              <w:t>》</w:t>
            </w:r>
            <w:r>
              <w:rPr>
                <w:rFonts w:hint="eastAsia" w:ascii="Times New Roman" w:hAnsi="Times New Roman" w:eastAsia="宋体" w:cs="Times New Roman"/>
                <w:color w:val="FF0000"/>
                <w:sz w:val="24"/>
                <w:highlight w:val="none"/>
                <w:lang w:eastAsia="zh-CN"/>
              </w:rPr>
              <w:t>（</w:t>
            </w:r>
            <w:r>
              <w:rPr>
                <w:rFonts w:hint="eastAsia" w:ascii="Times New Roman" w:hAnsi="Times New Roman" w:eastAsia="宋体" w:cs="Times New Roman"/>
                <w:color w:val="FF0000"/>
                <w:sz w:val="24"/>
                <w:highlight w:val="none"/>
              </w:rPr>
              <w:t>HJ964-2018</w:t>
            </w:r>
            <w:r>
              <w:rPr>
                <w:rFonts w:hint="eastAsia" w:ascii="Times New Roman" w:hAnsi="Times New Roman" w:eastAsia="宋体" w:cs="Times New Roman"/>
                <w:color w:val="FF0000"/>
                <w:sz w:val="24"/>
                <w:highlight w:val="none"/>
                <w:lang w:eastAsia="zh-CN"/>
              </w:rPr>
              <w:t>）</w:t>
            </w:r>
            <w:r>
              <w:rPr>
                <w:rFonts w:hint="eastAsia" w:ascii="Times New Roman" w:hAnsi="Times New Roman" w:eastAsia="宋体" w:cs="Times New Roman"/>
                <w:color w:val="FF0000"/>
                <w:sz w:val="24"/>
                <w:highlight w:val="none"/>
              </w:rPr>
              <w:t>附录A中表A.1 土壤环境影响评价项目类别，本项目属于“其他行业”，为Ⅳ类项目，且工程自身不属于敏感目标建设项目，故不再开展土壤环境影响评价，不开展土壤环境质量监测</w:t>
            </w:r>
            <w:r>
              <w:rPr>
                <w:snapToGrid w:val="0"/>
                <w:color w:val="FF0000"/>
                <w:kern w:val="0"/>
                <w:sz w:val="24"/>
                <w:highlight w:val="none"/>
              </w:rPr>
              <w:t>。</w:t>
            </w:r>
          </w:p>
          <w:p w14:paraId="449A0865">
            <w:pPr>
              <w:pStyle w:val="30"/>
              <w:adjustRightInd w:val="0"/>
              <w:snapToGrid w:val="0"/>
              <w:ind w:firstLine="0" w:firstLineChars="0"/>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6</w:t>
            </w:r>
            <w:r>
              <w:rPr>
                <w:rFonts w:hint="eastAsia" w:cs="Times New Roman"/>
                <w:b/>
                <w:bCs/>
                <w:color w:val="auto"/>
                <w:spacing w:val="0"/>
                <w:sz w:val="24"/>
                <w:szCs w:val="24"/>
                <w:highlight w:val="none"/>
                <w:lang w:val="en-US" w:eastAsia="zh-CN"/>
              </w:rPr>
              <w:t xml:space="preserve"> </w:t>
            </w:r>
            <w:r>
              <w:rPr>
                <w:rFonts w:hint="default" w:ascii="Times New Roman" w:hAnsi="Times New Roman" w:eastAsia="宋体" w:cs="Times New Roman"/>
                <w:b/>
                <w:bCs/>
                <w:color w:val="auto"/>
                <w:spacing w:val="0"/>
                <w:sz w:val="24"/>
                <w:szCs w:val="24"/>
                <w:highlight w:val="none"/>
              </w:rPr>
              <w:t>对鸟类</w:t>
            </w:r>
            <w:r>
              <w:rPr>
                <w:rFonts w:hint="default" w:ascii="Times New Roman" w:hAnsi="Times New Roman" w:eastAsia="宋体" w:cs="Times New Roman"/>
                <w:b/>
                <w:bCs/>
                <w:color w:val="auto"/>
                <w:spacing w:val="0"/>
                <w:sz w:val="24"/>
                <w:szCs w:val="24"/>
                <w:highlight w:val="none"/>
                <w:lang w:val="en-US" w:eastAsia="zh-CN"/>
              </w:rPr>
              <w:t>迁徙路线现状调查</w:t>
            </w:r>
          </w:p>
          <w:p w14:paraId="3067A91B">
            <w:pPr>
              <w:pStyle w:val="49"/>
              <w:keepNext w:val="0"/>
              <w:keepLines w:val="0"/>
              <w:pageBreakBefore w:val="0"/>
              <w:kinsoku/>
              <w:wordWrap/>
              <w:overflowPunct/>
              <w:topLinePunct w:val="0"/>
              <w:autoSpaceDE/>
              <w:autoSpaceDN/>
              <w:bidi w:val="0"/>
              <w:snapToGrid w:val="0"/>
              <w:spacing w:line="480" w:lineRule="exact"/>
              <w:ind w:left="0" w:leftChars="0" w:right="0" w:rightChars="0" w:firstLine="480" w:firstLineChars="200"/>
              <w:jc w:val="both"/>
              <w:textAlignment w:val="auto"/>
              <w:outlineLvl w:val="9"/>
              <w:rPr>
                <w:rFonts w:hint="default" w:ascii="Times New Roman" w:hAnsi="Times New Roman" w:cs="Times New Roman"/>
                <w:color w:val="0000FF"/>
                <w:kern w:val="0"/>
                <w:sz w:val="24"/>
                <w:szCs w:val="24"/>
                <w:highlight w:val="none"/>
                <w:lang w:val="en-US" w:eastAsia="zh-CN"/>
              </w:rPr>
            </w:pPr>
          </w:p>
        </w:tc>
      </w:tr>
      <w:bookmarkEnd w:id="43"/>
      <w:tr w14:paraId="16F52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6" w:hRule="atLeast"/>
          <w:jc w:val="center"/>
        </w:trPr>
        <w:tc>
          <w:tcPr>
            <w:tcW w:w="888" w:type="pct"/>
            <w:tcBorders>
              <w:tl2br w:val="nil"/>
              <w:tr2bl w:val="nil"/>
            </w:tcBorders>
            <w:noWrap w:val="0"/>
            <w:vAlign w:val="center"/>
          </w:tcPr>
          <w:p w14:paraId="74EA30E9">
            <w:pPr>
              <w:adjustRightInd w:val="0"/>
              <w:snapToGrid w:val="0"/>
              <w:jc w:val="center"/>
              <w:rPr>
                <w:rFonts w:hint="default" w:ascii="Times New Roman" w:hAnsi="Times New Roman" w:cs="Times New Roman"/>
                <w:color w:val="0000FF"/>
                <w:kern w:val="0"/>
                <w:sz w:val="24"/>
                <w:szCs w:val="24"/>
                <w:highlight w:val="none"/>
              </w:rPr>
            </w:pPr>
            <w:r>
              <w:rPr>
                <w:rFonts w:hint="default" w:ascii="Times New Roman" w:hAnsi="Times New Roman" w:cs="Times New Roman"/>
                <w:bCs/>
                <w:color w:val="000000" w:themeColor="text1"/>
                <w:sz w:val="24"/>
                <w:szCs w:val="24"/>
                <w:highlight w:val="none"/>
                <w14:textFill>
                  <w14:solidFill>
                    <w14:schemeClr w14:val="tx1"/>
                  </w14:solidFill>
                </w14:textFill>
              </w:rPr>
              <w:t>与项目有关的原有环境污染和生态破坏问题</w:t>
            </w:r>
          </w:p>
        </w:tc>
        <w:tc>
          <w:tcPr>
            <w:tcW w:w="4111" w:type="pct"/>
            <w:tcBorders>
              <w:tl2br w:val="nil"/>
              <w:tr2bl w:val="nil"/>
            </w:tcBorders>
            <w:noWrap w:val="0"/>
            <w:vAlign w:val="center"/>
          </w:tcPr>
          <w:p w14:paraId="51931CA5">
            <w:pPr>
              <w:pStyle w:val="10"/>
              <w:keepNext w:val="0"/>
              <w:keepLines w:val="0"/>
              <w:pageBreakBefore w:val="0"/>
              <w:widowControl w:val="0"/>
              <w:kinsoku/>
              <w:wordWrap/>
              <w:overflowPunct/>
              <w:topLinePunct w:val="0"/>
              <w:autoSpaceDE/>
              <w:autoSpaceDN/>
              <w:bidi w:val="0"/>
              <w:adjustRightInd/>
              <w:snapToGrid/>
              <w:spacing w:after="0" w:afterLines="0" w:line="480" w:lineRule="exact"/>
              <w:jc w:val="center"/>
              <w:textAlignment w:val="auto"/>
              <w:rPr>
                <w:rFonts w:hint="default"/>
                <w:b w:val="0"/>
                <w:bCs w:val="0"/>
                <w:highlight w:val="none"/>
                <w:lang w:val="en-US" w:eastAsia="zh-CN"/>
              </w:rPr>
            </w:pPr>
            <w:r>
              <w:rPr>
                <w:rFonts w:hint="eastAsia" w:cs="Times New Roman"/>
                <w:b w:val="0"/>
                <w:bCs w:val="0"/>
                <w:color w:val="000000" w:themeColor="text1"/>
                <w:kern w:val="0"/>
                <w:sz w:val="24"/>
                <w:szCs w:val="24"/>
                <w:highlight w:val="none"/>
                <w:lang w:val="en-US" w:eastAsia="zh-CN"/>
                <w14:textFill>
                  <w14:solidFill>
                    <w14:schemeClr w14:val="tx1"/>
                  </w14:solidFill>
                </w14:textFill>
              </w:rPr>
              <w:t>无</w:t>
            </w:r>
          </w:p>
        </w:tc>
      </w:tr>
      <w:tr w14:paraId="28769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888" w:type="pct"/>
            <w:tcBorders>
              <w:tl2br w:val="nil"/>
              <w:tr2bl w:val="nil"/>
            </w:tcBorders>
            <w:noWrap w:val="0"/>
            <w:vAlign w:val="center"/>
          </w:tcPr>
          <w:p w14:paraId="3FA1B72C">
            <w:pPr>
              <w:adjustRightInd w:val="0"/>
              <w:snapToGrid w:val="0"/>
              <w:jc w:val="center"/>
              <w:rPr>
                <w:rFonts w:hint="default" w:ascii="Times New Roman" w:hAnsi="Times New Roman" w:cs="Times New Roman"/>
                <w:color w:val="0000FF"/>
                <w:kern w:val="0"/>
                <w:sz w:val="24"/>
                <w:szCs w:val="24"/>
                <w:highlight w:val="none"/>
              </w:rPr>
            </w:pPr>
            <w:r>
              <w:rPr>
                <w:rFonts w:hint="default" w:ascii="Times New Roman" w:hAnsi="Times New Roman" w:cs="Times New Roman"/>
                <w:color w:val="000000" w:themeColor="text1"/>
                <w:kern w:val="0"/>
                <w:sz w:val="24"/>
                <w:szCs w:val="24"/>
                <w:highlight w:val="none"/>
                <w14:textFill>
                  <w14:solidFill>
                    <w14:schemeClr w14:val="tx1"/>
                  </w14:solidFill>
                </w14:textFill>
              </w:rPr>
              <w:t>生态环境保护目标</w:t>
            </w:r>
          </w:p>
        </w:tc>
        <w:tc>
          <w:tcPr>
            <w:tcW w:w="4111" w:type="pct"/>
            <w:tcBorders>
              <w:tl2br w:val="nil"/>
              <w:tr2bl w:val="nil"/>
            </w:tcBorders>
            <w:noWrap w:val="0"/>
            <w:vAlign w:val="top"/>
          </w:tcPr>
          <w:p w14:paraId="0244190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Times New Roman" w:hAnsi="Times New Roman" w:eastAsia="宋体" w:cs="Times New Roman"/>
                <w:color w:val="0000FF"/>
                <w:kern w:val="0"/>
                <w:sz w:val="24"/>
                <w:szCs w:val="24"/>
                <w:highlight w:val="none"/>
                <w:lang w:val="en-US" w:eastAsia="zh-CN"/>
              </w:rPr>
            </w:pPr>
          </w:p>
        </w:tc>
      </w:tr>
      <w:tr w14:paraId="7692F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888" w:type="pct"/>
            <w:tcBorders>
              <w:tl2br w:val="nil"/>
              <w:tr2bl w:val="nil"/>
            </w:tcBorders>
            <w:noWrap w:val="0"/>
            <w:vAlign w:val="center"/>
          </w:tcPr>
          <w:p w14:paraId="4F82E263">
            <w:pPr>
              <w:adjustRightInd w:val="0"/>
              <w:snapToGrid w:val="0"/>
              <w:jc w:val="center"/>
              <w:rPr>
                <w:rFonts w:hint="default" w:ascii="Times New Roman" w:hAnsi="Times New Roman" w:cs="Times New Roman"/>
                <w:color w:val="000000" w:themeColor="text1"/>
                <w:kern w:val="0"/>
                <w:sz w:val="24"/>
                <w:szCs w:val="24"/>
                <w:highlight w:val="none"/>
                <w14:textFill>
                  <w14:solidFill>
                    <w14:schemeClr w14:val="tx1"/>
                  </w14:solidFill>
                </w14:textFill>
              </w:rPr>
            </w:pPr>
            <w:r>
              <w:rPr>
                <w:rFonts w:hint="default" w:ascii="Times New Roman" w:hAnsi="Times New Roman" w:cs="Times New Roman"/>
                <w:color w:val="000000" w:themeColor="text1"/>
                <w:kern w:val="0"/>
                <w:sz w:val="24"/>
                <w:szCs w:val="24"/>
                <w:highlight w:val="none"/>
                <w14:textFill>
                  <w14:solidFill>
                    <w14:schemeClr w14:val="tx1"/>
                  </w14:solidFill>
                </w14:textFill>
              </w:rPr>
              <w:t>评价</w:t>
            </w:r>
          </w:p>
          <w:p w14:paraId="337CB2B2">
            <w:pPr>
              <w:adjustRightInd w:val="0"/>
              <w:snapToGrid w:val="0"/>
              <w:jc w:val="center"/>
              <w:rPr>
                <w:rFonts w:hint="default" w:ascii="Times New Roman" w:hAnsi="Times New Roman" w:cs="Times New Roman"/>
                <w:color w:val="0000FF"/>
                <w:kern w:val="0"/>
                <w:sz w:val="24"/>
                <w:szCs w:val="24"/>
                <w:highlight w:val="none"/>
              </w:rPr>
            </w:pPr>
            <w:r>
              <w:rPr>
                <w:rFonts w:hint="default" w:ascii="Times New Roman" w:hAnsi="Times New Roman" w:cs="Times New Roman"/>
                <w:color w:val="000000" w:themeColor="text1"/>
                <w:kern w:val="0"/>
                <w:sz w:val="24"/>
                <w:szCs w:val="24"/>
                <w:highlight w:val="none"/>
                <w14:textFill>
                  <w14:solidFill>
                    <w14:schemeClr w14:val="tx1"/>
                  </w14:solidFill>
                </w14:textFill>
              </w:rPr>
              <w:t>标准</w:t>
            </w:r>
          </w:p>
        </w:tc>
        <w:tc>
          <w:tcPr>
            <w:tcW w:w="4111" w:type="pct"/>
            <w:tcBorders>
              <w:tl2br w:val="nil"/>
              <w:tr2bl w:val="nil"/>
            </w:tcBorders>
            <w:noWrap w:val="0"/>
            <w:vAlign w:val="top"/>
          </w:tcPr>
          <w:p w14:paraId="2CFF16CD">
            <w:pPr>
              <w:adjustRightInd w:val="0"/>
              <w:snapToGrid w:val="0"/>
              <w:spacing w:line="480" w:lineRule="exac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w:t>
            </w:r>
            <w:r>
              <w:rPr>
                <w:rFonts w:hint="default" w:ascii="Times New Roman" w:hAnsi="Times New Roman" w:eastAsia="宋体"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rPr>
              <w:t>环境质量标准</w:t>
            </w:r>
          </w:p>
          <w:p w14:paraId="3AED541B">
            <w:pPr>
              <w:spacing w:line="480" w:lineRule="exact"/>
              <w:ind w:firstLine="480" w:firstLineChars="200"/>
              <w:rPr>
                <w:rFonts w:hint="eastAsia" w:ascii="Times New Roman" w:hAnsi="Times New Roman" w:eastAsia="宋体" w:cs="Times New Roman"/>
                <w:color w:val="auto"/>
                <w:sz w:val="24"/>
                <w:highlight w:val="none"/>
                <w:lang w:val="zh-CN" w:eastAsia="zh-CN"/>
              </w:rPr>
            </w:pP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）《环境空气质量标准》（</w:t>
            </w:r>
            <w:r>
              <w:rPr>
                <w:rFonts w:hint="eastAsia" w:cs="Times New Roman"/>
                <w:color w:val="auto"/>
                <w:sz w:val="24"/>
                <w:highlight w:val="none"/>
                <w:lang w:eastAsia="zh-CN"/>
              </w:rPr>
              <w:t>GB3095-2026</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过渡阶段</w:t>
            </w:r>
            <w:r>
              <w:rPr>
                <w:rFonts w:hint="default" w:ascii="Times New Roman" w:hAnsi="Times New Roman" w:eastAsia="宋体" w:cs="Times New Roman"/>
                <w:color w:val="auto"/>
                <w:sz w:val="24"/>
                <w:highlight w:val="none"/>
              </w:rPr>
              <w:t>二级标准</w:t>
            </w:r>
            <w:r>
              <w:rPr>
                <w:rFonts w:hint="eastAsia" w:cs="Times New Roman"/>
                <w:color w:val="auto"/>
                <w:sz w:val="24"/>
                <w:highlight w:val="none"/>
                <w:lang w:eastAsia="zh-CN"/>
              </w:rPr>
              <w:t>；</w:t>
            </w:r>
          </w:p>
          <w:p w14:paraId="0E440DD6">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zh-CN"/>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zh-CN"/>
              </w:rPr>
              <w:t>《声环境质量标准》（GB3096-2008）中2类区标准</w:t>
            </w:r>
            <w:r>
              <w:rPr>
                <w:rFonts w:hint="default" w:ascii="Times New Roman" w:hAnsi="Times New Roman" w:eastAsia="宋体" w:cs="Times New Roman"/>
                <w:color w:val="auto"/>
                <w:sz w:val="24"/>
                <w:highlight w:val="none"/>
              </w:rPr>
              <w:t>（昼间60dB（A），夜间50dB（A）；</w:t>
            </w:r>
          </w:p>
          <w:p w14:paraId="2ACAFC20">
            <w:pPr>
              <w:spacing w:line="480" w:lineRule="exact"/>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zh-CN" w:eastAsia="zh-CN"/>
              </w:rPr>
              <w:t>（</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lang w:val="zh-CN" w:eastAsia="zh-CN"/>
              </w:rPr>
              <w:t>）</w:t>
            </w:r>
            <w:r>
              <w:rPr>
                <w:rFonts w:hint="default" w:ascii="Times New Roman" w:hAnsi="Times New Roman" w:eastAsia="宋体" w:cs="Times New Roman"/>
                <w:color w:val="auto"/>
                <w:sz w:val="24"/>
                <w:highlight w:val="none"/>
                <w:lang w:val="en-US" w:eastAsia="zh-CN"/>
              </w:rPr>
              <w:t>《地表水环境质量标准》（GB3838-2002）</w:t>
            </w:r>
          </w:p>
          <w:p w14:paraId="6C9C7F90">
            <w:pPr>
              <w:spacing w:line="480" w:lineRule="exact"/>
              <w:ind w:firstLine="480" w:firstLineChars="200"/>
              <w:rPr>
                <w:rFonts w:hint="default"/>
                <w:highlight w:val="none"/>
              </w:rPr>
            </w:pPr>
            <w:r>
              <w:rPr>
                <w:rFonts w:hint="eastAsia"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val="zh-CN"/>
              </w:rPr>
              <w:t>《地下水质量标准》（GB/T14848-2017）</w:t>
            </w:r>
          </w:p>
          <w:p w14:paraId="3441B639">
            <w:pPr>
              <w:spacing w:line="480" w:lineRule="exact"/>
              <w:ind w:firstLine="0" w:firstLineChars="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b/>
                <w:bCs/>
                <w:color w:val="auto"/>
                <w:sz w:val="24"/>
                <w:highlight w:val="none"/>
              </w:rPr>
              <w:t>2</w:t>
            </w:r>
            <w:r>
              <w:rPr>
                <w:rFonts w:hint="default" w:ascii="Times New Roman" w:hAnsi="Times New Roman" w:eastAsia="宋体"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rPr>
              <w:t>污染物排放标准</w:t>
            </w:r>
          </w:p>
          <w:p w14:paraId="2BDCA73A">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w:t>
            </w:r>
            <w:r>
              <w:rPr>
                <w:rFonts w:hint="eastAsia" w:cs="Times New Roman"/>
                <w:color w:val="auto"/>
                <w:sz w:val="24"/>
                <w:highlight w:val="none"/>
                <w:lang w:eastAsia="zh-CN"/>
              </w:rPr>
              <w:t>《建筑施工噪声排放标准》（GB12523-2025）</w:t>
            </w:r>
            <w:r>
              <w:rPr>
                <w:rFonts w:hint="default" w:ascii="Times New Roman" w:hAnsi="Times New Roman" w:eastAsia="宋体" w:cs="Times New Roman"/>
                <w:color w:val="auto"/>
                <w:sz w:val="24"/>
                <w:highlight w:val="none"/>
              </w:rPr>
              <w:t>（昼间70dB（A），夜间55dB（A））；</w:t>
            </w:r>
          </w:p>
          <w:p w14:paraId="1E029959">
            <w:pPr>
              <w:spacing w:line="480" w:lineRule="exact"/>
              <w:ind w:firstLine="480" w:firstLineChars="200"/>
              <w:rPr>
                <w:rFonts w:hint="default" w:eastAsia="宋体"/>
                <w:color w:val="auto"/>
                <w:highlight w:val="none"/>
                <w:lang w:val="en-US" w:eastAsia="zh-CN"/>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）《工业企业厂界环境噪声排放标准》（GB12348-2008）中的2类标准（昼间60dB（A），夜间50dB（A））；</w:t>
            </w:r>
          </w:p>
          <w:p w14:paraId="4E9AD2BE">
            <w:pPr>
              <w:spacing w:line="48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val="zh-CN"/>
              </w:rPr>
              <w:t>）《危险废物贮存污染控制标准》（GB18597</w:t>
            </w:r>
            <w:r>
              <w:rPr>
                <w:rFonts w:hint="default" w:ascii="Times New Roman" w:hAnsi="Times New Roman" w:eastAsia="宋体" w:cs="Times New Roman"/>
                <w:color w:val="auto"/>
                <w:sz w:val="24"/>
                <w:highlight w:val="none"/>
              </w:rPr>
              <w:t>-2023</w:t>
            </w: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highlight w:val="none"/>
              </w:rPr>
              <w:t>中的相关要求</w:t>
            </w:r>
            <w:r>
              <w:rPr>
                <w:rFonts w:hint="default" w:ascii="Times New Roman" w:hAnsi="Times New Roman" w:eastAsia="宋体" w:cs="Times New Roman"/>
                <w:color w:val="auto"/>
                <w:sz w:val="24"/>
                <w:highlight w:val="none"/>
                <w:lang w:val="zh-CN"/>
              </w:rPr>
              <w:t>；</w:t>
            </w:r>
          </w:p>
          <w:p w14:paraId="1B6D5998">
            <w:pPr>
              <w:pStyle w:val="12"/>
              <w:keepNext w:val="0"/>
              <w:keepLines w:val="0"/>
              <w:pageBreakBefore w:val="0"/>
              <w:widowControl w:val="0"/>
              <w:kinsoku/>
              <w:wordWrap/>
              <w:overflowPunct/>
              <w:topLinePunct w:val="0"/>
              <w:autoSpaceDE/>
              <w:autoSpaceDN/>
              <w:bidi w:val="0"/>
              <w:spacing w:after="0" w:line="480" w:lineRule="exact"/>
              <w:ind w:left="0" w:leftChars="0" w:firstLine="480" w:firstLineChars="200"/>
              <w:jc w:val="both"/>
              <w:textAlignment w:val="auto"/>
              <w:rPr>
                <w:rFonts w:hint="eastAsia"/>
                <w:color w:val="0000FF"/>
                <w:highlight w:val="none"/>
                <w:lang w:val="en-US"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4</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《一般工业固体废物贮存和填埋污染控制标准》（GB18599-2020）中的相关要求</w:t>
            </w:r>
            <w:r>
              <w:rPr>
                <w:rFonts w:hint="default" w:ascii="Times New Roman" w:hAnsi="Times New Roman" w:eastAsia="宋体" w:cs="Times New Roman"/>
                <w:color w:val="auto"/>
                <w:sz w:val="24"/>
                <w:highlight w:val="none"/>
                <w:lang w:eastAsia="zh-CN"/>
              </w:rPr>
              <w:t>。</w:t>
            </w:r>
          </w:p>
        </w:tc>
      </w:tr>
      <w:tr w14:paraId="055F5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888" w:type="pct"/>
            <w:tcBorders>
              <w:tl2br w:val="nil"/>
              <w:tr2bl w:val="nil"/>
            </w:tcBorders>
            <w:noWrap w:val="0"/>
            <w:vAlign w:val="center"/>
          </w:tcPr>
          <w:p w14:paraId="65550856">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其他</w:t>
            </w:r>
          </w:p>
        </w:tc>
        <w:tc>
          <w:tcPr>
            <w:tcW w:w="4111" w:type="pct"/>
            <w:tcBorders>
              <w:tl2br w:val="nil"/>
              <w:tr2bl w:val="nil"/>
            </w:tcBorders>
            <w:noWrap w:val="0"/>
            <w:vAlign w:val="center"/>
          </w:tcPr>
          <w:p w14:paraId="73405D01">
            <w:pPr>
              <w:adjustRightInd w:val="0"/>
              <w:snapToGrid w:val="0"/>
              <w:spacing w:line="480" w:lineRule="exact"/>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auto"/>
                <w:kern w:val="0"/>
                <w:sz w:val="24"/>
                <w:highlight w:val="none"/>
                <w:lang w:eastAsia="zh-CN"/>
              </w:rPr>
              <w:t>本项目</w:t>
            </w:r>
            <w:r>
              <w:rPr>
                <w:rFonts w:hint="default" w:ascii="Times New Roman" w:hAnsi="Times New Roman" w:cs="Times New Roman"/>
                <w:color w:val="auto"/>
                <w:kern w:val="0"/>
                <w:sz w:val="24"/>
                <w:highlight w:val="none"/>
              </w:rPr>
              <w:t>无总量控制指标要求</w:t>
            </w:r>
            <w:r>
              <w:rPr>
                <w:rFonts w:hint="eastAsia" w:ascii="Times New Roman" w:hAnsi="Times New Roman" w:cs="Times New Roman"/>
                <w:color w:val="auto"/>
                <w:kern w:val="0"/>
                <w:sz w:val="24"/>
                <w:highlight w:val="none"/>
                <w:lang w:eastAsia="zh-CN"/>
              </w:rPr>
              <w:t>。</w:t>
            </w:r>
          </w:p>
        </w:tc>
      </w:tr>
    </w:tbl>
    <w:p w14:paraId="511B455E">
      <w:pPr>
        <w:rPr>
          <w:rFonts w:hint="eastAsia" w:ascii="黑体" w:hAnsi="黑体" w:eastAsia="黑体"/>
          <w:snapToGrid w:val="0"/>
          <w:color w:val="0000FF"/>
          <w:sz w:val="30"/>
          <w:szCs w:val="30"/>
          <w:highlight w:val="none"/>
        </w:rPr>
      </w:pPr>
      <w:bookmarkStart w:id="16" w:name="_Toc15212"/>
      <w:bookmarkStart w:id="17" w:name="_Toc31765"/>
      <w:r>
        <w:rPr>
          <w:rFonts w:hint="eastAsia" w:ascii="黑体" w:hAnsi="黑体" w:eastAsia="黑体"/>
          <w:snapToGrid w:val="0"/>
          <w:color w:val="0000FF"/>
          <w:sz w:val="30"/>
          <w:szCs w:val="30"/>
          <w:highlight w:val="none"/>
        </w:rPr>
        <w:br w:type="page"/>
      </w:r>
    </w:p>
    <w:p w14:paraId="33D03A3E">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18" w:name="_Toc28888"/>
      <w:r>
        <w:rPr>
          <w:rFonts w:hint="eastAsia" w:ascii="黑体" w:hAnsi="黑体" w:eastAsia="黑体"/>
          <w:snapToGrid w:val="0"/>
          <w:color w:val="000000" w:themeColor="text1"/>
          <w:sz w:val="30"/>
          <w:szCs w:val="30"/>
          <w:highlight w:val="none"/>
          <w14:textFill>
            <w14:solidFill>
              <w14:schemeClr w14:val="tx1"/>
            </w14:solidFill>
          </w14:textFill>
        </w:rPr>
        <w:t>四、生态环境影响分析</w:t>
      </w:r>
      <w:bookmarkEnd w:id="16"/>
      <w:bookmarkEnd w:id="17"/>
      <w:bookmarkEnd w:id="18"/>
    </w:p>
    <w:tbl>
      <w:tblPr>
        <w:tblStyle w:val="24"/>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62"/>
        <w:gridCol w:w="6978"/>
      </w:tblGrid>
      <w:tr w14:paraId="55198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66" w:type="pct"/>
            <w:tcBorders>
              <w:tl2br w:val="nil"/>
              <w:tr2bl w:val="nil"/>
            </w:tcBorders>
            <w:noWrap w:val="0"/>
            <w:tcMar>
              <w:left w:w="28" w:type="dxa"/>
              <w:right w:w="28" w:type="dxa"/>
            </w:tcMar>
            <w:vAlign w:val="center"/>
          </w:tcPr>
          <w:p w14:paraId="7EFBA5A7">
            <w:pPr>
              <w:pStyle w:val="21"/>
              <w:adjustRightInd w:val="0"/>
              <w:snapToGrid w:val="0"/>
              <w:spacing w:before="0" w:beforeAutospacing="0" w:after="0" w:afterAutospacing="0"/>
              <w:jc w:val="center"/>
              <w:rPr>
                <w:rFonts w:hint="default" w:ascii="Times New Roman" w:hAnsi="Times New Roman" w:cs="Times New Roman"/>
                <w:bCs/>
                <w:color w:val="0000FF"/>
                <w:kern w:val="2"/>
                <w:sz w:val="21"/>
                <w:szCs w:val="21"/>
                <w:highlight w:val="none"/>
              </w:rPr>
            </w:pPr>
            <w:bookmarkStart w:id="19" w:name="_Hlk49796138"/>
            <w:r>
              <w:rPr>
                <w:rFonts w:hint="default" w:ascii="Times New Roman" w:hAnsi="Times New Roman" w:cs="Times New Roman"/>
                <w:bCs/>
                <w:color w:val="000000" w:themeColor="text1"/>
                <w:spacing w:val="0"/>
                <w:kern w:val="2"/>
                <w:sz w:val="21"/>
                <w:szCs w:val="21"/>
                <w:highlight w:val="none"/>
                <w14:textFill>
                  <w14:solidFill>
                    <w14:schemeClr w14:val="tx1"/>
                  </w14:solidFill>
                </w14:textFill>
              </w:rPr>
              <w:t>施工期生态环境影响分析</w:t>
            </w:r>
            <w:bookmarkEnd w:id="19"/>
          </w:p>
        </w:tc>
        <w:tc>
          <w:tcPr>
            <w:tcW w:w="4133" w:type="pct"/>
            <w:tcBorders>
              <w:tl2br w:val="nil"/>
              <w:tr2bl w:val="nil"/>
            </w:tcBorders>
            <w:noWrap w:val="0"/>
            <w:vAlign w:val="top"/>
          </w:tcPr>
          <w:p w14:paraId="73138B29">
            <w:pPr>
              <w:keepNext w:val="0"/>
              <w:keepLines w:val="0"/>
              <w:pageBreakBefore w:val="0"/>
              <w:widowControl w:val="0"/>
              <w:kinsoku/>
              <w:wordWrap/>
              <w:overflowPunct/>
              <w:topLinePunct w:val="0"/>
              <w:autoSpaceDE w:val="0"/>
              <w:autoSpaceDN w:val="0"/>
              <w:bidi w:val="0"/>
              <w:adjustRightInd w:val="0"/>
              <w:snapToGrid/>
              <w:spacing w:line="48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施工期环境影响分析</w:t>
            </w:r>
          </w:p>
          <w:p w14:paraId="75D4D176">
            <w:pPr>
              <w:keepNext w:val="0"/>
              <w:keepLines w:val="0"/>
              <w:pageBreakBefore w:val="0"/>
              <w:widowControl w:val="0"/>
              <w:kinsoku/>
              <w:wordWrap/>
              <w:overflowPunct/>
              <w:topLinePunct w:val="0"/>
              <w:autoSpaceDE w:val="0"/>
              <w:autoSpaceDN w:val="0"/>
              <w:bidi w:val="0"/>
              <w:adjustRightInd w:val="0"/>
              <w:snapToGrid/>
              <w:spacing w:line="48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.1施工期大气环境影响分析</w:t>
            </w:r>
          </w:p>
          <w:p w14:paraId="0E0B317B">
            <w:pPr>
              <w:autoSpaceDE w:val="0"/>
              <w:autoSpaceDN w:val="0"/>
              <w:adjustRightInd w:val="0"/>
              <w:spacing w:line="480" w:lineRule="exact"/>
              <w:ind w:firstLine="420" w:firstLineChars="200"/>
              <w:rPr>
                <w:rFonts w:hint="default"/>
                <w:highlight w:val="none"/>
                <w:lang w:val="en-US" w:eastAsia="zh-CN"/>
              </w:rPr>
            </w:pPr>
          </w:p>
        </w:tc>
      </w:tr>
      <w:tr w14:paraId="569B8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2" w:hRule="atLeast"/>
          <w:jc w:val="center"/>
        </w:trPr>
        <w:tc>
          <w:tcPr>
            <w:tcW w:w="866" w:type="pct"/>
            <w:tcBorders>
              <w:tl2br w:val="nil"/>
              <w:tr2bl w:val="nil"/>
            </w:tcBorders>
            <w:noWrap w:val="0"/>
            <w:tcMar>
              <w:left w:w="28" w:type="dxa"/>
              <w:right w:w="28" w:type="dxa"/>
            </w:tcMar>
            <w:vAlign w:val="center"/>
          </w:tcPr>
          <w:p w14:paraId="58806B16">
            <w:pPr>
              <w:pStyle w:val="21"/>
              <w:adjustRightInd w:val="0"/>
              <w:snapToGrid w:val="0"/>
              <w:spacing w:before="0" w:beforeAutospacing="0" w:after="0" w:afterAutospacing="0"/>
              <w:jc w:val="center"/>
              <w:rPr>
                <w:rFonts w:hint="default" w:ascii="Times New Roman" w:hAnsi="Times New Roman" w:cs="Times New Roman"/>
                <w:bCs/>
                <w:color w:val="0000FF"/>
                <w:kern w:val="2"/>
                <w:sz w:val="21"/>
                <w:szCs w:val="21"/>
                <w:highlight w:val="none"/>
              </w:rPr>
            </w:pPr>
            <w:r>
              <w:rPr>
                <w:rFonts w:hint="default" w:ascii="Times New Roman" w:hAnsi="Times New Roman" w:cs="Times New Roman"/>
                <w:bCs/>
                <w:color w:val="000000" w:themeColor="text1"/>
                <w:spacing w:val="0"/>
                <w:kern w:val="2"/>
                <w:sz w:val="21"/>
                <w:szCs w:val="21"/>
                <w:highlight w:val="none"/>
                <w14:textFill>
                  <w14:solidFill>
                    <w14:schemeClr w14:val="tx1"/>
                  </w14:solidFill>
                </w14:textFill>
              </w:rPr>
              <w:t>运营期生态环境影响分析</w:t>
            </w:r>
          </w:p>
        </w:tc>
        <w:tc>
          <w:tcPr>
            <w:tcW w:w="4133" w:type="pct"/>
            <w:tcBorders>
              <w:tl2br w:val="nil"/>
              <w:tr2bl w:val="nil"/>
            </w:tcBorders>
            <w:noWrap w:val="0"/>
            <w:vAlign w:val="top"/>
          </w:tcPr>
          <w:p w14:paraId="2D8E25A6">
            <w:pPr>
              <w:pStyle w:val="41"/>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cs="Times New Roman"/>
                <w:color w:val="0000FF"/>
                <w:highlight w:val="none"/>
                <w:lang w:val="en-US" w:eastAsia="zh-CN"/>
              </w:rPr>
            </w:pPr>
          </w:p>
        </w:tc>
      </w:tr>
      <w:tr w14:paraId="3FCE4C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866" w:type="pct"/>
            <w:tcBorders>
              <w:tl2br w:val="nil"/>
              <w:tr2bl w:val="nil"/>
            </w:tcBorders>
            <w:noWrap w:val="0"/>
            <w:vAlign w:val="center"/>
          </w:tcPr>
          <w:p w14:paraId="41A9B196">
            <w:pPr>
              <w:pStyle w:val="21"/>
              <w:adjustRightInd w:val="0"/>
              <w:snapToGrid w:val="0"/>
              <w:spacing w:before="0" w:beforeAutospacing="0" w:after="0" w:afterAutospacing="0"/>
              <w:jc w:val="center"/>
              <w:rPr>
                <w:rFonts w:hint="default" w:ascii="Times New Roman" w:hAnsi="Times New Roman" w:cs="Times New Roman"/>
                <w:bCs/>
                <w:color w:val="0000FF"/>
                <w:kern w:val="2"/>
                <w:sz w:val="21"/>
                <w:szCs w:val="21"/>
                <w:highlight w:val="none"/>
              </w:rPr>
            </w:pPr>
            <w:r>
              <w:rPr>
                <w:rFonts w:hint="default" w:ascii="Times New Roman" w:hAnsi="Times New Roman" w:cs="Times New Roman"/>
                <w:bCs/>
                <w:color w:val="000000" w:themeColor="text1"/>
                <w:kern w:val="2"/>
                <w:sz w:val="24"/>
                <w:szCs w:val="24"/>
                <w:highlight w:val="none"/>
                <w14:textFill>
                  <w14:solidFill>
                    <w14:schemeClr w14:val="tx1"/>
                  </w14:solidFill>
                </w14:textFill>
              </w:rPr>
              <w:t>选址选线环境合理性分析</w:t>
            </w:r>
          </w:p>
        </w:tc>
        <w:tc>
          <w:tcPr>
            <w:tcW w:w="4133" w:type="pct"/>
            <w:tcBorders>
              <w:tl2br w:val="nil"/>
              <w:tr2bl w:val="nil"/>
            </w:tcBorders>
            <w:noWrap w:val="0"/>
            <w:vAlign w:val="top"/>
          </w:tcPr>
          <w:p w14:paraId="16C0D5D4">
            <w:pPr>
              <w:pStyle w:val="9"/>
              <w:keepNext w:val="0"/>
              <w:keepLines w:val="0"/>
              <w:pageBreakBefore w:val="0"/>
              <w:widowControl/>
              <w:kinsoku/>
              <w:wordWrap/>
              <w:overflowPunct/>
              <w:topLinePunct w:val="0"/>
              <w:autoSpaceDE/>
              <w:autoSpaceDN/>
              <w:bidi w:val="0"/>
              <w:adjustRightInd/>
              <w:snapToGrid w:val="0"/>
              <w:spacing w:before="0" w:after="0" w:line="480" w:lineRule="exact"/>
              <w:ind w:right="0"/>
              <w:textAlignment w:val="auto"/>
              <w:rPr>
                <w:rFonts w:hint="default" w:ascii="Times New Roman" w:hAnsi="Times New Roman" w:cs="Times New Roman"/>
                <w:color w:val="0000FF"/>
                <w:highlight w:val="none"/>
              </w:rPr>
            </w:pPr>
          </w:p>
        </w:tc>
      </w:tr>
    </w:tbl>
    <w:p w14:paraId="4DD23FED">
      <w:pPr>
        <w:rPr>
          <w:rFonts w:hint="default"/>
          <w:color w:val="0000FF"/>
          <w:highlight w:val="none"/>
          <w:lang w:val="en-US" w:eastAsia="zh-CN"/>
        </w:rPr>
      </w:pPr>
      <w:r>
        <w:rPr>
          <w:rFonts w:hint="default"/>
          <w:color w:val="0000FF"/>
          <w:highlight w:val="none"/>
          <w:lang w:val="en-US" w:eastAsia="zh-CN"/>
        </w:rPr>
        <w:br w:type="page"/>
      </w:r>
    </w:p>
    <w:p w14:paraId="4FCA436F">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20" w:name="_Toc4187"/>
      <w:r>
        <w:rPr>
          <w:rFonts w:hint="eastAsia" w:ascii="黑体" w:hAnsi="黑体" w:eastAsia="黑体"/>
          <w:snapToGrid w:val="0"/>
          <w:color w:val="000000" w:themeColor="text1"/>
          <w:sz w:val="30"/>
          <w:szCs w:val="30"/>
          <w:highlight w:val="none"/>
          <w14:textFill>
            <w14:solidFill>
              <w14:schemeClr w14:val="tx1"/>
            </w14:solidFill>
          </w14:textFill>
        </w:rPr>
        <w:t>五、主要生态环境保护措施</w:t>
      </w:r>
      <w:bookmarkEnd w:id="20"/>
    </w:p>
    <w:tbl>
      <w:tblPr>
        <w:tblStyle w:val="24"/>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7059"/>
      </w:tblGrid>
      <w:tr w14:paraId="29B806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818" w:type="pct"/>
            <w:tcBorders>
              <w:tl2br w:val="nil"/>
              <w:tr2bl w:val="nil"/>
            </w:tcBorders>
            <w:noWrap w:val="0"/>
            <w:tcMar>
              <w:left w:w="28" w:type="dxa"/>
              <w:right w:w="28" w:type="dxa"/>
            </w:tcMar>
            <w:vAlign w:val="center"/>
          </w:tcPr>
          <w:p w14:paraId="65A5E333">
            <w:pPr>
              <w:adjustRightInd w:val="0"/>
              <w:snapToGrid w:val="0"/>
              <w:jc w:val="center"/>
              <w:rPr>
                <w:rFonts w:ascii="宋体" w:hAnsi="宋体"/>
                <w:bCs/>
                <w:color w:val="0000FF"/>
                <w:szCs w:val="21"/>
                <w:highlight w:val="none"/>
              </w:rPr>
            </w:pPr>
            <w:r>
              <w:rPr>
                <w:rFonts w:hint="eastAsia" w:ascii="宋体" w:hAnsi="宋体" w:cs="宋体"/>
                <w:bCs/>
                <w:color w:val="000000" w:themeColor="text1"/>
                <w:spacing w:val="0"/>
                <w:sz w:val="24"/>
                <w:szCs w:val="24"/>
                <w:highlight w:val="none"/>
                <w14:textFill>
                  <w14:solidFill>
                    <w14:schemeClr w14:val="tx1"/>
                  </w14:solidFill>
                </w14:textFill>
              </w:rPr>
              <w:t>施工期生态环境保护措施</w:t>
            </w:r>
          </w:p>
        </w:tc>
        <w:tc>
          <w:tcPr>
            <w:tcW w:w="4181" w:type="pct"/>
            <w:tcBorders>
              <w:tl2br w:val="nil"/>
              <w:tr2bl w:val="nil"/>
            </w:tcBorders>
            <w:noWrap w:val="0"/>
            <w:vAlign w:val="top"/>
          </w:tcPr>
          <w:p w14:paraId="07545757">
            <w:pPr>
              <w:keepNext w:val="0"/>
              <w:keepLines w:val="0"/>
              <w:pageBreakBefore w:val="0"/>
              <w:widowControl w:val="0"/>
              <w:kinsoku/>
              <w:wordWrap/>
              <w:overflowPunct/>
              <w:topLinePunct w:val="0"/>
              <w:autoSpaceDE w:val="0"/>
              <w:autoSpaceDN w:val="0"/>
              <w:bidi w:val="0"/>
              <w:adjustRightInd w:val="0"/>
              <w:snapToGrid w:val="0"/>
              <w:spacing w:line="480" w:lineRule="exact"/>
              <w:textAlignment w:val="auto"/>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1 施工期大气污染防治措施</w:t>
            </w:r>
          </w:p>
          <w:p w14:paraId="336E37EC">
            <w:pPr>
              <w:keepNext w:val="0"/>
              <w:keepLines w:val="0"/>
              <w:pageBreakBefore w:val="0"/>
              <w:widowControl w:val="0"/>
              <w:kinsoku/>
              <w:wordWrap/>
              <w:overflowPunct/>
              <w:topLinePunct w:val="0"/>
              <w:bidi w:val="0"/>
              <w:snapToGrid/>
              <w:spacing w:line="480" w:lineRule="exact"/>
              <w:ind w:firstLine="480" w:firstLineChars="200"/>
              <w:textAlignment w:val="auto"/>
              <w:rPr>
                <w:rFonts w:hint="default"/>
                <w:color w:val="000000" w:themeColor="text1"/>
                <w:sz w:val="24"/>
                <w:highlight w:val="none"/>
                <w:lang w:val="en-US" w:eastAsia="zh-CN"/>
                <w14:textFill>
                  <w14:solidFill>
                    <w14:schemeClr w14:val="tx1"/>
                  </w14:solidFill>
                </w14:textFill>
              </w:rPr>
            </w:pPr>
          </w:p>
        </w:tc>
      </w:tr>
      <w:tr w14:paraId="49C25A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5" w:hRule="atLeast"/>
          <w:jc w:val="center"/>
        </w:trPr>
        <w:tc>
          <w:tcPr>
            <w:tcW w:w="818" w:type="pct"/>
            <w:tcBorders>
              <w:tl2br w:val="nil"/>
              <w:tr2bl w:val="nil"/>
            </w:tcBorders>
            <w:noWrap w:val="0"/>
            <w:tcMar>
              <w:left w:w="28" w:type="dxa"/>
              <w:right w:w="28" w:type="dxa"/>
            </w:tcMar>
            <w:vAlign w:val="center"/>
          </w:tcPr>
          <w:p w14:paraId="6339BD2B">
            <w:pPr>
              <w:adjustRightInd w:val="0"/>
              <w:snapToGrid w:val="0"/>
              <w:jc w:val="center"/>
              <w:rPr>
                <w:rFonts w:ascii="宋体" w:hAnsi="宋体" w:cs="宋体"/>
                <w:bCs/>
                <w:color w:val="0000FF"/>
                <w:spacing w:val="0"/>
                <w:szCs w:val="21"/>
                <w:highlight w:val="none"/>
              </w:rPr>
            </w:pPr>
            <w:r>
              <w:rPr>
                <w:rFonts w:hint="eastAsia" w:ascii="宋体" w:hAnsi="宋体" w:cs="宋体"/>
                <w:bCs/>
                <w:color w:val="000000" w:themeColor="text1"/>
                <w:spacing w:val="0"/>
                <w:sz w:val="24"/>
                <w:szCs w:val="24"/>
                <w:highlight w:val="none"/>
                <w14:textFill>
                  <w14:solidFill>
                    <w14:schemeClr w14:val="tx1"/>
                  </w14:solidFill>
                </w14:textFill>
              </w:rPr>
              <w:t>运营期生态环境保护措施</w:t>
            </w:r>
          </w:p>
        </w:tc>
        <w:tc>
          <w:tcPr>
            <w:tcW w:w="4181" w:type="pct"/>
            <w:tcBorders>
              <w:tl2br w:val="nil"/>
              <w:tr2bl w:val="nil"/>
            </w:tcBorders>
            <w:noWrap w:val="0"/>
            <w:vAlign w:val="top"/>
          </w:tcPr>
          <w:p w14:paraId="4BFFA64C">
            <w:pPr>
              <w:pStyle w:val="41"/>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color w:val="0000FF"/>
                <w:highlight w:val="none"/>
                <w:lang w:val="en-US" w:eastAsia="zh-CN"/>
              </w:rPr>
            </w:pPr>
          </w:p>
        </w:tc>
      </w:tr>
      <w:tr w14:paraId="29E88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8" w:type="pct"/>
            <w:tcBorders>
              <w:tl2br w:val="nil"/>
              <w:tr2bl w:val="nil"/>
            </w:tcBorders>
            <w:noWrap w:val="0"/>
            <w:vAlign w:val="center"/>
          </w:tcPr>
          <w:p w14:paraId="327ACC44">
            <w:pPr>
              <w:pStyle w:val="12"/>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firstLine="0" w:firstLineChars="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其他</w:t>
            </w:r>
          </w:p>
        </w:tc>
        <w:tc>
          <w:tcPr>
            <w:tcW w:w="4181" w:type="pct"/>
            <w:tcBorders>
              <w:tl2br w:val="nil"/>
              <w:tr2bl w:val="nil"/>
            </w:tcBorders>
            <w:noWrap w:val="0"/>
            <w:vAlign w:val="top"/>
          </w:tcPr>
          <w:p w14:paraId="124DFE21">
            <w:pPr>
              <w:pStyle w:val="12"/>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firstLine="0" w:firstLineChars="0"/>
              <w:rPr>
                <w:rFonts w:hint="default" w:ascii="Times New Roman" w:hAnsi="Times New Roman" w:eastAsia="宋体" w:cs="Times New Roman"/>
                <w:color w:val="0000FF"/>
                <w:sz w:val="24"/>
                <w:szCs w:val="24"/>
                <w:highlight w:val="none"/>
                <w:lang w:val="en-US" w:eastAsia="zh-CN"/>
              </w:rPr>
            </w:pPr>
          </w:p>
        </w:tc>
      </w:tr>
      <w:tr w14:paraId="7057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5" w:hRule="atLeast"/>
          <w:jc w:val="center"/>
        </w:trPr>
        <w:tc>
          <w:tcPr>
            <w:tcW w:w="818" w:type="pct"/>
            <w:tcBorders>
              <w:tl2br w:val="nil"/>
              <w:tr2bl w:val="nil"/>
            </w:tcBorders>
            <w:noWrap w:val="0"/>
            <w:vAlign w:val="center"/>
          </w:tcPr>
          <w:p w14:paraId="7A211086">
            <w:pPr>
              <w:adjustRightInd w:val="0"/>
              <w:snapToGrid w:val="0"/>
              <w:jc w:val="center"/>
              <w:rPr>
                <w:rFonts w:ascii="宋体" w:hAnsi="宋体" w:cs="宋体"/>
                <w:bCs/>
                <w:color w:val="000000" w:themeColor="text1"/>
                <w:spacing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环保投资</w:t>
            </w:r>
          </w:p>
        </w:tc>
        <w:tc>
          <w:tcPr>
            <w:tcW w:w="4181" w:type="pct"/>
            <w:tcBorders>
              <w:tl2br w:val="nil"/>
              <w:tr2bl w:val="nil"/>
            </w:tcBorders>
            <w:noWrap w:val="0"/>
            <w:vAlign w:val="top"/>
          </w:tcPr>
          <w:p w14:paraId="3DFFD41E">
            <w:pPr>
              <w:pStyle w:val="12"/>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本项目总投资为</w:t>
            </w:r>
            <w:r>
              <w:rPr>
                <w:rFonts w:hint="eastAsia" w:cs="Times New Roman"/>
                <w:color w:val="000000" w:themeColor="text1"/>
                <w:sz w:val="24"/>
                <w:szCs w:val="24"/>
                <w:highlight w:val="none"/>
                <w:lang w:val="en-US" w:eastAsia="zh-CN"/>
                <w14:textFill>
                  <w14:solidFill>
                    <w14:schemeClr w14:val="tx1"/>
                  </w14:solidFill>
                </w14:textFill>
              </w:rPr>
              <w:t>174700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万元，环保投资为</w:t>
            </w:r>
            <w:r>
              <w:rPr>
                <w:rFonts w:hint="eastAsia" w:cs="Times New Roman"/>
                <w:color w:val="000000" w:themeColor="text1"/>
                <w:sz w:val="24"/>
                <w:szCs w:val="24"/>
                <w:highlight w:val="none"/>
                <w:lang w:val="en-US" w:eastAsia="zh-CN"/>
                <w14:textFill>
                  <w14:solidFill>
                    <w14:schemeClr w14:val="tx1"/>
                  </w14:solidFill>
                </w14:textFill>
              </w:rPr>
              <w:t>382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万元，占总投资的</w:t>
            </w:r>
            <w:r>
              <w:rPr>
                <w:rFonts w:hint="eastAsia" w:cs="Times New Roman"/>
                <w:color w:val="000000" w:themeColor="text1"/>
                <w:sz w:val="24"/>
                <w:szCs w:val="24"/>
                <w:highlight w:val="none"/>
                <w:lang w:val="en-US" w:eastAsia="zh-CN"/>
                <w14:textFill>
                  <w14:solidFill>
                    <w14:schemeClr w14:val="tx1"/>
                  </w14:solidFill>
                </w14:textFill>
              </w:rPr>
              <w:t>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%。具体环保投资估算情况见表</w:t>
            </w:r>
            <w:r>
              <w:rPr>
                <w:rFonts w:hint="eastAsia" w:cs="Times New Roman"/>
                <w:color w:val="000000" w:themeColor="text1"/>
                <w:sz w:val="24"/>
                <w:szCs w:val="24"/>
                <w:highlight w:val="none"/>
                <w:lang w:val="en-US" w:eastAsia="zh-CN"/>
                <w14:textFill>
                  <w14:solidFill>
                    <w14:schemeClr w14:val="tx1"/>
                  </w14:solidFill>
                </w14:textFill>
              </w:rPr>
              <w:t>5-6</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C470168">
            <w:pPr>
              <w:pStyle w:val="39"/>
              <w:keepNext w:val="0"/>
              <w:keepLines w:val="0"/>
              <w:pageBreakBefore w:val="0"/>
              <w:widowControl w:val="0"/>
              <w:kinsoku/>
              <w:wordWrap/>
              <w:overflowPunct/>
              <w:topLinePunct w:val="0"/>
              <w:autoSpaceDE/>
              <w:autoSpaceDN/>
              <w:bidi w:val="0"/>
              <w:adjustRightInd w:val="0"/>
              <w:snapToGrid/>
              <w:spacing w:before="0" w:after="0" w:line="360" w:lineRule="exact"/>
              <w:ind w:leftChars="0" w:firstLine="482" w:firstLineChars="200"/>
              <w:jc w:val="center"/>
              <w:textAlignment w:val="baseline"/>
              <w:rPr>
                <w:rFonts w:hint="eastAsia" w:ascii="Times New Roman" w:hAnsi="Times New Roman" w:eastAsia="宋体" w:cs="Times New Roman"/>
                <w:b/>
                <w:color w:val="000000" w:themeColor="text1"/>
                <w:spacing w:val="0"/>
                <w:kern w:val="2"/>
                <w:szCs w:val="24"/>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spacing w:val="0"/>
                <w:kern w:val="2"/>
                <w:szCs w:val="24"/>
                <w:highlight w:val="none"/>
                <w:lang w:val="en-US" w:eastAsia="zh-CN"/>
                <w14:textFill>
                  <w14:solidFill>
                    <w14:schemeClr w14:val="tx1"/>
                  </w14:solidFill>
                </w14:textFill>
              </w:rPr>
              <w:t>表5-6    环境保护投资估算明细表</w:t>
            </w:r>
          </w:p>
          <w:tbl>
            <w:tblPr>
              <w:tblStyle w:val="2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311"/>
              <w:gridCol w:w="2977"/>
              <w:gridCol w:w="1476"/>
            </w:tblGrid>
            <w:tr w14:paraId="43A2DB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tcBorders>
                    <w:tl2br w:val="nil"/>
                    <w:tr2bl w:val="nil"/>
                  </w:tcBorders>
                  <w:noWrap w:val="0"/>
                  <w:vAlign w:val="center"/>
                </w:tcPr>
                <w:p w14:paraId="4213BC86">
                  <w:pPr>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项目</w:t>
                  </w:r>
                </w:p>
                <w:p w14:paraId="1F3103B6">
                  <w:pPr>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名称</w:t>
                  </w:r>
                </w:p>
              </w:tc>
              <w:tc>
                <w:tcPr>
                  <w:tcW w:w="3133" w:type="pct"/>
                  <w:gridSpan w:val="2"/>
                  <w:tcBorders>
                    <w:tl2br w:val="nil"/>
                    <w:tr2bl w:val="nil"/>
                  </w:tcBorders>
                  <w:noWrap w:val="0"/>
                  <w:vAlign w:val="center"/>
                </w:tcPr>
                <w:p w14:paraId="25A07F7A">
                  <w:pPr>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项目</w:t>
                  </w:r>
                </w:p>
              </w:tc>
              <w:tc>
                <w:tcPr>
                  <w:tcW w:w="1078" w:type="pct"/>
                  <w:tcBorders>
                    <w:tl2br w:val="nil"/>
                    <w:tr2bl w:val="nil"/>
                  </w:tcBorders>
                  <w:noWrap w:val="0"/>
                  <w:vAlign w:val="center"/>
                </w:tcPr>
                <w:p w14:paraId="322406AC">
                  <w:pPr>
                    <w:jc w:val="center"/>
                    <w:rPr>
                      <w:rFonts w:hint="default" w:ascii="Times New Roman" w:hAnsi="Times New Roman" w:eastAsia="宋体" w:cs="Times New Roman"/>
                      <w:b/>
                      <w:color w:val="000000" w:themeColor="text1"/>
                      <w:highlight w:val="none"/>
                      <w:lang w:eastAsia="zh-CN"/>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金额</w:t>
                  </w:r>
                  <w:r>
                    <w:rPr>
                      <w:rFonts w:hint="default" w:ascii="Times New Roman" w:hAnsi="Times New Roman" w:cs="Times New Roman"/>
                      <w:b/>
                      <w:color w:val="000000" w:themeColor="text1"/>
                      <w:highlight w:val="none"/>
                      <w:lang w:eastAsia="zh-CN"/>
                      <w14:textFill>
                        <w14:solidFill>
                          <w14:schemeClr w14:val="tx1"/>
                        </w14:solidFill>
                      </w14:textFill>
                    </w:rPr>
                    <w:t>（</w:t>
                  </w:r>
                  <w:r>
                    <w:rPr>
                      <w:rFonts w:hint="default" w:ascii="Times New Roman" w:hAnsi="Times New Roman" w:cs="Times New Roman"/>
                      <w:b/>
                      <w:color w:val="000000" w:themeColor="text1"/>
                      <w:highlight w:val="none"/>
                      <w14:textFill>
                        <w14:solidFill>
                          <w14:schemeClr w14:val="tx1"/>
                        </w14:solidFill>
                      </w14:textFill>
                    </w:rPr>
                    <w:t>万元</w:t>
                  </w:r>
                  <w:r>
                    <w:rPr>
                      <w:rFonts w:hint="default" w:ascii="Times New Roman" w:hAnsi="Times New Roman" w:cs="Times New Roman"/>
                      <w:b/>
                      <w:color w:val="000000" w:themeColor="text1"/>
                      <w:highlight w:val="none"/>
                      <w:lang w:eastAsia="zh-CN"/>
                      <w14:textFill>
                        <w14:solidFill>
                          <w14:schemeClr w14:val="tx1"/>
                        </w14:solidFill>
                      </w14:textFill>
                    </w:rPr>
                    <w:t>）</w:t>
                  </w:r>
                </w:p>
              </w:tc>
            </w:tr>
            <w:tr w14:paraId="18D5C2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restart"/>
                  <w:tcBorders>
                    <w:tl2br w:val="nil"/>
                    <w:tr2bl w:val="nil"/>
                  </w:tcBorders>
                  <w:noWrap w:val="0"/>
                  <w:vAlign w:val="center"/>
                </w:tcPr>
                <w:p w14:paraId="1F39B30E">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w:t>
                  </w:r>
                </w:p>
                <w:p w14:paraId="3988352D">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工</w:t>
                  </w:r>
                </w:p>
                <w:p w14:paraId="08C8EF18">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期</w:t>
                  </w:r>
                </w:p>
              </w:tc>
              <w:tc>
                <w:tcPr>
                  <w:tcW w:w="957" w:type="pct"/>
                  <w:tcBorders>
                    <w:tl2br w:val="nil"/>
                    <w:tr2bl w:val="nil"/>
                  </w:tcBorders>
                  <w:noWrap w:val="0"/>
                  <w:vAlign w:val="center"/>
                </w:tcPr>
                <w:p w14:paraId="18057B13">
                  <w:pPr>
                    <w:jc w:val="center"/>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废气治理</w:t>
                  </w:r>
                </w:p>
              </w:tc>
              <w:tc>
                <w:tcPr>
                  <w:tcW w:w="2175" w:type="pct"/>
                  <w:tcBorders>
                    <w:tl2br w:val="nil"/>
                    <w:tr2bl w:val="nil"/>
                  </w:tcBorders>
                  <w:noWrap w:val="0"/>
                  <w:vAlign w:val="center"/>
                </w:tcPr>
                <w:p w14:paraId="3D0141C5">
                  <w:pPr>
                    <w:jc w:val="center"/>
                    <w:rPr>
                      <w:rFonts w:hint="default" w:ascii="Times New Roman" w:hAnsi="Times New Roman" w:eastAsia="宋体" w:cs="Times New Roman"/>
                      <w:color w:val="000000" w:themeColor="text1"/>
                      <w:spacing w:val="0"/>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施工场地扬尘治理</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洒水降尘</w:t>
                  </w:r>
                </w:p>
              </w:tc>
              <w:tc>
                <w:tcPr>
                  <w:tcW w:w="1078" w:type="pct"/>
                  <w:tcBorders>
                    <w:tl2br w:val="nil"/>
                    <w:tr2bl w:val="nil"/>
                  </w:tcBorders>
                  <w:noWrap w:val="0"/>
                  <w:vAlign w:val="center"/>
                </w:tcPr>
                <w:p w14:paraId="77C0B982">
                  <w:pPr>
                    <w:jc w:val="center"/>
                    <w:rPr>
                      <w:rFonts w:hint="default" w:ascii="Times New Roman" w:hAnsi="Times New Roman" w:eastAsia="宋体" w:cs="Times New Roman"/>
                      <w:color w:val="000000" w:themeColor="text1"/>
                      <w:spacing w:val="0"/>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30</w:t>
                  </w:r>
                </w:p>
              </w:tc>
            </w:tr>
            <w:tr w14:paraId="7B476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88" w:type="pct"/>
                  <w:vMerge w:val="continue"/>
                  <w:tcBorders>
                    <w:tl2br w:val="nil"/>
                    <w:tr2bl w:val="nil"/>
                  </w:tcBorders>
                  <w:noWrap w:val="0"/>
                  <w:vAlign w:val="center"/>
                </w:tcPr>
                <w:p w14:paraId="740F8DFB">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0B305C3C">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废水治理</w:t>
                  </w:r>
                </w:p>
              </w:tc>
              <w:tc>
                <w:tcPr>
                  <w:tcW w:w="2175" w:type="pct"/>
                  <w:tcBorders>
                    <w:tl2br w:val="nil"/>
                    <w:tr2bl w:val="nil"/>
                  </w:tcBorders>
                  <w:noWrap w:val="0"/>
                  <w:vAlign w:val="center"/>
                </w:tcPr>
                <w:p w14:paraId="5BA16E11">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auto"/>
                      <w:highlight w:val="none"/>
                    </w:rPr>
                    <w:t>防渗污水收集池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容积</w:t>
                  </w:r>
                  <w:r>
                    <w:rPr>
                      <w:rFonts w:hint="eastAsia" w:cs="Times New Roman"/>
                      <w:color w:val="auto"/>
                      <w:highlight w:val="none"/>
                      <w:lang w:val="en-US" w:eastAsia="zh-CN"/>
                    </w:rPr>
                    <w:t>30</w:t>
                  </w:r>
                  <w:r>
                    <w:rPr>
                      <w:rFonts w:hint="default" w:ascii="Times New Roman" w:hAnsi="Times New Roman" w:cs="Times New Roman"/>
                      <w:color w:val="auto"/>
                      <w:highlight w:val="none"/>
                      <w:lang w:val="en-US" w:eastAsia="zh-CN"/>
                    </w:rPr>
                    <w:t>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eastAsia="zh-CN"/>
                    </w:rPr>
                    <w:t>）</w:t>
                  </w:r>
                </w:p>
              </w:tc>
              <w:tc>
                <w:tcPr>
                  <w:tcW w:w="1078" w:type="pct"/>
                  <w:tcBorders>
                    <w:tl2br w:val="nil"/>
                    <w:tr2bl w:val="nil"/>
                  </w:tcBorders>
                  <w:noWrap w:val="0"/>
                  <w:vAlign w:val="center"/>
                </w:tcPr>
                <w:p w14:paraId="42D0D29B">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40</w:t>
                  </w:r>
                </w:p>
              </w:tc>
            </w:tr>
            <w:tr w14:paraId="609E3F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421AA421">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6C02913D">
                  <w:pPr>
                    <w:jc w:val="center"/>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噪声治理</w:t>
                  </w:r>
                </w:p>
              </w:tc>
              <w:tc>
                <w:tcPr>
                  <w:tcW w:w="2175" w:type="pct"/>
                  <w:tcBorders>
                    <w:tl2br w:val="nil"/>
                    <w:tr2bl w:val="nil"/>
                  </w:tcBorders>
                  <w:noWrap w:val="0"/>
                  <w:vAlign w:val="center"/>
                </w:tcPr>
                <w:p w14:paraId="099CF8C1">
                  <w:pPr>
                    <w:jc w:val="center"/>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cs="Times New Roman"/>
                      <w:color w:val="000000" w:themeColor="text1"/>
                      <w:spacing w:val="0"/>
                      <w:highlight w:val="none"/>
                      <w14:textFill>
                        <w14:solidFill>
                          <w14:schemeClr w14:val="tx1"/>
                        </w14:solidFill>
                      </w14:textFill>
                    </w:rPr>
                    <w:t>施工区的噪声防治基础</w:t>
                  </w:r>
                  <w:r>
                    <w:rPr>
                      <w:rFonts w:hint="eastAsia" w:cs="Times New Roman"/>
                      <w:color w:val="000000" w:themeColor="text1"/>
                      <w:spacing w:val="0"/>
                      <w:highlight w:val="none"/>
                      <w:lang w:val="en-US" w:eastAsia="zh-CN"/>
                      <w14:textFill>
                        <w14:solidFill>
                          <w14:schemeClr w14:val="tx1"/>
                        </w14:solidFill>
                      </w14:textFill>
                    </w:rPr>
                    <w:t>减振</w:t>
                  </w:r>
                </w:p>
              </w:tc>
              <w:tc>
                <w:tcPr>
                  <w:tcW w:w="1078" w:type="pct"/>
                  <w:tcBorders>
                    <w:tl2br w:val="nil"/>
                    <w:tr2bl w:val="nil"/>
                  </w:tcBorders>
                  <w:noWrap w:val="0"/>
                  <w:vAlign w:val="center"/>
                </w:tcPr>
                <w:p w14:paraId="3C7A113E">
                  <w:pPr>
                    <w:jc w:val="center"/>
                    <w:rPr>
                      <w:rFonts w:hint="default" w:ascii="Times New Roman" w:hAnsi="Times New Roman" w:eastAsia="宋体" w:cs="Times New Roman"/>
                      <w:color w:val="000000" w:themeColor="text1"/>
                      <w:spacing w:val="0"/>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40</w:t>
                  </w:r>
                </w:p>
              </w:tc>
            </w:tr>
            <w:tr w14:paraId="7D41E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03D2A2F7">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vMerge w:val="restart"/>
                  <w:tcBorders>
                    <w:tl2br w:val="nil"/>
                    <w:tr2bl w:val="nil"/>
                  </w:tcBorders>
                  <w:noWrap w:val="0"/>
                  <w:vAlign w:val="center"/>
                </w:tcPr>
                <w:p w14:paraId="1C023542">
                  <w:pPr>
                    <w:jc w:val="center"/>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固体垃圾</w:t>
                  </w:r>
                </w:p>
              </w:tc>
              <w:tc>
                <w:tcPr>
                  <w:tcW w:w="2175" w:type="pct"/>
                  <w:tcBorders>
                    <w:tl2br w:val="nil"/>
                    <w:tr2bl w:val="nil"/>
                  </w:tcBorders>
                  <w:noWrap w:val="0"/>
                  <w:vAlign w:val="center"/>
                </w:tcPr>
                <w:p w14:paraId="5623C9C0">
                  <w:pPr>
                    <w:keepNext w:val="0"/>
                    <w:keepLines w:val="0"/>
                    <w:pageBreakBefore w:val="0"/>
                    <w:widowControl w:val="0"/>
                    <w:kinsoku/>
                    <w:wordWrap/>
                    <w:overflowPunct/>
                    <w:topLinePunct w:val="0"/>
                    <w:autoSpaceDE/>
                    <w:autoSpaceDN/>
                    <w:bidi w:val="0"/>
                    <w:adjustRightInd w:val="0"/>
                    <w:snapToGrid/>
                    <w:spacing w:line="360" w:lineRule="exact"/>
                    <w:ind w:firstLine="0" w:firstLineChars="0"/>
                    <w:jc w:val="center"/>
                    <w:textAlignment w:val="auto"/>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设置垃圾桶、生活垃圾</w:t>
                  </w:r>
                </w:p>
              </w:tc>
              <w:tc>
                <w:tcPr>
                  <w:tcW w:w="1078" w:type="pct"/>
                  <w:tcBorders>
                    <w:tl2br w:val="nil"/>
                    <w:tr2bl w:val="nil"/>
                  </w:tcBorders>
                  <w:noWrap w:val="0"/>
                  <w:vAlign w:val="center"/>
                </w:tcPr>
                <w:p w14:paraId="7624F783">
                  <w:pPr>
                    <w:keepNext w:val="0"/>
                    <w:keepLines w:val="0"/>
                    <w:pageBreakBefore w:val="0"/>
                    <w:widowControl w:val="0"/>
                    <w:kinsoku/>
                    <w:wordWrap/>
                    <w:overflowPunct/>
                    <w:topLinePunct w:val="0"/>
                    <w:autoSpaceDE/>
                    <w:autoSpaceDN/>
                    <w:bidi w:val="0"/>
                    <w:adjustRightInd w:val="0"/>
                    <w:snapToGrid/>
                    <w:spacing w:line="360" w:lineRule="exact"/>
                    <w:ind w:firstLine="0" w:firstLineChars="0"/>
                    <w:jc w:val="center"/>
                    <w:textAlignment w:val="auto"/>
                    <w:rPr>
                      <w:rFonts w:hint="eastAsia" w:ascii="Times New Roman" w:hAnsi="Times New Roman" w:eastAsia="宋体" w:cs="Times New Roman"/>
                      <w:color w:val="000000" w:themeColor="text1"/>
                      <w:spacing w:val="0"/>
                      <w:highlight w:val="none"/>
                      <w:lang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6</w:t>
                  </w:r>
                </w:p>
              </w:tc>
            </w:tr>
            <w:tr w14:paraId="589544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0315D529">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vMerge w:val="continue"/>
                  <w:tcBorders>
                    <w:tl2br w:val="nil"/>
                    <w:tr2bl w:val="nil"/>
                  </w:tcBorders>
                  <w:noWrap w:val="0"/>
                  <w:vAlign w:val="center"/>
                </w:tcPr>
                <w:p w14:paraId="3A1A8EF2">
                  <w:pPr>
                    <w:jc w:val="center"/>
                    <w:rPr>
                      <w:rFonts w:hint="default" w:ascii="Times New Roman" w:hAnsi="Times New Roman" w:cs="Times New Roman"/>
                      <w:color w:val="000000" w:themeColor="text1"/>
                      <w:highlight w:val="none"/>
                      <w14:textFill>
                        <w14:solidFill>
                          <w14:schemeClr w14:val="tx1"/>
                        </w14:solidFill>
                      </w14:textFill>
                    </w:rPr>
                  </w:pPr>
                </w:p>
              </w:tc>
              <w:tc>
                <w:tcPr>
                  <w:tcW w:w="2175" w:type="pct"/>
                  <w:tcBorders>
                    <w:tl2br w:val="nil"/>
                    <w:tr2bl w:val="nil"/>
                  </w:tcBorders>
                  <w:noWrap w:val="0"/>
                  <w:vAlign w:val="center"/>
                </w:tcPr>
                <w:p w14:paraId="7D6050DF">
                  <w:pPr>
                    <w:keepNext w:val="0"/>
                    <w:keepLines w:val="0"/>
                    <w:pageBreakBefore w:val="0"/>
                    <w:widowControl w:val="0"/>
                    <w:kinsoku/>
                    <w:wordWrap/>
                    <w:overflowPunct/>
                    <w:topLinePunct w:val="0"/>
                    <w:autoSpaceDE/>
                    <w:autoSpaceDN/>
                    <w:bidi w:val="0"/>
                    <w:adjustRightInd w:val="0"/>
                    <w:snapToGrid/>
                    <w:spacing w:line="360" w:lineRule="exact"/>
                    <w:ind w:firstLine="0" w:firstLineChars="0"/>
                    <w:jc w:val="center"/>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废材料清运</w:t>
                  </w:r>
                </w:p>
              </w:tc>
              <w:tc>
                <w:tcPr>
                  <w:tcW w:w="1078" w:type="pct"/>
                  <w:tcBorders>
                    <w:tl2br w:val="nil"/>
                    <w:tr2bl w:val="nil"/>
                  </w:tcBorders>
                  <w:noWrap w:val="0"/>
                  <w:vAlign w:val="center"/>
                </w:tcPr>
                <w:p w14:paraId="37B7DF5D">
                  <w:pPr>
                    <w:keepNext w:val="0"/>
                    <w:keepLines w:val="0"/>
                    <w:pageBreakBefore w:val="0"/>
                    <w:widowControl w:val="0"/>
                    <w:kinsoku/>
                    <w:wordWrap/>
                    <w:overflowPunct/>
                    <w:topLinePunct w:val="0"/>
                    <w:autoSpaceDE/>
                    <w:autoSpaceDN/>
                    <w:bidi w:val="0"/>
                    <w:adjustRightInd w:val="0"/>
                    <w:snapToGrid/>
                    <w:spacing w:line="360" w:lineRule="exact"/>
                    <w:ind w:firstLine="0" w:firstLineChars="0"/>
                    <w:jc w:val="center"/>
                    <w:textAlignment w:val="auto"/>
                    <w:rPr>
                      <w:rFonts w:hint="default" w:cs="Times New Roman"/>
                      <w:color w:val="000000" w:themeColor="text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4</w:t>
                  </w:r>
                </w:p>
              </w:tc>
            </w:tr>
            <w:tr w14:paraId="4B0B9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88" w:type="pct"/>
                  <w:vMerge w:val="continue"/>
                  <w:tcBorders>
                    <w:tl2br w:val="nil"/>
                    <w:tr2bl w:val="nil"/>
                  </w:tcBorders>
                  <w:noWrap w:val="0"/>
                  <w:vAlign w:val="center"/>
                </w:tcPr>
                <w:p w14:paraId="4E206456">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6852CAB8">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生态环境</w:t>
                  </w:r>
                </w:p>
              </w:tc>
              <w:tc>
                <w:tcPr>
                  <w:tcW w:w="2175" w:type="pct"/>
                  <w:tcBorders>
                    <w:tl2br w:val="nil"/>
                    <w:tr2bl w:val="nil"/>
                  </w:tcBorders>
                  <w:noWrap w:val="0"/>
                  <w:vAlign w:val="center"/>
                </w:tcPr>
                <w:p w14:paraId="4E5FCCFD">
                  <w:pPr>
                    <w:jc w:val="center"/>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auto"/>
                      <w:szCs w:val="21"/>
                      <w:highlight w:val="none"/>
                    </w:rPr>
                    <w:t>施工迹地恢复</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塔基施工场地、临时道路等临时占地恢复</w:t>
                  </w:r>
                  <w:r>
                    <w:rPr>
                      <w:rFonts w:hint="default" w:ascii="Times New Roman" w:hAnsi="Times New Roman" w:cs="Times New Roman"/>
                      <w:color w:val="auto"/>
                      <w:szCs w:val="21"/>
                      <w:highlight w:val="none"/>
                      <w:lang w:eastAsia="zh-CN"/>
                    </w:rPr>
                    <w:t>）</w:t>
                  </w:r>
                </w:p>
              </w:tc>
              <w:tc>
                <w:tcPr>
                  <w:tcW w:w="1078" w:type="pct"/>
                  <w:tcBorders>
                    <w:tl2br w:val="nil"/>
                    <w:tr2bl w:val="nil"/>
                  </w:tcBorders>
                  <w:noWrap w:val="0"/>
                  <w:vAlign w:val="center"/>
                </w:tcPr>
                <w:p w14:paraId="08FDF5E4">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110</w:t>
                  </w:r>
                </w:p>
              </w:tc>
            </w:tr>
            <w:tr w14:paraId="76DC40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6E9D82E7">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1719B95E">
                  <w:pPr>
                    <w:pStyle w:val="37"/>
                    <w:spacing w:line="360" w:lineRule="exact"/>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环境监理</w:t>
                  </w:r>
                </w:p>
              </w:tc>
              <w:tc>
                <w:tcPr>
                  <w:tcW w:w="2175" w:type="pct"/>
                  <w:tcBorders>
                    <w:tl2br w:val="nil"/>
                    <w:tr2bl w:val="nil"/>
                  </w:tcBorders>
                  <w:noWrap w:val="0"/>
                  <w:vAlign w:val="center"/>
                </w:tcPr>
                <w:p w14:paraId="0C6947E6">
                  <w:pPr>
                    <w:pStyle w:val="37"/>
                    <w:spacing w:line="360" w:lineRule="exact"/>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施工期环境监理</w:t>
                  </w:r>
                </w:p>
              </w:tc>
              <w:tc>
                <w:tcPr>
                  <w:tcW w:w="1078" w:type="pct"/>
                  <w:tcBorders>
                    <w:tl2br w:val="nil"/>
                    <w:tr2bl w:val="nil"/>
                  </w:tcBorders>
                  <w:noWrap w:val="0"/>
                  <w:vAlign w:val="center"/>
                </w:tcPr>
                <w:p w14:paraId="14BDED0E">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40</w:t>
                  </w:r>
                </w:p>
              </w:tc>
            </w:tr>
            <w:tr w14:paraId="114EB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restart"/>
                  <w:tcBorders>
                    <w:tl2br w:val="nil"/>
                    <w:tr2bl w:val="nil"/>
                  </w:tcBorders>
                  <w:noWrap w:val="0"/>
                  <w:vAlign w:val="center"/>
                </w:tcPr>
                <w:p w14:paraId="74457068">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运</w:t>
                  </w:r>
                </w:p>
                <w:p w14:paraId="4A13D589">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营</w:t>
                  </w:r>
                </w:p>
                <w:p w14:paraId="721F87F5">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期</w:t>
                  </w:r>
                </w:p>
              </w:tc>
              <w:tc>
                <w:tcPr>
                  <w:tcW w:w="957" w:type="pct"/>
                  <w:tcBorders>
                    <w:tl2br w:val="nil"/>
                    <w:tr2bl w:val="nil"/>
                  </w:tcBorders>
                  <w:noWrap w:val="0"/>
                  <w:vAlign w:val="center"/>
                </w:tcPr>
                <w:p w14:paraId="38BAA482">
                  <w:pPr>
                    <w:jc w:val="center"/>
                    <w:rPr>
                      <w:rFonts w:hint="default" w:ascii="Times New Roman" w:hAnsi="Times New Roman" w:cs="Times New Roman"/>
                      <w:color w:val="000000" w:themeColor="text1"/>
                      <w:spacing w:val="0"/>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噪声治理</w:t>
                  </w:r>
                </w:p>
              </w:tc>
              <w:tc>
                <w:tcPr>
                  <w:tcW w:w="2175" w:type="pct"/>
                  <w:tcBorders>
                    <w:tl2br w:val="nil"/>
                    <w:tr2bl w:val="nil"/>
                  </w:tcBorders>
                  <w:noWrap w:val="0"/>
                  <w:vAlign w:val="center"/>
                </w:tcPr>
                <w:p w14:paraId="4800665D">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采用低噪声设备，基础减</w:t>
                  </w:r>
                  <w:r>
                    <w:rPr>
                      <w:rFonts w:hint="eastAsia" w:cs="Times New Roman"/>
                      <w:color w:val="000000" w:themeColor="text1"/>
                      <w:highlight w:val="none"/>
                      <w:lang w:val="en-US" w:eastAsia="zh-CN"/>
                      <w14:textFill>
                        <w14:solidFill>
                          <w14:schemeClr w14:val="tx1"/>
                        </w14:solidFill>
                      </w14:textFill>
                    </w:rPr>
                    <w:t>振</w:t>
                  </w:r>
                </w:p>
              </w:tc>
              <w:tc>
                <w:tcPr>
                  <w:tcW w:w="1078" w:type="pct"/>
                  <w:tcBorders>
                    <w:tl2br w:val="nil"/>
                    <w:tr2bl w:val="nil"/>
                  </w:tcBorders>
                  <w:noWrap w:val="0"/>
                  <w:vAlign w:val="center"/>
                </w:tcPr>
                <w:p w14:paraId="32D3E18A">
                  <w:pPr>
                    <w:jc w:val="center"/>
                    <w:rPr>
                      <w:rFonts w:hint="default" w:ascii="Times New Roman" w:hAnsi="Times New Roman" w:eastAsia="宋体" w:cs="Times New Roman"/>
                      <w:color w:val="000000" w:themeColor="text1"/>
                      <w:spacing w:val="0"/>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30</w:t>
                  </w:r>
                </w:p>
              </w:tc>
            </w:tr>
            <w:tr w14:paraId="1C1269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1195AF68">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119A8E89">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val="en-US"/>
                      <w14:textFill>
                        <w14:solidFill>
                          <w14:schemeClr w14:val="tx1"/>
                        </w14:solidFill>
                      </w14:textFill>
                    </w:rPr>
                    <w:t>驱鸟措施</w:t>
                  </w:r>
                </w:p>
              </w:tc>
              <w:tc>
                <w:tcPr>
                  <w:tcW w:w="2175" w:type="pct"/>
                  <w:tcBorders>
                    <w:tl2br w:val="nil"/>
                    <w:tr2bl w:val="nil"/>
                  </w:tcBorders>
                  <w:noWrap w:val="0"/>
                  <w:vAlign w:val="center"/>
                </w:tcPr>
                <w:p w14:paraId="78A4DD9C">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lang w:val="en-US"/>
                      <w14:textFill>
                        <w14:solidFill>
                          <w14:schemeClr w14:val="tx1"/>
                        </w14:solidFill>
                      </w14:textFill>
                    </w:rPr>
                    <w:t>驱鸟器</w:t>
                  </w:r>
                </w:p>
              </w:tc>
              <w:tc>
                <w:tcPr>
                  <w:tcW w:w="1078" w:type="pct"/>
                  <w:tcBorders>
                    <w:tl2br w:val="nil"/>
                    <w:tr2bl w:val="nil"/>
                  </w:tcBorders>
                  <w:noWrap w:val="0"/>
                  <w:vAlign w:val="center"/>
                </w:tcPr>
                <w:p w14:paraId="64DE1B62">
                  <w:pPr>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40</w:t>
                  </w:r>
                </w:p>
              </w:tc>
            </w:tr>
            <w:tr w14:paraId="4C0E7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4C7BF0B8">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516CF080">
                  <w:pPr>
                    <w:pStyle w:val="7"/>
                    <w:rPr>
                      <w:rFonts w:hint="default" w:ascii="Times New Roman" w:hAnsi="Times New Roman" w:cs="Times New Roman"/>
                      <w:color w:val="000000" w:themeColor="text1"/>
                      <w:highlight w:val="none"/>
                      <w14:textFill>
                        <w14:solidFill>
                          <w14:schemeClr w14:val="tx1"/>
                        </w14:solidFill>
                      </w14:textFill>
                    </w:rPr>
                  </w:pPr>
                  <w:r>
                    <w:rPr>
                      <w:rFonts w:hint="eastAsia"/>
                      <w:highlight w:val="none"/>
                      <w:lang w:val="en-US" w:eastAsia="zh-CN"/>
                    </w:rPr>
                    <w:t>固废措施</w:t>
                  </w:r>
                </w:p>
              </w:tc>
              <w:tc>
                <w:tcPr>
                  <w:tcW w:w="2175" w:type="pct"/>
                  <w:tcBorders>
                    <w:tl2br w:val="nil"/>
                    <w:tr2bl w:val="nil"/>
                  </w:tcBorders>
                  <w:noWrap w:val="0"/>
                  <w:vAlign w:val="center"/>
                </w:tcPr>
                <w:p w14:paraId="7D326DE7">
                  <w:pPr>
                    <w:jc w:val="center"/>
                    <w:rPr>
                      <w:rFonts w:hint="default" w:ascii="Times New Roman" w:hAnsi="Times New Roman" w:cs="Times New Roman"/>
                      <w:color w:val="000000" w:themeColor="text1"/>
                      <w:highlight w:val="none"/>
                      <w:lang w:val="en-US"/>
                      <w14:textFill>
                        <w14:solidFill>
                          <w14:schemeClr w14:val="tx1"/>
                        </w14:solidFill>
                      </w14:textFill>
                    </w:rPr>
                  </w:pPr>
                  <w:r>
                    <w:rPr>
                      <w:rFonts w:hint="eastAsia"/>
                      <w:highlight w:val="none"/>
                      <w:lang w:val="en-US" w:eastAsia="zh-CN"/>
                    </w:rPr>
                    <w:t>暂存于拟建升压站危废暂存间内</w:t>
                  </w:r>
                </w:p>
              </w:tc>
              <w:tc>
                <w:tcPr>
                  <w:tcW w:w="1078" w:type="pct"/>
                  <w:tcBorders>
                    <w:tl2br w:val="nil"/>
                    <w:tr2bl w:val="nil"/>
                  </w:tcBorders>
                  <w:noWrap w:val="0"/>
                  <w:vAlign w:val="center"/>
                </w:tcPr>
                <w:p w14:paraId="29049B22">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r>
            <w:tr w14:paraId="6604F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88" w:type="pct"/>
                  <w:vMerge w:val="continue"/>
                  <w:tcBorders>
                    <w:tl2br w:val="nil"/>
                    <w:tr2bl w:val="nil"/>
                  </w:tcBorders>
                  <w:noWrap w:val="0"/>
                  <w:vAlign w:val="center"/>
                </w:tcPr>
                <w:p w14:paraId="3140338C">
                  <w:pPr>
                    <w:jc w:val="center"/>
                    <w:rPr>
                      <w:rFonts w:hint="default" w:ascii="Times New Roman" w:hAnsi="Times New Roman" w:cs="Times New Roman"/>
                      <w:color w:val="000000" w:themeColor="text1"/>
                      <w:highlight w:val="none"/>
                      <w14:textFill>
                        <w14:solidFill>
                          <w14:schemeClr w14:val="tx1"/>
                        </w14:solidFill>
                      </w14:textFill>
                    </w:rPr>
                  </w:pPr>
                </w:p>
              </w:tc>
              <w:tc>
                <w:tcPr>
                  <w:tcW w:w="957" w:type="pct"/>
                  <w:tcBorders>
                    <w:tl2br w:val="nil"/>
                    <w:tr2bl w:val="nil"/>
                  </w:tcBorders>
                  <w:noWrap w:val="0"/>
                  <w:vAlign w:val="center"/>
                </w:tcPr>
                <w:p w14:paraId="7F17D8E8">
                  <w:pPr>
                    <w:pStyle w:val="7"/>
                    <w:rPr>
                      <w:rFonts w:hint="eastAsia"/>
                      <w:highlight w:val="none"/>
                      <w:lang w:val="en-US" w:eastAsia="zh-CN"/>
                    </w:rPr>
                  </w:pPr>
                  <w:r>
                    <w:rPr>
                      <w:rFonts w:hint="eastAsia"/>
                      <w:color w:val="auto"/>
                      <w:sz w:val="21"/>
                      <w:szCs w:val="21"/>
                      <w:highlight w:val="none"/>
                      <w:lang w:val="en-US" w:eastAsia="zh-CN"/>
                    </w:rPr>
                    <w:t>箱逆变废油</w:t>
                  </w:r>
                </w:p>
              </w:tc>
              <w:tc>
                <w:tcPr>
                  <w:tcW w:w="2175" w:type="pct"/>
                  <w:tcBorders>
                    <w:tl2br w:val="nil"/>
                    <w:tr2bl w:val="nil"/>
                  </w:tcBorders>
                  <w:noWrap w:val="0"/>
                  <w:vAlign w:val="center"/>
                </w:tcPr>
                <w:p w14:paraId="7C2E3837">
                  <w:pPr>
                    <w:jc w:val="center"/>
                    <w:rPr>
                      <w:rFonts w:hint="default" w:eastAsia="宋体"/>
                      <w:highlight w:val="none"/>
                      <w:lang w:val="en-US" w:eastAsia="zh-CN"/>
                    </w:rPr>
                  </w:pPr>
                  <w:r>
                    <w:rPr>
                      <w:rFonts w:hint="eastAsia"/>
                      <w:highlight w:val="none"/>
                      <w:lang w:val="en-US" w:eastAsia="zh-CN"/>
                    </w:rPr>
                    <w:t>42台个箱变下建设储油池</w:t>
                  </w:r>
                </w:p>
              </w:tc>
              <w:tc>
                <w:tcPr>
                  <w:tcW w:w="1078" w:type="pct"/>
                  <w:tcBorders>
                    <w:tl2br w:val="nil"/>
                    <w:tr2bl w:val="nil"/>
                  </w:tcBorders>
                  <w:noWrap w:val="0"/>
                  <w:vAlign w:val="center"/>
                </w:tcPr>
                <w:p w14:paraId="16B200FD">
                  <w:pPr>
                    <w:jc w:val="center"/>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42</w:t>
                  </w:r>
                </w:p>
              </w:tc>
            </w:tr>
            <w:tr w14:paraId="3BAEC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46" w:type="pct"/>
                  <w:gridSpan w:val="2"/>
                  <w:tcBorders>
                    <w:tl2br w:val="nil"/>
                    <w:tr2bl w:val="nil"/>
                  </w:tcBorders>
                  <w:noWrap w:val="0"/>
                  <w:vAlign w:val="center"/>
                </w:tcPr>
                <w:p w14:paraId="6779C8DD">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合计</w:t>
                  </w:r>
                </w:p>
              </w:tc>
              <w:tc>
                <w:tcPr>
                  <w:tcW w:w="2175" w:type="pct"/>
                  <w:tcBorders>
                    <w:tl2br w:val="nil"/>
                    <w:tr2bl w:val="nil"/>
                  </w:tcBorders>
                  <w:noWrap w:val="0"/>
                  <w:vAlign w:val="center"/>
                </w:tcPr>
                <w:p w14:paraId="2ADD09FE">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c>
                <w:tcPr>
                  <w:tcW w:w="1078" w:type="pct"/>
                  <w:tcBorders>
                    <w:tl2br w:val="nil"/>
                    <w:tr2bl w:val="nil"/>
                  </w:tcBorders>
                  <w:noWrap w:val="0"/>
                  <w:vAlign w:val="center"/>
                </w:tcPr>
                <w:p w14:paraId="1E5454E2">
                  <w:pPr>
                    <w:jc w:val="center"/>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382</w:t>
                  </w:r>
                </w:p>
              </w:tc>
            </w:tr>
          </w:tbl>
          <w:p w14:paraId="72C9BFF2">
            <w:pPr>
              <w:pStyle w:val="12"/>
              <w:ind w:left="0" w:leftChars="0" w:firstLine="0" w:firstLineChars="0"/>
              <w:rPr>
                <w:rFonts w:hint="default"/>
                <w:color w:val="0000FF"/>
                <w:highlight w:val="none"/>
                <w:lang w:val="en-US" w:eastAsia="zh-CN"/>
              </w:rPr>
            </w:pPr>
          </w:p>
        </w:tc>
      </w:tr>
    </w:tbl>
    <w:p w14:paraId="355A07D3">
      <w:pPr>
        <w:rPr>
          <w:rFonts w:hint="default"/>
          <w:color w:val="0000FF"/>
          <w:highlight w:val="none"/>
          <w:lang w:val="en-US" w:eastAsia="zh-CN"/>
        </w:rPr>
      </w:pPr>
      <w:r>
        <w:rPr>
          <w:rFonts w:hint="default"/>
          <w:color w:val="0000FF"/>
          <w:highlight w:val="none"/>
          <w:lang w:val="en-US" w:eastAsia="zh-CN"/>
        </w:rPr>
        <w:br w:type="page"/>
      </w:r>
    </w:p>
    <w:p w14:paraId="10912D9F">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eastAsia" w:ascii="黑体" w:hAnsi="黑体" w:eastAsia="黑体"/>
          <w:snapToGrid w:val="0"/>
          <w:color w:val="000000" w:themeColor="text1"/>
          <w:sz w:val="30"/>
          <w:szCs w:val="30"/>
          <w:highlight w:val="none"/>
          <w14:textFill>
            <w14:solidFill>
              <w14:schemeClr w14:val="tx1"/>
            </w14:solidFill>
          </w14:textFill>
        </w:rPr>
      </w:pPr>
      <w:bookmarkStart w:id="21" w:name="_Toc10295"/>
      <w:bookmarkStart w:id="22" w:name="_Toc24398"/>
      <w:bookmarkStart w:id="23" w:name="_Toc23921"/>
      <w:r>
        <w:rPr>
          <w:rFonts w:hint="eastAsia" w:ascii="黑体" w:hAnsi="黑体" w:eastAsia="黑体"/>
          <w:snapToGrid w:val="0"/>
          <w:color w:val="000000" w:themeColor="text1"/>
          <w:sz w:val="30"/>
          <w:szCs w:val="30"/>
          <w:highlight w:val="none"/>
          <w14:textFill>
            <w14:solidFill>
              <w14:schemeClr w14:val="tx1"/>
            </w14:solidFill>
          </w14:textFill>
        </w:rPr>
        <w:t>六、生态环境保护措施监督检查清单</w:t>
      </w:r>
      <w:bookmarkEnd w:id="21"/>
      <w:bookmarkEnd w:id="22"/>
      <w:bookmarkEnd w:id="23"/>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2075"/>
        <w:gridCol w:w="1943"/>
        <w:gridCol w:w="1201"/>
        <w:gridCol w:w="2153"/>
      </w:tblGrid>
      <w:tr w14:paraId="793E40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vMerge w:val="restart"/>
            <w:tcBorders>
              <w:tl2br w:val="single" w:color="auto" w:sz="4" w:space="0"/>
            </w:tcBorders>
            <w:noWrap w:val="0"/>
            <w:vAlign w:val="center"/>
          </w:tcPr>
          <w:p w14:paraId="520855AD">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24" w:name="_Toc31696"/>
            <w:bookmarkStart w:id="25" w:name="_Toc32166"/>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内容</w:t>
            </w:r>
            <w:bookmarkEnd w:id="24"/>
            <w:bookmarkEnd w:id="25"/>
          </w:p>
          <w:p w14:paraId="3E21CF8D">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p>
          <w:p w14:paraId="0A137038">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26" w:name="_Toc1337"/>
            <w:bookmarkStart w:id="27" w:name="_Toc16493"/>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要素</w:t>
            </w:r>
            <w:bookmarkEnd w:id="26"/>
            <w:bookmarkEnd w:id="27"/>
          </w:p>
        </w:tc>
        <w:tc>
          <w:tcPr>
            <w:tcW w:w="2125" w:type="pct"/>
            <w:gridSpan w:val="2"/>
            <w:noWrap w:val="0"/>
            <w:vAlign w:val="center"/>
          </w:tcPr>
          <w:p w14:paraId="68F5B3FB">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28" w:name="_Toc23517"/>
            <w:bookmarkStart w:id="29" w:name="_Toc18135"/>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施工期</w:t>
            </w:r>
            <w:bookmarkEnd w:id="28"/>
            <w:bookmarkEnd w:id="29"/>
          </w:p>
        </w:tc>
        <w:tc>
          <w:tcPr>
            <w:tcW w:w="2036" w:type="pct"/>
            <w:gridSpan w:val="2"/>
            <w:noWrap w:val="0"/>
            <w:vAlign w:val="center"/>
          </w:tcPr>
          <w:p w14:paraId="0D0777B9">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30" w:name="_Toc24072"/>
            <w:bookmarkStart w:id="31" w:name="_Toc20044"/>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运营期</w:t>
            </w:r>
            <w:bookmarkEnd w:id="30"/>
            <w:bookmarkEnd w:id="31"/>
          </w:p>
        </w:tc>
      </w:tr>
      <w:tr w14:paraId="7EAE0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vMerge w:val="continue"/>
            <w:noWrap w:val="0"/>
            <w:vAlign w:val="center"/>
          </w:tcPr>
          <w:p w14:paraId="54A47A60">
            <w:pPr>
              <w:pStyle w:val="21"/>
              <w:keepNext w:val="0"/>
              <w:keepLines w:val="0"/>
              <w:pageBreakBefore w:val="0"/>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p>
        </w:tc>
        <w:tc>
          <w:tcPr>
            <w:tcW w:w="1382" w:type="pct"/>
            <w:noWrap w:val="0"/>
            <w:vAlign w:val="center"/>
          </w:tcPr>
          <w:p w14:paraId="15BD88E1">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32" w:name="_Toc6836"/>
            <w:bookmarkStart w:id="33" w:name="_Toc24964"/>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环境保护措施</w:t>
            </w:r>
            <w:bookmarkEnd w:id="32"/>
            <w:bookmarkEnd w:id="33"/>
          </w:p>
        </w:tc>
        <w:tc>
          <w:tcPr>
            <w:tcW w:w="743" w:type="pct"/>
            <w:noWrap w:val="0"/>
            <w:vAlign w:val="center"/>
          </w:tcPr>
          <w:p w14:paraId="1C086204">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34" w:name="_Toc32259"/>
            <w:bookmarkStart w:id="35" w:name="_Toc23259"/>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验收要求</w:t>
            </w:r>
            <w:bookmarkEnd w:id="34"/>
            <w:bookmarkEnd w:id="35"/>
          </w:p>
        </w:tc>
        <w:tc>
          <w:tcPr>
            <w:tcW w:w="869" w:type="pct"/>
            <w:noWrap w:val="0"/>
            <w:vAlign w:val="center"/>
          </w:tcPr>
          <w:p w14:paraId="632FF2BC">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36" w:name="_Toc27967"/>
            <w:bookmarkStart w:id="37" w:name="_Toc14548"/>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环境保护措施</w:t>
            </w:r>
            <w:bookmarkEnd w:id="36"/>
            <w:bookmarkEnd w:id="37"/>
          </w:p>
        </w:tc>
        <w:tc>
          <w:tcPr>
            <w:tcW w:w="1166" w:type="pct"/>
            <w:noWrap w:val="0"/>
            <w:vAlign w:val="center"/>
          </w:tcPr>
          <w:p w14:paraId="667F45A0">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firstLine="0"/>
              <w:jc w:val="center"/>
              <w:textAlignment w:val="auto"/>
              <w:outlineLvl w:val="9"/>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bookmarkStart w:id="38" w:name="_Toc15316"/>
            <w:bookmarkStart w:id="39" w:name="_Toc208"/>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验收要求</w:t>
            </w:r>
            <w:bookmarkEnd w:id="38"/>
            <w:bookmarkEnd w:id="39"/>
          </w:p>
        </w:tc>
      </w:tr>
      <w:tr w14:paraId="449F07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0151547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陆生生态</w:t>
            </w:r>
          </w:p>
        </w:tc>
        <w:tc>
          <w:tcPr>
            <w:tcW w:w="1382" w:type="pct"/>
            <w:noWrap w:val="0"/>
            <w:vAlign w:val="center"/>
          </w:tcPr>
          <w:p w14:paraId="68AED211">
            <w:pPr>
              <w:adjustRightInd w:val="0"/>
              <w:snapToGrid w:val="0"/>
              <w:spacing w:line="360" w:lineRule="exact"/>
              <w:jc w:val="center"/>
              <w:rPr>
                <w:color w:val="auto"/>
                <w:szCs w:val="21"/>
                <w:highlight w:val="none"/>
              </w:rPr>
            </w:pPr>
            <w:r>
              <w:rPr>
                <w:color w:val="auto"/>
                <w:szCs w:val="21"/>
                <w:highlight w:val="none"/>
              </w:rPr>
              <w:t>合理规划施工占地，严格控制施工范围，尽量减少临时占地；规定车辆行驶路线</w:t>
            </w:r>
          </w:p>
          <w:p w14:paraId="4B83788C">
            <w:pPr>
              <w:adjustRightInd w:val="0"/>
              <w:snapToGrid w:val="0"/>
              <w:spacing w:line="360" w:lineRule="exact"/>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auto"/>
                <w:szCs w:val="21"/>
                <w:highlight w:val="none"/>
              </w:rPr>
              <w:t>及施工人员活动范围；分层开挖分层回填、对表层土壤进行分层剥离与堆放，同时采取拦护等措施；严禁捕捉伤害野生动物；施工结束后对临时占地进行清理平整，地表恢复</w:t>
            </w:r>
          </w:p>
        </w:tc>
        <w:tc>
          <w:tcPr>
            <w:tcW w:w="743" w:type="pct"/>
            <w:noWrap w:val="0"/>
            <w:vAlign w:val="center"/>
          </w:tcPr>
          <w:p w14:paraId="64329B28">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对施工占地进行平整，进行生态恢复</w:t>
            </w:r>
          </w:p>
        </w:tc>
        <w:tc>
          <w:tcPr>
            <w:tcW w:w="869" w:type="pct"/>
            <w:noWrap w:val="0"/>
            <w:vAlign w:val="center"/>
          </w:tcPr>
          <w:p w14:paraId="7C9CAEED">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color w:val="auto"/>
                <w:szCs w:val="21"/>
                <w:highlight w:val="none"/>
              </w:rPr>
              <w:t>进行临时占地的植被恢复和重建，尽可能早地恢复遭受破坏地段的自然生境</w:t>
            </w:r>
          </w:p>
        </w:tc>
        <w:tc>
          <w:tcPr>
            <w:tcW w:w="1166" w:type="pct"/>
            <w:noWrap w:val="0"/>
            <w:vAlign w:val="center"/>
          </w:tcPr>
          <w:p w14:paraId="743E6245">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生态环境水平不降低</w:t>
            </w:r>
          </w:p>
        </w:tc>
      </w:tr>
      <w:tr w14:paraId="584C3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787F0DD0">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水生生态</w:t>
            </w:r>
          </w:p>
        </w:tc>
        <w:tc>
          <w:tcPr>
            <w:tcW w:w="1382" w:type="pct"/>
            <w:noWrap w:val="0"/>
            <w:vAlign w:val="center"/>
          </w:tcPr>
          <w:p w14:paraId="48B0E054">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43" w:type="pct"/>
            <w:noWrap w:val="0"/>
            <w:vAlign w:val="center"/>
          </w:tcPr>
          <w:p w14:paraId="176223F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9" w:type="pct"/>
            <w:noWrap w:val="0"/>
            <w:vAlign w:val="center"/>
          </w:tcPr>
          <w:p w14:paraId="79927CC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166" w:type="pct"/>
            <w:noWrap w:val="0"/>
            <w:vAlign w:val="center"/>
          </w:tcPr>
          <w:p w14:paraId="42375E21">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10E83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37D44CD7">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地表水环境</w:t>
            </w:r>
          </w:p>
        </w:tc>
        <w:tc>
          <w:tcPr>
            <w:tcW w:w="1382" w:type="pct"/>
            <w:noWrap w:val="0"/>
            <w:vAlign w:val="center"/>
          </w:tcPr>
          <w:p w14:paraId="322CB2C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eastAsia"/>
                <w:color w:val="000000" w:themeColor="text1"/>
                <w:sz w:val="21"/>
                <w:szCs w:val="21"/>
                <w:highlight w:val="none"/>
                <w:vertAlign w:val="baseline"/>
                <w:lang w:val="en-US" w:eastAsia="zh-CN"/>
                <w14:textFill>
                  <w14:solidFill>
                    <w14:schemeClr w14:val="tx1"/>
                  </w14:solidFill>
                </w14:textFill>
              </w:rPr>
              <w:t>施工废水经沉淀后回用于洒水降尘，不外排；生活污水由配置的移动式环保厕所收集处理，定期拉运</w:t>
            </w:r>
          </w:p>
        </w:tc>
        <w:tc>
          <w:tcPr>
            <w:tcW w:w="743" w:type="pct"/>
            <w:noWrap w:val="0"/>
            <w:vAlign w:val="center"/>
          </w:tcPr>
          <w:p w14:paraId="26F2C72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eastAsia"/>
                <w:color w:val="000000" w:themeColor="text1"/>
                <w:sz w:val="21"/>
                <w:szCs w:val="21"/>
                <w:highlight w:val="none"/>
                <w:vertAlign w:val="baseline"/>
                <w:lang w:val="en-US" w:eastAsia="zh-CN"/>
                <w14:textFill>
                  <w14:solidFill>
                    <w14:schemeClr w14:val="tx1"/>
                  </w14:solidFill>
                </w14:textFill>
              </w:rPr>
              <w:t>施工废水经沉淀后回用于洒水降尘，不外排；</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生活污水排入临时防渗化粪池</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收集处理，定期拉运</w:t>
            </w:r>
          </w:p>
        </w:tc>
        <w:tc>
          <w:tcPr>
            <w:tcW w:w="869" w:type="pct"/>
            <w:noWrap w:val="0"/>
            <w:vAlign w:val="center"/>
          </w:tcPr>
          <w:p w14:paraId="01F83DF3">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1166" w:type="pct"/>
            <w:noWrap w:val="0"/>
            <w:vAlign w:val="center"/>
          </w:tcPr>
          <w:p w14:paraId="5C2276F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7FB8B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7" w:hRule="atLeast"/>
          <w:jc w:val="center"/>
        </w:trPr>
        <w:tc>
          <w:tcPr>
            <w:tcW w:w="838" w:type="pct"/>
            <w:noWrap w:val="0"/>
            <w:vAlign w:val="center"/>
          </w:tcPr>
          <w:p w14:paraId="572DD938">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地下水及土壤环境</w:t>
            </w:r>
          </w:p>
        </w:tc>
        <w:tc>
          <w:tcPr>
            <w:tcW w:w="1382" w:type="pct"/>
            <w:noWrap w:val="0"/>
            <w:vAlign w:val="center"/>
          </w:tcPr>
          <w:p w14:paraId="3EF581CB">
            <w:pPr>
              <w:adjustRightInd w:val="0"/>
              <w:snapToGrid w:val="0"/>
              <w:spacing w:line="360" w:lineRule="exact"/>
              <w:jc w:val="center"/>
              <w:rPr>
                <w:rFonts w:hint="eastAsia"/>
                <w:color w:val="auto"/>
                <w:szCs w:val="21"/>
                <w:highlight w:val="none"/>
              </w:rPr>
            </w:pPr>
            <w:r>
              <w:rPr>
                <w:rFonts w:hint="eastAsia"/>
                <w:color w:val="auto"/>
                <w:szCs w:val="21"/>
                <w:highlight w:val="none"/>
              </w:rPr>
              <w:t>1）开挖土方集中堆放，下铺上盖，施工场地，防止泥水外溢。</w:t>
            </w:r>
          </w:p>
          <w:p w14:paraId="2DBB0536">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auto"/>
                <w:szCs w:val="21"/>
                <w:highlight w:val="none"/>
              </w:rPr>
              <w:t>2）合理安排工期，抓紧时间完成施工内容，避免雨天施工，杜绝面源污染给地下水环境造成影响</w:t>
            </w:r>
          </w:p>
        </w:tc>
        <w:tc>
          <w:tcPr>
            <w:tcW w:w="743" w:type="pct"/>
            <w:noWrap w:val="0"/>
            <w:vAlign w:val="center"/>
          </w:tcPr>
          <w:p w14:paraId="2C024288">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auto"/>
                <w:szCs w:val="21"/>
                <w:highlight w:val="none"/>
              </w:rPr>
              <w:t>施工期无废水下渗污染土壤及地下水</w:t>
            </w:r>
          </w:p>
        </w:tc>
        <w:tc>
          <w:tcPr>
            <w:tcW w:w="869" w:type="pct"/>
            <w:noWrap w:val="0"/>
            <w:vAlign w:val="center"/>
          </w:tcPr>
          <w:p w14:paraId="64D59F99">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auto"/>
                <w:kern w:val="0"/>
                <w:szCs w:val="21"/>
                <w:highlight w:val="none"/>
                <w:lang w:val="en-US" w:eastAsia="zh-CN" w:bidi="ar"/>
              </w:rPr>
              <w:t>每个箱变下设置防渗集油池</w:t>
            </w:r>
          </w:p>
        </w:tc>
        <w:tc>
          <w:tcPr>
            <w:tcW w:w="1166" w:type="pct"/>
            <w:noWrap w:val="0"/>
            <w:vAlign w:val="center"/>
          </w:tcPr>
          <w:p w14:paraId="38F2DEE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kern w:val="0"/>
                <w:szCs w:val="21"/>
                <w:highlight w:val="none"/>
                <w:lang w:bidi="ar"/>
              </w:rPr>
              <w:t>按照分区严格防渗，污水不随意排放</w:t>
            </w:r>
          </w:p>
        </w:tc>
      </w:tr>
      <w:tr w14:paraId="1BF19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7B29275B">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声环境</w:t>
            </w:r>
          </w:p>
        </w:tc>
        <w:tc>
          <w:tcPr>
            <w:tcW w:w="1382" w:type="pct"/>
            <w:noWrap w:val="0"/>
            <w:vAlign w:val="center"/>
          </w:tcPr>
          <w:p w14:paraId="76890B2D">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①合理安排施工时间、严格夜间作业、合理规划施工场地；②对施工机械采取消声降噪措施；③对施工机械经常进行检查和维修</w:t>
            </w:r>
          </w:p>
        </w:tc>
        <w:tc>
          <w:tcPr>
            <w:tcW w:w="743" w:type="pct"/>
            <w:noWrap w:val="0"/>
            <w:vAlign w:val="center"/>
          </w:tcPr>
          <w:p w14:paraId="49B4F76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zh-CN"/>
                <w14:textFill>
                  <w14:solidFill>
                    <w14:schemeClr w14:val="tx1"/>
                  </w14:solidFill>
                </w14:textFill>
              </w:rPr>
              <w:t>《建筑施工噪声排放标准》（GB12523-2025）</w:t>
            </w:r>
          </w:p>
        </w:tc>
        <w:tc>
          <w:tcPr>
            <w:tcW w:w="869" w:type="pct"/>
            <w:noWrap w:val="0"/>
            <w:vAlign w:val="center"/>
          </w:tcPr>
          <w:p w14:paraId="7C42F12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选用低噪声设备：风电机选用隔音防震型，变速齿轮箱为减噪型，叶片选用减速叶片等；加强风电机组的日常保养和维护，使其良好运行</w:t>
            </w:r>
          </w:p>
        </w:tc>
        <w:tc>
          <w:tcPr>
            <w:tcW w:w="1166" w:type="pct"/>
            <w:noWrap w:val="0"/>
            <w:vAlign w:val="center"/>
          </w:tcPr>
          <w:p w14:paraId="2B3E3C16">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执行《工业企业厂界环境噪声排放标准》（GB12348-2008）中2类标准</w:t>
            </w:r>
          </w:p>
        </w:tc>
      </w:tr>
      <w:tr w14:paraId="1D84F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0FDFAA01">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振动</w:t>
            </w:r>
          </w:p>
        </w:tc>
        <w:tc>
          <w:tcPr>
            <w:tcW w:w="1382" w:type="pct"/>
            <w:noWrap w:val="0"/>
            <w:vAlign w:val="center"/>
          </w:tcPr>
          <w:p w14:paraId="099ADAC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43" w:type="pct"/>
            <w:noWrap w:val="0"/>
            <w:vAlign w:val="center"/>
          </w:tcPr>
          <w:p w14:paraId="104071D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9" w:type="pct"/>
            <w:noWrap w:val="0"/>
            <w:vAlign w:val="center"/>
          </w:tcPr>
          <w:p w14:paraId="03C1C1E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166" w:type="pct"/>
            <w:noWrap w:val="0"/>
            <w:vAlign w:val="center"/>
          </w:tcPr>
          <w:p w14:paraId="60056AB9">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D4CA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0343EA27">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大气环境</w:t>
            </w:r>
          </w:p>
        </w:tc>
        <w:tc>
          <w:tcPr>
            <w:tcW w:w="1382" w:type="pct"/>
            <w:noWrap w:val="0"/>
            <w:vAlign w:val="center"/>
          </w:tcPr>
          <w:p w14:paraId="52D15794">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开挖的基坑及时回填，</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加强保养使机械、设备状态良好；汽车运输的粉状材料表面应加盖</w:t>
            </w:r>
            <w:r>
              <w:rPr>
                <w:rFonts w:hint="eastAsia" w:cs="Times New Roman"/>
                <w:color w:val="000000" w:themeColor="text1"/>
                <w:sz w:val="21"/>
                <w:szCs w:val="21"/>
                <w:highlight w:val="none"/>
                <w:lang w:val="zh-CN"/>
                <w14:textFill>
                  <w14:solidFill>
                    <w14:schemeClr w14:val="tx1"/>
                  </w14:solidFill>
                </w14:textFill>
              </w:rPr>
              <w:t>篷布</w:t>
            </w:r>
            <w:r>
              <w:rPr>
                <w:rFonts w:hint="default" w:ascii="Times New Roman" w:hAnsi="Times New Roman" w:eastAsia="宋体" w:cs="Times New Roman"/>
                <w:color w:val="000000" w:themeColor="text1"/>
                <w:sz w:val="21"/>
                <w:szCs w:val="21"/>
                <w:highlight w:val="none"/>
                <w:lang w:val="zh-CN"/>
                <w14:textFill>
                  <w14:solidFill>
                    <w14:schemeClr w14:val="tx1"/>
                  </w14:solidFill>
                </w14:textFill>
              </w:rPr>
              <w:t>、封闭运输，防止飞散、掉落</w:t>
            </w:r>
            <w:r>
              <w:rPr>
                <w:rFonts w:hint="eastAsia" w:cs="Times New Roman"/>
                <w:color w:val="000000" w:themeColor="text1"/>
                <w:sz w:val="21"/>
                <w:szCs w:val="21"/>
                <w:highlight w:val="none"/>
                <w:lang w:val="zh-CN"/>
                <w14:textFill>
                  <w14:solidFill>
                    <w14:schemeClr w14:val="tx1"/>
                  </w14:solidFill>
                </w14:textFill>
              </w:rPr>
              <w:t>；</w:t>
            </w:r>
          </w:p>
        </w:tc>
        <w:tc>
          <w:tcPr>
            <w:tcW w:w="743" w:type="pct"/>
            <w:noWrap w:val="0"/>
            <w:vAlign w:val="center"/>
          </w:tcPr>
          <w:p w14:paraId="2F0950C7">
            <w:pPr>
              <w:pStyle w:val="21"/>
              <w:keepNext w:val="0"/>
              <w:keepLines w:val="0"/>
              <w:widowControl/>
              <w:suppressLineNumbers w:val="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olor w:val="000000" w:themeColor="text1"/>
                <w:kern w:val="2"/>
                <w:sz w:val="21"/>
                <w:szCs w:val="21"/>
                <w:highlight w:val="none"/>
                <w:lang w:val="zh-CN"/>
                <w14:textFill>
                  <w14:solidFill>
                    <w14:schemeClr w14:val="tx1"/>
                  </w14:solidFill>
                </w14:textFill>
              </w:rPr>
              <w:t>《大气污染物综合排放标准》（GB16297-1996）</w:t>
            </w:r>
          </w:p>
        </w:tc>
        <w:tc>
          <w:tcPr>
            <w:tcW w:w="869" w:type="pct"/>
            <w:noWrap w:val="0"/>
            <w:vAlign w:val="center"/>
          </w:tcPr>
          <w:p w14:paraId="515B3CD4">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166" w:type="pct"/>
            <w:noWrap w:val="0"/>
            <w:vAlign w:val="center"/>
          </w:tcPr>
          <w:p w14:paraId="71A79D0D">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EA8EC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6DB99780">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固体废物</w:t>
            </w:r>
          </w:p>
        </w:tc>
        <w:tc>
          <w:tcPr>
            <w:tcW w:w="1382" w:type="pct"/>
            <w:noWrap w:val="0"/>
            <w:vAlign w:val="center"/>
          </w:tcPr>
          <w:p w14:paraId="78C3A4D9">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生活垃圾集中收集</w:t>
            </w:r>
            <w:r>
              <w:rPr>
                <w:rFonts w:hint="eastAsia" w:cs="Times New Roman"/>
                <w:snapToGrid w:val="0"/>
                <w:color w:val="000000" w:themeColor="text1"/>
                <w:kern w:val="0"/>
                <w:sz w:val="21"/>
                <w:szCs w:val="21"/>
                <w:highlight w:val="none"/>
                <w:lang w:val="en-US" w:eastAsia="zh-CN" w:bidi="ar-SA"/>
                <w14:textFill>
                  <w14:solidFill>
                    <w14:schemeClr w14:val="tx1"/>
                  </w14:solidFill>
                </w14:textFill>
              </w:rPr>
              <w:t>并</w:t>
            </w: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定期统一清运</w:t>
            </w:r>
            <w:r>
              <w:rPr>
                <w:rFonts w:hint="eastAsia" w:cs="Times New Roman"/>
                <w:snapToGrid w:val="0"/>
                <w:color w:val="000000" w:themeColor="text1"/>
                <w:kern w:val="0"/>
                <w:sz w:val="21"/>
                <w:szCs w:val="21"/>
                <w:highlight w:val="none"/>
                <w:lang w:val="en-US" w:eastAsia="zh-CN" w:bidi="ar-SA"/>
                <w14:textFill>
                  <w14:solidFill>
                    <w14:schemeClr w14:val="tx1"/>
                  </w14:solidFill>
                </w14:textFill>
              </w:rPr>
              <w:t>至托里县垃圾填埋场</w:t>
            </w: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填埋处置</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1"/>
                <w:szCs w:val="21"/>
                <w:highlight w:val="none"/>
                <w:lang w:val="en-US" w:eastAsia="zh-CN" w:bidi="ar-SA"/>
                <w14:textFill>
                  <w14:solidFill>
                    <w14:schemeClr w14:val="tx1"/>
                  </w14:solidFill>
                </w14:textFill>
              </w:rPr>
              <w:t>建筑</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垃圾可回收利用的进行再利用，不能回收利用的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运至主管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部门指定的建筑垃圾填埋场处理</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；拆除后的材料、设备暂时堆放至指定区域内，待后期上报固定资产处</w:t>
            </w:r>
            <w:r>
              <w:rPr>
                <w:rFonts w:hint="eastAsia" w:cs="Times New Roman"/>
                <w:color w:val="000000" w:themeColor="text1"/>
                <w:sz w:val="21"/>
                <w:szCs w:val="21"/>
                <w:highlight w:val="none"/>
                <w:lang w:val="en-US" w:eastAsia="zh-CN"/>
                <w14:textFill>
                  <w14:solidFill>
                    <w14:schemeClr w14:val="tx1"/>
                  </w14:solidFill>
                </w14:textFill>
              </w:rPr>
              <w:t>置后处理。</w:t>
            </w:r>
          </w:p>
        </w:tc>
        <w:tc>
          <w:tcPr>
            <w:tcW w:w="743" w:type="pct"/>
            <w:noWrap w:val="0"/>
            <w:vAlign w:val="center"/>
          </w:tcPr>
          <w:p w14:paraId="1C7E8670">
            <w:pPr>
              <w:adjustRightInd w:val="0"/>
              <w:snapToGrid w:val="0"/>
              <w:spacing w:line="360" w:lineRule="exact"/>
              <w:jc w:val="center"/>
              <w:rPr>
                <w:color w:val="auto"/>
                <w:szCs w:val="21"/>
                <w:highlight w:val="none"/>
              </w:rPr>
            </w:pPr>
            <w:r>
              <w:rPr>
                <w:color w:val="auto"/>
                <w:szCs w:val="21"/>
                <w:highlight w:val="none"/>
              </w:rPr>
              <w:t>施工现场无固</w:t>
            </w:r>
          </w:p>
          <w:p w14:paraId="3272F98B">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color w:val="auto"/>
                <w:szCs w:val="21"/>
                <w:highlight w:val="none"/>
              </w:rPr>
              <w:t>废遗留</w:t>
            </w:r>
          </w:p>
        </w:tc>
        <w:tc>
          <w:tcPr>
            <w:tcW w:w="869" w:type="pct"/>
            <w:noWrap w:val="0"/>
            <w:vAlign w:val="center"/>
          </w:tcPr>
          <w:p w14:paraId="3BCE1F01">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项目为风电新能源项目。风机检修废件由</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运维</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人员带走，后期由厂家进行回收处理；检修产生废含油抹布和废手套</w:t>
            </w:r>
            <w:r>
              <w:rPr>
                <w:rFonts w:hint="eastAsia" w:cs="Times New Roman"/>
                <w:color w:val="000000" w:themeColor="text1"/>
                <w:kern w:val="2"/>
                <w:sz w:val="21"/>
                <w:szCs w:val="21"/>
                <w:highlight w:val="none"/>
                <w:lang w:val="en-US" w:eastAsia="zh-CN" w:bidi="ar-SA"/>
                <w14:textFill>
                  <w14:solidFill>
                    <w14:schemeClr w14:val="tx1"/>
                  </w14:solidFill>
                </w14:textFill>
              </w:rPr>
              <w:t>暂存在危险废物贮存点</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，交由有资质单位处理。</w:t>
            </w:r>
          </w:p>
        </w:tc>
        <w:tc>
          <w:tcPr>
            <w:tcW w:w="1166" w:type="pct"/>
            <w:noWrap w:val="0"/>
            <w:vAlign w:val="center"/>
          </w:tcPr>
          <w:p w14:paraId="7222EFA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《一般工业固体废物贮存和填埋污染控制标准》（GB18599-2020）、《危险废物贮存污染控制标准》（GB18597-2023）</w:t>
            </w:r>
          </w:p>
        </w:tc>
      </w:tr>
      <w:tr w14:paraId="06B84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1FBF010F">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电磁环境</w:t>
            </w:r>
          </w:p>
        </w:tc>
        <w:tc>
          <w:tcPr>
            <w:tcW w:w="1382" w:type="pct"/>
            <w:noWrap w:val="0"/>
            <w:vAlign w:val="center"/>
          </w:tcPr>
          <w:p w14:paraId="294371AC">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43" w:type="pct"/>
            <w:noWrap w:val="0"/>
            <w:vAlign w:val="center"/>
          </w:tcPr>
          <w:p w14:paraId="2B72FD80">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9" w:type="pct"/>
            <w:noWrap w:val="0"/>
            <w:vAlign w:val="center"/>
          </w:tcPr>
          <w:p w14:paraId="18F147B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c>
          <w:tcPr>
            <w:tcW w:w="1166" w:type="pct"/>
            <w:noWrap w:val="0"/>
            <w:vAlign w:val="center"/>
          </w:tcPr>
          <w:p w14:paraId="53A863D3">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AB78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7" w:hRule="atLeast"/>
          <w:jc w:val="center"/>
        </w:trPr>
        <w:tc>
          <w:tcPr>
            <w:tcW w:w="838" w:type="pct"/>
            <w:noWrap w:val="0"/>
            <w:vAlign w:val="center"/>
          </w:tcPr>
          <w:p w14:paraId="4D41729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w:t>
            </w:r>
          </w:p>
        </w:tc>
        <w:tc>
          <w:tcPr>
            <w:tcW w:w="1382" w:type="pct"/>
            <w:noWrap w:val="0"/>
            <w:vAlign w:val="center"/>
          </w:tcPr>
          <w:p w14:paraId="113ADF5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43" w:type="pct"/>
            <w:noWrap w:val="0"/>
            <w:vAlign w:val="center"/>
          </w:tcPr>
          <w:p w14:paraId="3E4727F4">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69" w:type="pct"/>
            <w:noWrap w:val="0"/>
            <w:vAlign w:val="center"/>
          </w:tcPr>
          <w:p w14:paraId="40A5433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按照各类设计规范、规程和法律法规制度，做好防火、防电击等风险防范措施，编制应急预案，建立应急管理制度，做好应急演练和培训</w:t>
            </w:r>
          </w:p>
        </w:tc>
        <w:tc>
          <w:tcPr>
            <w:tcW w:w="1166" w:type="pct"/>
            <w:noWrap w:val="0"/>
            <w:vAlign w:val="center"/>
          </w:tcPr>
          <w:p w14:paraId="16AB60B1">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编制</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应急预案</w:t>
            </w:r>
            <w:r>
              <w:rPr>
                <w:rFonts w:hint="eastAsia" w:cs="Times New Roman"/>
                <w:color w:val="000000" w:themeColor="text1"/>
                <w:kern w:val="2"/>
                <w:sz w:val="21"/>
                <w:szCs w:val="21"/>
                <w:highlight w:val="none"/>
                <w:lang w:val="en-US" w:eastAsia="zh-CN"/>
                <w14:textFill>
                  <w14:solidFill>
                    <w14:schemeClr w14:val="tx1"/>
                  </w14:solidFill>
                </w14:textFill>
              </w:rPr>
              <w:t>并</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备案</w:t>
            </w:r>
          </w:p>
        </w:tc>
      </w:tr>
      <w:tr w14:paraId="1C348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38" w:type="pct"/>
            <w:noWrap w:val="0"/>
            <w:vAlign w:val="center"/>
          </w:tcPr>
          <w:p w14:paraId="32A4240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环境监测</w:t>
            </w:r>
          </w:p>
        </w:tc>
        <w:tc>
          <w:tcPr>
            <w:tcW w:w="1382" w:type="pct"/>
            <w:noWrap w:val="0"/>
            <w:vAlign w:val="center"/>
          </w:tcPr>
          <w:p w14:paraId="67EA4A8C">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施工噪声、大气、生态监测</w:t>
            </w:r>
          </w:p>
        </w:tc>
        <w:tc>
          <w:tcPr>
            <w:tcW w:w="743" w:type="pct"/>
            <w:noWrap w:val="0"/>
            <w:vAlign w:val="center"/>
          </w:tcPr>
          <w:p w14:paraId="1C0621DE">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施工噪声、大气、生态监测</w:t>
            </w:r>
          </w:p>
        </w:tc>
        <w:tc>
          <w:tcPr>
            <w:tcW w:w="869" w:type="pct"/>
            <w:noWrap w:val="0"/>
            <w:vAlign w:val="center"/>
          </w:tcPr>
          <w:p w14:paraId="02AF1BBF">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噪声、生态</w:t>
            </w:r>
          </w:p>
        </w:tc>
        <w:tc>
          <w:tcPr>
            <w:tcW w:w="1166" w:type="pct"/>
            <w:noWrap w:val="0"/>
            <w:vAlign w:val="center"/>
          </w:tcPr>
          <w:p w14:paraId="06C42EFA">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委托有资质的单位开展监测，监测记录完整</w:t>
            </w:r>
          </w:p>
        </w:tc>
      </w:tr>
      <w:tr w14:paraId="3C4CF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8" w:type="pct"/>
            <w:noWrap w:val="0"/>
            <w:vAlign w:val="center"/>
          </w:tcPr>
          <w:p w14:paraId="688E5EE6">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其他</w:t>
            </w:r>
          </w:p>
        </w:tc>
        <w:tc>
          <w:tcPr>
            <w:tcW w:w="4161" w:type="pct"/>
            <w:gridSpan w:val="4"/>
            <w:noWrap w:val="0"/>
            <w:vAlign w:val="center"/>
          </w:tcPr>
          <w:p w14:paraId="2440500C">
            <w:pPr>
              <w:pStyle w:val="21"/>
              <w:adjustRightInd w:val="0"/>
              <w:snapToGrid w:val="0"/>
              <w:spacing w:before="0" w:beforeAutospacing="0" w:after="0" w:afterAutospacing="0" w:line="360" w:lineRule="exact"/>
              <w:jc w:val="center"/>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环境管理，成立环境应急领导小组，并设专职环保技术管理员；</w:t>
            </w:r>
          </w:p>
          <w:p w14:paraId="2720B89A">
            <w:pPr>
              <w:pStyle w:val="21"/>
              <w:adjustRightInd w:val="0"/>
              <w:snapToGrid w:val="0"/>
              <w:spacing w:before="0" w:beforeAutospacing="0" w:after="0" w:afterAutospacing="0" w:line="360" w:lineRule="exact"/>
              <w:jc w:val="center"/>
              <w:rPr>
                <w:rFonts w:hint="eastAsia" w:ascii="Times New Roman" w:hAnsi="Times New Roman" w:eastAsia="宋体" w:cs="Times New Roman"/>
                <w:color w:val="000000" w:themeColor="text1"/>
                <w:kern w:val="2"/>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制定环保管理规章制度和事故应急预案等</w:t>
            </w:r>
            <w:r>
              <w:rPr>
                <w:rFonts w:hint="eastAsia" w:ascii="Times New Roman" w:hAnsi="Times New Roman" w:cs="Times New Roman"/>
                <w:color w:val="000000" w:themeColor="text1"/>
                <w:kern w:val="2"/>
                <w:sz w:val="21"/>
                <w:szCs w:val="21"/>
                <w:highlight w:val="none"/>
                <w:lang w:eastAsia="zh-CN"/>
                <w14:textFill>
                  <w14:solidFill>
                    <w14:schemeClr w14:val="tx1"/>
                  </w14:solidFill>
                </w14:textFill>
              </w:rPr>
              <w:t>；</w:t>
            </w:r>
          </w:p>
          <w:p w14:paraId="410B5A62">
            <w:pPr>
              <w:keepNext w:val="0"/>
              <w:keepLines w:val="0"/>
              <w:pageBreakBefore w:val="0"/>
              <w:kinsoku/>
              <w:wordWrap/>
              <w:overflowPunct/>
              <w:topLinePunct w:val="0"/>
              <w:autoSpaceDE/>
              <w:autoSpaceDN/>
              <w:bidi w:val="0"/>
              <w:adjustRightInd w:val="0"/>
              <w:snapToGrid w:val="0"/>
              <w:spacing w:line="360" w:lineRule="exact"/>
              <w:ind w:firstLine="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建设项目环评及审批手续完备、环境保护档案资料齐全</w:t>
            </w:r>
          </w:p>
        </w:tc>
      </w:tr>
    </w:tbl>
    <w:p w14:paraId="51E5DEE6">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黑体" w:hAnsi="黑体" w:eastAsia="黑体"/>
          <w:snapToGrid w:val="0"/>
          <w:color w:val="000000" w:themeColor="text1"/>
          <w:sz w:val="30"/>
          <w:szCs w:val="30"/>
          <w:highlight w:val="none"/>
          <w14:textFill>
            <w14:solidFill>
              <w14:schemeClr w14:val="tx1"/>
            </w14:solidFill>
          </w14:textFill>
        </w:rPr>
      </w:pPr>
      <w:r>
        <w:rPr>
          <w:color w:val="0000FF"/>
          <w:highlight w:val="none"/>
        </w:rPr>
        <w:br w:type="page"/>
      </w:r>
      <w:bookmarkStart w:id="40" w:name="_Toc2966"/>
      <w:bookmarkStart w:id="41" w:name="_Toc11377"/>
      <w:bookmarkStart w:id="42" w:name="_Toc27701"/>
      <w:r>
        <w:rPr>
          <w:rFonts w:hint="eastAsia" w:ascii="黑体" w:hAnsi="黑体" w:eastAsia="黑体"/>
          <w:snapToGrid w:val="0"/>
          <w:color w:val="000000" w:themeColor="text1"/>
          <w:sz w:val="30"/>
          <w:szCs w:val="30"/>
          <w:highlight w:val="none"/>
          <w14:textFill>
            <w14:solidFill>
              <w14:schemeClr w14:val="tx1"/>
            </w14:solidFill>
          </w14:textFill>
        </w:rPr>
        <w:t>七、结论</w:t>
      </w:r>
      <w:bookmarkEnd w:id="40"/>
      <w:bookmarkEnd w:id="41"/>
      <w:bookmarkEnd w:id="42"/>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6CE9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5000" w:type="pct"/>
            <w:tcBorders>
              <w:tl2br w:val="nil"/>
              <w:tr2bl w:val="nil"/>
            </w:tcBorders>
            <w:noWrap w:val="0"/>
            <w:vAlign w:val="top"/>
          </w:tcPr>
          <w:p w14:paraId="4387BD72">
            <w:pPr>
              <w:keepNext w:val="0"/>
              <w:keepLines w:val="0"/>
              <w:pageBreakBefore w:val="0"/>
              <w:widowControl w:val="0"/>
              <w:kinsoku/>
              <w:wordWrap/>
              <w:overflowPunct/>
              <w:topLinePunct w:val="0"/>
              <w:autoSpaceDE/>
              <w:autoSpaceDN/>
              <w:bidi w:val="0"/>
              <w:adjustRightInd w:val="0"/>
              <w:snapToGrid w:val="0"/>
              <w:spacing w:line="480" w:lineRule="exact"/>
              <w:ind w:leftChars="0" w:rightChars="0" w:firstLine="480" w:firstLineChars="200"/>
              <w:jc w:val="both"/>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从环境保护角度考虑，建设单位在严格执行</w:t>
            </w:r>
            <w:r>
              <w:rPr>
                <w:rFonts w:hint="eastAsia" w:cs="Times New Roman"/>
                <w:b w:val="0"/>
                <w:i w:val="0"/>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三同时</w:t>
            </w:r>
            <w:r>
              <w:rPr>
                <w:rFonts w:hint="eastAsia" w:cs="Times New Roman"/>
                <w:b w:val="0"/>
                <w:i w:val="0"/>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制度、在建设及运行过程采取工程措施、临时防护措施相结合的综合防治体系，对各项污染防治措施切实逐项予以落实、并加强运营期管理的前提下，本项目对周围</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生态</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环境影响较小，建设项目可行。</w:t>
            </w:r>
          </w:p>
        </w:tc>
      </w:tr>
    </w:tbl>
    <w:p w14:paraId="57B222D8">
      <w:pPr>
        <w:rPr>
          <w:highlight w:val="none"/>
        </w:rPr>
      </w:pPr>
      <w:r>
        <w:rPr>
          <w:highlight w:val="none"/>
        </w:rPr>
        <w:br w:type="page"/>
      </w:r>
    </w:p>
    <w:p w14:paraId="66BA2903">
      <w:pPr>
        <w:rPr>
          <w:rFonts w:hint="eastAsia"/>
          <w:highlight w:val="none"/>
          <w:lang w:val="en-US" w:eastAsia="zh-CN"/>
        </w:rPr>
      </w:pPr>
      <w:r>
        <w:rPr>
          <w:rFonts w:hint="eastAsia"/>
          <w:highlight w:val="none"/>
          <w:lang w:val="en-US" w:eastAsia="zh-CN"/>
        </w:rPr>
        <w:t>附件一：备案证</w:t>
      </w:r>
    </w:p>
    <w:p w14:paraId="2FEBB66A">
      <w:pPr>
        <w:rPr>
          <w:rFonts w:hint="default"/>
          <w:highlight w:val="none"/>
          <w:lang w:val="en-US" w:eastAsia="zh-CN"/>
        </w:rPr>
      </w:pPr>
    </w:p>
    <w:p w14:paraId="5326FB9B">
      <w:pPr>
        <w:rPr>
          <w:rFonts w:hint="default"/>
          <w:highlight w:val="none"/>
          <w:lang w:val="en-US" w:eastAsia="zh-CN"/>
        </w:rPr>
      </w:pPr>
      <w:r>
        <w:rPr>
          <w:rFonts w:hint="default"/>
          <w:highlight w:val="none"/>
          <w:lang w:val="en-US" w:eastAsia="zh-CN"/>
        </w:rPr>
        <w:br w:type="page"/>
      </w:r>
    </w:p>
    <w:p w14:paraId="38BE09C2">
      <w:pPr>
        <w:rPr>
          <w:rFonts w:hint="eastAsia"/>
          <w:highlight w:val="none"/>
          <w:lang w:val="en-US" w:eastAsia="zh-CN"/>
        </w:rPr>
      </w:pPr>
      <w:r>
        <w:rPr>
          <w:rFonts w:hint="eastAsia"/>
          <w:highlight w:val="none"/>
          <w:lang w:val="en-US" w:eastAsia="zh-CN"/>
        </w:rPr>
        <w:t>附件二：委托书</w:t>
      </w:r>
    </w:p>
    <w:p w14:paraId="2E649E61">
      <w:pPr>
        <w:rPr>
          <w:rFonts w:hint="default"/>
          <w:highlight w:val="none"/>
          <w:lang w:val="en-US" w:eastAsia="zh-CN"/>
        </w:rPr>
      </w:pPr>
    </w:p>
    <w:p w14:paraId="34A9522B">
      <w:pPr>
        <w:rPr>
          <w:rFonts w:hint="default"/>
          <w:highlight w:val="none"/>
          <w:lang w:val="en-US" w:eastAsia="zh-CN"/>
        </w:rPr>
      </w:pPr>
      <w:r>
        <w:rPr>
          <w:rFonts w:hint="default"/>
          <w:highlight w:val="none"/>
          <w:lang w:val="en-US" w:eastAsia="zh-CN"/>
        </w:rPr>
        <w:br w:type="page"/>
      </w:r>
    </w:p>
    <w:p w14:paraId="5DBB2A88">
      <w:pPr>
        <w:rPr>
          <w:rFonts w:hint="eastAsia"/>
          <w:highlight w:val="none"/>
          <w:lang w:val="en-US" w:eastAsia="zh-CN"/>
        </w:rPr>
      </w:pPr>
      <w:r>
        <w:rPr>
          <w:rFonts w:hint="eastAsia"/>
          <w:highlight w:val="none"/>
          <w:lang w:val="en-US" w:eastAsia="zh-CN"/>
        </w:rPr>
        <w:t>附件三：承诺函</w:t>
      </w:r>
    </w:p>
    <w:p w14:paraId="5AD41BC1">
      <w:pPr>
        <w:rPr>
          <w:rFonts w:hint="default"/>
          <w:highlight w:val="none"/>
          <w:lang w:val="en-US" w:eastAsia="zh-CN"/>
        </w:rPr>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D80BCD-17F9-49DB-B7D2-1DBC6E93C4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康简宋">
    <w:altName w:val="Times New Roman"/>
    <w:panose1 w:val="00000000000000000000"/>
    <w:charset w:val="01"/>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00000" w:csb1="00000000"/>
    <w:embedRegular r:id="rId2" w:fontKey="{13219582-90D6-4796-9A04-D2288CBF1FD1}"/>
  </w:font>
  <w:font w:name="仿宋">
    <w:panose1 w:val="02010609060101010101"/>
    <w:charset w:val="86"/>
    <w:family w:val="swiss"/>
    <w:pitch w:val="default"/>
    <w:sig w:usb0="800002BF" w:usb1="38CF7CFA" w:usb2="00000016" w:usb3="00000000" w:csb0="00040001" w:csb1="00000000"/>
    <w:embedRegular r:id="rId3" w:fontKey="{D233F2F3-86F0-4255-B145-21B710857CC5}"/>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00000" w:csb1="00000000"/>
    <w:embedRegular r:id="rId4" w:fontKey="{B1244C14-91B5-41FB-95CF-F3A28BBF4BDE}"/>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A00002BF" w:usb1="38CF7CFA" w:usb2="00082016" w:usb3="00000000" w:csb0="00040001" w:csb1="00000000"/>
    <w:embedRegular r:id="rId5" w:fontKey="{AB39F654-4BF7-4971-9348-1840A5D9833E}"/>
  </w:font>
  <w:font w:name="Wingdings 2">
    <w:panose1 w:val="05020102010507070707"/>
    <w:charset w:val="00"/>
    <w:family w:val="auto"/>
    <w:pitch w:val="default"/>
    <w:sig w:usb0="00000000" w:usb1="00000000" w:usb2="00000000" w:usb3="00000000" w:csb0="80000000" w:csb1="00000000"/>
    <w:embedRegular r:id="rId6" w:fontKey="{D4CAF405-3309-408C-8BB9-7E5E09E995DB}"/>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68295">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38E9C">
                          <w:pPr>
                            <w:pStyle w:val="14"/>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0838E9C">
                    <w:pPr>
                      <w:pStyle w:val="14"/>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61054">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D119C">
                          <w:pPr>
                            <w:pStyle w:val="1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D8D119C">
                    <w:pPr>
                      <w:pStyle w:val="1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89069"/>
    <w:multiLevelType w:val="multilevel"/>
    <w:tmpl w:val="93389069"/>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575"/>
        </w:tabs>
        <w:ind w:left="575" w:hanging="575"/>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pStyle w:val="5"/>
      <w:lvlText w:val="%1.%2.%3.%4."/>
      <w:lvlJc w:val="left"/>
      <w:pPr>
        <w:tabs>
          <w:tab w:val="left" w:pos="1361"/>
        </w:tabs>
        <w:ind w:left="864" w:firstLine="497"/>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xNDg4OGEzNTAzZDNkNjZjOGFiOGVlNmQ1ODZhMGYifQ=="/>
  </w:docVars>
  <w:rsids>
    <w:rsidRoot w:val="00000000"/>
    <w:rsid w:val="00132530"/>
    <w:rsid w:val="002D269B"/>
    <w:rsid w:val="002E1F6F"/>
    <w:rsid w:val="00426410"/>
    <w:rsid w:val="00627E6B"/>
    <w:rsid w:val="007F38E8"/>
    <w:rsid w:val="00991ADF"/>
    <w:rsid w:val="00A014A6"/>
    <w:rsid w:val="00A05FE1"/>
    <w:rsid w:val="00CD3536"/>
    <w:rsid w:val="011D4A30"/>
    <w:rsid w:val="01970AB0"/>
    <w:rsid w:val="019B714C"/>
    <w:rsid w:val="01A050EF"/>
    <w:rsid w:val="01B841E6"/>
    <w:rsid w:val="01BC237E"/>
    <w:rsid w:val="01CD6616"/>
    <w:rsid w:val="01D6399F"/>
    <w:rsid w:val="01DB6127"/>
    <w:rsid w:val="01FF2C55"/>
    <w:rsid w:val="023E208C"/>
    <w:rsid w:val="0280434C"/>
    <w:rsid w:val="02A76515"/>
    <w:rsid w:val="02E90185"/>
    <w:rsid w:val="02F64877"/>
    <w:rsid w:val="03004097"/>
    <w:rsid w:val="030B47EA"/>
    <w:rsid w:val="034A70C0"/>
    <w:rsid w:val="03595953"/>
    <w:rsid w:val="036B5288"/>
    <w:rsid w:val="038500F8"/>
    <w:rsid w:val="038E27E2"/>
    <w:rsid w:val="03A42B6A"/>
    <w:rsid w:val="03B81DAD"/>
    <w:rsid w:val="03EF0E8B"/>
    <w:rsid w:val="04091537"/>
    <w:rsid w:val="04343430"/>
    <w:rsid w:val="04420254"/>
    <w:rsid w:val="044B5403"/>
    <w:rsid w:val="04677538"/>
    <w:rsid w:val="046E6524"/>
    <w:rsid w:val="04A02A7C"/>
    <w:rsid w:val="04AE4B72"/>
    <w:rsid w:val="05137986"/>
    <w:rsid w:val="05177476"/>
    <w:rsid w:val="0526590B"/>
    <w:rsid w:val="05267802"/>
    <w:rsid w:val="05636C70"/>
    <w:rsid w:val="05A01219"/>
    <w:rsid w:val="05AF3B52"/>
    <w:rsid w:val="05B44CC5"/>
    <w:rsid w:val="05C97DA9"/>
    <w:rsid w:val="05D011C6"/>
    <w:rsid w:val="05F9078E"/>
    <w:rsid w:val="061023B9"/>
    <w:rsid w:val="062E625A"/>
    <w:rsid w:val="065464AC"/>
    <w:rsid w:val="06642ABC"/>
    <w:rsid w:val="067E4444"/>
    <w:rsid w:val="06D97352"/>
    <w:rsid w:val="06D97559"/>
    <w:rsid w:val="06E45A10"/>
    <w:rsid w:val="06EE06AA"/>
    <w:rsid w:val="06F12F7D"/>
    <w:rsid w:val="06F2019A"/>
    <w:rsid w:val="070C2358"/>
    <w:rsid w:val="0721282E"/>
    <w:rsid w:val="072367D1"/>
    <w:rsid w:val="073505AD"/>
    <w:rsid w:val="07414C7E"/>
    <w:rsid w:val="074672DA"/>
    <w:rsid w:val="07654CEA"/>
    <w:rsid w:val="07792284"/>
    <w:rsid w:val="078A4A44"/>
    <w:rsid w:val="07C02047"/>
    <w:rsid w:val="07E37AE3"/>
    <w:rsid w:val="07F64774"/>
    <w:rsid w:val="080513C8"/>
    <w:rsid w:val="08337316"/>
    <w:rsid w:val="08387C33"/>
    <w:rsid w:val="08404F36"/>
    <w:rsid w:val="086724C2"/>
    <w:rsid w:val="08A96637"/>
    <w:rsid w:val="08E76122"/>
    <w:rsid w:val="09374B7F"/>
    <w:rsid w:val="093A4011"/>
    <w:rsid w:val="093B2F2C"/>
    <w:rsid w:val="093D3223"/>
    <w:rsid w:val="094C1D9E"/>
    <w:rsid w:val="095F3199"/>
    <w:rsid w:val="0966277A"/>
    <w:rsid w:val="097F4BA0"/>
    <w:rsid w:val="0995305F"/>
    <w:rsid w:val="09B94F9F"/>
    <w:rsid w:val="09C33728"/>
    <w:rsid w:val="09C851E3"/>
    <w:rsid w:val="09DC39BB"/>
    <w:rsid w:val="09E52755"/>
    <w:rsid w:val="09E57B43"/>
    <w:rsid w:val="09EB01A3"/>
    <w:rsid w:val="09F75AC8"/>
    <w:rsid w:val="09F935F4"/>
    <w:rsid w:val="0A140428"/>
    <w:rsid w:val="0A167088"/>
    <w:rsid w:val="0A18074D"/>
    <w:rsid w:val="0A2D281A"/>
    <w:rsid w:val="0A381FE9"/>
    <w:rsid w:val="0A430F60"/>
    <w:rsid w:val="0A4B2218"/>
    <w:rsid w:val="0A585278"/>
    <w:rsid w:val="0A6D30B8"/>
    <w:rsid w:val="0A752E72"/>
    <w:rsid w:val="0A890F09"/>
    <w:rsid w:val="0A8C6210"/>
    <w:rsid w:val="0A9F4195"/>
    <w:rsid w:val="0AC26004"/>
    <w:rsid w:val="0AD04F3F"/>
    <w:rsid w:val="0AF12517"/>
    <w:rsid w:val="0AF419F7"/>
    <w:rsid w:val="0B077F8D"/>
    <w:rsid w:val="0B0D44B6"/>
    <w:rsid w:val="0B2640CC"/>
    <w:rsid w:val="0B2E1839"/>
    <w:rsid w:val="0B470322"/>
    <w:rsid w:val="0B605450"/>
    <w:rsid w:val="0B763209"/>
    <w:rsid w:val="0B940E7B"/>
    <w:rsid w:val="0BA04D77"/>
    <w:rsid w:val="0BB635C9"/>
    <w:rsid w:val="0BC51431"/>
    <w:rsid w:val="0BD136C1"/>
    <w:rsid w:val="0BE97C3C"/>
    <w:rsid w:val="0BFF613F"/>
    <w:rsid w:val="0C1A57C7"/>
    <w:rsid w:val="0C3B3273"/>
    <w:rsid w:val="0C5C3625"/>
    <w:rsid w:val="0CA34B4C"/>
    <w:rsid w:val="0CC30327"/>
    <w:rsid w:val="0CC36658"/>
    <w:rsid w:val="0CC71781"/>
    <w:rsid w:val="0CD71238"/>
    <w:rsid w:val="0CEC743A"/>
    <w:rsid w:val="0CF37A6D"/>
    <w:rsid w:val="0CF602B9"/>
    <w:rsid w:val="0D1542E8"/>
    <w:rsid w:val="0D1D5845"/>
    <w:rsid w:val="0D2375E0"/>
    <w:rsid w:val="0D2816A6"/>
    <w:rsid w:val="0D3414E9"/>
    <w:rsid w:val="0D83170A"/>
    <w:rsid w:val="0DC83A03"/>
    <w:rsid w:val="0DDF6F9F"/>
    <w:rsid w:val="0E0662D9"/>
    <w:rsid w:val="0E122ED0"/>
    <w:rsid w:val="0E21397E"/>
    <w:rsid w:val="0E29339E"/>
    <w:rsid w:val="0E3270CE"/>
    <w:rsid w:val="0E4C2291"/>
    <w:rsid w:val="0E5A34DE"/>
    <w:rsid w:val="0E8A6C0E"/>
    <w:rsid w:val="0E9427C9"/>
    <w:rsid w:val="0EBE20A3"/>
    <w:rsid w:val="0EBF2F85"/>
    <w:rsid w:val="0ECC4430"/>
    <w:rsid w:val="0F10449C"/>
    <w:rsid w:val="0F1D7D7F"/>
    <w:rsid w:val="0F386966"/>
    <w:rsid w:val="0F646929"/>
    <w:rsid w:val="0F8229B0"/>
    <w:rsid w:val="0FA4224E"/>
    <w:rsid w:val="0FDC3796"/>
    <w:rsid w:val="0FDC47EA"/>
    <w:rsid w:val="0FE5719E"/>
    <w:rsid w:val="0FF426AC"/>
    <w:rsid w:val="0FF84DE1"/>
    <w:rsid w:val="100271F5"/>
    <w:rsid w:val="100E781E"/>
    <w:rsid w:val="100F0C83"/>
    <w:rsid w:val="1017222E"/>
    <w:rsid w:val="102869DB"/>
    <w:rsid w:val="103121AB"/>
    <w:rsid w:val="10601FD3"/>
    <w:rsid w:val="10633A84"/>
    <w:rsid w:val="106B732A"/>
    <w:rsid w:val="1074577C"/>
    <w:rsid w:val="1077526D"/>
    <w:rsid w:val="109A1010"/>
    <w:rsid w:val="109B4DFE"/>
    <w:rsid w:val="10BC0900"/>
    <w:rsid w:val="10BD1318"/>
    <w:rsid w:val="10EC72B6"/>
    <w:rsid w:val="10EF2662"/>
    <w:rsid w:val="10F22B45"/>
    <w:rsid w:val="110805BA"/>
    <w:rsid w:val="110A4333"/>
    <w:rsid w:val="11134B92"/>
    <w:rsid w:val="11567C7C"/>
    <w:rsid w:val="115D0906"/>
    <w:rsid w:val="116119D7"/>
    <w:rsid w:val="117F1532"/>
    <w:rsid w:val="11A4448C"/>
    <w:rsid w:val="11AA3352"/>
    <w:rsid w:val="11B37C04"/>
    <w:rsid w:val="11B56C7C"/>
    <w:rsid w:val="11BC55A2"/>
    <w:rsid w:val="11C42733"/>
    <w:rsid w:val="11EC0B5C"/>
    <w:rsid w:val="11F052D6"/>
    <w:rsid w:val="11F43E80"/>
    <w:rsid w:val="12023C98"/>
    <w:rsid w:val="12031DE6"/>
    <w:rsid w:val="122907E8"/>
    <w:rsid w:val="122A2438"/>
    <w:rsid w:val="124B1421"/>
    <w:rsid w:val="125C6E10"/>
    <w:rsid w:val="12642074"/>
    <w:rsid w:val="12723F3D"/>
    <w:rsid w:val="12870580"/>
    <w:rsid w:val="128A75BF"/>
    <w:rsid w:val="12A2557C"/>
    <w:rsid w:val="12AD4FEF"/>
    <w:rsid w:val="12B10F0A"/>
    <w:rsid w:val="131E40C5"/>
    <w:rsid w:val="13203999"/>
    <w:rsid w:val="1321042E"/>
    <w:rsid w:val="132B168F"/>
    <w:rsid w:val="133A66AB"/>
    <w:rsid w:val="13525B1D"/>
    <w:rsid w:val="1358140E"/>
    <w:rsid w:val="13621A7B"/>
    <w:rsid w:val="136A4CE7"/>
    <w:rsid w:val="136F4921"/>
    <w:rsid w:val="13710699"/>
    <w:rsid w:val="13766E8D"/>
    <w:rsid w:val="13873A19"/>
    <w:rsid w:val="13912AE9"/>
    <w:rsid w:val="139973E3"/>
    <w:rsid w:val="139B0E1F"/>
    <w:rsid w:val="13F839A0"/>
    <w:rsid w:val="140A2DC2"/>
    <w:rsid w:val="14246996"/>
    <w:rsid w:val="142F00D9"/>
    <w:rsid w:val="144A3613"/>
    <w:rsid w:val="146874E9"/>
    <w:rsid w:val="146B62F4"/>
    <w:rsid w:val="147A532B"/>
    <w:rsid w:val="14922556"/>
    <w:rsid w:val="14BC1DE8"/>
    <w:rsid w:val="14CE7B68"/>
    <w:rsid w:val="151E215B"/>
    <w:rsid w:val="152B2BFD"/>
    <w:rsid w:val="15882E66"/>
    <w:rsid w:val="159A6F7B"/>
    <w:rsid w:val="15A96F18"/>
    <w:rsid w:val="15AE1730"/>
    <w:rsid w:val="15B8435D"/>
    <w:rsid w:val="15C82379"/>
    <w:rsid w:val="15F555B1"/>
    <w:rsid w:val="15F615A6"/>
    <w:rsid w:val="16221D88"/>
    <w:rsid w:val="163B7C02"/>
    <w:rsid w:val="16573B76"/>
    <w:rsid w:val="16662BF8"/>
    <w:rsid w:val="16691AFB"/>
    <w:rsid w:val="167664C6"/>
    <w:rsid w:val="168F3C5D"/>
    <w:rsid w:val="168F4625"/>
    <w:rsid w:val="169528F0"/>
    <w:rsid w:val="169721C5"/>
    <w:rsid w:val="170D4B9F"/>
    <w:rsid w:val="17150879"/>
    <w:rsid w:val="172B3055"/>
    <w:rsid w:val="17365E81"/>
    <w:rsid w:val="173D7210"/>
    <w:rsid w:val="177C461B"/>
    <w:rsid w:val="178D11F5"/>
    <w:rsid w:val="179D7CAF"/>
    <w:rsid w:val="17C510B2"/>
    <w:rsid w:val="17CC2334"/>
    <w:rsid w:val="17D567DB"/>
    <w:rsid w:val="17DB27C2"/>
    <w:rsid w:val="17F81389"/>
    <w:rsid w:val="17FE51D2"/>
    <w:rsid w:val="18020A08"/>
    <w:rsid w:val="180B6192"/>
    <w:rsid w:val="181B068F"/>
    <w:rsid w:val="183A54FD"/>
    <w:rsid w:val="1844637C"/>
    <w:rsid w:val="185B4990"/>
    <w:rsid w:val="185C5D6E"/>
    <w:rsid w:val="186E1690"/>
    <w:rsid w:val="18842C1C"/>
    <w:rsid w:val="18C36AF2"/>
    <w:rsid w:val="18C664E4"/>
    <w:rsid w:val="18D82E28"/>
    <w:rsid w:val="18FE41CD"/>
    <w:rsid w:val="19157FF8"/>
    <w:rsid w:val="192B2AA1"/>
    <w:rsid w:val="1941466A"/>
    <w:rsid w:val="196A1596"/>
    <w:rsid w:val="196D36B1"/>
    <w:rsid w:val="197741F8"/>
    <w:rsid w:val="19AF7825"/>
    <w:rsid w:val="19C07C84"/>
    <w:rsid w:val="19D842DB"/>
    <w:rsid w:val="19F161AF"/>
    <w:rsid w:val="1A0062D3"/>
    <w:rsid w:val="1A0F1B6B"/>
    <w:rsid w:val="1A2F3E03"/>
    <w:rsid w:val="1A641551"/>
    <w:rsid w:val="1A6C0BCC"/>
    <w:rsid w:val="1A735539"/>
    <w:rsid w:val="1A8C0BA2"/>
    <w:rsid w:val="1A8C1BAF"/>
    <w:rsid w:val="1AAC5FED"/>
    <w:rsid w:val="1AD8652A"/>
    <w:rsid w:val="1AE302B9"/>
    <w:rsid w:val="1B12734F"/>
    <w:rsid w:val="1B5E6AD4"/>
    <w:rsid w:val="1B6034CD"/>
    <w:rsid w:val="1B764FEE"/>
    <w:rsid w:val="1B895B1B"/>
    <w:rsid w:val="1B9A0FC2"/>
    <w:rsid w:val="1BAD5FE6"/>
    <w:rsid w:val="1BE9314E"/>
    <w:rsid w:val="1BED6F3B"/>
    <w:rsid w:val="1C4A5F2B"/>
    <w:rsid w:val="1C565094"/>
    <w:rsid w:val="1C576657"/>
    <w:rsid w:val="1C955C2D"/>
    <w:rsid w:val="1CA27B15"/>
    <w:rsid w:val="1CA57F98"/>
    <w:rsid w:val="1CB744D2"/>
    <w:rsid w:val="1CB815EF"/>
    <w:rsid w:val="1CBB3E94"/>
    <w:rsid w:val="1CC465DD"/>
    <w:rsid w:val="1CC500A1"/>
    <w:rsid w:val="1CCD2DCF"/>
    <w:rsid w:val="1CD04682"/>
    <w:rsid w:val="1CEA7CDF"/>
    <w:rsid w:val="1CF00880"/>
    <w:rsid w:val="1D0165EA"/>
    <w:rsid w:val="1D5809B1"/>
    <w:rsid w:val="1D7C3EC2"/>
    <w:rsid w:val="1DA62AA3"/>
    <w:rsid w:val="1DB67687"/>
    <w:rsid w:val="1DBA0E8A"/>
    <w:rsid w:val="1E197963"/>
    <w:rsid w:val="1E236A34"/>
    <w:rsid w:val="1E4E1D03"/>
    <w:rsid w:val="1E720D04"/>
    <w:rsid w:val="1E917E41"/>
    <w:rsid w:val="1EA9481E"/>
    <w:rsid w:val="1EAC4C7B"/>
    <w:rsid w:val="1EC237A8"/>
    <w:rsid w:val="1ECF66B1"/>
    <w:rsid w:val="1EDC730E"/>
    <w:rsid w:val="1F3C1B5B"/>
    <w:rsid w:val="1F3C421E"/>
    <w:rsid w:val="1F6D7197"/>
    <w:rsid w:val="1F80605D"/>
    <w:rsid w:val="1FA459CF"/>
    <w:rsid w:val="1FC9649C"/>
    <w:rsid w:val="201777BA"/>
    <w:rsid w:val="20586E69"/>
    <w:rsid w:val="2075762A"/>
    <w:rsid w:val="209219E6"/>
    <w:rsid w:val="209810F2"/>
    <w:rsid w:val="20AA343C"/>
    <w:rsid w:val="20D06864"/>
    <w:rsid w:val="2107263D"/>
    <w:rsid w:val="210D11F9"/>
    <w:rsid w:val="212E7BC9"/>
    <w:rsid w:val="213177F0"/>
    <w:rsid w:val="213B7ED0"/>
    <w:rsid w:val="21654826"/>
    <w:rsid w:val="21711F0B"/>
    <w:rsid w:val="21780E44"/>
    <w:rsid w:val="21C50041"/>
    <w:rsid w:val="21F60F80"/>
    <w:rsid w:val="21FC7294"/>
    <w:rsid w:val="22284619"/>
    <w:rsid w:val="223615FD"/>
    <w:rsid w:val="223D73E1"/>
    <w:rsid w:val="223E02A6"/>
    <w:rsid w:val="224149E8"/>
    <w:rsid w:val="22794E74"/>
    <w:rsid w:val="229B438D"/>
    <w:rsid w:val="22A46395"/>
    <w:rsid w:val="22A7201F"/>
    <w:rsid w:val="22A94701"/>
    <w:rsid w:val="231057D9"/>
    <w:rsid w:val="231A4F67"/>
    <w:rsid w:val="23333275"/>
    <w:rsid w:val="234134A5"/>
    <w:rsid w:val="23531B69"/>
    <w:rsid w:val="23595EDB"/>
    <w:rsid w:val="235C6C70"/>
    <w:rsid w:val="23843AD1"/>
    <w:rsid w:val="23974E48"/>
    <w:rsid w:val="23A9477E"/>
    <w:rsid w:val="23E452C3"/>
    <w:rsid w:val="23FB43ED"/>
    <w:rsid w:val="24107A5A"/>
    <w:rsid w:val="24417C14"/>
    <w:rsid w:val="244441F0"/>
    <w:rsid w:val="244F1E7A"/>
    <w:rsid w:val="24881BDA"/>
    <w:rsid w:val="24C63DAD"/>
    <w:rsid w:val="24C825C9"/>
    <w:rsid w:val="24ED56A6"/>
    <w:rsid w:val="2524206B"/>
    <w:rsid w:val="2538088A"/>
    <w:rsid w:val="25706A02"/>
    <w:rsid w:val="257D0C41"/>
    <w:rsid w:val="2582724B"/>
    <w:rsid w:val="25AF331D"/>
    <w:rsid w:val="25CA090D"/>
    <w:rsid w:val="25CF4E15"/>
    <w:rsid w:val="25D032CE"/>
    <w:rsid w:val="25D12350"/>
    <w:rsid w:val="25E41111"/>
    <w:rsid w:val="26165536"/>
    <w:rsid w:val="261A16E9"/>
    <w:rsid w:val="26280167"/>
    <w:rsid w:val="2629095F"/>
    <w:rsid w:val="262C6D85"/>
    <w:rsid w:val="2652435A"/>
    <w:rsid w:val="26962499"/>
    <w:rsid w:val="26AB5F8E"/>
    <w:rsid w:val="26B66697"/>
    <w:rsid w:val="270D2D42"/>
    <w:rsid w:val="273376F0"/>
    <w:rsid w:val="274F7A82"/>
    <w:rsid w:val="27532138"/>
    <w:rsid w:val="27957464"/>
    <w:rsid w:val="279E61FA"/>
    <w:rsid w:val="27AB2F79"/>
    <w:rsid w:val="27CD7892"/>
    <w:rsid w:val="28300FE9"/>
    <w:rsid w:val="287F6225"/>
    <w:rsid w:val="288B293D"/>
    <w:rsid w:val="28AC5FA3"/>
    <w:rsid w:val="28B74948"/>
    <w:rsid w:val="28CF57EE"/>
    <w:rsid w:val="28D01566"/>
    <w:rsid w:val="28E569CE"/>
    <w:rsid w:val="28FC51EF"/>
    <w:rsid w:val="290A2CCA"/>
    <w:rsid w:val="292444A6"/>
    <w:rsid w:val="29373393"/>
    <w:rsid w:val="294354CE"/>
    <w:rsid w:val="2949590B"/>
    <w:rsid w:val="294A57BC"/>
    <w:rsid w:val="295A3230"/>
    <w:rsid w:val="29622B06"/>
    <w:rsid w:val="29693E94"/>
    <w:rsid w:val="297B3BC8"/>
    <w:rsid w:val="29844E1D"/>
    <w:rsid w:val="299145CA"/>
    <w:rsid w:val="299E27AB"/>
    <w:rsid w:val="29A316A7"/>
    <w:rsid w:val="29A84B33"/>
    <w:rsid w:val="29E773DB"/>
    <w:rsid w:val="29FF2103"/>
    <w:rsid w:val="2A367122"/>
    <w:rsid w:val="2A3C28C7"/>
    <w:rsid w:val="2A3F0751"/>
    <w:rsid w:val="2A842608"/>
    <w:rsid w:val="2A88659C"/>
    <w:rsid w:val="2A9B3D34"/>
    <w:rsid w:val="2AAA4765"/>
    <w:rsid w:val="2ABD6C6B"/>
    <w:rsid w:val="2ADE440E"/>
    <w:rsid w:val="2AEF30CB"/>
    <w:rsid w:val="2B243569"/>
    <w:rsid w:val="2B2A7DFE"/>
    <w:rsid w:val="2B4B4BB1"/>
    <w:rsid w:val="2B51698E"/>
    <w:rsid w:val="2B54022C"/>
    <w:rsid w:val="2B7D26BB"/>
    <w:rsid w:val="2B7E7662"/>
    <w:rsid w:val="2B852ADC"/>
    <w:rsid w:val="2B884E69"/>
    <w:rsid w:val="2B9B3694"/>
    <w:rsid w:val="2BDD6474"/>
    <w:rsid w:val="2BEA0B91"/>
    <w:rsid w:val="2BFA0DD4"/>
    <w:rsid w:val="2BFB4B4C"/>
    <w:rsid w:val="2C091F55"/>
    <w:rsid w:val="2C3E3247"/>
    <w:rsid w:val="2C510793"/>
    <w:rsid w:val="2C5D5807"/>
    <w:rsid w:val="2C686AD9"/>
    <w:rsid w:val="2C6A7F43"/>
    <w:rsid w:val="2C7C1CB8"/>
    <w:rsid w:val="2C7F58D9"/>
    <w:rsid w:val="2C9C419B"/>
    <w:rsid w:val="2C9F37F4"/>
    <w:rsid w:val="2CA927FA"/>
    <w:rsid w:val="2CB2345D"/>
    <w:rsid w:val="2CD930DF"/>
    <w:rsid w:val="2CEF006B"/>
    <w:rsid w:val="2CF21AC4"/>
    <w:rsid w:val="2D0637A8"/>
    <w:rsid w:val="2D1C2FCC"/>
    <w:rsid w:val="2D2248E3"/>
    <w:rsid w:val="2D2307FE"/>
    <w:rsid w:val="2D4A7B39"/>
    <w:rsid w:val="2D62062F"/>
    <w:rsid w:val="2D8F7C42"/>
    <w:rsid w:val="2DBD3774"/>
    <w:rsid w:val="2DD47516"/>
    <w:rsid w:val="2DE86624"/>
    <w:rsid w:val="2DF557C2"/>
    <w:rsid w:val="2E140B0A"/>
    <w:rsid w:val="2E3473B9"/>
    <w:rsid w:val="2E374A19"/>
    <w:rsid w:val="2E3B0F51"/>
    <w:rsid w:val="2E4E5407"/>
    <w:rsid w:val="2E50117F"/>
    <w:rsid w:val="2E547E9B"/>
    <w:rsid w:val="2E5D1A35"/>
    <w:rsid w:val="2E5D5B26"/>
    <w:rsid w:val="2E636B61"/>
    <w:rsid w:val="2E7D5E52"/>
    <w:rsid w:val="2EB35324"/>
    <w:rsid w:val="2EC60A4A"/>
    <w:rsid w:val="2F131F61"/>
    <w:rsid w:val="2F537B9F"/>
    <w:rsid w:val="2F5A1A4E"/>
    <w:rsid w:val="2F6C6D88"/>
    <w:rsid w:val="2F70019C"/>
    <w:rsid w:val="2F7F69EE"/>
    <w:rsid w:val="2FA84FEB"/>
    <w:rsid w:val="2FBB66E8"/>
    <w:rsid w:val="2FDB53C0"/>
    <w:rsid w:val="301376CA"/>
    <w:rsid w:val="303B24C1"/>
    <w:rsid w:val="303D4DC5"/>
    <w:rsid w:val="306F55C2"/>
    <w:rsid w:val="30E06864"/>
    <w:rsid w:val="30F524B2"/>
    <w:rsid w:val="311F752F"/>
    <w:rsid w:val="312D0ABA"/>
    <w:rsid w:val="31344D88"/>
    <w:rsid w:val="3140402E"/>
    <w:rsid w:val="314A705C"/>
    <w:rsid w:val="315947EF"/>
    <w:rsid w:val="315C7E3B"/>
    <w:rsid w:val="31622C02"/>
    <w:rsid w:val="317C77AF"/>
    <w:rsid w:val="31921AAF"/>
    <w:rsid w:val="31930DD0"/>
    <w:rsid w:val="31994203"/>
    <w:rsid w:val="31A31F0E"/>
    <w:rsid w:val="31A34E59"/>
    <w:rsid w:val="31B43198"/>
    <w:rsid w:val="31E240A6"/>
    <w:rsid w:val="31E5404A"/>
    <w:rsid w:val="31E832DD"/>
    <w:rsid w:val="31F168A6"/>
    <w:rsid w:val="32153BA3"/>
    <w:rsid w:val="321626E0"/>
    <w:rsid w:val="32195D2C"/>
    <w:rsid w:val="323E7977"/>
    <w:rsid w:val="32863E52"/>
    <w:rsid w:val="32A35261"/>
    <w:rsid w:val="32AE46C6"/>
    <w:rsid w:val="32B1065A"/>
    <w:rsid w:val="32C82D8E"/>
    <w:rsid w:val="32C87D7A"/>
    <w:rsid w:val="32E91BA2"/>
    <w:rsid w:val="331C3D26"/>
    <w:rsid w:val="333472C1"/>
    <w:rsid w:val="334671DD"/>
    <w:rsid w:val="335B0B1F"/>
    <w:rsid w:val="33935DEB"/>
    <w:rsid w:val="339A2E9C"/>
    <w:rsid w:val="33BF2FEB"/>
    <w:rsid w:val="33D20888"/>
    <w:rsid w:val="33D73F6D"/>
    <w:rsid w:val="33E05CA3"/>
    <w:rsid w:val="34052A0C"/>
    <w:rsid w:val="34143DDA"/>
    <w:rsid w:val="342D1B9F"/>
    <w:rsid w:val="34343DB9"/>
    <w:rsid w:val="345A6933"/>
    <w:rsid w:val="345C75DA"/>
    <w:rsid w:val="34605E94"/>
    <w:rsid w:val="34874AD2"/>
    <w:rsid w:val="349B6ECC"/>
    <w:rsid w:val="34A35D81"/>
    <w:rsid w:val="34A85D43"/>
    <w:rsid w:val="34F35B4A"/>
    <w:rsid w:val="3507641B"/>
    <w:rsid w:val="350B22A4"/>
    <w:rsid w:val="35282576"/>
    <w:rsid w:val="35374F1C"/>
    <w:rsid w:val="353F48C1"/>
    <w:rsid w:val="35485970"/>
    <w:rsid w:val="35586B6B"/>
    <w:rsid w:val="355C48AD"/>
    <w:rsid w:val="3565401B"/>
    <w:rsid w:val="358C4DE2"/>
    <w:rsid w:val="359733C9"/>
    <w:rsid w:val="35A748A2"/>
    <w:rsid w:val="35B823CE"/>
    <w:rsid w:val="35EA0FD5"/>
    <w:rsid w:val="35F3031A"/>
    <w:rsid w:val="35FE07BA"/>
    <w:rsid w:val="361F6DB0"/>
    <w:rsid w:val="3650364D"/>
    <w:rsid w:val="36735B94"/>
    <w:rsid w:val="36783969"/>
    <w:rsid w:val="368A544A"/>
    <w:rsid w:val="369066FC"/>
    <w:rsid w:val="36A70708"/>
    <w:rsid w:val="36BB6F29"/>
    <w:rsid w:val="36D3294D"/>
    <w:rsid w:val="36F079A3"/>
    <w:rsid w:val="373048E6"/>
    <w:rsid w:val="373A29CC"/>
    <w:rsid w:val="374643BF"/>
    <w:rsid w:val="37761BBF"/>
    <w:rsid w:val="378765B4"/>
    <w:rsid w:val="37971F1C"/>
    <w:rsid w:val="379F4F25"/>
    <w:rsid w:val="37BE34E2"/>
    <w:rsid w:val="37D42E21"/>
    <w:rsid w:val="37F11E19"/>
    <w:rsid w:val="37F5697F"/>
    <w:rsid w:val="38153C50"/>
    <w:rsid w:val="38213B8C"/>
    <w:rsid w:val="38220837"/>
    <w:rsid w:val="38291549"/>
    <w:rsid w:val="386C5CDF"/>
    <w:rsid w:val="387424BD"/>
    <w:rsid w:val="388F1DD7"/>
    <w:rsid w:val="38C651E9"/>
    <w:rsid w:val="38D17360"/>
    <w:rsid w:val="38E53DA0"/>
    <w:rsid w:val="38F60B75"/>
    <w:rsid w:val="38FD1F03"/>
    <w:rsid w:val="390239BE"/>
    <w:rsid w:val="393060EE"/>
    <w:rsid w:val="39335925"/>
    <w:rsid w:val="39373222"/>
    <w:rsid w:val="39404179"/>
    <w:rsid w:val="395404C3"/>
    <w:rsid w:val="395F1DDB"/>
    <w:rsid w:val="39705A44"/>
    <w:rsid w:val="39880887"/>
    <w:rsid w:val="39987E7E"/>
    <w:rsid w:val="39A30EF8"/>
    <w:rsid w:val="39C10CAD"/>
    <w:rsid w:val="39C3795E"/>
    <w:rsid w:val="3A064AF1"/>
    <w:rsid w:val="3A127C30"/>
    <w:rsid w:val="3A2B6DA4"/>
    <w:rsid w:val="3A605B13"/>
    <w:rsid w:val="3A6D238C"/>
    <w:rsid w:val="3A824DB6"/>
    <w:rsid w:val="3A9207E8"/>
    <w:rsid w:val="3AA87BB7"/>
    <w:rsid w:val="3ACB408F"/>
    <w:rsid w:val="3AE744F0"/>
    <w:rsid w:val="3B046319"/>
    <w:rsid w:val="3B2E7A2B"/>
    <w:rsid w:val="3B3D2A8B"/>
    <w:rsid w:val="3B515E53"/>
    <w:rsid w:val="3B5D1C5B"/>
    <w:rsid w:val="3B5F7F22"/>
    <w:rsid w:val="3B652A61"/>
    <w:rsid w:val="3B7D557D"/>
    <w:rsid w:val="3B8A37F6"/>
    <w:rsid w:val="3B936B4F"/>
    <w:rsid w:val="3B96271D"/>
    <w:rsid w:val="3B9D5C20"/>
    <w:rsid w:val="3BB83F2C"/>
    <w:rsid w:val="3BC5409A"/>
    <w:rsid w:val="3BD01B51"/>
    <w:rsid w:val="3BF05D4F"/>
    <w:rsid w:val="3BF84C04"/>
    <w:rsid w:val="3C08753D"/>
    <w:rsid w:val="3C0E5ED6"/>
    <w:rsid w:val="3C1557B6"/>
    <w:rsid w:val="3C3F1CE0"/>
    <w:rsid w:val="3C4232AF"/>
    <w:rsid w:val="3C546505"/>
    <w:rsid w:val="3C5938F5"/>
    <w:rsid w:val="3C664263"/>
    <w:rsid w:val="3C7149C5"/>
    <w:rsid w:val="3C936544"/>
    <w:rsid w:val="3CC551E2"/>
    <w:rsid w:val="3CCF33E6"/>
    <w:rsid w:val="3CEC580A"/>
    <w:rsid w:val="3CF96E86"/>
    <w:rsid w:val="3CFF074B"/>
    <w:rsid w:val="3D033860"/>
    <w:rsid w:val="3D225887"/>
    <w:rsid w:val="3D277F62"/>
    <w:rsid w:val="3D536596"/>
    <w:rsid w:val="3D546752"/>
    <w:rsid w:val="3D966B8D"/>
    <w:rsid w:val="3DB86099"/>
    <w:rsid w:val="3DD07618"/>
    <w:rsid w:val="3E063608"/>
    <w:rsid w:val="3E80785E"/>
    <w:rsid w:val="3EB0522C"/>
    <w:rsid w:val="3ED13AC7"/>
    <w:rsid w:val="3ED8375D"/>
    <w:rsid w:val="3EF21876"/>
    <w:rsid w:val="3EFB5137"/>
    <w:rsid w:val="3F353FCD"/>
    <w:rsid w:val="3F3D74FE"/>
    <w:rsid w:val="3F623022"/>
    <w:rsid w:val="3F9907B8"/>
    <w:rsid w:val="3F9C4784"/>
    <w:rsid w:val="3FBF43B6"/>
    <w:rsid w:val="3FE40F30"/>
    <w:rsid w:val="40577586"/>
    <w:rsid w:val="40616511"/>
    <w:rsid w:val="409A0980"/>
    <w:rsid w:val="40D0614F"/>
    <w:rsid w:val="40D7128C"/>
    <w:rsid w:val="40E1035D"/>
    <w:rsid w:val="410010F3"/>
    <w:rsid w:val="412169AB"/>
    <w:rsid w:val="412325A6"/>
    <w:rsid w:val="413C5378"/>
    <w:rsid w:val="4153125A"/>
    <w:rsid w:val="4166226F"/>
    <w:rsid w:val="416C40CA"/>
    <w:rsid w:val="417F4B35"/>
    <w:rsid w:val="4186674B"/>
    <w:rsid w:val="418A27A2"/>
    <w:rsid w:val="418C5951"/>
    <w:rsid w:val="41961FBD"/>
    <w:rsid w:val="41E719A3"/>
    <w:rsid w:val="41EF7440"/>
    <w:rsid w:val="421A0A3E"/>
    <w:rsid w:val="425029FD"/>
    <w:rsid w:val="42552DB0"/>
    <w:rsid w:val="426A011D"/>
    <w:rsid w:val="427B20EB"/>
    <w:rsid w:val="42944A2C"/>
    <w:rsid w:val="429A6B0D"/>
    <w:rsid w:val="42B005DD"/>
    <w:rsid w:val="42B85FEC"/>
    <w:rsid w:val="42E63746"/>
    <w:rsid w:val="43212C92"/>
    <w:rsid w:val="432C511C"/>
    <w:rsid w:val="43302ED5"/>
    <w:rsid w:val="434D3E48"/>
    <w:rsid w:val="4374370A"/>
    <w:rsid w:val="43872041"/>
    <w:rsid w:val="43A80529"/>
    <w:rsid w:val="43C875B2"/>
    <w:rsid w:val="43CF26EE"/>
    <w:rsid w:val="43EA5439"/>
    <w:rsid w:val="44117E7E"/>
    <w:rsid w:val="44764BDD"/>
    <w:rsid w:val="44772559"/>
    <w:rsid w:val="4479499D"/>
    <w:rsid w:val="44C320D3"/>
    <w:rsid w:val="44DE167D"/>
    <w:rsid w:val="45132AAF"/>
    <w:rsid w:val="45262E17"/>
    <w:rsid w:val="45284B52"/>
    <w:rsid w:val="453C1561"/>
    <w:rsid w:val="45612626"/>
    <w:rsid w:val="45686FE1"/>
    <w:rsid w:val="45726276"/>
    <w:rsid w:val="45961716"/>
    <w:rsid w:val="459736E0"/>
    <w:rsid w:val="45F55061"/>
    <w:rsid w:val="46032B23"/>
    <w:rsid w:val="460962A7"/>
    <w:rsid w:val="4615064C"/>
    <w:rsid w:val="46257EDE"/>
    <w:rsid w:val="463674F6"/>
    <w:rsid w:val="4638124F"/>
    <w:rsid w:val="463A4797"/>
    <w:rsid w:val="463B1D85"/>
    <w:rsid w:val="46676C8B"/>
    <w:rsid w:val="4690120E"/>
    <w:rsid w:val="469A5235"/>
    <w:rsid w:val="46AD2A42"/>
    <w:rsid w:val="46C0319A"/>
    <w:rsid w:val="46C6427C"/>
    <w:rsid w:val="46D61C46"/>
    <w:rsid w:val="46E2075F"/>
    <w:rsid w:val="46E97F6B"/>
    <w:rsid w:val="46FA3F26"/>
    <w:rsid w:val="47031FCE"/>
    <w:rsid w:val="4710022F"/>
    <w:rsid w:val="47424128"/>
    <w:rsid w:val="47631ACB"/>
    <w:rsid w:val="47AE0939"/>
    <w:rsid w:val="47CE2C2B"/>
    <w:rsid w:val="47D06A35"/>
    <w:rsid w:val="47D227AD"/>
    <w:rsid w:val="485D3098"/>
    <w:rsid w:val="485E2293"/>
    <w:rsid w:val="486E2507"/>
    <w:rsid w:val="4884619D"/>
    <w:rsid w:val="488C6F62"/>
    <w:rsid w:val="48931F3C"/>
    <w:rsid w:val="48B06F92"/>
    <w:rsid w:val="48B12D0A"/>
    <w:rsid w:val="48B42737"/>
    <w:rsid w:val="48B770B4"/>
    <w:rsid w:val="48D259A2"/>
    <w:rsid w:val="491237A9"/>
    <w:rsid w:val="49243A15"/>
    <w:rsid w:val="49581AF1"/>
    <w:rsid w:val="495C041E"/>
    <w:rsid w:val="496F29A9"/>
    <w:rsid w:val="49946820"/>
    <w:rsid w:val="49975A5C"/>
    <w:rsid w:val="49E62540"/>
    <w:rsid w:val="4A016E01"/>
    <w:rsid w:val="4A1A1A27"/>
    <w:rsid w:val="4A23362D"/>
    <w:rsid w:val="4A2C4C50"/>
    <w:rsid w:val="4A375B50"/>
    <w:rsid w:val="4A3A280E"/>
    <w:rsid w:val="4A730277"/>
    <w:rsid w:val="4A891824"/>
    <w:rsid w:val="4AA03036"/>
    <w:rsid w:val="4AAA5C63"/>
    <w:rsid w:val="4AAB76B1"/>
    <w:rsid w:val="4ABA688A"/>
    <w:rsid w:val="4ADD3943"/>
    <w:rsid w:val="4AE051E1"/>
    <w:rsid w:val="4AFF7D5D"/>
    <w:rsid w:val="4B052E99"/>
    <w:rsid w:val="4B0815C5"/>
    <w:rsid w:val="4B5C7C3E"/>
    <w:rsid w:val="4B6E6DD2"/>
    <w:rsid w:val="4B760A9F"/>
    <w:rsid w:val="4B7D6F73"/>
    <w:rsid w:val="4BC01528"/>
    <w:rsid w:val="4BC3616D"/>
    <w:rsid w:val="4BD034A7"/>
    <w:rsid w:val="4BFD3D72"/>
    <w:rsid w:val="4C022C1F"/>
    <w:rsid w:val="4C1A4723"/>
    <w:rsid w:val="4C202363"/>
    <w:rsid w:val="4C2F6420"/>
    <w:rsid w:val="4C355F33"/>
    <w:rsid w:val="4C3C3E21"/>
    <w:rsid w:val="4C46351E"/>
    <w:rsid w:val="4C59353E"/>
    <w:rsid w:val="4C596C28"/>
    <w:rsid w:val="4C5F69CF"/>
    <w:rsid w:val="4C77215F"/>
    <w:rsid w:val="4CB608EF"/>
    <w:rsid w:val="4CDE32CA"/>
    <w:rsid w:val="4CE90CC5"/>
    <w:rsid w:val="4D096C71"/>
    <w:rsid w:val="4D1759F8"/>
    <w:rsid w:val="4D4749D8"/>
    <w:rsid w:val="4D4A2ACF"/>
    <w:rsid w:val="4D4E0B28"/>
    <w:rsid w:val="4D7D272D"/>
    <w:rsid w:val="4DB83C93"/>
    <w:rsid w:val="4DCE092A"/>
    <w:rsid w:val="4E103398"/>
    <w:rsid w:val="4E191713"/>
    <w:rsid w:val="4E1F5385"/>
    <w:rsid w:val="4E586F0B"/>
    <w:rsid w:val="4E9764FE"/>
    <w:rsid w:val="4E9955DC"/>
    <w:rsid w:val="4ED90940"/>
    <w:rsid w:val="4EEA2AD2"/>
    <w:rsid w:val="4F0C4948"/>
    <w:rsid w:val="4F1D07B2"/>
    <w:rsid w:val="4F2E61D8"/>
    <w:rsid w:val="4F49783F"/>
    <w:rsid w:val="4F7160C0"/>
    <w:rsid w:val="4F781ABF"/>
    <w:rsid w:val="4F915037"/>
    <w:rsid w:val="4FA62E9D"/>
    <w:rsid w:val="4FD35314"/>
    <w:rsid w:val="50104C90"/>
    <w:rsid w:val="504771A6"/>
    <w:rsid w:val="50514B2C"/>
    <w:rsid w:val="5056022D"/>
    <w:rsid w:val="50794031"/>
    <w:rsid w:val="508478F2"/>
    <w:rsid w:val="508E5A12"/>
    <w:rsid w:val="50997FCD"/>
    <w:rsid w:val="50A04BF1"/>
    <w:rsid w:val="50AD1B31"/>
    <w:rsid w:val="50BB698B"/>
    <w:rsid w:val="50C86E43"/>
    <w:rsid w:val="50DE3F2D"/>
    <w:rsid w:val="50E53551"/>
    <w:rsid w:val="50F51D44"/>
    <w:rsid w:val="51003B65"/>
    <w:rsid w:val="510115E8"/>
    <w:rsid w:val="511646DB"/>
    <w:rsid w:val="5145149A"/>
    <w:rsid w:val="5176689F"/>
    <w:rsid w:val="517B2107"/>
    <w:rsid w:val="51B27C81"/>
    <w:rsid w:val="51C43DA1"/>
    <w:rsid w:val="51DB0BD0"/>
    <w:rsid w:val="51DD691E"/>
    <w:rsid w:val="51E11F6A"/>
    <w:rsid w:val="51EC0C1A"/>
    <w:rsid w:val="520A5942"/>
    <w:rsid w:val="521340EE"/>
    <w:rsid w:val="52195613"/>
    <w:rsid w:val="522A0A5F"/>
    <w:rsid w:val="522F2035"/>
    <w:rsid w:val="52481FEA"/>
    <w:rsid w:val="525758F6"/>
    <w:rsid w:val="529F32AB"/>
    <w:rsid w:val="52B0749C"/>
    <w:rsid w:val="52B75E02"/>
    <w:rsid w:val="52D715BF"/>
    <w:rsid w:val="52DB12A1"/>
    <w:rsid w:val="52FF6402"/>
    <w:rsid w:val="532C190B"/>
    <w:rsid w:val="53316F22"/>
    <w:rsid w:val="534A1D91"/>
    <w:rsid w:val="53696C7D"/>
    <w:rsid w:val="537B63EF"/>
    <w:rsid w:val="538057B3"/>
    <w:rsid w:val="538F0C55"/>
    <w:rsid w:val="53CF7E13"/>
    <w:rsid w:val="53E53EDA"/>
    <w:rsid w:val="53E67D0C"/>
    <w:rsid w:val="540B32CF"/>
    <w:rsid w:val="5412609C"/>
    <w:rsid w:val="5426076A"/>
    <w:rsid w:val="543F065C"/>
    <w:rsid w:val="544D6A99"/>
    <w:rsid w:val="549534E0"/>
    <w:rsid w:val="54DE6C35"/>
    <w:rsid w:val="550C3375"/>
    <w:rsid w:val="55164621"/>
    <w:rsid w:val="55200FFC"/>
    <w:rsid w:val="554E3DBB"/>
    <w:rsid w:val="55551537"/>
    <w:rsid w:val="55733821"/>
    <w:rsid w:val="55745C03"/>
    <w:rsid w:val="557E05CF"/>
    <w:rsid w:val="55B55634"/>
    <w:rsid w:val="55D11927"/>
    <w:rsid w:val="55FD758F"/>
    <w:rsid w:val="56024BA5"/>
    <w:rsid w:val="563C1C0A"/>
    <w:rsid w:val="56837EA6"/>
    <w:rsid w:val="56B51A6D"/>
    <w:rsid w:val="56B60A95"/>
    <w:rsid w:val="56C6022C"/>
    <w:rsid w:val="56FF2E93"/>
    <w:rsid w:val="57085DE6"/>
    <w:rsid w:val="571E18D4"/>
    <w:rsid w:val="571F1307"/>
    <w:rsid w:val="575256B8"/>
    <w:rsid w:val="577613A7"/>
    <w:rsid w:val="578140DA"/>
    <w:rsid w:val="578D0FC1"/>
    <w:rsid w:val="5796362B"/>
    <w:rsid w:val="57B27F05"/>
    <w:rsid w:val="57B746D3"/>
    <w:rsid w:val="57C40364"/>
    <w:rsid w:val="58420579"/>
    <w:rsid w:val="58687D10"/>
    <w:rsid w:val="58714C65"/>
    <w:rsid w:val="587651AC"/>
    <w:rsid w:val="58842462"/>
    <w:rsid w:val="58AC5307"/>
    <w:rsid w:val="58C93758"/>
    <w:rsid w:val="58E872E4"/>
    <w:rsid w:val="58F00CE5"/>
    <w:rsid w:val="59013605"/>
    <w:rsid w:val="59080725"/>
    <w:rsid w:val="59125931"/>
    <w:rsid w:val="59180C51"/>
    <w:rsid w:val="594E3981"/>
    <w:rsid w:val="59AA36DA"/>
    <w:rsid w:val="59B9557B"/>
    <w:rsid w:val="59C93765"/>
    <w:rsid w:val="59E06C6C"/>
    <w:rsid w:val="59FD7B5D"/>
    <w:rsid w:val="5A026F22"/>
    <w:rsid w:val="5A0507C0"/>
    <w:rsid w:val="5A386DF6"/>
    <w:rsid w:val="5A3A2B60"/>
    <w:rsid w:val="5A87203E"/>
    <w:rsid w:val="5A9B2ED2"/>
    <w:rsid w:val="5ABC17C7"/>
    <w:rsid w:val="5AEC2ACE"/>
    <w:rsid w:val="5B3A093D"/>
    <w:rsid w:val="5B4B48F9"/>
    <w:rsid w:val="5B750EEC"/>
    <w:rsid w:val="5B870BD2"/>
    <w:rsid w:val="5B885B4D"/>
    <w:rsid w:val="5BAC0BF8"/>
    <w:rsid w:val="5BBD6200"/>
    <w:rsid w:val="5BC215D5"/>
    <w:rsid w:val="5BC903AC"/>
    <w:rsid w:val="5BD25BF8"/>
    <w:rsid w:val="5BD5037B"/>
    <w:rsid w:val="5BE71B58"/>
    <w:rsid w:val="5BEC1C38"/>
    <w:rsid w:val="5C11233B"/>
    <w:rsid w:val="5C5E5858"/>
    <w:rsid w:val="5C797B9C"/>
    <w:rsid w:val="5CA644DC"/>
    <w:rsid w:val="5CBC7CA1"/>
    <w:rsid w:val="5CC2508E"/>
    <w:rsid w:val="5CD8040E"/>
    <w:rsid w:val="5CEE69FA"/>
    <w:rsid w:val="5D05770E"/>
    <w:rsid w:val="5D0D4FB7"/>
    <w:rsid w:val="5D0E4DFE"/>
    <w:rsid w:val="5D8375BD"/>
    <w:rsid w:val="5D900CE9"/>
    <w:rsid w:val="5D9C406C"/>
    <w:rsid w:val="5D9E51B4"/>
    <w:rsid w:val="5DA10A9E"/>
    <w:rsid w:val="5DC80BC8"/>
    <w:rsid w:val="5DD11917"/>
    <w:rsid w:val="5DD86CB1"/>
    <w:rsid w:val="5DFB3BF1"/>
    <w:rsid w:val="5E480ACF"/>
    <w:rsid w:val="5E6925DD"/>
    <w:rsid w:val="5E882B61"/>
    <w:rsid w:val="5F0E2267"/>
    <w:rsid w:val="5F3216EC"/>
    <w:rsid w:val="5F6B7317"/>
    <w:rsid w:val="5F8108E9"/>
    <w:rsid w:val="5F8407E9"/>
    <w:rsid w:val="5F887EC9"/>
    <w:rsid w:val="5F904FD0"/>
    <w:rsid w:val="5FA11CF2"/>
    <w:rsid w:val="5FB13A6C"/>
    <w:rsid w:val="5FE84E0C"/>
    <w:rsid w:val="601C540E"/>
    <w:rsid w:val="6051650D"/>
    <w:rsid w:val="606F7F72"/>
    <w:rsid w:val="6081299A"/>
    <w:rsid w:val="60912DAE"/>
    <w:rsid w:val="609D5BF6"/>
    <w:rsid w:val="60A52CFD"/>
    <w:rsid w:val="60AF727F"/>
    <w:rsid w:val="61131A15"/>
    <w:rsid w:val="617D4442"/>
    <w:rsid w:val="61953512"/>
    <w:rsid w:val="61A62889"/>
    <w:rsid w:val="61C0736F"/>
    <w:rsid w:val="61CD42B9"/>
    <w:rsid w:val="61E83C3E"/>
    <w:rsid w:val="61F412D2"/>
    <w:rsid w:val="62010C3C"/>
    <w:rsid w:val="620D2908"/>
    <w:rsid w:val="62173786"/>
    <w:rsid w:val="622B7CD2"/>
    <w:rsid w:val="622D44EB"/>
    <w:rsid w:val="62463054"/>
    <w:rsid w:val="62497AFB"/>
    <w:rsid w:val="62557294"/>
    <w:rsid w:val="627F6A30"/>
    <w:rsid w:val="628F42B5"/>
    <w:rsid w:val="62BA13BE"/>
    <w:rsid w:val="62DD052C"/>
    <w:rsid w:val="62DE6877"/>
    <w:rsid w:val="63083764"/>
    <w:rsid w:val="6330105C"/>
    <w:rsid w:val="63585E05"/>
    <w:rsid w:val="63763EBD"/>
    <w:rsid w:val="63A159FD"/>
    <w:rsid w:val="63AC4909"/>
    <w:rsid w:val="63C11BFC"/>
    <w:rsid w:val="63D40F16"/>
    <w:rsid w:val="63DC4C88"/>
    <w:rsid w:val="63DC76DD"/>
    <w:rsid w:val="63FA6A89"/>
    <w:rsid w:val="640715DB"/>
    <w:rsid w:val="64247567"/>
    <w:rsid w:val="642A59F3"/>
    <w:rsid w:val="642D7761"/>
    <w:rsid w:val="64362419"/>
    <w:rsid w:val="64741BFB"/>
    <w:rsid w:val="649175FA"/>
    <w:rsid w:val="64A0081C"/>
    <w:rsid w:val="64BE0021"/>
    <w:rsid w:val="64C03C61"/>
    <w:rsid w:val="64CE0829"/>
    <w:rsid w:val="64D46305"/>
    <w:rsid w:val="64D94500"/>
    <w:rsid w:val="64ED07CF"/>
    <w:rsid w:val="64F26598"/>
    <w:rsid w:val="64FC3BFD"/>
    <w:rsid w:val="650970EC"/>
    <w:rsid w:val="650A2728"/>
    <w:rsid w:val="65192A7B"/>
    <w:rsid w:val="65261699"/>
    <w:rsid w:val="65336B29"/>
    <w:rsid w:val="654E5711"/>
    <w:rsid w:val="65585CB9"/>
    <w:rsid w:val="6559368C"/>
    <w:rsid w:val="6564487E"/>
    <w:rsid w:val="6565303A"/>
    <w:rsid w:val="65A7648F"/>
    <w:rsid w:val="65D24E9A"/>
    <w:rsid w:val="65E03FC6"/>
    <w:rsid w:val="65E16F4F"/>
    <w:rsid w:val="65E8047F"/>
    <w:rsid w:val="65E86FFB"/>
    <w:rsid w:val="663A5C95"/>
    <w:rsid w:val="66473FD6"/>
    <w:rsid w:val="66550A98"/>
    <w:rsid w:val="66752479"/>
    <w:rsid w:val="6679056C"/>
    <w:rsid w:val="66896B14"/>
    <w:rsid w:val="66902FBC"/>
    <w:rsid w:val="669249B2"/>
    <w:rsid w:val="66AD46B9"/>
    <w:rsid w:val="66BD4EB0"/>
    <w:rsid w:val="67025757"/>
    <w:rsid w:val="671958AB"/>
    <w:rsid w:val="67395F4D"/>
    <w:rsid w:val="67705E13"/>
    <w:rsid w:val="6779459B"/>
    <w:rsid w:val="67AB2196"/>
    <w:rsid w:val="67AC671F"/>
    <w:rsid w:val="67D87514"/>
    <w:rsid w:val="67DB4361"/>
    <w:rsid w:val="67F52C1F"/>
    <w:rsid w:val="68315608"/>
    <w:rsid w:val="6839068C"/>
    <w:rsid w:val="6844024E"/>
    <w:rsid w:val="6853303E"/>
    <w:rsid w:val="685A43CD"/>
    <w:rsid w:val="687464C8"/>
    <w:rsid w:val="68874062"/>
    <w:rsid w:val="68AF7D17"/>
    <w:rsid w:val="68B233D8"/>
    <w:rsid w:val="68D71676"/>
    <w:rsid w:val="68E1441B"/>
    <w:rsid w:val="69006D22"/>
    <w:rsid w:val="691602F4"/>
    <w:rsid w:val="69424C47"/>
    <w:rsid w:val="69456E2B"/>
    <w:rsid w:val="697F233D"/>
    <w:rsid w:val="699A3D82"/>
    <w:rsid w:val="69CA10DE"/>
    <w:rsid w:val="69FC4B7B"/>
    <w:rsid w:val="6A13184B"/>
    <w:rsid w:val="6A72406F"/>
    <w:rsid w:val="6B0A3E88"/>
    <w:rsid w:val="6B242D3F"/>
    <w:rsid w:val="6B2A73C7"/>
    <w:rsid w:val="6B4D05D6"/>
    <w:rsid w:val="6B635619"/>
    <w:rsid w:val="6B87372B"/>
    <w:rsid w:val="6B947988"/>
    <w:rsid w:val="6BB164E8"/>
    <w:rsid w:val="6BB268BA"/>
    <w:rsid w:val="6BC66898"/>
    <w:rsid w:val="6BCA3618"/>
    <w:rsid w:val="6BCB18FD"/>
    <w:rsid w:val="6BD04B53"/>
    <w:rsid w:val="6BD91AAD"/>
    <w:rsid w:val="6C2B0057"/>
    <w:rsid w:val="6C4E69BF"/>
    <w:rsid w:val="6C6B7E6F"/>
    <w:rsid w:val="6C7C2B64"/>
    <w:rsid w:val="6CAB1BED"/>
    <w:rsid w:val="6CAB70D7"/>
    <w:rsid w:val="6CC60E89"/>
    <w:rsid w:val="6D0A4940"/>
    <w:rsid w:val="6D155BE8"/>
    <w:rsid w:val="6D2A6A64"/>
    <w:rsid w:val="6D494187"/>
    <w:rsid w:val="6D5B6DAA"/>
    <w:rsid w:val="6D9018C9"/>
    <w:rsid w:val="6D98787A"/>
    <w:rsid w:val="6DAC1227"/>
    <w:rsid w:val="6DC20A4A"/>
    <w:rsid w:val="6DCE6816"/>
    <w:rsid w:val="6DF826BE"/>
    <w:rsid w:val="6E050356"/>
    <w:rsid w:val="6E080427"/>
    <w:rsid w:val="6E40250C"/>
    <w:rsid w:val="6E453429"/>
    <w:rsid w:val="6E543233"/>
    <w:rsid w:val="6E5F273D"/>
    <w:rsid w:val="6E70011E"/>
    <w:rsid w:val="6E7F7500"/>
    <w:rsid w:val="6EC37483"/>
    <w:rsid w:val="6EF71F1E"/>
    <w:rsid w:val="6F0B05E2"/>
    <w:rsid w:val="6F0F6BE1"/>
    <w:rsid w:val="6F2B0871"/>
    <w:rsid w:val="6F4557A3"/>
    <w:rsid w:val="6F5966E0"/>
    <w:rsid w:val="6F5C3159"/>
    <w:rsid w:val="6F742218"/>
    <w:rsid w:val="6F906926"/>
    <w:rsid w:val="6FA04DBB"/>
    <w:rsid w:val="6FB95E7D"/>
    <w:rsid w:val="6FBD596D"/>
    <w:rsid w:val="6FDB7CD4"/>
    <w:rsid w:val="6FF10727"/>
    <w:rsid w:val="6FFA3E28"/>
    <w:rsid w:val="70057314"/>
    <w:rsid w:val="700E2287"/>
    <w:rsid w:val="702F4BBF"/>
    <w:rsid w:val="703D085C"/>
    <w:rsid w:val="70562009"/>
    <w:rsid w:val="706C1FC9"/>
    <w:rsid w:val="70716F17"/>
    <w:rsid w:val="70767EF8"/>
    <w:rsid w:val="70A22DB5"/>
    <w:rsid w:val="70AB7EBB"/>
    <w:rsid w:val="70D5783E"/>
    <w:rsid w:val="70EC5DDE"/>
    <w:rsid w:val="71245578"/>
    <w:rsid w:val="713943FF"/>
    <w:rsid w:val="715C2F64"/>
    <w:rsid w:val="716624EE"/>
    <w:rsid w:val="717958C4"/>
    <w:rsid w:val="717C3606"/>
    <w:rsid w:val="718030F6"/>
    <w:rsid w:val="71BE0E8F"/>
    <w:rsid w:val="71D0274B"/>
    <w:rsid w:val="71DC40A5"/>
    <w:rsid w:val="71E52F59"/>
    <w:rsid w:val="72071AD3"/>
    <w:rsid w:val="72A72F1A"/>
    <w:rsid w:val="72BA43E6"/>
    <w:rsid w:val="72F61D71"/>
    <w:rsid w:val="732E0930"/>
    <w:rsid w:val="734950D7"/>
    <w:rsid w:val="73832640"/>
    <w:rsid w:val="7392661E"/>
    <w:rsid w:val="73B55EE9"/>
    <w:rsid w:val="73C476D3"/>
    <w:rsid w:val="73C70E68"/>
    <w:rsid w:val="73F6144E"/>
    <w:rsid w:val="73FD403C"/>
    <w:rsid w:val="740B2AF9"/>
    <w:rsid w:val="740C0C71"/>
    <w:rsid w:val="742F2BB2"/>
    <w:rsid w:val="743401C8"/>
    <w:rsid w:val="74494024"/>
    <w:rsid w:val="74544EC7"/>
    <w:rsid w:val="74617795"/>
    <w:rsid w:val="74807ABE"/>
    <w:rsid w:val="74F3727E"/>
    <w:rsid w:val="75007C5E"/>
    <w:rsid w:val="750951B1"/>
    <w:rsid w:val="751526D8"/>
    <w:rsid w:val="758E23B2"/>
    <w:rsid w:val="75903E0A"/>
    <w:rsid w:val="759904EC"/>
    <w:rsid w:val="759A22D3"/>
    <w:rsid w:val="75A90E2B"/>
    <w:rsid w:val="75B275F6"/>
    <w:rsid w:val="75E45E97"/>
    <w:rsid w:val="764364A0"/>
    <w:rsid w:val="764A782F"/>
    <w:rsid w:val="76741507"/>
    <w:rsid w:val="76D96E05"/>
    <w:rsid w:val="77197BA2"/>
    <w:rsid w:val="7735783A"/>
    <w:rsid w:val="77625EFF"/>
    <w:rsid w:val="779C65C2"/>
    <w:rsid w:val="779F412B"/>
    <w:rsid w:val="77AF399B"/>
    <w:rsid w:val="77D718E1"/>
    <w:rsid w:val="77F25576"/>
    <w:rsid w:val="780567E3"/>
    <w:rsid w:val="780B4B0D"/>
    <w:rsid w:val="78275835"/>
    <w:rsid w:val="78280044"/>
    <w:rsid w:val="78417EED"/>
    <w:rsid w:val="78452F96"/>
    <w:rsid w:val="787B49C3"/>
    <w:rsid w:val="789456D9"/>
    <w:rsid w:val="78B5138D"/>
    <w:rsid w:val="78CF226D"/>
    <w:rsid w:val="790115E7"/>
    <w:rsid w:val="792C3B64"/>
    <w:rsid w:val="793057C0"/>
    <w:rsid w:val="795016C5"/>
    <w:rsid w:val="79543B9E"/>
    <w:rsid w:val="796D48C6"/>
    <w:rsid w:val="79857BF8"/>
    <w:rsid w:val="79973D71"/>
    <w:rsid w:val="799A10F3"/>
    <w:rsid w:val="79AD2E7E"/>
    <w:rsid w:val="79B91695"/>
    <w:rsid w:val="79D118D5"/>
    <w:rsid w:val="79D226FA"/>
    <w:rsid w:val="79DC0C91"/>
    <w:rsid w:val="7A005710"/>
    <w:rsid w:val="7A30382D"/>
    <w:rsid w:val="7A336D1E"/>
    <w:rsid w:val="7A3E07D4"/>
    <w:rsid w:val="7A49604F"/>
    <w:rsid w:val="7A50581C"/>
    <w:rsid w:val="7AC5146A"/>
    <w:rsid w:val="7AED2966"/>
    <w:rsid w:val="7B1E7729"/>
    <w:rsid w:val="7B3F508F"/>
    <w:rsid w:val="7B641FFB"/>
    <w:rsid w:val="7B75534E"/>
    <w:rsid w:val="7BB31D82"/>
    <w:rsid w:val="7BB55092"/>
    <w:rsid w:val="7BCE4A5E"/>
    <w:rsid w:val="7BD855E0"/>
    <w:rsid w:val="7BEE6EAE"/>
    <w:rsid w:val="7BF74E3B"/>
    <w:rsid w:val="7C1A269F"/>
    <w:rsid w:val="7C683105"/>
    <w:rsid w:val="7C8B6DF3"/>
    <w:rsid w:val="7C8F2666"/>
    <w:rsid w:val="7CA03878"/>
    <w:rsid w:val="7CA2687C"/>
    <w:rsid w:val="7CAA0982"/>
    <w:rsid w:val="7CC27295"/>
    <w:rsid w:val="7CCD740C"/>
    <w:rsid w:val="7CDC2397"/>
    <w:rsid w:val="7CDD027F"/>
    <w:rsid w:val="7CDE352A"/>
    <w:rsid w:val="7CF90201"/>
    <w:rsid w:val="7CF93D5D"/>
    <w:rsid w:val="7D2254B6"/>
    <w:rsid w:val="7D2E0613"/>
    <w:rsid w:val="7D320571"/>
    <w:rsid w:val="7D44458B"/>
    <w:rsid w:val="7D540F76"/>
    <w:rsid w:val="7D5B4EAF"/>
    <w:rsid w:val="7D992573"/>
    <w:rsid w:val="7DA63EE4"/>
    <w:rsid w:val="7DB11445"/>
    <w:rsid w:val="7DB41B54"/>
    <w:rsid w:val="7DBD3ACF"/>
    <w:rsid w:val="7DBD68A2"/>
    <w:rsid w:val="7DEA5854"/>
    <w:rsid w:val="7DF764EE"/>
    <w:rsid w:val="7E221091"/>
    <w:rsid w:val="7E2E3EDA"/>
    <w:rsid w:val="7E3037AE"/>
    <w:rsid w:val="7E42217C"/>
    <w:rsid w:val="7E5F22E5"/>
    <w:rsid w:val="7E910BA5"/>
    <w:rsid w:val="7EAF501B"/>
    <w:rsid w:val="7EDC1B88"/>
    <w:rsid w:val="7EE27D48"/>
    <w:rsid w:val="7F016EF9"/>
    <w:rsid w:val="7F103E46"/>
    <w:rsid w:val="7F3D57A9"/>
    <w:rsid w:val="7F475253"/>
    <w:rsid w:val="7F9D1317"/>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1000" w:lineRule="exact"/>
      <w:outlineLvl w:val="0"/>
    </w:pPr>
    <w:rPr>
      <w:rFonts w:ascii="Times New Roman" w:hAnsi="Times New Roman" w:eastAsia="宋体" w:cs="Times New Roman"/>
      <w:b/>
      <w:kern w:val="44"/>
      <w:sz w:val="44"/>
    </w:rPr>
  </w:style>
  <w:style w:type="paragraph" w:styleId="3">
    <w:name w:val="heading 2"/>
    <w:basedOn w:val="1"/>
    <w:next w:val="1"/>
    <w:qFormat/>
    <w:uiPriority w:val="1"/>
    <w:pPr>
      <w:ind w:left="1098"/>
      <w:outlineLvl w:val="1"/>
    </w:pPr>
    <w:rPr>
      <w:rFonts w:ascii="宋体" w:hAnsi="宋体" w:eastAsia="宋体" w:cs="宋体"/>
      <w:b/>
      <w:bCs/>
      <w:sz w:val="24"/>
      <w:szCs w:val="24"/>
      <w:lang w:val="zh-CN" w:eastAsia="zh-CN" w:bidi="zh-CN"/>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firstLine="497"/>
      <w:outlineLvl w:val="3"/>
    </w:pPr>
    <w:rPr>
      <w:rFonts w:ascii="Arial" w:hAnsi="Arial" w:eastAsia="黑体"/>
      <w:b/>
      <w:sz w:val="28"/>
    </w:rPr>
  </w:style>
  <w:style w:type="character" w:default="1" w:styleId="26">
    <w:name w:val="Default Paragraph Font"/>
    <w:autoRedefine/>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6">
    <w:name w:val="Normal Indent"/>
    <w:basedOn w:val="1"/>
    <w:next w:val="5"/>
    <w:autoRedefine/>
    <w:qFormat/>
    <w:uiPriority w:val="0"/>
    <w:pPr>
      <w:adjustRightInd w:val="0"/>
      <w:spacing w:after="120" w:line="336" w:lineRule="auto"/>
      <w:ind w:firstLine="480" w:firstLineChars="200"/>
      <w:textAlignment w:val="baseline"/>
    </w:pPr>
    <w:rPr>
      <w:rFonts w:eastAsia="华康简宋"/>
      <w:sz w:val="24"/>
    </w:rPr>
  </w:style>
  <w:style w:type="paragraph" w:styleId="7">
    <w:name w:val="annotation text"/>
    <w:basedOn w:val="1"/>
    <w:qFormat/>
    <w:uiPriority w:val="0"/>
    <w:pPr>
      <w:jc w:val="left"/>
    </w:pPr>
  </w:style>
  <w:style w:type="paragraph" w:styleId="8">
    <w:name w:val="Body Text 3"/>
    <w:basedOn w:val="1"/>
    <w:qFormat/>
    <w:uiPriority w:val="99"/>
    <w:pPr>
      <w:spacing w:after="120" w:afterLines="0" w:afterAutospacing="0" w:line="360" w:lineRule="auto"/>
    </w:pPr>
    <w:rPr>
      <w:sz w:val="16"/>
    </w:rPr>
  </w:style>
  <w:style w:type="paragraph" w:styleId="9">
    <w:name w:val="Body Text"/>
    <w:basedOn w:val="1"/>
    <w:next w:val="10"/>
    <w:autoRedefine/>
    <w:qFormat/>
    <w:uiPriority w:val="0"/>
    <w:pPr>
      <w:widowControl/>
      <w:snapToGrid w:val="0"/>
      <w:spacing w:before="60" w:after="160" w:line="259" w:lineRule="auto"/>
      <w:ind w:right="113"/>
    </w:pPr>
    <w:rPr>
      <w:kern w:val="0"/>
      <w:sz w:val="18"/>
      <w:szCs w:val="18"/>
    </w:rPr>
  </w:style>
  <w:style w:type="paragraph" w:styleId="10">
    <w:name w:val="Body Text 2"/>
    <w:basedOn w:val="1"/>
    <w:autoRedefine/>
    <w:qFormat/>
    <w:uiPriority w:val="0"/>
    <w:pPr>
      <w:spacing w:after="120" w:afterLines="0" w:line="480" w:lineRule="auto"/>
    </w:pPr>
    <w:rPr>
      <w:rFonts w:eastAsia="仿宋_GB2312"/>
    </w:rPr>
  </w:style>
  <w:style w:type="paragraph" w:styleId="11">
    <w:name w:val="Body Text Indent"/>
    <w:basedOn w:val="1"/>
    <w:next w:val="12"/>
    <w:autoRedefine/>
    <w:semiHidden/>
    <w:qFormat/>
    <w:uiPriority w:val="0"/>
    <w:pPr>
      <w:spacing w:after="120"/>
      <w:ind w:left="420" w:leftChars="200"/>
    </w:pPr>
  </w:style>
  <w:style w:type="paragraph" w:styleId="12">
    <w:name w:val="Body Text First Indent 2"/>
    <w:basedOn w:val="11"/>
    <w:next w:val="9"/>
    <w:autoRedefine/>
    <w:qFormat/>
    <w:uiPriority w:val="0"/>
    <w:pPr>
      <w:widowControl w:val="0"/>
      <w:autoSpaceDE/>
      <w:autoSpaceDN/>
      <w:adjustRightInd/>
      <w:spacing w:after="120" w:line="240" w:lineRule="auto"/>
      <w:ind w:left="420" w:leftChars="200" w:firstLine="420" w:firstLineChars="200"/>
      <w:jc w:val="both"/>
      <w:textAlignment w:val="auto"/>
    </w:pPr>
    <w:rPr>
      <w:kern w:val="2"/>
      <w:sz w:val="21"/>
      <w:szCs w:val="24"/>
      <w:lang w:eastAsia="zh-CN" w:bidi="ar-SA"/>
    </w:rPr>
  </w:style>
  <w:style w:type="paragraph" w:styleId="13">
    <w:name w:val="Plain Text"/>
    <w:basedOn w:val="1"/>
    <w:next w:val="1"/>
    <w:autoRedefine/>
    <w:qFormat/>
    <w:uiPriority w:val="0"/>
    <w:rPr>
      <w:rFonts w:ascii="宋体" w:hAnsi="Courier New"/>
      <w:sz w:val="20"/>
      <w:szCs w:val="20"/>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next w:val="1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样式5"/>
    <w:basedOn w:val="17"/>
    <w:autoRedefine/>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17">
    <w:name w:val="正文1"/>
    <w:basedOn w:val="6"/>
    <w:next w:val="1"/>
    <w:autoRedefine/>
    <w:qFormat/>
    <w:uiPriority w:val="0"/>
    <w:pPr>
      <w:snapToGrid w:val="0"/>
      <w:spacing w:line="270" w:lineRule="exact"/>
      <w:jc w:val="center"/>
    </w:pPr>
    <w:rPr>
      <w:spacing w:val="8"/>
      <w:kern w:val="21"/>
      <w:szCs w:val="20"/>
    </w:rPr>
  </w:style>
  <w:style w:type="paragraph" w:styleId="18">
    <w:name w:val="toc 1"/>
    <w:basedOn w:val="1"/>
    <w:next w:val="1"/>
    <w:uiPriority w:val="0"/>
  </w:style>
  <w:style w:type="paragraph" w:styleId="19">
    <w:name w:val="List Continue 4"/>
    <w:basedOn w:val="1"/>
    <w:next w:val="1"/>
    <w:autoRedefine/>
    <w:qFormat/>
    <w:uiPriority w:val="0"/>
    <w:pPr>
      <w:spacing w:after="120"/>
      <w:ind w:left="1680" w:firstLine="480"/>
    </w:pPr>
    <w:rPr>
      <w:rFonts w:ascii="宋体"/>
      <w:sz w:val="24"/>
    </w:rPr>
  </w:style>
  <w:style w:type="paragraph" w:styleId="20">
    <w:name w:val="List"/>
    <w:basedOn w:val="1"/>
    <w:next w:val="1"/>
    <w:autoRedefine/>
    <w:unhideWhenUsed/>
    <w:qFormat/>
    <w:uiPriority w:val="99"/>
    <w:pPr>
      <w:ind w:left="200" w:hanging="200" w:hangingChars="200"/>
      <w:contextualSpacing/>
    </w:pPr>
  </w:style>
  <w:style w:type="paragraph" w:styleId="21">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22">
    <w:name w:val="index 1"/>
    <w:basedOn w:val="1"/>
    <w:next w:val="1"/>
    <w:autoRedefine/>
    <w:qFormat/>
    <w:uiPriority w:val="0"/>
    <w:pPr>
      <w:adjustRightInd w:val="0"/>
      <w:snapToGrid w:val="0"/>
      <w:spacing w:line="440" w:lineRule="atLeast"/>
      <w:ind w:left="240" w:hanging="240"/>
      <w:jc w:val="left"/>
    </w:pPr>
    <w:rPr>
      <w:rFonts w:ascii="宋体"/>
      <w:sz w:val="18"/>
    </w:rPr>
  </w:style>
  <w:style w:type="paragraph" w:styleId="23">
    <w:name w:val="Body Text First Indent"/>
    <w:basedOn w:val="9"/>
    <w:next w:val="1"/>
    <w:autoRedefine/>
    <w:qFormat/>
    <w:uiPriority w:val="0"/>
    <w:pPr>
      <w:ind w:firstLine="420" w:firstLineChars="100"/>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Hyperlink"/>
    <w:basedOn w:val="26"/>
    <w:autoRedefine/>
    <w:qFormat/>
    <w:uiPriority w:val="0"/>
    <w:rPr>
      <w:color w:val="0000FF"/>
      <w:u w:val="single"/>
    </w:rPr>
  </w:style>
  <w:style w:type="paragraph" w:customStyle="1" w:styleId="29">
    <w:name w:val="表格"/>
    <w:basedOn w:val="20"/>
    <w:next w:val="1"/>
    <w:autoRedefine/>
    <w:qFormat/>
    <w:uiPriority w:val="0"/>
    <w:pPr>
      <w:adjustRightInd w:val="0"/>
      <w:snapToGrid w:val="0"/>
      <w:spacing w:beforeLines="10" w:afterLines="10" w:line="259" w:lineRule="auto"/>
      <w:jc w:val="center"/>
    </w:pPr>
    <w:rPr>
      <w:rFonts w:ascii="宋体"/>
      <w:kern w:val="0"/>
      <w:sz w:val="20"/>
      <w:szCs w:val="21"/>
    </w:rPr>
  </w:style>
  <w:style w:type="paragraph" w:customStyle="1" w:styleId="30">
    <w:name w:val="文本"/>
    <w:basedOn w:val="1"/>
    <w:autoRedefine/>
    <w:qFormat/>
    <w:uiPriority w:val="0"/>
    <w:pPr>
      <w:adjustRightInd w:val="0"/>
      <w:snapToGrid w:val="0"/>
      <w:spacing w:line="360" w:lineRule="auto"/>
      <w:ind w:firstLine="480" w:firstLineChars="200"/>
      <w:jc w:val="left"/>
    </w:pPr>
    <w:rPr>
      <w:kern w:val="0"/>
      <w:sz w:val="24"/>
    </w:rPr>
  </w:style>
  <w:style w:type="paragraph" w:customStyle="1" w:styleId="31">
    <w:name w:val="Default"/>
    <w:basedOn w:val="32"/>
    <w:next w:val="1"/>
    <w:autoRedefine/>
    <w:qFormat/>
    <w:uiPriority w:val="0"/>
    <w:pPr>
      <w:widowControl w:val="0"/>
      <w:tabs>
        <w:tab w:val="left" w:pos="2760"/>
      </w:tabs>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1 表头"/>
    <w:basedOn w:val="1"/>
    <w:autoRedefine/>
    <w:qFormat/>
    <w:uiPriority w:val="0"/>
    <w:pPr>
      <w:adjustRightInd w:val="0"/>
      <w:snapToGrid w:val="0"/>
      <w:spacing w:line="240" w:lineRule="auto"/>
      <w:ind w:firstLine="0" w:firstLineChars="0"/>
      <w:jc w:val="center"/>
    </w:pPr>
    <w:rPr>
      <w:b/>
      <w:color w:val="000000"/>
      <w:sz w:val="21"/>
      <w:szCs w:val="21"/>
    </w:rPr>
  </w:style>
  <w:style w:type="paragraph" w:customStyle="1" w:styleId="33">
    <w:name w:val="纯文本1"/>
    <w:basedOn w:val="1"/>
    <w:autoRedefine/>
    <w:qFormat/>
    <w:uiPriority w:val="0"/>
    <w:pPr>
      <w:tabs>
        <w:tab w:val="left" w:pos="2760"/>
      </w:tabs>
      <w:adjustRightInd w:val="0"/>
    </w:pPr>
    <w:rPr>
      <w:rFonts w:ascii="宋体" w:hAnsi="Courier New"/>
      <w:szCs w:val="20"/>
    </w:rPr>
  </w:style>
  <w:style w:type="paragraph" w:customStyle="1" w:styleId="34">
    <w:name w:val="BodyText1I2"/>
    <w:basedOn w:val="35"/>
    <w:autoRedefine/>
    <w:semiHidden/>
    <w:qFormat/>
    <w:uiPriority w:val="0"/>
    <w:pPr>
      <w:spacing w:line="560" w:lineRule="exact"/>
      <w:ind w:left="0" w:leftChars="0" w:firstLine="420" w:firstLineChars="200"/>
    </w:pPr>
    <w:rPr>
      <w:rFonts w:eastAsia="仿宋_GB2312"/>
      <w:sz w:val="32"/>
    </w:rPr>
  </w:style>
  <w:style w:type="paragraph" w:customStyle="1" w:styleId="35">
    <w:name w:val="BodyTextIndent"/>
    <w:basedOn w:val="1"/>
    <w:autoRedefine/>
    <w:semiHidden/>
    <w:qFormat/>
    <w:uiPriority w:val="0"/>
    <w:pPr>
      <w:ind w:left="420" w:leftChars="200"/>
      <w:textAlignment w:val="baseline"/>
    </w:pPr>
  </w:style>
  <w:style w:type="paragraph" w:customStyle="1" w:styleId="36">
    <w:name w:val="表格内"/>
    <w:basedOn w:val="1"/>
    <w:autoRedefine/>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37">
    <w:name w:val="Table Paragraph"/>
    <w:basedOn w:val="1"/>
    <w:autoRedefine/>
    <w:qFormat/>
    <w:uiPriority w:val="1"/>
    <w:rPr>
      <w:rFonts w:ascii="宋体" w:hAnsi="宋体" w:eastAsia="宋体" w:cs="宋体"/>
      <w:lang w:val="zh-CN" w:eastAsia="zh-CN" w:bidi="zh-CN"/>
    </w:rPr>
  </w:style>
  <w:style w:type="paragraph" w:styleId="38">
    <w:name w:val="List Paragraph"/>
    <w:basedOn w:val="1"/>
    <w:autoRedefine/>
    <w:qFormat/>
    <w:uiPriority w:val="1"/>
    <w:pPr>
      <w:ind w:left="1277" w:hanging="602"/>
    </w:pPr>
    <w:rPr>
      <w:rFonts w:ascii="宋体" w:hAnsi="宋体" w:eastAsia="宋体" w:cs="宋体"/>
      <w:lang w:val="zh-CN" w:eastAsia="zh-CN" w:bidi="zh-CN"/>
    </w:rPr>
  </w:style>
  <w:style w:type="paragraph" w:customStyle="1" w:styleId="39">
    <w:name w:val="表 头"/>
    <w:basedOn w:val="1"/>
    <w:autoRedefine/>
    <w:qFormat/>
    <w:uiPriority w:val="0"/>
    <w:pPr>
      <w:adjustRightInd w:val="0"/>
      <w:spacing w:before="120" w:after="120" w:line="360" w:lineRule="atLeast"/>
      <w:jc w:val="center"/>
    </w:pPr>
    <w:rPr>
      <w:rFonts w:ascii="宋体" w:hAnsi="宋体" w:eastAsia="黑体"/>
      <w:spacing w:val="10"/>
      <w:kern w:val="0"/>
      <w:sz w:val="24"/>
      <w:szCs w:val="20"/>
    </w:rPr>
  </w:style>
  <w:style w:type="paragraph" w:customStyle="1" w:styleId="40">
    <w:name w:val="WPSOffice手动目录 1"/>
    <w:autoRedefine/>
    <w:qFormat/>
    <w:uiPriority w:val="0"/>
    <w:pPr>
      <w:ind w:leftChars="0"/>
    </w:pPr>
    <w:rPr>
      <w:rFonts w:ascii="Times New Roman" w:hAnsi="Times New Roman" w:eastAsia="宋体" w:cs="Times New Roman"/>
      <w:sz w:val="20"/>
      <w:szCs w:val="20"/>
    </w:rPr>
  </w:style>
  <w:style w:type="paragraph" w:customStyle="1" w:styleId="41">
    <w:name w:val="Table Text"/>
    <w:basedOn w:val="1"/>
    <w:autoRedefine/>
    <w:semiHidden/>
    <w:qFormat/>
    <w:uiPriority w:val="0"/>
    <w:rPr>
      <w:rFonts w:ascii="宋体" w:hAnsi="宋体" w:eastAsia="宋体" w:cs="宋体"/>
      <w:sz w:val="24"/>
      <w:szCs w:val="24"/>
      <w:lang w:val="en-US" w:eastAsia="en-US" w:bidi="ar-SA"/>
    </w:rPr>
  </w:style>
  <w:style w:type="table" w:customStyle="1" w:styleId="42">
    <w:name w:val="Table Normal"/>
    <w:autoRedefine/>
    <w:semiHidden/>
    <w:unhideWhenUsed/>
    <w:qFormat/>
    <w:uiPriority w:val="0"/>
    <w:tblPr>
      <w:tblCellMar>
        <w:top w:w="0" w:type="dxa"/>
        <w:left w:w="0" w:type="dxa"/>
        <w:bottom w:w="0" w:type="dxa"/>
        <w:right w:w="0" w:type="dxa"/>
      </w:tblCellMar>
    </w:tblPr>
  </w:style>
  <w:style w:type="paragraph" w:customStyle="1" w:styleId="43">
    <w:name w:val="Body Text 21"/>
    <w:basedOn w:val="1"/>
    <w:autoRedefine/>
    <w:qFormat/>
    <w:uiPriority w:val="0"/>
    <w:pPr>
      <w:spacing w:after="120" w:line="480" w:lineRule="auto"/>
    </w:pPr>
  </w:style>
  <w:style w:type="paragraph" w:customStyle="1" w:styleId="44">
    <w:name w:val="段落1"/>
    <w:basedOn w:val="1"/>
    <w:autoRedefine/>
    <w:qFormat/>
    <w:uiPriority w:val="0"/>
    <w:pPr>
      <w:spacing w:line="480" w:lineRule="exact"/>
      <w:ind w:firstLine="584" w:firstLineChars="200"/>
    </w:pPr>
    <w:rPr>
      <w:spacing w:val="6"/>
      <w:sz w:val="28"/>
    </w:rPr>
  </w:style>
  <w:style w:type="paragraph" w:customStyle="1" w:styleId="45">
    <w:name w:val="默认段落"/>
    <w:basedOn w:val="1"/>
    <w:autoRedefine/>
    <w:qFormat/>
    <w:uiPriority w:val="0"/>
    <w:rPr>
      <w:rFonts w:ascii="Calibri" w:hAnsi="Calibri"/>
    </w:rPr>
  </w:style>
  <w:style w:type="paragraph" w:customStyle="1" w:styleId="46">
    <w:name w:val="样式 首行缩进:  2 字符1"/>
    <w:basedOn w:val="1"/>
    <w:qFormat/>
    <w:uiPriority w:val="0"/>
    <w:pPr>
      <w:spacing w:line="360" w:lineRule="auto"/>
      <w:ind w:firstLine="200"/>
    </w:pPr>
    <w:rPr>
      <w:rFonts w:cs="宋体"/>
      <w:szCs w:val="20"/>
    </w:rPr>
  </w:style>
  <w:style w:type="paragraph" w:customStyle="1" w:styleId="47">
    <w:name w:val="表头！！！！！！！！！！"/>
    <w:basedOn w:val="6"/>
    <w:qFormat/>
    <w:uiPriority w:val="0"/>
    <w:pPr>
      <w:autoSpaceDE w:val="0"/>
      <w:autoSpaceDN w:val="0"/>
      <w:adjustRightInd w:val="0"/>
      <w:spacing w:line="500" w:lineRule="exact"/>
      <w:jc w:val="center"/>
      <w:textAlignment w:val="baseline"/>
    </w:pPr>
    <w:rPr>
      <w:rFonts w:ascii="楷体_GB2312" w:eastAsia="楷体_GB2312"/>
      <w:b/>
      <w:snapToGrid w:val="0"/>
      <w:sz w:val="24"/>
    </w:rPr>
  </w:style>
  <w:style w:type="paragraph" w:customStyle="1" w:styleId="48">
    <w:name w:val="正文邓"/>
    <w:basedOn w:val="1"/>
    <w:link w:val="50"/>
    <w:qFormat/>
    <w:uiPriority w:val="0"/>
    <w:pPr>
      <w:widowControl w:val="0"/>
      <w:adjustRightInd w:val="0"/>
      <w:snapToGrid w:val="0"/>
      <w:ind w:firstLine="480" w:firstLineChars="200"/>
      <w:jc w:val="left"/>
    </w:pPr>
    <w:rPr>
      <w:rFonts w:ascii="Times New Roman" w:hAnsi="Times New Roman" w:cs="Times New Roman"/>
      <w:bCs/>
      <w:snapToGrid w:val="0"/>
    </w:rPr>
  </w:style>
  <w:style w:type="paragraph" w:customStyle="1" w:styleId="49">
    <w:name w:val="正文我"/>
    <w:autoRedefine/>
    <w:qFormat/>
    <w:uiPriority w:val="0"/>
    <w:pPr>
      <w:snapToGrid w:val="0"/>
      <w:spacing w:line="360" w:lineRule="auto"/>
      <w:ind w:firstLine="200" w:firstLineChars="200"/>
    </w:pPr>
    <w:rPr>
      <w:rFonts w:ascii="宋体" w:hAnsi="Times New Roman" w:eastAsia="华文中宋" w:cs="Times New Roman"/>
      <w:sz w:val="24"/>
      <w:szCs w:val="24"/>
      <w:lang w:bidi="ar-SA"/>
    </w:rPr>
  </w:style>
  <w:style w:type="character" w:customStyle="1" w:styleId="50">
    <w:name w:val="正文邓 Char"/>
    <w:link w:val="48"/>
    <w:autoRedefine/>
    <w:qFormat/>
    <w:uiPriority w:val="0"/>
    <w:rPr>
      <w:rFonts w:ascii="Times New Roman" w:hAnsi="Times New Roman" w:cs="Times New Roman"/>
      <w:bCs/>
      <w:snapToGrid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7d803504-8036-47f8-a652-edc0eb313f6b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56ACE81E</paraID>
      <start>12</start>
      <end>13</end>
      <status>unmodified</status>
      <modifiedWord/>
      <trackRevisions>false</trackRevisions>
    </reviewItem>
    <reviewItem>
      <errorID>da067313-5d91-4145-9a03-a0a27f8a49f2</errorID>
      <errorWord>(</errorWord>
      <group>L1_Format</group>
      <groupName>格式问题</groupName>
      <ability>L2_HalfPunc_CN</ability>
      <abilityName>全半角问题</abilityName>
      <candidateList>
        <item>（</item>
      </candidateList>
      <explain>文本全半角错误。</explain>
      <paraID>1275D981</paraID>
      <start>16</start>
      <end>17</end>
      <status>modified</status>
      <modifiedWord>（</modifiedWord>
      <trackRevisions>true</trackRevisions>
    </reviewItem>
    <reviewItem>
      <errorID>0cf037f5-3fbe-444e-92a8-c85128346462</errorID>
      <errorWord>)</errorWord>
      <group>L1_Format</group>
      <groupName>格式问题</groupName>
      <ability>L2_HalfPunc_CN</ability>
      <abilityName>全半角问题</abilityName>
      <candidateList>
        <item>）</item>
      </candidateList>
      <explain>文本全半角错误。</explain>
      <paraID>1275D981</paraID>
      <start>24</start>
      <end>25</end>
      <status>modified</status>
      <modifiedWord>）</modifiedWord>
      <trackRevisions>true</trackRevisions>
    </reviewItem>
    <reviewItem>
      <errorID>9c5b4d4a-8364-4494-93cf-1711a62cb336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4AFB2C0B</paraID>
      <start>7</start>
      <end>8</end>
      <status>unmodified</status>
      <modifiedWord/>
      <trackRevisions>false</trackRevisions>
    </reviewItem>
    <reviewItem>
      <errorID>5207f1e1-3b58-4476-a08b-45c2bba89bf4</errorID>
      <errorWord>中华人民共和国沙治沙法</errorWord>
      <group>L1_Knowledge</group>
      <groupName>知识性问题</groupName>
      <ability>L2_Knowledge</ability>
      <abilityName>其他知识</abilityName>
      <candidateList/>
      <explain>当前法律法规未收录或尚未生效，注意核查是否正确。</explain>
      <paraID>391E2DE1</paraID>
      <start>108</start>
      <end>119</end>
      <status>unmodified</status>
      <modifiedWord/>
      <trackRevisions>false</trackRevisions>
    </reviewItem>
    <reviewItem>
      <errorID>456786d9-9e9a-4bad-865a-299b858c9842</errorID>
      <errorWord>恢复措施</errorWord>
      <group>L1_Grammar</group>
      <groupName>语法问题</groupName>
      <ability>L2_Redundancy</ability>
      <abilityName>成分冗余</abilityName>
      <candidateList>
        <item>恢复</item>
      </candidateList>
      <explain>句子中可能存在主语、谓语、定语等成分的赘余或重复。</explain>
      <paraID> 72DC773</paraID>
      <start>81</start>
      <end>85</end>
      <status>unmodified</status>
      <modifiedWord/>
      <trackRevisions>false</trackRevisions>
    </reviewItem>
    <reviewItem>
      <errorID>cdacec8b-06f9-463d-a91c-a0e4764248c1</errorID>
      <errorWord>左</errorWord>
      <group>L1_Grammar</group>
      <groupName>语法问题</groupName>
      <ability>L2_Order</ability>
      <abilityName>语序不当</abilityName>
      <candidateList>
        <item>在</item>
      </candidateList>
      <explain>句子可能没有遵循时空、逻辑顺序，或者介词、关联词等位置不当。</explain>
      <paraID>562C8E45</paraID>
      <start>22</start>
      <end>23</end>
      <status>unmodified</status>
      <modifiedWord/>
      <trackRevisions>false</trackRevisions>
    </reviewItem>
    <reviewItem>
      <errorID>6a9adebf-aaf6-433d-b94c-568d65cc21d6</errorID>
      <errorWord>法律、法规</errorWord>
      <group>L1_Word</group>
      <groupName>字词问题</groupName>
      <ability>L2_Typo</ability>
      <abilityName>字词错误</abilityName>
      <candidateList>
        <item>法律法规</item>
      </candidateList>
      <explain/>
      <paraID>3EC483EF</paraID>
      <start>64</start>
      <end>69</end>
      <status>unmodified</status>
      <modifiedWord/>
      <trackRevisions>false</trackRevisions>
    </reviewItem>
    <reviewItem>
      <errorID>f00fe162-c095-4528-8c0f-2d0cc6c352c2</errorID>
      <errorWord>法律、法规</errorWord>
      <group>L1_Word</group>
      <groupName>字词问题</groupName>
      <ability>L2_Typo</ability>
      <abilityName>字词错误</abilityName>
      <candidateList>
        <item>法律法规</item>
      </candidateList>
      <explain/>
      <paraID>31750D00</paraID>
      <start>68</start>
      <end>73</end>
      <status>unmodified</status>
      <modifiedWord/>
      <trackRevisions>false</trackRevisions>
    </reviewItem>
    <reviewItem>
      <errorID>2926d4dc-e61c-4e8f-acb7-03cb86bae576</errorID>
      <errorWord>-</errorWord>
      <group>L1_Format</group>
      <groupName>格式问题</groupName>
      <ability>L2_HalfPunc_CN</ability>
      <abilityName>全半角问题</abilityName>
      <candidateList>
        <item>－</item>
      </candidateList>
      <explain>文本全半角错误。</explain>
      <paraID> E55DA65</paraID>
      <start>70</start>
      <end>71</end>
      <status>unmodified</status>
      <modifiedWord/>
      <trackRevisions>false</trackRevisions>
    </reviewItem>
    <reviewItem>
      <errorID>edc6deb3-a027-4f38-b994-6e692e8dc0ea</errorID>
      <errorWord>生态红线</errorWord>
      <group>L1_Political</group>
      <groupName>政治性问题</groupName>
      <ability>L2_Unpolitical</ability>
      <abilityName>政治敏感错误</abilityName>
      <candidateList>
        <item>生态保护红线</item>
      </candidateList>
      <explain/>
      <paraID>3B8176B4</paraID>
      <start>98</start>
      <end>102</end>
      <status>unmodified</status>
      <modifiedWord/>
      <trackRevisions>false</trackRevisions>
    </reviewItem>
    <reviewItem>
      <errorID>e15b879d-ad67-4317-b5d2-84cf14efc909</errorID>
      <errorWord>联防联动机制</errorWord>
      <group>L1_Word</group>
      <groupName>字词问题</groupName>
      <ability>L2_Typo</ability>
      <abilityName>字词错误</abilityName>
      <candidateList>
        <item>联防联控机制</item>
      </candidateList>
      <explain/>
      <paraID>79E7A55D</paraID>
      <start>65</start>
      <end>71</end>
      <status>unmodified</status>
      <modifiedWord/>
      <trackRevisions>false</trackRevisions>
    </reviewItem>
    <reviewItem>
      <errorID>7ac238f9-ca14-4866-b8ca-8fec95152dd7</errorID>
      <errorWord>万元国内生产总值能耗</errorWord>
      <group>L1_Political</group>
      <groupName>政治性问题</groupName>
      <ability>L2_Keyword</ability>
      <abilityName>固定表述</abilityName>
      <candidateList>
        <item>万元地区生产总值能耗</item>
      </candidateList>
      <explain>词汇“万元地区生产总值能耗”在特定场景下为固定表述形式，请确认此处的“万元国内生产总值能耗”是否存在不当。</explain>
      <paraID>5D228C37</paraID>
      <start>18</start>
      <end>28</end>
      <status>unmodified</status>
      <modifiedWord/>
      <trackRevisions>false</trackRevisions>
    </reviewItem>
    <reviewItem>
      <errorID>41cbef96-44ef-4118-87fb-59bb18817248</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3D9778B9</paraID>
      <start>91</start>
      <end>98</end>
      <status>unmodified</status>
      <modifiedWord/>
      <trackRevisions>false</trackRevisions>
    </reviewItem>
    <reviewItem>
      <errorID>0f2a5f3d-3dd5-4836-94c5-44d68c8102c2</errorID>
      <errorWord>本项目本项目</errorWord>
      <group>L1_Word</group>
      <groupName>字词问题</groupName>
      <ability>L2_Typo</ability>
      <abilityName>字词错误</abilityName>
      <candidateList>
        <item>本项目</item>
      </candidateList>
      <explain/>
      <paraID>14F9775C</paraID>
      <start>0</start>
      <end>6</end>
      <status>unmodified</status>
      <modifiedWord/>
      <trackRevisions>false</trackRevisions>
    </reviewItem>
    <reviewItem>
      <errorID>f8ba7e2c-c9cd-4991-8eb2-8e2bdb3ba763</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14F9775C</paraID>
      <start>23</start>
      <end>30</end>
      <status>unmodified</status>
      <modifiedWord/>
      <trackRevisions>false</trackRevisions>
    </reviewItem>
    <reviewItem>
      <errorID>7d93baba-3971-424c-83be-95d8c823e00a</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624DCBB5</paraID>
      <start>2</start>
      <end>9</end>
      <status>unmodified</status>
      <modifiedWord/>
      <trackRevisions>false</trackRevisions>
    </reviewItem>
    <reviewItem>
      <errorID>d0dcbdea-7593-4757-a25d-73d9863d56f3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A9CAA1B</paraID>
      <start>21</start>
      <end>22</end>
      <status>unmodified</status>
      <modifiedWord/>
      <trackRevisions>false</trackRevisions>
    </reviewItem>
    <reviewItem>
      <errorID>5ea3542f-1563-4193-bdd0-716b6bb4c1bd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7E2B7D18</paraID>
      <start>20</start>
      <end>21</end>
      <status>unmodified</status>
      <modifiedWord/>
      <trackRevisions>false</trackRevisions>
    </reviewItem>
    <reviewItem>
      <errorID>c98e7a54-15ec-43ed-92fc-e9d4dbb3541b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37AE517D</paraID>
      <start>68</start>
      <end>69</end>
      <status>unmodified</status>
      <modifiedWord/>
      <trackRevisions>false</trackRevisions>
    </reviewItem>
    <reviewItem>
      <errorID>7d0d2a3d-d085-4e68-81c3-cffb6054db00</errorID>
      <errorWord>"</errorWord>
      <group>L1_Format</group>
      <groupName>格式问题</groupName>
      <ability>L2_HalfPunc_CN</ability>
      <abilityName>全半角问题</abilityName>
      <candidateList/>
      <explain>文本全半角错误。</explain>
      <paraID>353D62ED</paraID>
      <start>119</start>
      <end>120</end>
      <status>unmodified</status>
      <modifiedWord/>
      <trackRevisions>false</trackRevisions>
    </reviewItem>
    <reviewItem>
      <errorID>3a0dd742-0764-4691-8c86-bf15f92ddde0</errorID>
      <errorWord>"</errorWord>
      <group>L1_Format</group>
      <groupName>格式问题</groupName>
      <ability>L2_HalfPunc_CN</ability>
      <abilityName>全半角问题</abilityName>
      <candidateList/>
      <explain>文本全半角错误。</explain>
      <paraID>353D62ED</paraID>
      <start>135</start>
      <end>136</end>
      <status>unmodified</status>
      <modifiedWord/>
      <trackRevisions>false</trackRevisions>
    </reviewItem>
    <reviewItem>
      <errorID>fa5c3657-dbbb-4717-a5e4-aea12ff3eb76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417D8450</paraID>
      <start>121</start>
      <end>122</end>
      <status>unmodified</status>
      <modifiedWord/>
      <trackRevisions>false</trackRevisions>
    </reviewItem>
    <reviewItem>
      <errorID>e7fa8257-bff1-4740-9f17-9c1a9266ac59</errorID>
      <errorWord>海拔高度</errorWord>
      <group>L1_Word</group>
      <groupName>字词问题</groupName>
      <ability>L2_Typo</ability>
      <abilityName>字词错误</abilityName>
      <candidateList>
        <item>海拔</item>
      </candidateList>
      <explain/>
      <paraID>7B573720</paraID>
      <start>0</start>
      <end>4</end>
      <status>unmodified</status>
      <modifiedWord/>
      <trackRevisions>false</trackRevisions>
    </reviewItem>
    <reviewItem>
      <errorID>6f9b98df-7171-46b5-b91b-256508a3ef90</errorID>
      <errorWord>(</errorWord>
      <group>L1_Format</group>
      <groupName>格式问题</groupName>
      <ability>L2_HalfPunc_CN</ability>
      <abilityName>全半角问题</abilityName>
      <candidateList>
        <item>（</item>
      </candidateList>
      <explain>文本全半角错误。</explain>
      <paraID>6249B0F7</paraID>
      <start>57</start>
      <end>59</end>
      <status>modified</status>
      <modifiedWord>（(</modifiedWord>
      <trackRevisions>true</trackRevisions>
    </reviewItem>
    <reviewItem>
      <errorID>f1bc0d91-2ecb-4be2-8025-be6308e2496d</errorID>
      <errorWord>)</errorWord>
      <group>L1_Format</group>
      <groupName>格式问题</groupName>
      <ability>L2_HalfPunc_CN</ability>
      <abilityName>全半角问题</abilityName>
      <candidateList>
        <item>）</item>
      </candidateList>
      <explain>文本全半角错误。</explain>
      <paraID>6249B0F7</paraID>
      <start>61</start>
      <end>63</end>
      <status>modified</status>
      <modifiedWord>）)</modifiedWord>
      <trackRevisions>true</trackRevisions>
    </reviewItem>
    <reviewItem>
      <errorID>1a549ffa-6d1c-4006-bbca-b16202e6b4f1</errorID>
      <errorWord>：</errorWord>
      <group>L1_Format</group>
      <groupName>格式问题</groupName>
      <ability>L2_HalfPunc_CN</ability>
      <abilityName>全半角问题</abilityName>
      <candidateList>
        <item>:</item>
      </candidateList>
      <explain>文本全半角错误。</explain>
      <paraID>7113DFF0</paraID>
      <start>59</start>
      <end>60</end>
      <status>unmodified</status>
      <modifiedWord/>
      <trackRevisions>false</trackRevisions>
    </reviewItem>
    <reviewItem>
      <errorID>6e4d1e9b-5623-4092-a911-2fc490f18ae8</errorID>
      <errorWord>~</errorWord>
      <group>L1_Format</group>
      <groupName>格式问题</groupName>
      <ability>L2_HalfPunc_CN</ability>
      <abilityName>全半角问题</abilityName>
      <candidateList>
        <item>～</item>
      </candidateList>
      <explain>文本全半角错误。</explain>
      <paraID>7113DFF0</paraID>
      <start>103</start>
      <end>104</end>
      <status>unmodified</status>
      <modifiedWord/>
      <trackRevisions>false</trackRevisions>
    </reviewItem>
    <reviewItem>
      <errorID>c4481811-b759-4e29-8c80-6a30efde260c</errorID>
      <errorWord>须</errorWord>
      <group>L1_Word</group>
      <groupName>字词问题</groupName>
      <ability>L2_Typo</ability>
      <abilityName>字词错误</abilityName>
      <candidateList>
        <item>需</item>
      </candidateList>
      <explain/>
      <paraID>3E2309BE</paraID>
      <start>201</start>
      <end>202</end>
      <status>unmodified</status>
      <modifiedWord/>
      <trackRevisions>false</trackRevisions>
    </reviewItem>
    <reviewItem>
      <errorID>df0d454c-6405-4b55-8fa9-15c8ae166b2e</errorID>
      <errorWord>满</errorWord>
      <group>L1_Word</group>
      <groupName>字词问题</groupName>
      <ability>L2_Typo</ability>
      <abilityName>字词错误</abilityName>
      <candidateList>
        <item>满后</item>
      </candidateList>
      <explain/>
      <paraID>69462A08</paraID>
      <start>52</start>
      <end>53</end>
      <status>unmodified</status>
      <modifiedWord/>
      <trackRevisions>false</trackRevisions>
    </reviewItem>
    <reviewItem>
      <errorID>bdcd377b-57bd-466c-812d-e893fe81ae89</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7F8D9C45</paraID>
      <start>38</start>
      <end>45</end>
      <status>unmodified</status>
      <modifiedWord/>
      <trackRevisions>false</trackRevisions>
    </reviewItem>
    <reviewItem>
      <errorID>fc7571bf-83ea-454b-8b14-e6ee928f7e33</errorID>
      <errorWord>~</errorWord>
      <group>L1_Format</group>
      <groupName>格式问题</groupName>
      <ability>L2_HalfPunc_CN</ability>
      <abilityName>全半角问题</abilityName>
      <candidateList>
        <item>～</item>
      </candidateList>
      <explain>文本全半角错误。</explain>
      <paraID>11B6E0A3</paraID>
      <start>203</start>
      <end>204</end>
      <status>unmodified</status>
      <modifiedWord/>
      <trackRevisions>false</trackRevisions>
    </reviewItem>
    <reviewItem>
      <errorID>654c5524-ec38-4401-b987-993b6ccf685e</errorID>
      <errorWord>(</errorWord>
      <group>L1_Format</group>
      <groupName>格式问题</groupName>
      <ability>L2_HalfPunc_CN</ability>
      <abilityName>全半角问题</abilityName>
      <candidateList>
        <item>（</item>
      </candidateList>
      <explain>文本全半角错误。</explain>
      <paraID>69CDFC34</paraID>
      <start>184</start>
      <end>185</end>
      <status>modified</status>
      <modifiedWord>（</modifiedWord>
      <trackRevisions>true</trackRevisions>
    </reviewItem>
    <reviewItem>
      <errorID>2f9e8faa-0393-4a5c-b516-6f55eb29835b</errorID>
      <errorWord>)</errorWord>
      <group>L1_Format</group>
      <groupName>格式问题</groupName>
      <ability>L2_HalfPunc_CN</ability>
      <abilityName>全半角问题</abilityName>
      <candidateList>
        <item>）</item>
      </candidateList>
      <explain>文本全半角错误。</explain>
      <paraID>69CDFC34</paraID>
      <start>187</start>
      <end>188</end>
      <status>modified</status>
      <modifiedWord>）</modifiedWord>
      <trackRevisions>true</trackRevisions>
    </reviewItem>
    <reviewItem>
      <errorID>86618b0a-68a2-4b68-9381-c010ad071dd9</errorID>
      <errorWord>(</errorWord>
      <group>L1_Format</group>
      <groupName>格式问题</groupName>
      <ability>L2_HalfPunc_CN</ability>
      <abilityName>全半角问题</abilityName>
      <candidateList>
        <item>（</item>
      </candidateList>
      <explain>文本全半角错误。</explain>
      <paraID>69CDFC34</paraID>
      <start>189</start>
      <end>190</end>
      <status>modified</status>
      <modifiedWord>（</modifiedWord>
      <trackRevisions>true</trackRevisions>
    </reviewItem>
    <reviewItem>
      <errorID>2797d046-6b83-4a59-9e4e-c887050c4523</errorID>
      <errorWord>)</errorWord>
      <group>L1_Format</group>
      <groupName>格式问题</groupName>
      <ability>L2_HalfPunc_CN</ability>
      <abilityName>全半角问题</abilityName>
      <candidateList>
        <item>）</item>
      </candidateList>
      <explain>文本全半角错误。</explain>
      <paraID>69CDFC34</paraID>
      <start>200</start>
      <end>201</end>
      <status>modified</status>
      <modifiedWord>）</modifiedWord>
      <trackRevisions>true</trackRevisions>
    </reviewItem>
    <reviewItem>
      <errorID>60a856ab-09ed-4bb7-90a9-68b0ae766c4b</errorID>
      <errorWord>:</errorWord>
      <group>L1_Format</group>
      <groupName>格式问题</groupName>
      <ability>L2_HalfPunc_CN</ability>
      <abilityName>全半角问题</abilityName>
      <candidateList>
        <item>：</item>
      </candidateList>
      <explain>文本全半角错误。</explain>
      <paraID>3067A91B</paraID>
      <start>72</start>
      <end>73</end>
      <status>modified</status>
      <modifiedWord>：</modifiedWord>
      <trackRevisions>true</trackRevisions>
    </reviewItem>
    <reviewItem>
      <errorID>e1a06de8-e0b4-44eb-ac2f-25bffc4ea496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E440DD6</paraID>
      <start>31</start>
      <end>32</end>
      <status>unmodified</status>
      <modifiedWord/>
      <trackRevisions>false</trackRevisions>
    </reviewItem>
    <reviewItem>
      <errorID>201e8d08-c975-4771-89e2-4751bb414211</errorID>
      <errorWord>，</errorWord>
      <group>L1_Word</group>
      <groupName>字词问题</groupName>
      <ability>L2_Typo</ability>
      <abilityName>字词错误</abilityName>
      <candidateList>
        <item>，在</item>
      </candidateList>
      <explain/>
      <paraID>66700E9B</paraID>
      <start>39</start>
      <end>40</end>
      <status>unmodified</status>
      <modifiedWord/>
      <trackRevisions>false</trackRevisions>
    </reviewItem>
    <reviewItem>
      <errorID>bf16dd0d-522f-4ef9-90da-401f3ce66549</errorID>
      <errorWord>~</errorWord>
      <group>L1_Format</group>
      <groupName>格式问题</groupName>
      <ability>L2_HalfPunc_CN</ability>
      <abilityName>全半角问题</abilityName>
      <candidateList>
        <item>～</item>
      </candidateList>
      <explain>文本全半角错误。</explain>
      <paraID> A5606ED</paraID>
      <start>158</start>
      <end>159</end>
      <status>unmodified</status>
      <modifiedWord/>
      <trackRevisions>false</trackRevisions>
    </reviewItem>
    <reviewItem>
      <errorID>1096e732-f662-4c9c-963a-2cebec26b62a</errorID>
      <errorWord>项目占</errorWord>
      <group>L1_Word</group>
      <groupName>字词问题</groupName>
      <ability>L2_Typo</ability>
      <abilityName>字词错误</abilityName>
      <candidateList>
        <item>项目</item>
      </candidateList>
      <explain/>
      <paraID>7BB9FAC3</paraID>
      <start>1</start>
      <end>4</end>
      <status>unmodified</status>
      <modifiedWord/>
      <trackRevisions>false</trackRevisions>
    </reviewItem>
    <reviewItem>
      <errorID>2af9d796-5aff-46b3-a0d6-c532fd56e7c2</errorID>
      <errorWord>、及</errorWord>
      <group>L1_Other</group>
      <groupName>其他问题</groupName>
      <ability>L2_UserTypo</ability>
      <abilityName>自定义错误</abilityName>
      <candidateList>
        <item>及</item>
      </candidateList>
      <explain>来自自定义错词库。</explain>
      <paraID>5CCD2AFA</paraID>
      <start>82</start>
      <end>84</end>
      <status>unmodified</status>
      <modifiedWord/>
      <trackRevisions>false</trackRevisions>
    </reviewItem>
    <reviewItem>
      <errorID>05d45db2-58fb-439c-b07c-d69873c49a2d</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101FAA85</paraID>
      <start>19</start>
      <end>26</end>
      <status>unmodified</status>
      <modifiedWord/>
      <trackRevisions>false</trackRevisions>
    </reviewItem>
    <reviewItem>
      <errorID>a7c1c5df-487f-4214-baf2-6760935d8b02</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778896B7</paraID>
      <start>46</start>
      <end>53</end>
      <status>unmodified</status>
      <modifiedWord/>
      <trackRevisions>false</trackRevisions>
    </reviewItem>
    <reviewItem>
      <errorID>0e01b9b8-c1a6-481a-bbd6-ae706f3287a0</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 E0B317B</paraID>
      <start>60</start>
      <end>67</end>
      <status>unmodified</status>
      <modifiedWord/>
      <trackRevisions>false</trackRevisions>
    </reviewItem>
    <reviewItem>
      <errorID>5d4a8f6a-16d7-4acb-8f4e-36503505819d</errorID>
      <errorWord>杜绝</errorWord>
      <group>L1_Grammar</group>
      <groupName>语法问题</groupName>
      <ability>L2_Grammar</ability>
      <abilityName>语法错误</abilityName>
      <candidateList>
        <item>防止</item>
      </candidateList>
      <explain>“杜绝～外溢”搭配不当，建议修改为“防止～外溢”。</explain>
      <paraID>2EE233A2</paraID>
      <start>190</start>
      <end>192</end>
      <status>modified</status>
      <modifiedWord>防止</modifiedWord>
      <trackRevisions>true</trackRevisions>
    </reviewItem>
    <reviewItem>
      <errorID>114c7578-d755-4617-9ddc-ff65071912d6</errorID>
      <errorWord>噪音</errorWord>
      <group>L1_Word</group>
      <groupName>字词问题</groupName>
      <ability>L2_Alias</ability>
      <abilityName>也作/曾用词</abilityName>
      <candidateList>
        <item>噪声</item>
      </candidateList>
      <explain>词汇[噪音]为不规范表述或旧称，其规范书面表述为[噪声]。</explain>
      <paraID> 3E4E4B3</paraID>
      <start>40</start>
      <end>42</end>
      <status>unmodified</status>
      <modifiedWord/>
      <trackRevisions>false</trackRevisions>
    </reviewItem>
    <reviewItem>
      <errorID>0e806395-1ded-42dd-956e-4e40a2928ad4</errorID>
      <errorWord>噪音</errorWord>
      <group>L1_Word</group>
      <groupName>字词问题</groupName>
      <ability>L2_Alias</ability>
      <abilityName>也作/曾用词</abilityName>
      <candidateList>
        <item>噪声</item>
      </candidateList>
      <explain>词汇[噪音]为不规范表述或旧称，其规范书面表述为[噪声]。</explain>
      <paraID>4506AE6A</paraID>
      <start>92</start>
      <end>94</end>
      <status>unmodified</status>
      <modifiedWord/>
      <trackRevisions>false</trackRevisions>
    </reviewItem>
    <reviewItem>
      <errorID>de5ff7b5-24a4-49c0-a0e6-bcc6a81d4351</errorID>
      <errorWord>几率</errorWord>
      <group>L1_Word</group>
      <groupName>字词问题</groupName>
      <ability>L2_Typo</ability>
      <abilityName>字词错误</abilityName>
      <candidateList>
        <item>概率</item>
      </candidateList>
      <explain/>
      <paraID>300A5C2C</paraID>
      <start>303</start>
      <end>305</end>
      <status>unmodified</status>
      <modifiedWord/>
      <trackRevisions>false</trackRevisions>
    </reviewItem>
    <reviewItem>
      <errorID>224c2c57-d2cc-4de5-939b-0a67efe3e56d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228EC41C</paraID>
      <start>216</start>
      <end>217</end>
      <status>unmodified</status>
      <modifiedWord/>
      <trackRevisions>false</trackRevisions>
    </reviewItem>
    <reviewItem>
      <errorID>a7e34a0b-8689-4d50-a8d9-f93aca3f5c63</errorID>
      <errorWord>-</errorWord>
      <group>L1_Format</group>
      <groupName>格式问题</groupName>
      <ability>L2_HalfPunc_CN</ability>
      <abilityName>全半角问题</abilityName>
      <candidateList>
        <item>－</item>
      </candidateList>
      <explain>文本全半角错误。</explain>
      <paraID> E986424</paraID>
      <start>54</start>
      <end>55</end>
      <status>unmodified</status>
      <modifiedWord/>
      <trackRevisions>false</trackRevisions>
    </reviewItem>
    <reviewItem>
      <errorID>d794edda-86d9-4c88-b061-f82e83292c1b</errorID>
      <errorWord>-</errorWord>
      <group>L1_Format</group>
      <groupName>格式问题</groupName>
      <ability>L2_HalfPunc_CN</ability>
      <abilityName>全半角问题</abilityName>
      <candidateList>
        <item>－</item>
      </candidateList>
      <explain>文本全半角错误。</explain>
      <paraID> E986424</paraID>
      <start>68</start>
      <end>69</end>
      <status>unmodified</status>
      <modifiedWord/>
      <trackRevisions>false</trackRevisions>
    </reviewItem>
    <reviewItem>
      <errorID>26cac269-8b3e-40a1-8cea-1b63afe401de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E986424</paraID>
      <start>160</start>
      <end>161</end>
      <status>unmodified</status>
      <modifiedWord/>
      <trackRevisions>false</trackRevisions>
    </reviewItem>
    <reviewItem>
      <errorID>65ce0391-dfe7-406e-9db8-daa40b2878b8</errorID>
      <errorWord>的</errorWord>
      <group>L1_Word</group>
      <groupName>字词问题</groupName>
      <ability>L2_DDD</ability>
      <abilityName>的地得用法</abilityName>
      <candidateList>
        <item>地</item>
      </candidateList>
      <explain/>
      <paraID>28476FBB</paraID>
      <start>17</start>
      <end>18</end>
      <status>unmodified</status>
      <modifiedWord/>
      <trackRevisions>false</trackRevisions>
    </reviewItem>
    <reviewItem>
      <errorID>aa7ec2e5-1555-48d9-9e4d-b9ffef8b9143</errorID>
      <errorWord>"</errorWord>
      <group>L1_Format</group>
      <groupName>格式问题</groupName>
      <ability>L2_HalfPunc_CN</ability>
      <abilityName>全半角问题</abilityName>
      <candidateList/>
      <explain>文本全半角错误。</explain>
      <paraID>5064405A</paraID>
      <start>38</start>
      <end>39</end>
      <status>unmodified</status>
      <modifiedWord/>
      <trackRevisions>false</trackRevisions>
    </reviewItem>
    <reviewItem>
      <errorID>388abaa9-213d-4cb1-8640-4fb35bcdbfce</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39F921B0</paraID>
      <start>21</start>
      <end>28</end>
      <status>unmodified</status>
      <modifiedWord/>
      <trackRevisions>false</trackRevisions>
    </reviewItem>
    <reviewItem>
      <errorID>83d52a7c-5c92-444d-882d-005a415b6b5f</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 E35273F</paraID>
      <start>100</start>
      <end>107</end>
      <status>unmodified</status>
      <modifiedWord/>
      <trackRevisions>false</trackRevisions>
    </reviewItem>
    <reviewItem>
      <errorID>0f0608ef-0afe-4e3b-a7f0-faf0ef3163f0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120C470F</paraID>
      <start>0</start>
      <end>2</end>
      <status>unmodified</status>
      <modifiedWord/>
      <trackRevisions>false</trackRevisions>
    </reviewItem>
    <reviewItem>
      <errorID>5fceae86-4d5d-4e2d-be78-515765dbf4a9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6330ACFB</paraID>
      <start>0</start>
      <end>2</end>
      <status>unmodified</status>
      <modifiedWord/>
      <trackRevisions>false</trackRevisions>
    </reviewItem>
    <reviewItem>
      <errorID>cf1bf635-3ba8-47e6-9d5e-630098280ed5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28B79F27</paraID>
      <start>0</start>
      <end>2</end>
      <status>unmodified</status>
      <modifiedWord/>
      <trackRevisions>false</trackRevisions>
    </reviewItem>
    <reviewItem>
      <errorID>2b422f8c-5ac1-4b69-80a8-0e022a8d57cc</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1C04A490</paraID>
      <start>0</start>
      <end>2</end>
      <status>unmodified</status>
      <modifiedWord/>
      <trackRevisions>false</trackRevisions>
    </reviewItem>
    <reviewItem>
      <errorID>9eb77bbf-7391-427d-8922-5d867fd26bf9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2D8E25A6</paraID>
      <start>0</start>
      <end>2</end>
      <status>unmodified</status>
      <modifiedWord/>
      <trackRevisions>false</trackRevisions>
    </reviewItem>
    <reviewItem>
      <errorID>a21583e0-8c42-43c9-8bce-70d0076091b3</errorID>
      <errorWord>属</errorWord>
      <group>L1_Word</group>
      <groupName>字词问题</groupName>
      <ability>L2_Typo</ability>
      <abilityName>字词错误</abilityName>
      <candidateList>
        <item>属于</item>
      </candidateList>
      <explain/>
      <paraID> F865467</paraID>
      <start>9</start>
      <end>10</end>
      <status>unmodified</status>
      <modifiedWord/>
      <trackRevisions>false</trackRevisions>
    </reviewItem>
    <reviewItem>
      <errorID>98869c13-856c-4d83-920e-f4bee1db1435</errorID>
      <errorWord>以便使</errorWord>
      <group>L1_Word</group>
      <groupName>字词问题</groupName>
      <ability>L2_Typo</ability>
      <abilityName>字词错误</abilityName>
      <candidateList>
        <item>以便</item>
      </candidateList>
      <explain/>
      <paraID>1AFA11C9</paraID>
      <start>41</start>
      <end>44</end>
      <status>unmodified</status>
      <modifiedWord/>
      <trackRevisions>false</trackRevisions>
    </reviewItem>
    <reviewItem>
      <errorID>a9cb14fc-5b46-4a5f-a39a-5ce3b45b89f8</errorID>
      <errorWord>个</errorWord>
      <group>L1_Word</group>
      <groupName>字词问题</groupName>
      <ability>L2_Typo</ability>
      <abilityName>字词错误</abilityName>
      <candidateList>
        <item>名</item>
      </candidateList>
      <explain/>
      <paraID>1AFA11C9</paraID>
      <start>45</start>
      <end>46</end>
      <status>unmodified</status>
      <modifiedWord/>
      <trackRevisions>false</trackRevisions>
    </reviewItem>
    <reviewItem>
      <errorID>bc573f0e-591a-42a5-990d-cd648a7d16ce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7D2B3BE0</paraID>
      <start>0</start>
      <end>2</end>
      <status>unmodified</status>
      <modifiedWord/>
      <trackRevisions>false</trackRevisions>
    </reviewItem>
    <reviewItem>
      <errorID>0c473dc2-49a3-4059-acaa-99d0e23423b8</errorID>
      <errorWord>项目的</errorWord>
      <group>L1_Word</group>
      <groupName>字词问题</groupName>
      <ability>L2_Typo</ability>
      <abilityName>字词错误</abilityName>
      <candidateList>
        <item>项目</item>
      </candidateList>
      <explain/>
      <paraID> EFDF5C6</paraID>
      <start>34</start>
      <end>37</end>
      <status>unmodified</status>
      <modifiedWord/>
      <trackRevisions>false</trackRevisions>
    </reviewItem>
    <reviewItem>
      <errorID>7d802648-dfbe-4afc-97eb-a902d49f7f0a</errorID>
      <errorWord>回覆</errorWord>
      <group>L1_Word</group>
      <groupName>字词问题</groupName>
      <ability>L2_Fanti</ability>
      <abilityName>繁转简</abilityName>
      <candidateList>
        <item>回复</item>
      </candidateList>
      <explain/>
      <paraID>5B664042</paraID>
      <start>68</start>
      <end>70</end>
      <status>unmodified</status>
      <modifiedWord/>
      <trackRevisions>false</trackRevisions>
    </reviewItem>
    <reviewItem>
      <errorID>578a3291-6907-4a15-b3b5-0f026527760b</errorID>
      <errorWord>完</errorWord>
      <group>L1_Word</group>
      <groupName>字词问题</groupName>
      <ability>L2_Typo</ability>
      <abilityName>字词错误</abilityName>
      <candidateList>
        <item>完成</item>
      </candidateList>
      <explain/>
      <paraID>427A7453</paraID>
      <start>44</start>
      <end>45</end>
      <status>unmodified</status>
      <modifiedWord/>
      <trackRevisions>false</trackRevisions>
    </reviewItem>
    <reviewItem>
      <errorID>4ad6af97-e9f5-4bb9-9f90-93cface5d22a</errorID>
      <errorWord>、及</errorWord>
      <group>L1_Other</group>
      <groupName>其他问题</groupName>
      <ability>L2_UserTypo</ability>
      <abilityName>自定义错误</abilityName>
      <candidateList>
        <item>及</item>
      </candidateList>
      <explain>来自自定义错词库。</explain>
      <paraID>625571C4</paraID>
      <start>11</start>
      <end>13</end>
      <status>unmodified</status>
      <modifiedWord/>
      <trackRevisions>false</trackRevisions>
    </reviewItem>
    <reviewItem>
      <errorID>d5c37085-7f24-4caf-8dd4-a13e2d1b15a8</errorID>
      <errorWord>常见的</errorWord>
      <group>L1_Word</group>
      <groupName>字词问题</groupName>
      <ability>L2_Typo</ability>
      <abilityName>字词错误</abilityName>
      <candidateList>
        <item>常见</item>
      </candidateList>
      <explain/>
      <paraID>5CD3B549</paraID>
      <start>65</start>
      <end>68</end>
      <status>unmodified</status>
      <modifiedWord/>
      <trackRevisions>false</trackRevisions>
    </reviewItem>
    <reviewItem>
      <errorID>b8f9af1a-df46-45ee-8899-e1063ef14a84</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1780FA59</paraID>
      <start>18</start>
      <end>25</end>
      <status>unmodified</status>
      <modifiedWord/>
      <trackRevisions>false</trackRevisions>
    </reviewItem>
    <reviewItem>
      <errorID>624761a3-25d7-4224-807e-b1fe4fb526a9</errorID>
      <errorWord>拌合站</errorWord>
      <group>L1_Word</group>
      <groupName>字词问题</groupName>
      <ability>L2_Typo</ability>
      <abilityName>字词错误</abilityName>
      <candidateList>
        <item>拌和站</item>
      </candidateList>
      <explain>存在发音相同字词的误用。</explain>
      <paraID> 9996117</paraID>
      <start>133</start>
      <end>136</end>
      <status>unmodified</status>
      <modifiedWord/>
      <trackRevisions>false</trackRevisions>
    </reviewItem>
    <reviewItem>
      <errorID>f78f9a2a-9f68-4a58-9f07-0a85df65a593</errorID>
      <errorWord>回覆</errorWord>
      <group>L1_Word</group>
      <groupName>字词问题</groupName>
      <ability>L2_Fanti</ability>
      <abilityName>繁转简</abilityName>
      <candidateList>
        <item>回复</item>
      </candidateList>
      <explain/>
      <paraID>336E37EC</paraID>
      <start>123</start>
      <end>125</end>
      <status>unmodified</status>
      <modifiedWord/>
      <trackRevisions>false</trackRevisions>
    </reviewItem>
    <reviewItem>
      <errorID>1b348df1-0366-4603-baac-47be73829980</errorID>
      <errorWord>如若</errorWord>
      <group>L1_Word</group>
      <groupName>字词问题</groupName>
      <ability>L2_Typo</ability>
      <abilityName>字词错误</abilityName>
      <candidateList>
        <item>若</item>
      </candidateList>
      <explain/>
      <paraID> FBD073F</paraID>
      <start>100</start>
      <end>102</end>
      <status>unmodified</status>
      <modifiedWord/>
      <trackRevisions>false</trackRevisions>
    </reviewItem>
    <reviewItem>
      <errorID>cabadd7c-1dcd-44a8-9d01-c79c25198ff5</errorID>
      <errorWord>造成了</errorWord>
      <group>L1_Word</group>
      <groupName>字词问题</groupName>
      <ability>L2_Typo</ability>
      <abilityName>字词错误</abilityName>
      <candidateList>
        <item>造成</item>
      </candidateList>
      <explain/>
      <paraID>2B2BC97A</paraID>
      <start>26</start>
      <end>29</end>
      <status>unmodified</status>
      <modifiedWord/>
      <trackRevisions>false</trackRevisions>
    </reviewItem>
    <reviewItem>
      <errorID>ccd9b62e-ba0f-49b1-880f-19e21360279d</errorID>
      <errorWord>受到破坏</errorWord>
      <group>L1_Word</group>
      <groupName>字词问题</groupName>
      <ability>L2_Typo</ability>
      <abilityName>字词错误</abilityName>
      <candidateList>
        <item>受破坏</item>
      </candidateList>
      <explain/>
      <paraID>2B2BC97A</paraID>
      <start>65</start>
      <end>69</end>
      <status>unmodified</status>
      <modifiedWord/>
      <trackRevisions>false</trackRevisions>
    </reviewItem>
    <reviewItem>
      <errorID>d28dd489-65d4-48a3-9b23-7b1b18786706</errorID>
      <errorWord>生态红线</errorWord>
      <group>L1_Political</group>
      <groupName>政治性问题</groupName>
      <ability>L2_Unpolitical</ability>
      <abilityName>政治敏感错误</abilityName>
      <candidateList>
        <item>生态保护红线</item>
      </candidateList>
      <explain/>
      <paraID>6F694970</paraID>
      <start>7</start>
      <end>11</end>
      <status>unmodified</status>
      <modifiedWord/>
      <trackRevisions>false</trackRevisions>
    </reviewItem>
    <reviewItem>
      <errorID>d16b6767-ce91-4b18-8e0d-9ca47a510f03</errorID>
      <errorWord>扫略</errorWord>
      <group>L1_Word</group>
      <groupName>字词问题</groupName>
      <ability>L2_Typo</ability>
      <abilityName>字词错误</abilityName>
      <candidateList>
        <item>扫描</item>
      </candidateList>
      <explain/>
      <paraID>48DCF926</paraID>
      <start>30</start>
      <end>32</end>
      <status>unmodified</status>
      <modifiedWord/>
      <trackRevisions>false</trackRevisions>
    </reviewItem>
    <reviewItem>
      <errorID>509f379c-93d0-4ff4-b170-17a3c8f8e958</errorID>
      <errorWord>针对</errorWord>
      <group>L1_Word</group>
      <groupName>字词问题</groupName>
      <ability>L2_Typo</ability>
      <abilityName>字词错误</abilityName>
      <candidateList>
        <item>对</item>
      </candidateList>
      <explain/>
      <paraID>447F740E</paraID>
      <start>84</start>
      <end>86</end>
      <status>unmodified</status>
      <modifiedWord/>
      <trackRevisions>false</trackRevisions>
    </reviewItem>
    <reviewItem>
      <errorID>ebc9f6a9-13ee-492e-a0b1-4c2ec3647762</errorID>
      <errorWord>场</errorWord>
      <group>L1_Word</group>
      <groupName>字词问题</groupName>
      <ability>L2_Typo</ability>
      <abilityName>字词错误</abilityName>
      <candidateList>
        <item>厂</item>
      </candidateList>
      <explain>存在发音相同字词的误用。</explain>
      <paraID> 1E7FB38</paraID>
      <start>0</start>
      <end>1</end>
      <status>unmodified</status>
      <modifiedWord/>
      <trackRevisions>false</trackRevisions>
    </reviewItem>
    <reviewItem>
      <errorID>3919a818-d92e-466e-a1ff-99696383387a</errorID>
      <errorWord>~</errorWord>
      <group>L1_Format</group>
      <groupName>格式问题</groupName>
      <ability>L2_HalfPunc_CN</ability>
      <abilityName>全半角问题</abilityName>
      <candidateList>
        <item>～</item>
      </candidateList>
      <explain>文本全半角错误。</explain>
      <paraID>6EA10970</paraID>
      <start>14</start>
      <end>15</end>
      <status>unmodified</status>
      <modifiedWord/>
      <trackRevisions>false</trackRevisions>
    </reviewItem>
    <reviewItem>
      <errorID>96c6e46b-95a6-4755-902f-04d688d70ab0</errorID>
      <errorWord>~</errorWord>
      <group>L1_Format</group>
      <groupName>格式问题</groupName>
      <ability>L2_HalfPunc_CN</ability>
      <abilityName>全半角问题</abilityName>
      <candidateList>
        <item>～</item>
      </candidateList>
      <explain>文本全半角错误。</explain>
      <paraID>6383B6DD</paraID>
      <start>8</start>
      <end>9</end>
      <status>unmodified</status>
      <modifiedWord/>
      <trackRevisions>false</trackRevisions>
    </reviewItem>
    <reviewItem>
      <errorID>5dfe79cc-5ee1-41a7-8a4c-ae80d788291f</errorID>
      <errorWord>设</errorWord>
      <group>L1_Word</group>
      <groupName>字词问题</groupName>
      <ability>L2_Typo</ability>
      <abilityName>字词错误</abilityName>
      <candidateList>
        <item>设立</item>
      </candidateList>
      <explain/>
      <paraID>2440500C</paraID>
      <start>17</start>
      <end>18</end>
      <status>unmodified</status>
      <modifiedWord/>
      <trackRevisions>false</trackRevisions>
    </reviewItem>
    <reviewItem>
      <errorID>70078251-0ff2-4bbe-9288-a267dd0bf01d</errorID>
      <errorWord>程</errorWord>
      <group>L1_Word</group>
      <groupName>字词问题</groupName>
      <ability>L2_Typo</ability>
      <abilityName>字词错误</abilityName>
      <candidateList>
        <item>程中</item>
      </candidateList>
      <explain/>
      <paraID>4387BD72</paraID>
      <start>34</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5bf3ab-0313-4e6f-874c-953a589082df}">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15192</Words>
  <Characters>15973</Characters>
  <Lines>0</Lines>
  <Paragraphs>0</Paragraphs>
  <TotalTime>72</TotalTime>
  <ScaleCrop>false</ScaleCrop>
  <LinksUpToDate>false</LinksUpToDate>
  <CharactersWithSpaces>16084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2022-07-29T03:03:00Z</dcterms:created>
  <dc:creator>ad</dc:creator>
  <cp:lastModifiedBy>哲</cp:lastModifiedBy>
  <cp:lastPrinted>2022-12-09T09:05:00Z</cp:lastPrinted>
  <dcterms:modified xsi:type="dcterms:W3CDTF">2026-07-24T08:59:06Z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0F1732B5AA5E4DA48849B61359E31142_13</vt:lpwstr>
  </property>
  <property fmtid="{D5CDD505-2E9C-101B-9397-08002B2CF9AE}" pid="4" name="KSOTemplateDocerSaveRecord">
    <vt:lpwstr>eyJoZGlkIjoiMTJhMDI5YTE1YmQwOTA1ODJkMDcwYzE2MTg1ODJiNzIiLCJ1c2VySWQiOiI1OTA0ODk3NzAifQ==</vt:lpwstr>
  </property>
</Properties>
</file>