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0ADA9">
      <w:pPr>
        <w:spacing w:line="240" w:lineRule="auto"/>
        <w:rPr>
          <w:rFonts w:hint="default" w:ascii="Times New Roman" w:hAnsi="Times New Roman" w:eastAsia="仿宋_GB2312" w:cs="Times New Roman"/>
          <w:color w:val="000000" w:themeColor="text1"/>
          <w:sz w:val="36"/>
          <w:szCs w:val="36"/>
          <w14:textFill>
            <w14:solidFill>
              <w14:schemeClr w14:val="tx1"/>
            </w14:solidFill>
          </w14:textFill>
        </w:rPr>
      </w:pPr>
      <w:bookmarkStart w:id="0" w:name="_Hlk57883707"/>
    </w:p>
    <w:p w14:paraId="040C178D">
      <w:pPr>
        <w:spacing w:line="240" w:lineRule="auto"/>
        <w:rPr>
          <w:rFonts w:hint="default" w:ascii="Times New Roman" w:hAnsi="Times New Roman" w:eastAsia="仿宋_GB2312" w:cs="Times New Roman"/>
          <w:color w:val="000000" w:themeColor="text1"/>
          <w:sz w:val="36"/>
          <w:szCs w:val="36"/>
          <w14:textFill>
            <w14:solidFill>
              <w14:schemeClr w14:val="tx1"/>
            </w14:solidFill>
          </w14:textFill>
        </w:rPr>
      </w:pPr>
    </w:p>
    <w:p w14:paraId="372FCB82">
      <w:pPr>
        <w:spacing w:line="240" w:lineRule="auto"/>
        <w:rPr>
          <w:rFonts w:hint="default" w:ascii="Times New Roman" w:hAnsi="Times New Roman" w:eastAsia="仿宋_GB2312" w:cs="Times New Roman"/>
          <w:color w:val="000000" w:themeColor="text1"/>
          <w:sz w:val="36"/>
          <w:szCs w:val="36"/>
          <w14:textFill>
            <w14:solidFill>
              <w14:schemeClr w14:val="tx1"/>
            </w14:solidFill>
          </w14:textFill>
        </w:rPr>
      </w:pPr>
    </w:p>
    <w:p w14:paraId="2733F993">
      <w:pPr>
        <w:spacing w:line="240" w:lineRule="auto"/>
        <w:rPr>
          <w:rFonts w:hint="default" w:ascii="Times New Roman" w:hAnsi="Times New Roman" w:eastAsia="仿宋_GB2312" w:cs="Times New Roman"/>
          <w:color w:val="000000" w:themeColor="text1"/>
          <w:sz w:val="36"/>
          <w:szCs w:val="36"/>
          <w14:textFill>
            <w14:solidFill>
              <w14:schemeClr w14:val="tx1"/>
            </w14:solidFill>
          </w14:textFill>
        </w:rPr>
      </w:pPr>
    </w:p>
    <w:p w14:paraId="5408FB12">
      <w:pPr>
        <w:pStyle w:val="2"/>
        <w:ind w:firstLine="602"/>
        <w:rPr>
          <w:rFonts w:hint="default" w:ascii="Times New Roman" w:hAnsi="Times New Roman" w:cs="Times New Roman"/>
          <w:color w:val="000000" w:themeColor="text1"/>
          <w14:textFill>
            <w14:solidFill>
              <w14:schemeClr w14:val="tx1"/>
            </w14:solidFill>
          </w14:textFill>
        </w:rPr>
      </w:pPr>
    </w:p>
    <w:bookmarkEnd w:id="0"/>
    <w:p w14:paraId="57799984">
      <w:pPr>
        <w:spacing w:line="240" w:lineRule="auto"/>
        <w:ind w:firstLine="0" w:firstLineChars="0"/>
        <w:jc w:val="center"/>
        <w:outlineLvl w:val="0"/>
        <w:rPr>
          <w:rFonts w:hint="default" w:ascii="Times New Roman" w:hAnsi="Times New Roman" w:eastAsia="方正小标宋_GBK" w:cs="Times New Roman"/>
          <w:bCs/>
          <w:color w:val="000000" w:themeColor="text1"/>
          <w:sz w:val="72"/>
          <w:szCs w:val="72"/>
          <w14:textFill>
            <w14:solidFill>
              <w14:schemeClr w14:val="tx1"/>
            </w14:solidFill>
          </w14:textFill>
        </w:rPr>
      </w:pPr>
      <w:r>
        <w:rPr>
          <w:rFonts w:hint="default" w:ascii="Times New Roman" w:hAnsi="Times New Roman" w:eastAsia="方正小标宋_GBK" w:cs="Times New Roman"/>
          <w:bCs/>
          <w:color w:val="000000" w:themeColor="text1"/>
          <w:sz w:val="72"/>
          <w:szCs w:val="72"/>
          <w14:textFill>
            <w14:solidFill>
              <w14:schemeClr w14:val="tx1"/>
            </w14:solidFill>
          </w14:textFill>
        </w:rPr>
        <w:t>建设项目环境影响报告表</w:t>
      </w:r>
    </w:p>
    <w:p w14:paraId="6E48895A">
      <w:pPr>
        <w:spacing w:before="192" w:beforeLines="80" w:line="240" w:lineRule="auto"/>
        <w:ind w:firstLine="0" w:firstLineChars="0"/>
        <w:jc w:val="center"/>
        <w:rPr>
          <w:rFonts w:hint="default" w:ascii="Times New Roman" w:hAnsi="Times New Roman" w:eastAsia="楷体_GB2312" w:cs="Times New Roman"/>
          <w:bCs/>
          <w:color w:val="000000" w:themeColor="text1"/>
          <w:sz w:val="48"/>
          <w:szCs w:val="48"/>
          <w14:textFill>
            <w14:solidFill>
              <w14:schemeClr w14:val="tx1"/>
            </w14:solidFill>
          </w14:textFill>
        </w:rPr>
      </w:pPr>
      <w:r>
        <w:rPr>
          <w:rFonts w:hint="default" w:ascii="Times New Roman" w:hAnsi="Times New Roman" w:eastAsia="楷体_GB2312" w:cs="Times New Roman"/>
          <w:bCs/>
          <w:color w:val="000000" w:themeColor="text1"/>
          <w:sz w:val="48"/>
          <w:szCs w:val="48"/>
          <w14:textFill>
            <w14:solidFill>
              <w14:schemeClr w14:val="tx1"/>
            </w14:solidFill>
          </w14:textFill>
        </w:rPr>
        <w:t>（生态影响类）</w:t>
      </w:r>
    </w:p>
    <w:p w14:paraId="63C1608E">
      <w:pPr>
        <w:spacing w:line="288" w:lineRule="auto"/>
        <w:ind w:firstLine="0" w:firstLineChars="0"/>
        <w:jc w:val="center"/>
        <w:outlineLvl w:val="0"/>
        <w:rPr>
          <w:rFonts w:hint="default" w:ascii="Times New Roman" w:hAnsi="Times New Roman" w:eastAsia="华文仿宋" w:cs="Times New Roman"/>
          <w:color w:val="000000" w:themeColor="text1"/>
          <w:kern w:val="44"/>
          <w:sz w:val="44"/>
          <w:szCs w:val="44"/>
          <w14:textFill>
            <w14:solidFill>
              <w14:schemeClr w14:val="tx1"/>
            </w14:solidFill>
          </w14:textFill>
        </w:rPr>
      </w:pPr>
      <w:bookmarkStart w:id="1" w:name="_Hlk57883728"/>
    </w:p>
    <w:p w14:paraId="328C7D87">
      <w:pPr>
        <w:spacing w:line="240" w:lineRule="auto"/>
        <w:ind w:firstLine="0" w:firstLineChars="0"/>
        <w:jc w:val="center"/>
        <w:rPr>
          <w:rFonts w:hint="default" w:ascii="Times New Roman" w:hAnsi="Times New Roman" w:eastAsia="仿宋" w:cs="Times New Roman"/>
          <w:color w:val="000000" w:themeColor="text1"/>
          <w:sz w:val="52"/>
          <w:szCs w:val="52"/>
          <w14:textFill>
            <w14:solidFill>
              <w14:schemeClr w14:val="tx1"/>
            </w14:solidFill>
          </w14:textFill>
        </w:rPr>
      </w:pPr>
    </w:p>
    <w:p w14:paraId="73C9B00D">
      <w:pPr>
        <w:spacing w:line="240" w:lineRule="auto"/>
        <w:ind w:firstLine="0" w:firstLineChars="0"/>
        <w:rPr>
          <w:rFonts w:hint="default" w:ascii="Times New Roman" w:hAnsi="Times New Roman" w:eastAsia="仿宋" w:cs="Times New Roman"/>
          <w:color w:val="000000" w:themeColor="text1"/>
          <w:sz w:val="44"/>
          <w:szCs w:val="44"/>
          <w14:textFill>
            <w14:solidFill>
              <w14:schemeClr w14:val="tx1"/>
            </w14:solidFill>
          </w14:textFill>
        </w:rPr>
      </w:pPr>
    </w:p>
    <w:p w14:paraId="102D2EF7">
      <w:pPr>
        <w:spacing w:line="240" w:lineRule="auto"/>
        <w:ind w:firstLine="0" w:firstLineChars="0"/>
        <w:rPr>
          <w:rFonts w:hint="default" w:ascii="Times New Roman" w:hAnsi="Times New Roman" w:eastAsia="仿宋" w:cs="Times New Roman"/>
          <w:color w:val="000000" w:themeColor="text1"/>
          <w:sz w:val="44"/>
          <w:szCs w:val="44"/>
          <w14:textFill>
            <w14:solidFill>
              <w14:schemeClr w14:val="tx1"/>
            </w14:solidFill>
          </w14:textFill>
        </w:rPr>
      </w:pPr>
    </w:p>
    <w:p w14:paraId="5F85EE27">
      <w:pPr>
        <w:spacing w:line="240" w:lineRule="auto"/>
        <w:ind w:firstLine="0" w:firstLineChars="0"/>
        <w:rPr>
          <w:rFonts w:hint="default" w:ascii="Times New Roman" w:hAnsi="Times New Roman" w:eastAsia="仿宋" w:cs="Times New Roman"/>
          <w:color w:val="000000" w:themeColor="text1"/>
          <w:sz w:val="44"/>
          <w:szCs w:val="44"/>
          <w14:textFill>
            <w14:solidFill>
              <w14:schemeClr w14:val="tx1"/>
            </w14:solidFill>
          </w14:textFill>
        </w:rPr>
      </w:pPr>
    </w:p>
    <w:p w14:paraId="2F255199">
      <w:pPr>
        <w:pStyle w:val="2"/>
        <w:ind w:firstLine="883"/>
        <w:rPr>
          <w:rFonts w:hint="default" w:ascii="Times New Roman" w:hAnsi="Times New Roman" w:eastAsia="仿宋" w:cs="Times New Roman"/>
          <w:color w:val="000000" w:themeColor="text1"/>
          <w:sz w:val="44"/>
          <w:szCs w:val="44"/>
          <w14:textFill>
            <w14:solidFill>
              <w14:schemeClr w14:val="tx1"/>
            </w14:solidFill>
          </w14:textFill>
        </w:rPr>
      </w:pPr>
    </w:p>
    <w:p w14:paraId="16E21ABA">
      <w:pPr>
        <w:spacing w:line="240" w:lineRule="auto"/>
        <w:ind w:firstLine="0" w:firstLineChars="0"/>
        <w:rPr>
          <w:rFonts w:hint="default" w:ascii="Times New Roman" w:hAnsi="Times New Roman" w:eastAsia="仿宋" w:cs="Times New Roman"/>
          <w:color w:val="000000" w:themeColor="text1"/>
          <w:sz w:val="44"/>
          <w:szCs w:val="44"/>
          <w14:textFill>
            <w14:solidFill>
              <w14:schemeClr w14:val="tx1"/>
            </w14:solidFill>
          </w14:textFill>
        </w:rPr>
      </w:pPr>
    </w:p>
    <w:bookmarkEnd w:id="1"/>
    <w:p w14:paraId="25139D67">
      <w:pPr>
        <w:ind w:firstLine="0" w:firstLineChars="0"/>
        <w:jc w:val="left"/>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项目名称：</w:t>
      </w:r>
      <w:r>
        <w:rPr>
          <w:rFonts w:hint="default" w:ascii="Times New Roman" w:hAnsi="Times New Roman" w:eastAsia="仿宋_GB2312" w:cs="Times New Roman"/>
          <w:color w:val="000000" w:themeColor="text1"/>
          <w:sz w:val="36"/>
          <w:szCs w:val="36"/>
          <w:u w:val="single"/>
          <w14:textFill>
            <w14:solidFill>
              <w14:schemeClr w14:val="tx1"/>
            </w14:solidFill>
          </w14:textFill>
        </w:rPr>
        <w:t xml:space="preserve">        </w:t>
      </w:r>
      <w:r>
        <w:rPr>
          <w:rFonts w:hint="default" w:ascii="Times New Roman" w:hAnsi="Times New Roman" w:eastAsia="仿宋_GB2312" w:cs="Times New Roman"/>
          <w:color w:val="000000" w:themeColor="text1"/>
          <w:sz w:val="36"/>
          <w:szCs w:val="36"/>
          <w:u w:val="single"/>
          <w:lang w:eastAsia="zh-CN"/>
          <w14:textFill>
            <w14:solidFill>
              <w14:schemeClr w14:val="tx1"/>
            </w14:solidFill>
          </w14:textFill>
        </w:rPr>
        <w:t>陆西1井勘探钻探项目</w:t>
      </w:r>
      <w:r>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t xml:space="preserve">           </w:t>
      </w:r>
    </w:p>
    <w:p w14:paraId="560A829A">
      <w:pPr>
        <w:ind w:left="1620" w:hanging="1620" w:hangingChars="450"/>
        <w:jc w:val="left"/>
        <w:rPr>
          <w:rFonts w:hint="default" w:ascii="Times New Roman" w:hAnsi="Times New Roman" w:eastAsia="仿宋_GB2312" w:cs="Times New Roman"/>
          <w:color w:val="000000" w:themeColor="text1"/>
          <w:sz w:val="36"/>
          <w:szCs w:val="36"/>
          <w:u w:val="single"/>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建设单位：</w:t>
      </w:r>
      <w:r>
        <w:rPr>
          <w:rFonts w:hint="default" w:ascii="Times New Roman" w:hAnsi="Times New Roman" w:eastAsia="仿宋_GB2312" w:cs="Times New Roman"/>
          <w:color w:val="000000" w:themeColor="text1"/>
          <w:sz w:val="36"/>
          <w:szCs w:val="36"/>
          <w:u w:val="single"/>
          <w14:textFill>
            <w14:solidFill>
              <w14:schemeClr w14:val="tx1"/>
            </w14:solidFill>
          </w14:textFill>
        </w:rPr>
        <w:t xml:space="preserve">     中国石油新疆油田分公司勘探事业部  </w:t>
      </w:r>
    </w:p>
    <w:p w14:paraId="7E5D95EC">
      <w:pPr>
        <w:ind w:firstLine="0" w:firstLineChars="0"/>
        <w:rPr>
          <w:rFonts w:hint="default" w:ascii="Times New Roman" w:hAnsi="Times New Roman" w:eastAsia="仿宋_GB2312" w:cs="Times New Roman"/>
          <w:color w:val="000000" w:themeColor="text1"/>
          <w:sz w:val="36"/>
          <w:szCs w:val="36"/>
          <w:u w:val="single"/>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编制日期：</w:t>
      </w:r>
      <w:r>
        <w:rPr>
          <w:rFonts w:hint="default" w:ascii="Times New Roman" w:hAnsi="Times New Roman" w:eastAsia="仿宋_GB2312" w:cs="Times New Roman"/>
          <w:color w:val="000000" w:themeColor="text1"/>
          <w:sz w:val="36"/>
          <w:szCs w:val="36"/>
          <w:u w:val="single"/>
          <w14:textFill>
            <w14:solidFill>
              <w14:schemeClr w14:val="tx1"/>
            </w14:solidFill>
          </w14:textFill>
        </w:rPr>
        <w:t xml:space="preserve">              202</w:t>
      </w:r>
      <w:r>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6"/>
          <w:szCs w:val="36"/>
          <w:u w:val="single"/>
          <w14:textFill>
            <w14:solidFill>
              <w14:schemeClr w14:val="tx1"/>
            </w14:solidFill>
          </w14:textFill>
        </w:rPr>
        <w:t>年</w:t>
      </w:r>
      <w:r>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t>7</w:t>
      </w:r>
      <w:r>
        <w:rPr>
          <w:rFonts w:hint="default" w:ascii="Times New Roman" w:hAnsi="Times New Roman" w:eastAsia="仿宋_GB2312" w:cs="Times New Roman"/>
          <w:color w:val="000000" w:themeColor="text1"/>
          <w:sz w:val="36"/>
          <w:szCs w:val="36"/>
          <w:u w:val="single"/>
          <w14:textFill>
            <w14:solidFill>
              <w14:schemeClr w14:val="tx1"/>
            </w14:solidFill>
          </w14:textFill>
        </w:rPr>
        <w:t xml:space="preserve">月              </w:t>
      </w:r>
    </w:p>
    <w:p w14:paraId="7F14CEEB">
      <w:pPr>
        <w:ind w:firstLine="0" w:firstLineChars="0"/>
        <w:rPr>
          <w:rFonts w:hint="default" w:ascii="Times New Roman" w:hAnsi="Times New Roman" w:eastAsia="仿宋_GB2312" w:cs="Times New Roman"/>
          <w:color w:val="000000" w:themeColor="text1"/>
          <w:sz w:val="36"/>
          <w:szCs w:val="36"/>
          <w:u w:val="single"/>
          <w14:textFill>
            <w14:solidFill>
              <w14:schemeClr w14:val="tx1"/>
            </w14:solidFill>
          </w14:textFill>
        </w:rPr>
      </w:pPr>
    </w:p>
    <w:p w14:paraId="0236754B">
      <w:pPr>
        <w:spacing w:line="288" w:lineRule="auto"/>
        <w:ind w:firstLine="0" w:firstLineChars="0"/>
        <w:rPr>
          <w:rFonts w:hint="default" w:ascii="Times New Roman" w:hAnsi="Times New Roman" w:eastAsia="仿宋_GB2312" w:cs="Times New Roman"/>
          <w:color w:val="000000" w:themeColor="text1"/>
          <w:sz w:val="36"/>
          <w:szCs w:val="36"/>
          <w14:textFill>
            <w14:solidFill>
              <w14:schemeClr w14:val="tx1"/>
            </w14:solidFill>
          </w14:textFill>
        </w:rPr>
      </w:pPr>
    </w:p>
    <w:p w14:paraId="6FD36965">
      <w:pPr>
        <w:spacing w:line="288" w:lineRule="auto"/>
        <w:ind w:firstLine="0" w:firstLineChars="0"/>
        <w:rPr>
          <w:rFonts w:hint="default" w:ascii="Times New Roman" w:hAnsi="Times New Roman" w:eastAsia="仿宋_GB2312" w:cs="Times New Roman"/>
          <w:color w:val="000000" w:themeColor="text1"/>
          <w:sz w:val="36"/>
          <w:szCs w:val="36"/>
          <w14:textFill>
            <w14:solidFill>
              <w14:schemeClr w14:val="tx1"/>
            </w14:solidFill>
          </w14:textFill>
        </w:rPr>
      </w:pPr>
    </w:p>
    <w:p w14:paraId="560B3C25">
      <w:pPr>
        <w:ind w:firstLine="480"/>
        <w:rPr>
          <w:rFonts w:hint="default" w:ascii="Times New Roman" w:hAnsi="Times New Roman" w:cs="Times New Roman"/>
          <w:color w:val="000000" w:themeColor="text1"/>
          <w14:textFill>
            <w14:solidFill>
              <w14:schemeClr w14:val="tx1"/>
            </w14:solidFill>
          </w14:textFill>
        </w:rPr>
      </w:pPr>
    </w:p>
    <w:p w14:paraId="22331395">
      <w:pPr>
        <w:spacing w:line="288" w:lineRule="auto"/>
        <w:ind w:firstLine="0" w:firstLineChars="0"/>
        <w:jc w:val="center"/>
        <w:rPr>
          <w:rFonts w:hint="default" w:ascii="Times New Roman" w:hAnsi="Times New Roman" w:eastAsia="楷体_GB2312" w:cs="Times New Roman"/>
          <w:color w:val="000000" w:themeColor="text1"/>
          <w:sz w:val="36"/>
          <w:szCs w:val="36"/>
          <w14:textFill>
            <w14:solidFill>
              <w14:schemeClr w14:val="tx1"/>
            </w14:solidFill>
          </w14:textFill>
        </w:rPr>
      </w:pPr>
      <w:r>
        <w:rPr>
          <w:rFonts w:hint="default" w:ascii="Times New Roman" w:hAnsi="Times New Roman" w:eastAsia="楷体_GB2312" w:cs="Times New Roman"/>
          <w:color w:val="000000" w:themeColor="text1"/>
          <w:sz w:val="36"/>
          <w:szCs w:val="36"/>
          <w14:textFill>
            <w14:solidFill>
              <w14:schemeClr w14:val="tx1"/>
            </w14:solidFill>
          </w14:textFill>
        </w:rPr>
        <w:t>中华人民共和国生态环境部制</w:t>
      </w:r>
    </w:p>
    <w:p w14:paraId="72351BE4">
      <w:pPr>
        <w:pStyle w:val="3"/>
        <w:rPr>
          <w:rFonts w:hint="default" w:ascii="Times New Roman" w:hAnsi="Times New Roman" w:cs="Times New Roman"/>
          <w:bCs w:val="0"/>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NumType w:start="1"/>
          <w:cols w:space="720" w:num="1"/>
          <w:docGrid w:linePitch="312" w:charSpace="0"/>
        </w:sectPr>
      </w:pPr>
    </w:p>
    <w:p w14:paraId="47F30925">
      <w:pPr>
        <w:pStyle w:val="15"/>
        <w:adjustRightInd/>
        <w:snapToGrid/>
        <w:spacing w:line="240" w:lineRule="auto"/>
        <w:ind w:firstLine="0" w:firstLineChars="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一、建设项目基本情况</w:t>
      </w:r>
    </w:p>
    <w:tbl>
      <w:tblPr>
        <w:tblStyle w:val="16"/>
        <w:tblW w:w="8840"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00"/>
        <w:gridCol w:w="1141"/>
        <w:gridCol w:w="2081"/>
        <w:gridCol w:w="2210"/>
        <w:gridCol w:w="8"/>
        <w:gridCol w:w="2800"/>
      </w:tblGrid>
      <w:tr w14:paraId="1D8A8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741" w:type="dxa"/>
            <w:gridSpan w:val="2"/>
            <w:tcMar>
              <w:top w:w="16" w:type="dxa"/>
              <w:left w:w="16" w:type="dxa"/>
              <w:right w:w="16" w:type="dxa"/>
            </w:tcMar>
            <w:vAlign w:val="center"/>
          </w:tcPr>
          <w:p w14:paraId="5B8A0AE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建设项目名称</w:t>
            </w:r>
          </w:p>
        </w:tc>
        <w:tc>
          <w:tcPr>
            <w:tcW w:w="7099" w:type="dxa"/>
            <w:gridSpan w:val="4"/>
            <w:vAlign w:val="center"/>
          </w:tcPr>
          <w:p w14:paraId="14731D04">
            <w:pPr>
              <w:spacing w:line="240" w:lineRule="auto"/>
              <w:ind w:firstLine="0" w:firstLineChars="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陆西1井勘探钻探项目</w:t>
            </w:r>
          </w:p>
        </w:tc>
      </w:tr>
      <w:tr w14:paraId="5D7763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741" w:type="dxa"/>
            <w:gridSpan w:val="2"/>
            <w:tcMar>
              <w:top w:w="16" w:type="dxa"/>
              <w:left w:w="16" w:type="dxa"/>
              <w:right w:w="16" w:type="dxa"/>
            </w:tcMar>
            <w:vAlign w:val="center"/>
          </w:tcPr>
          <w:p w14:paraId="7BE7D5F6">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项目代码</w:t>
            </w:r>
          </w:p>
        </w:tc>
        <w:tc>
          <w:tcPr>
            <w:tcW w:w="7099" w:type="dxa"/>
            <w:gridSpan w:val="4"/>
            <w:vAlign w:val="center"/>
          </w:tcPr>
          <w:p w14:paraId="1B0FE9C7">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无</w:t>
            </w:r>
          </w:p>
        </w:tc>
      </w:tr>
      <w:tr w14:paraId="52D58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741" w:type="dxa"/>
            <w:gridSpan w:val="2"/>
            <w:tcMar>
              <w:top w:w="16" w:type="dxa"/>
              <w:left w:w="16" w:type="dxa"/>
              <w:right w:w="16" w:type="dxa"/>
            </w:tcMar>
            <w:vAlign w:val="center"/>
          </w:tcPr>
          <w:p w14:paraId="6BE9140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建设单位联系人</w:t>
            </w:r>
          </w:p>
        </w:tc>
        <w:tc>
          <w:tcPr>
            <w:tcW w:w="2081" w:type="dxa"/>
            <w:vAlign w:val="center"/>
          </w:tcPr>
          <w:p w14:paraId="6F0F7D5B">
            <w:pPr>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2218" w:type="dxa"/>
            <w:gridSpan w:val="2"/>
            <w:vAlign w:val="center"/>
          </w:tcPr>
          <w:p w14:paraId="0A5BF4C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联系方式</w:t>
            </w:r>
          </w:p>
        </w:tc>
        <w:tc>
          <w:tcPr>
            <w:tcW w:w="2800" w:type="dxa"/>
            <w:vAlign w:val="center"/>
          </w:tcPr>
          <w:p w14:paraId="26A598F0">
            <w:pPr>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14:paraId="152938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1741" w:type="dxa"/>
            <w:gridSpan w:val="2"/>
            <w:tcMar>
              <w:top w:w="16" w:type="dxa"/>
              <w:left w:w="16" w:type="dxa"/>
              <w:right w:w="16" w:type="dxa"/>
            </w:tcMar>
            <w:vAlign w:val="center"/>
          </w:tcPr>
          <w:p w14:paraId="2FAAE5C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建设地点</w:t>
            </w:r>
          </w:p>
        </w:tc>
        <w:tc>
          <w:tcPr>
            <w:tcW w:w="7099" w:type="dxa"/>
            <w:gridSpan w:val="4"/>
            <w:vAlign w:val="center"/>
          </w:tcPr>
          <w:p w14:paraId="7E163D9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新疆维吾尔自治区塔城地区和布克赛尔蒙古自治县</w:t>
            </w:r>
          </w:p>
        </w:tc>
      </w:tr>
      <w:tr w14:paraId="72DC7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1741" w:type="dxa"/>
            <w:gridSpan w:val="2"/>
            <w:tcMar>
              <w:top w:w="16" w:type="dxa"/>
              <w:left w:w="16" w:type="dxa"/>
              <w:right w:w="16" w:type="dxa"/>
            </w:tcMar>
            <w:vAlign w:val="center"/>
          </w:tcPr>
          <w:p w14:paraId="4792852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地理坐标</w:t>
            </w:r>
          </w:p>
        </w:tc>
        <w:tc>
          <w:tcPr>
            <w:tcW w:w="7099" w:type="dxa"/>
            <w:gridSpan w:val="4"/>
            <w:vAlign w:val="center"/>
          </w:tcPr>
          <w:p w14:paraId="7DDF4DF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陆西1</w:t>
            </w:r>
            <w:r>
              <w:rPr>
                <w:rFonts w:hint="default" w:ascii="Times New Roman" w:hAnsi="Times New Roman" w:cs="Times New Roman"/>
                <w:color w:val="000000" w:themeColor="text1"/>
                <w:sz w:val="21"/>
                <w:szCs w:val="21"/>
                <w14:textFill>
                  <w14:solidFill>
                    <w14:schemeClr w14:val="tx1"/>
                  </w14:solidFill>
                </w14:textFill>
              </w:rPr>
              <w:t>井：</w:t>
            </w:r>
            <w:r>
              <w:rPr>
                <w:rFonts w:hint="eastAsia" w:cs="Times New Roman"/>
                <w:color w:val="000000" w:themeColor="text1"/>
                <w:sz w:val="21"/>
                <w:szCs w:val="21"/>
                <w:lang w:val="en-US" w:eastAsia="zh-CN"/>
                <w14:textFill>
                  <w14:solidFill>
                    <w14:schemeClr w14:val="tx1"/>
                  </w14:solidFill>
                </w14:textFill>
              </w:rPr>
              <w:t>***</w:t>
            </w:r>
          </w:p>
        </w:tc>
      </w:tr>
      <w:tr w14:paraId="6727A7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741" w:type="dxa"/>
            <w:gridSpan w:val="2"/>
            <w:tcMar>
              <w:top w:w="16" w:type="dxa"/>
              <w:left w:w="16" w:type="dxa"/>
              <w:right w:w="16" w:type="dxa"/>
            </w:tcMar>
            <w:vAlign w:val="center"/>
          </w:tcPr>
          <w:p w14:paraId="6E8B4AD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建设项目</w:t>
            </w:r>
          </w:p>
          <w:p w14:paraId="1BC3CB5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行业类别</w:t>
            </w:r>
          </w:p>
        </w:tc>
        <w:tc>
          <w:tcPr>
            <w:tcW w:w="2081" w:type="dxa"/>
            <w:vAlign w:val="center"/>
          </w:tcPr>
          <w:p w14:paraId="5297DA5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四十六、专业技术服务业99陆地矿产资源地质勘查（含油气资源勘探）；二氧化碳地质封存</w:t>
            </w:r>
          </w:p>
        </w:tc>
        <w:tc>
          <w:tcPr>
            <w:tcW w:w="2210" w:type="dxa"/>
            <w:vAlign w:val="center"/>
          </w:tcPr>
          <w:p w14:paraId="513BEA4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用地（用海）面积（m</w:t>
            </w:r>
            <w:r>
              <w:rPr>
                <w:rFonts w:hint="default" w:ascii="Times New Roman" w:hAnsi="Times New Roman" w:cs="Times New Roman"/>
                <w:color w:val="000000" w:themeColor="text1"/>
                <w:sz w:val="21"/>
                <w:szCs w:val="21"/>
                <w:vertAlign w:val="super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）/长度（km）</w:t>
            </w:r>
          </w:p>
        </w:tc>
        <w:tc>
          <w:tcPr>
            <w:tcW w:w="2808" w:type="dxa"/>
            <w:gridSpan w:val="2"/>
            <w:vAlign w:val="center"/>
          </w:tcPr>
          <w:p w14:paraId="5C2A0901">
            <w:pPr>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32097</w:t>
            </w:r>
          </w:p>
        </w:tc>
      </w:tr>
      <w:tr w14:paraId="4790E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741" w:type="dxa"/>
            <w:gridSpan w:val="2"/>
            <w:tcMar>
              <w:top w:w="16" w:type="dxa"/>
              <w:left w:w="16" w:type="dxa"/>
              <w:right w:w="16" w:type="dxa"/>
            </w:tcMar>
            <w:vAlign w:val="center"/>
          </w:tcPr>
          <w:p w14:paraId="041DB10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建设性质</w:t>
            </w:r>
          </w:p>
        </w:tc>
        <w:tc>
          <w:tcPr>
            <w:tcW w:w="2081" w:type="dxa"/>
            <w:vAlign w:val="center"/>
          </w:tcPr>
          <w:p w14:paraId="6FF315CB">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☑新建（迁建）</w:t>
            </w:r>
          </w:p>
          <w:p w14:paraId="5A2F8975">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□改建</w:t>
            </w:r>
          </w:p>
          <w:p w14:paraId="078B97A7">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□扩建</w:t>
            </w:r>
          </w:p>
          <w:p w14:paraId="23892113">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□技术改造</w:t>
            </w:r>
          </w:p>
        </w:tc>
        <w:tc>
          <w:tcPr>
            <w:tcW w:w="2210" w:type="dxa"/>
            <w:vAlign w:val="center"/>
          </w:tcPr>
          <w:p w14:paraId="38B17A7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建设项目</w:t>
            </w:r>
          </w:p>
          <w:p w14:paraId="187888C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申报情形</w:t>
            </w:r>
          </w:p>
        </w:tc>
        <w:tc>
          <w:tcPr>
            <w:tcW w:w="2808" w:type="dxa"/>
            <w:gridSpan w:val="2"/>
            <w:vAlign w:val="center"/>
          </w:tcPr>
          <w:p w14:paraId="72B62E18">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☑首次申报项目</w:t>
            </w:r>
          </w:p>
          <w:p w14:paraId="72D0D881">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□不予批准后再次申报项目</w:t>
            </w:r>
          </w:p>
          <w:p w14:paraId="13390343">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□超五年重新审核项目</w:t>
            </w:r>
          </w:p>
          <w:p w14:paraId="1EA89CA9">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□重大变动重新报批项目</w:t>
            </w:r>
          </w:p>
        </w:tc>
      </w:tr>
      <w:tr w14:paraId="4F2F9D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741" w:type="dxa"/>
            <w:gridSpan w:val="2"/>
            <w:tcMar>
              <w:top w:w="16" w:type="dxa"/>
              <w:left w:w="16" w:type="dxa"/>
              <w:right w:w="16" w:type="dxa"/>
            </w:tcMar>
            <w:vAlign w:val="center"/>
          </w:tcPr>
          <w:p w14:paraId="66DBD89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项目审批（核准/</w:t>
            </w:r>
          </w:p>
          <w:p w14:paraId="25A22CE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备案）部门（选填）</w:t>
            </w:r>
          </w:p>
        </w:tc>
        <w:tc>
          <w:tcPr>
            <w:tcW w:w="2081" w:type="dxa"/>
            <w:vAlign w:val="center"/>
          </w:tcPr>
          <w:p w14:paraId="44B1283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2210" w:type="dxa"/>
            <w:vAlign w:val="center"/>
          </w:tcPr>
          <w:p w14:paraId="512FFFE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项目审批（核准/</w:t>
            </w:r>
          </w:p>
          <w:p w14:paraId="6249317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备案）文号（选填）</w:t>
            </w:r>
          </w:p>
        </w:tc>
        <w:tc>
          <w:tcPr>
            <w:tcW w:w="2808" w:type="dxa"/>
            <w:gridSpan w:val="2"/>
            <w:vAlign w:val="center"/>
          </w:tcPr>
          <w:p w14:paraId="4A5C9C2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751C5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4" w:hRule="atLeast"/>
        </w:trPr>
        <w:tc>
          <w:tcPr>
            <w:tcW w:w="1741" w:type="dxa"/>
            <w:gridSpan w:val="2"/>
            <w:tcMar>
              <w:top w:w="16" w:type="dxa"/>
              <w:left w:w="16" w:type="dxa"/>
              <w:right w:w="16" w:type="dxa"/>
            </w:tcMar>
            <w:vAlign w:val="center"/>
          </w:tcPr>
          <w:p w14:paraId="11D63447">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总投资（万元）</w:t>
            </w:r>
          </w:p>
        </w:tc>
        <w:tc>
          <w:tcPr>
            <w:tcW w:w="2081" w:type="dxa"/>
            <w:vAlign w:val="center"/>
          </w:tcPr>
          <w:p w14:paraId="2C26C8A8">
            <w:pPr>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00</w:t>
            </w:r>
          </w:p>
        </w:tc>
        <w:tc>
          <w:tcPr>
            <w:tcW w:w="2210" w:type="dxa"/>
            <w:tcMar>
              <w:top w:w="16" w:type="dxa"/>
              <w:left w:w="16" w:type="dxa"/>
              <w:right w:w="16" w:type="dxa"/>
            </w:tcMar>
            <w:vAlign w:val="center"/>
          </w:tcPr>
          <w:p w14:paraId="1D445B96">
            <w:pPr>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环保投资（万元）</w:t>
            </w:r>
          </w:p>
        </w:tc>
        <w:tc>
          <w:tcPr>
            <w:tcW w:w="2808" w:type="dxa"/>
            <w:gridSpan w:val="2"/>
            <w:vAlign w:val="center"/>
          </w:tcPr>
          <w:p w14:paraId="58027321">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11</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9</w:t>
            </w:r>
          </w:p>
        </w:tc>
      </w:tr>
      <w:tr w14:paraId="2E95E3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741" w:type="dxa"/>
            <w:gridSpan w:val="2"/>
            <w:tcMar>
              <w:top w:w="16" w:type="dxa"/>
              <w:left w:w="16" w:type="dxa"/>
              <w:right w:w="16" w:type="dxa"/>
            </w:tcMar>
            <w:vAlign w:val="center"/>
          </w:tcPr>
          <w:p w14:paraId="752678F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环保投资占比（%）</w:t>
            </w:r>
          </w:p>
        </w:tc>
        <w:tc>
          <w:tcPr>
            <w:tcW w:w="2081" w:type="dxa"/>
            <w:vAlign w:val="center"/>
          </w:tcPr>
          <w:p w14:paraId="57DE5B41">
            <w:pPr>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17</w:t>
            </w:r>
          </w:p>
        </w:tc>
        <w:tc>
          <w:tcPr>
            <w:tcW w:w="2210" w:type="dxa"/>
            <w:tcMar>
              <w:top w:w="16" w:type="dxa"/>
              <w:left w:w="16" w:type="dxa"/>
              <w:right w:w="16" w:type="dxa"/>
            </w:tcMar>
            <w:vAlign w:val="center"/>
          </w:tcPr>
          <w:p w14:paraId="7299B25E">
            <w:pPr>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施工工期</w:t>
            </w:r>
          </w:p>
        </w:tc>
        <w:tc>
          <w:tcPr>
            <w:tcW w:w="2808" w:type="dxa"/>
            <w:gridSpan w:val="2"/>
            <w:vAlign w:val="center"/>
          </w:tcPr>
          <w:p w14:paraId="1C276FE6">
            <w:pPr>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钻井期：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70</w:t>
            </w:r>
            <w:r>
              <w:rPr>
                <w:rFonts w:hint="default" w:ascii="Times New Roman" w:hAnsi="Times New Roman" w:cs="Times New Roman"/>
                <w:color w:val="000000" w:themeColor="text1"/>
                <w:sz w:val="21"/>
                <w:szCs w:val="21"/>
                <w:highlight w:val="none"/>
                <w14:textFill>
                  <w14:solidFill>
                    <w14:schemeClr w14:val="tx1"/>
                  </w14:solidFill>
                </w14:textFill>
              </w:rPr>
              <w:t>d</w:t>
            </w:r>
          </w:p>
          <w:p w14:paraId="3B83A4BF">
            <w:pPr>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单井试油期：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9</w:t>
            </w:r>
            <w:r>
              <w:rPr>
                <w:rFonts w:hint="default" w:ascii="Times New Roman" w:hAnsi="Times New Roman" w:cs="Times New Roman"/>
                <w:color w:val="000000" w:themeColor="text1"/>
                <w:sz w:val="21"/>
                <w:szCs w:val="21"/>
                <w:highlight w:val="none"/>
                <w14:textFill>
                  <w14:solidFill>
                    <w14:schemeClr w14:val="tx1"/>
                  </w14:solidFill>
                </w14:textFill>
              </w:rPr>
              <w:t>0d</w:t>
            </w:r>
          </w:p>
        </w:tc>
      </w:tr>
      <w:tr w14:paraId="76F70D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58" w:hRule="atLeast"/>
        </w:trPr>
        <w:tc>
          <w:tcPr>
            <w:tcW w:w="1741" w:type="dxa"/>
            <w:gridSpan w:val="2"/>
            <w:tcMar>
              <w:top w:w="16" w:type="dxa"/>
              <w:left w:w="16" w:type="dxa"/>
              <w:right w:w="16" w:type="dxa"/>
            </w:tcMar>
            <w:vAlign w:val="center"/>
          </w:tcPr>
          <w:p w14:paraId="27EF3077">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是否开工建设</w:t>
            </w:r>
          </w:p>
        </w:tc>
        <w:tc>
          <w:tcPr>
            <w:tcW w:w="7099" w:type="dxa"/>
            <w:gridSpan w:val="4"/>
            <w:vAlign w:val="center"/>
          </w:tcPr>
          <w:p w14:paraId="208B1E0E">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☑否</w:t>
            </w:r>
          </w:p>
          <w:p w14:paraId="757E4712">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□是</w:t>
            </w:r>
          </w:p>
        </w:tc>
      </w:tr>
      <w:tr w14:paraId="0B89AF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66" w:hRule="atLeast"/>
        </w:trPr>
        <w:tc>
          <w:tcPr>
            <w:tcW w:w="1741" w:type="dxa"/>
            <w:gridSpan w:val="2"/>
            <w:tcMar>
              <w:top w:w="16" w:type="dxa"/>
              <w:left w:w="16" w:type="dxa"/>
              <w:right w:w="16" w:type="dxa"/>
            </w:tcMar>
            <w:vAlign w:val="center"/>
          </w:tcPr>
          <w:p w14:paraId="79B3291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专项评价设置情况</w:t>
            </w:r>
          </w:p>
        </w:tc>
        <w:tc>
          <w:tcPr>
            <w:tcW w:w="7099" w:type="dxa"/>
            <w:gridSpan w:val="4"/>
            <w:tcMar>
              <w:top w:w="16" w:type="dxa"/>
              <w:left w:w="16" w:type="dxa"/>
              <w:right w:w="16" w:type="dxa"/>
            </w:tcMar>
            <w:vAlign w:val="center"/>
          </w:tcPr>
          <w:p w14:paraId="1534A61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无</w:t>
            </w:r>
          </w:p>
        </w:tc>
      </w:tr>
      <w:tr w14:paraId="446D4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21" w:hRule="atLeast"/>
        </w:trPr>
        <w:tc>
          <w:tcPr>
            <w:tcW w:w="1741" w:type="dxa"/>
            <w:gridSpan w:val="2"/>
            <w:tcMar>
              <w:top w:w="16" w:type="dxa"/>
              <w:left w:w="16" w:type="dxa"/>
              <w:right w:w="16" w:type="dxa"/>
            </w:tcMar>
            <w:vAlign w:val="center"/>
          </w:tcPr>
          <w:p w14:paraId="4439F6B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规划情况</w:t>
            </w:r>
          </w:p>
        </w:tc>
        <w:tc>
          <w:tcPr>
            <w:tcW w:w="7099" w:type="dxa"/>
            <w:gridSpan w:val="4"/>
            <w:tcMar>
              <w:top w:w="16" w:type="dxa"/>
              <w:left w:w="16" w:type="dxa"/>
              <w:right w:w="16" w:type="dxa"/>
            </w:tcMar>
            <w:vAlign w:val="center"/>
          </w:tcPr>
          <w:p w14:paraId="72C0F455">
            <w:pPr>
              <w:spacing w:line="400" w:lineRule="exact"/>
              <w:ind w:firstLine="0" w:firstLineChars="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规划名称：《新疆油田公司“十四五”发展规划》</w:t>
            </w:r>
          </w:p>
          <w:p w14:paraId="519FE9A7">
            <w:pPr>
              <w:spacing w:line="240" w:lineRule="auto"/>
              <w:ind w:firstLine="0" w:firstLineChars="0"/>
              <w:jc w:val="left"/>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编制单位：中国石油新疆油田分公司</w:t>
            </w:r>
          </w:p>
        </w:tc>
      </w:tr>
      <w:tr w14:paraId="065F7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741" w:type="dxa"/>
            <w:gridSpan w:val="2"/>
            <w:tcMar>
              <w:top w:w="16" w:type="dxa"/>
              <w:left w:w="16" w:type="dxa"/>
              <w:right w:w="16" w:type="dxa"/>
            </w:tcMar>
            <w:vAlign w:val="center"/>
          </w:tcPr>
          <w:p w14:paraId="1892AFC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规划环境影响评价情况</w:t>
            </w:r>
          </w:p>
        </w:tc>
        <w:tc>
          <w:tcPr>
            <w:tcW w:w="7099" w:type="dxa"/>
            <w:gridSpan w:val="4"/>
            <w:tcMar>
              <w:top w:w="16" w:type="dxa"/>
              <w:left w:w="16" w:type="dxa"/>
              <w:right w:w="16" w:type="dxa"/>
            </w:tcMar>
            <w:vAlign w:val="center"/>
          </w:tcPr>
          <w:p w14:paraId="32AE67E3">
            <w:pPr>
              <w:pStyle w:val="21"/>
              <w:spacing w:line="360" w:lineRule="auto"/>
              <w:jc w:val="left"/>
              <w:rPr>
                <w:rFonts w:hint="default" w:ascii="Times New Roman" w:hAnsi="Times New Roman" w:cs="Times New Roman"/>
                <w:b w:val="0"/>
                <w:bCs/>
                <w:color w:val="000000" w:themeColor="text1"/>
                <w:sz w:val="21"/>
                <w:szCs w:val="21"/>
                <w14:textFill>
                  <w14:solidFill>
                    <w14:schemeClr w14:val="tx1"/>
                  </w14:solidFill>
                </w14:textFill>
              </w:rPr>
            </w:pPr>
            <w:r>
              <w:rPr>
                <w:rFonts w:hint="default" w:ascii="Times New Roman" w:hAnsi="Times New Roman" w:cs="Times New Roman"/>
                <w:b w:val="0"/>
                <w:bCs/>
                <w:color w:val="000000" w:themeColor="text1"/>
                <w:sz w:val="21"/>
                <w:szCs w:val="21"/>
                <w14:textFill>
                  <w14:solidFill>
                    <w14:schemeClr w14:val="tx1"/>
                  </w14:solidFill>
                </w14:textFill>
              </w:rPr>
              <w:t>文件名称：《新疆油田公司“十四五”发展规划环境影响报告书》；</w:t>
            </w:r>
          </w:p>
          <w:p w14:paraId="0BBC73BB">
            <w:pPr>
              <w:pStyle w:val="21"/>
              <w:spacing w:line="360" w:lineRule="auto"/>
              <w:jc w:val="left"/>
              <w:rPr>
                <w:rFonts w:hint="default" w:ascii="Times New Roman" w:hAnsi="Times New Roman" w:cs="Times New Roman"/>
                <w:b w:val="0"/>
                <w:bCs/>
                <w:color w:val="000000" w:themeColor="text1"/>
                <w:sz w:val="21"/>
                <w:szCs w:val="21"/>
                <w14:textFill>
                  <w14:solidFill>
                    <w14:schemeClr w14:val="tx1"/>
                  </w14:solidFill>
                </w14:textFill>
              </w:rPr>
            </w:pPr>
            <w:r>
              <w:rPr>
                <w:rFonts w:hint="default" w:ascii="Times New Roman" w:hAnsi="Times New Roman" w:cs="Times New Roman"/>
                <w:b w:val="0"/>
                <w:bCs/>
                <w:color w:val="000000" w:themeColor="text1"/>
                <w:sz w:val="21"/>
                <w:szCs w:val="21"/>
                <w14:textFill>
                  <w14:solidFill>
                    <w14:schemeClr w14:val="tx1"/>
                  </w14:solidFill>
                </w14:textFill>
              </w:rPr>
              <w:t>审查机关：新疆维吾尔自治区生态环境厅；</w:t>
            </w:r>
          </w:p>
          <w:p w14:paraId="6AC4FA37">
            <w:pPr>
              <w:ind w:firstLine="0" w:firstLineChars="0"/>
              <w:jc w:val="left"/>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审查文件名称及文号：2022年12月1日取得《关于新疆油田公司“十四五”发展规划环境影响报告书的审查意见》（新环审〔2022〕252号）。</w:t>
            </w:r>
          </w:p>
        </w:tc>
      </w:tr>
      <w:tr w14:paraId="46F7F0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600" w:type="dxa"/>
            <w:tcMar>
              <w:top w:w="16" w:type="dxa"/>
              <w:left w:w="16" w:type="dxa"/>
              <w:right w:w="16" w:type="dxa"/>
            </w:tcMar>
            <w:vAlign w:val="center"/>
          </w:tcPr>
          <w:p w14:paraId="0598C25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bookmarkStart w:id="2" w:name="_Hlk56690880"/>
            <w:r>
              <w:rPr>
                <w:rFonts w:hint="default" w:ascii="Times New Roman" w:hAnsi="Times New Roman" w:cs="Times New Roman"/>
                <w:color w:val="000000" w:themeColor="text1"/>
                <w:sz w:val="21"/>
                <w:szCs w:val="21"/>
                <w14:textFill>
                  <w14:solidFill>
                    <w14:schemeClr w14:val="tx1"/>
                  </w14:solidFill>
                </w14:textFill>
              </w:rPr>
              <w:t>规划及规划环境影响评价符合性分析</w:t>
            </w:r>
          </w:p>
        </w:tc>
        <w:tc>
          <w:tcPr>
            <w:tcW w:w="8240" w:type="dxa"/>
            <w:gridSpan w:val="5"/>
            <w:tcMar>
              <w:top w:w="16" w:type="dxa"/>
              <w:left w:w="16" w:type="dxa"/>
              <w:right w:w="16" w:type="dxa"/>
            </w:tcMar>
            <w:vAlign w:val="center"/>
          </w:tcPr>
          <w:p w14:paraId="1C22D4C5">
            <w:pPr>
              <w:autoSpaceDE w:val="0"/>
              <w:autoSpaceDN w:val="0"/>
              <w:ind w:firstLine="0" w:firstLineChars="0"/>
              <w:rPr>
                <w:rFonts w:hint="default" w:ascii="Times New Roman" w:hAnsi="Times New Roman" w:cs="Times New Roman"/>
                <w:b/>
                <w:color w:val="000000" w:themeColor="text1"/>
                <w:sz w:val="28"/>
                <w14:textFill>
                  <w14:solidFill>
                    <w14:schemeClr w14:val="tx1"/>
                  </w14:solidFill>
                </w14:textFill>
              </w:rPr>
            </w:pPr>
            <w:r>
              <w:rPr>
                <w:rFonts w:hint="default" w:ascii="Times New Roman" w:hAnsi="Times New Roman" w:cs="Times New Roman"/>
                <w:b/>
                <w:color w:val="000000" w:themeColor="text1"/>
                <w:sz w:val="28"/>
                <w14:textFill>
                  <w14:solidFill>
                    <w14:schemeClr w14:val="tx1"/>
                  </w14:solidFill>
                </w14:textFill>
              </w:rPr>
              <w:t>1 与《新疆油田公司“十四五”发展规划》符合性分析</w:t>
            </w:r>
          </w:p>
          <w:p w14:paraId="7F494A4D">
            <w:pPr>
              <w:autoSpaceDE w:val="0"/>
              <w:autoSpaceDN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《新疆油田公司“十四五”发展规划》中规划分析内容：新疆油田目前拥有探矿权面积共计4.7万km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。按照新疆油田目前已经获得采矿权（现有开发区域）和“十四五”期间勘探转开发拟办理采矿权所涉及的区块（新增开发区域）作为本次规划范围。</w:t>
            </w:r>
          </w:p>
          <w:p w14:paraId="39B469C7">
            <w:pPr>
              <w:autoSpaceDE w:val="0"/>
              <w:autoSpaceDN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规划涉及的62个区块均有探矿权，目前48个区块已经取得了采矿权，采矿面积共计8028.28km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；勘探转开发拟办理采矿权的共计14块，面积为2928.12km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。可分为西北缘区块、腹部区块、东部区块、南缘区块四大片区，规划总面积为10956.40km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p w14:paraId="594AD03B">
            <w:pPr>
              <w:autoSpaceDE w:val="0"/>
              <w:autoSpaceDN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本项目属于石油勘探项目，属于腹部片区内</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项目符合《新疆油田公司“十四五”发展规划》要求。</w:t>
            </w:r>
          </w:p>
          <w:p w14:paraId="26235894">
            <w:pPr>
              <w:autoSpaceDE w:val="0"/>
              <w:autoSpaceDN w:val="0"/>
              <w:ind w:firstLine="0" w:firstLineChars="0"/>
              <w:rPr>
                <w:rFonts w:hint="default" w:ascii="Times New Roman" w:hAnsi="Times New Roman" w:cs="Times New Roman"/>
                <w:b/>
                <w:color w:val="000000" w:themeColor="text1"/>
                <w:sz w:val="28"/>
                <w14:textFill>
                  <w14:solidFill>
                    <w14:schemeClr w14:val="tx1"/>
                  </w14:solidFill>
                </w14:textFill>
              </w:rPr>
            </w:pPr>
            <w:r>
              <w:rPr>
                <w:rFonts w:hint="default" w:ascii="Times New Roman" w:hAnsi="Times New Roman" w:cs="Times New Roman"/>
                <w:b/>
                <w:color w:val="000000" w:themeColor="text1"/>
                <w:sz w:val="28"/>
                <w14:textFill>
                  <w14:solidFill>
                    <w14:schemeClr w14:val="tx1"/>
                  </w14:solidFill>
                </w14:textFill>
              </w:rPr>
              <w:t>2 与《新疆油田公司“十四五”发展规划环境影响报告书》审查意见的符合性分析</w:t>
            </w:r>
          </w:p>
          <w:p w14:paraId="3509E3E2">
            <w:pPr>
              <w:autoSpaceDE w:val="0"/>
              <w:autoSpaceDN w:val="0"/>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疆油田公司“十四五”发展规划环境影响报告书》及审查意见要求：严格生态环境保护，强化各类污染物防治。针对规划实施可能出现的累积性、长期性生态环境问题，采取积极有效的生态复垦和生态恢复措施，确保实现《报告书》提出的各项生态恢复治理要求，有效减缓规划区生态环境退化趋势。根据油气开采产业政策和生态环境保护政策要求，严格落实资源环境指标要求，进一步控制污染物排放以及能源消耗水平，对油气开采产生的废弃油基泥浆、含油钻屑及其他固体废物，提出减量化的源头控制措施、资源化的利用路径、无害化的处理要求，按照国家和地方有关固体废物的管理规定进行处置，提高废弃油基泥浆和含油钻屑及其处理产物的综合利用率。根据油气开采产业政策和生态环境保护政策要求，严格落实资源环境指标要求，进一步控制污染物排放以及能源消耗水平。采取切实可行的地下水污染防治和监控措施，防止造成地下水污染。</w:t>
            </w:r>
          </w:p>
          <w:p w14:paraId="5D39C923">
            <w:pPr>
              <w:ind w:firstLine="480"/>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本项目为石油勘探项目，项目钻试结束后对临时占地进行平整，并采取自然恢复；</w:t>
            </w:r>
            <w:r>
              <w:rPr>
                <w:rFonts w:hint="default" w:ascii="Times New Roman" w:hAnsi="Times New Roman" w:cs="Times New Roman"/>
                <w:color w:val="000000" w:themeColor="text1"/>
                <w:highlight w:val="none"/>
                <w14:textFill>
                  <w14:solidFill>
                    <w14:schemeClr w14:val="tx1"/>
                  </w14:solidFill>
                </w14:textFill>
              </w:rPr>
              <w:t>项目钻井过程使用水基钻井液，产生的水基岩屑经收集后委托岩屑处置单位清运处置；</w:t>
            </w:r>
            <w:r>
              <w:rPr>
                <w:rFonts w:hint="default" w:ascii="Times New Roman" w:hAnsi="Times New Roman" w:cs="Times New Roman"/>
                <w:color w:val="000000" w:themeColor="text1"/>
                <w14:textFill>
                  <w14:solidFill>
                    <w14:schemeClr w14:val="tx1"/>
                  </w14:solidFill>
                </w14:textFill>
              </w:rPr>
              <w:t>项目在钻井过</w:t>
            </w:r>
            <w:r>
              <w:rPr>
                <w:rFonts w:hint="eastAsia" w:cs="Times New Roman"/>
                <w:color w:val="000000" w:themeColor="text1"/>
                <w:lang w:eastAsia="zh-CN"/>
                <w14:textFill>
                  <w14:solidFill>
                    <w14:schemeClr w14:val="tx1"/>
                  </w14:solidFill>
                </w14:textFill>
              </w:rPr>
              <w:t>程中</w:t>
            </w:r>
            <w:r>
              <w:rPr>
                <w:rFonts w:hint="default" w:ascii="Times New Roman" w:hAnsi="Times New Roman" w:cs="Times New Roman"/>
                <w:color w:val="000000" w:themeColor="text1"/>
                <w14:textFill>
                  <w14:solidFill>
                    <w14:schemeClr w14:val="tx1"/>
                  </w14:solidFill>
                </w14:textFill>
              </w:rPr>
              <w:t>采取套管注水泥固井工艺，可有效封隔疏松地层和水层，保护地下水环境不受污染；</w:t>
            </w:r>
            <w:r>
              <w:rPr>
                <w:rFonts w:hint="default" w:ascii="Times New Roman" w:hAnsi="Times New Roman" w:cs="Times New Roman"/>
                <w:color w:val="000000" w:themeColor="text1"/>
                <w:highlight w:val="none"/>
                <w14:textFill>
                  <w14:solidFill>
                    <w14:schemeClr w14:val="tx1"/>
                  </w14:solidFill>
                </w14:textFill>
              </w:rPr>
              <w:t>项目试油作业带罐作业，试油废水经罐车拉运至石西集中处理站污水处理系统处理。</w:t>
            </w:r>
            <w:r>
              <w:rPr>
                <w:rFonts w:hint="default" w:ascii="Times New Roman" w:hAnsi="Times New Roman" w:cs="Times New Roman"/>
                <w:color w:val="000000" w:themeColor="text1"/>
                <w14:textFill>
                  <w14:solidFill>
                    <w14:schemeClr w14:val="tx1"/>
                  </w14:solidFill>
                </w14:textFill>
              </w:rPr>
              <w:t>本项目的建设符合《新疆油田公司“十四五”发展规划环境影响报告书》及审查意见要求。</w:t>
            </w:r>
          </w:p>
        </w:tc>
      </w:tr>
      <w:tr w14:paraId="748AB4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600" w:type="dxa"/>
            <w:tcMar>
              <w:top w:w="16" w:type="dxa"/>
              <w:left w:w="16" w:type="dxa"/>
              <w:right w:w="16" w:type="dxa"/>
            </w:tcMar>
            <w:vAlign w:val="center"/>
          </w:tcPr>
          <w:p w14:paraId="4961E97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其他符合性分析</w:t>
            </w:r>
          </w:p>
        </w:tc>
        <w:tc>
          <w:tcPr>
            <w:tcW w:w="8240" w:type="dxa"/>
            <w:gridSpan w:val="5"/>
            <w:tcMar>
              <w:top w:w="16" w:type="dxa"/>
              <w:left w:w="16" w:type="dxa"/>
              <w:right w:w="16" w:type="dxa"/>
            </w:tcMar>
            <w:vAlign w:val="center"/>
          </w:tcPr>
          <w:p w14:paraId="47CBE575">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1产业政策合理性分析</w:t>
            </w:r>
          </w:p>
          <w:p w14:paraId="250EFD3F">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石油天然气勘探是当前国民经济的重要基础产业和支柱产业，根据《产业结构调整指导目录（2024年本）》的有关规定，本项目属于第一类“鼓励类”第七项“石油天然气”第1条“常规石油、天然气勘探与开采”，符合国家产业政策。</w:t>
            </w:r>
          </w:p>
          <w:p w14:paraId="0DDD4658">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2与生态环境分区管控方案相符性分析</w:t>
            </w:r>
          </w:p>
          <w:p w14:paraId="323C98BA">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2.1与自治区生态环境分区管控方案和七大片区管控要求相符性</w:t>
            </w:r>
          </w:p>
          <w:p w14:paraId="301C7B0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本项目与《自治区生态环境分区管控方案和七大片区管控要求》相符性见表1-1。</w:t>
            </w:r>
          </w:p>
          <w:p w14:paraId="36E523EB">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表1-1  与《自治区生态环境分区管控方案和七大片区管控要求》相符性一览表</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014"/>
              <w:gridCol w:w="2657"/>
              <w:gridCol w:w="3218"/>
              <w:gridCol w:w="741"/>
            </w:tblGrid>
            <w:tr w14:paraId="7A60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5" w:type="pct"/>
                  <w:vAlign w:val="center"/>
                </w:tcPr>
                <w:p w14:paraId="74C16815">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618" w:type="pct"/>
                  <w:vAlign w:val="center"/>
                </w:tcPr>
                <w:p w14:paraId="48436B8B">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1620" w:type="pct"/>
                  <w:vAlign w:val="center"/>
                </w:tcPr>
                <w:p w14:paraId="5BFD87E4">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要求</w:t>
                  </w:r>
                </w:p>
              </w:tc>
              <w:tc>
                <w:tcPr>
                  <w:tcW w:w="1962" w:type="pct"/>
                  <w:vAlign w:val="center"/>
                </w:tcPr>
                <w:p w14:paraId="785FFEE9">
                  <w:pPr>
                    <w:spacing w:line="240" w:lineRule="auto"/>
                    <w:ind w:firstLine="422"/>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本项目</w:t>
                  </w:r>
                </w:p>
              </w:tc>
              <w:tc>
                <w:tcPr>
                  <w:tcW w:w="452" w:type="pct"/>
                  <w:vAlign w:val="center"/>
                </w:tcPr>
                <w:p w14:paraId="3163AD73">
                  <w:pPr>
                    <w:spacing w:line="240" w:lineRule="auto"/>
                    <w:ind w:firstLine="0" w:firstLineChars="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相符性</w:t>
                  </w:r>
                </w:p>
              </w:tc>
            </w:tr>
            <w:tr w14:paraId="71DC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5" w:type="pct"/>
                  <w:vAlign w:val="center"/>
                </w:tcPr>
                <w:p w14:paraId="58C4372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18" w:type="pct"/>
                  <w:vAlign w:val="center"/>
                </w:tcPr>
                <w:p w14:paraId="5935CE09">
                  <w:pPr>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空间布局约束</w:t>
                  </w:r>
                </w:p>
              </w:tc>
              <w:tc>
                <w:tcPr>
                  <w:tcW w:w="1620" w:type="pct"/>
                  <w:vAlign w:val="center"/>
                </w:tcPr>
                <w:p w14:paraId="7CF06AE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严格执行国家、自治区产业政策和环境准入要求，严禁“三高”项目进新疆，坚决遏制“两高”项目盲目发展。不得在水源涵养区、饮用水水源保护区内和河流、湖泊、水库周围建设重化工、涉重金属等工业污染项目。</w:t>
                  </w:r>
                </w:p>
              </w:tc>
              <w:tc>
                <w:tcPr>
                  <w:tcW w:w="1962" w:type="pct"/>
                  <w:vAlign w:val="center"/>
                </w:tcPr>
                <w:p w14:paraId="6A13C26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属于第一类“鼓励类”第七项“石油、天然气”第1条“常规石油、天然气勘探与开采”，符合国家产业政策，不属于“三高”项目。本项目不在水源涵养区、饮用水水源保护区内和河流、湖泊、水库周围，本项目道路穿越干河床，本项目不属于涉及重化工、涉重金属等工业污染项目。</w:t>
                  </w:r>
                </w:p>
              </w:tc>
              <w:tc>
                <w:tcPr>
                  <w:tcW w:w="452" w:type="pct"/>
                  <w:vAlign w:val="center"/>
                </w:tcPr>
                <w:p w14:paraId="1E25FF5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7A1A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5" w:type="pct"/>
                  <w:vAlign w:val="center"/>
                </w:tcPr>
                <w:p w14:paraId="5CA315A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618" w:type="pct"/>
                  <w:vAlign w:val="center"/>
                </w:tcPr>
                <w:p w14:paraId="736DF231">
                  <w:pPr>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污染物排放管控</w:t>
                  </w:r>
                </w:p>
              </w:tc>
              <w:tc>
                <w:tcPr>
                  <w:tcW w:w="1620" w:type="pct"/>
                  <w:vAlign w:val="center"/>
                </w:tcPr>
                <w:p w14:paraId="6E20114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加快实施城镇污水处理设施提质增效，补齐生活污水收集和处理设施短板，提高再生水回用比例。</w:t>
                  </w:r>
                </w:p>
              </w:tc>
              <w:tc>
                <w:tcPr>
                  <w:tcW w:w="1962" w:type="pct"/>
                  <w:vAlign w:val="center"/>
                </w:tcPr>
                <w:p w14:paraId="2769449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w:t>
                  </w:r>
                  <w:r>
                    <w:rPr>
                      <w:rFonts w:hint="default" w:ascii="Times New Roman" w:hAnsi="Times New Roman" w:cs="Times New Roman"/>
                      <w:color w:val="000000" w:themeColor="text1"/>
                      <w:sz w:val="21"/>
                      <w:szCs w:val="21"/>
                      <w14:textFill>
                        <w14:solidFill>
                          <w14:schemeClr w14:val="tx1"/>
                        </w14:solidFill>
                      </w14:textFill>
                    </w:rPr>
                    <w:t>生活污水排入防渗污水收集池（30m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），钻井结束后清运至乌尔禾污水处理厂处理。</w:t>
                  </w:r>
                </w:p>
              </w:tc>
              <w:tc>
                <w:tcPr>
                  <w:tcW w:w="452" w:type="pct"/>
                  <w:vAlign w:val="center"/>
                </w:tcPr>
                <w:p w14:paraId="100944C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25CC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5" w:type="pct"/>
                  <w:vAlign w:val="center"/>
                </w:tcPr>
                <w:p w14:paraId="6CA743D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618" w:type="pct"/>
                  <w:vAlign w:val="center"/>
                </w:tcPr>
                <w:p w14:paraId="7DFF98AB">
                  <w:pPr>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环境风险防控</w:t>
                  </w:r>
                </w:p>
              </w:tc>
              <w:tc>
                <w:tcPr>
                  <w:tcW w:w="1620" w:type="pct"/>
                  <w:vAlign w:val="center"/>
                </w:tcPr>
                <w:p w14:paraId="583C927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严格落实危险废物处置相关要求。加强重点流域水环境风险管控，保障水环境安全。</w:t>
                  </w:r>
                </w:p>
              </w:tc>
              <w:tc>
                <w:tcPr>
                  <w:tcW w:w="3218" w:type="dxa"/>
                  <w:vAlign w:val="center"/>
                </w:tcPr>
                <w:p w14:paraId="0F29251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本项目产生的</w:t>
                  </w:r>
                  <w:r>
                    <w:rPr>
                      <w:rFonts w:hint="default" w:ascii="Times New Roman" w:hAnsi="Times New Roman" w:cs="Times New Roman"/>
                      <w:color w:val="000000" w:themeColor="text1"/>
                      <w:sz w:val="21"/>
                      <w:szCs w:val="21"/>
                      <w:lang w:val="en-US" w:eastAsia="zh-CN"/>
                      <w14:textFill>
                        <w14:solidFill>
                          <w14:schemeClr w14:val="tx1"/>
                        </w14:solidFill>
                      </w14:textFill>
                    </w:rPr>
                    <w:t>废弃防渗膜和机械设备废油</w:t>
                  </w:r>
                  <w:r>
                    <w:rPr>
                      <w:rFonts w:hint="default" w:ascii="Times New Roman" w:hAnsi="Times New Roman" w:cs="Times New Roman"/>
                      <w:color w:val="000000" w:themeColor="text1"/>
                      <w:sz w:val="21"/>
                      <w:szCs w:val="21"/>
                      <w14:textFill>
                        <w14:solidFill>
                          <w14:schemeClr w14:val="tx1"/>
                        </w14:solidFill>
                      </w14:textFill>
                    </w:rPr>
                    <w:t>属于危废，</w:t>
                  </w:r>
                  <w:r>
                    <w:rPr>
                      <w:rFonts w:hint="default" w:ascii="Times New Roman" w:hAnsi="Times New Roman" w:cs="Times New Roman"/>
                      <w:color w:val="000000" w:themeColor="text1"/>
                      <w:sz w:val="21"/>
                      <w:szCs w:val="21"/>
                      <w:lang w:val="en-US" w:eastAsia="zh-CN"/>
                      <w14:textFill>
                        <w14:solidFill>
                          <w14:schemeClr w14:val="tx1"/>
                        </w14:solidFill>
                      </w14:textFill>
                    </w:rPr>
                    <w:t>暂存于井场危废贮存点，定期委托</w:t>
                  </w:r>
                  <w:r>
                    <w:rPr>
                      <w:rFonts w:hint="default" w:ascii="Times New Roman" w:hAnsi="Times New Roman" w:cs="Times New Roman"/>
                      <w:color w:val="000000" w:themeColor="text1"/>
                      <w:sz w:val="21"/>
                      <w:szCs w:val="21"/>
                      <w14:textFill>
                        <w14:solidFill>
                          <w14:schemeClr w14:val="tx1"/>
                        </w14:solidFill>
                      </w14:textFill>
                    </w:rPr>
                    <w:t>有资质的单位进行处置。</w:t>
                  </w:r>
                </w:p>
              </w:tc>
              <w:tc>
                <w:tcPr>
                  <w:tcW w:w="452" w:type="pct"/>
                  <w:vAlign w:val="center"/>
                </w:tcPr>
                <w:p w14:paraId="02DB4896">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2FC2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5" w:type="pct"/>
                  <w:vAlign w:val="center"/>
                </w:tcPr>
                <w:p w14:paraId="74BF397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618" w:type="pct"/>
                  <w:vAlign w:val="center"/>
                </w:tcPr>
                <w:p w14:paraId="40DC6378">
                  <w:pPr>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资源利用效率</w:t>
                  </w:r>
                </w:p>
              </w:tc>
              <w:tc>
                <w:tcPr>
                  <w:tcW w:w="1620" w:type="pct"/>
                  <w:vAlign w:val="center"/>
                </w:tcPr>
                <w:p w14:paraId="4642C23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优化能源结构，控制煤炭等化石能源使用量，鼓励使用清洁能源，协同推进减污降碳。全面实施节水工程，合理开发利用水资源，提升水资源利用效率，保障生态用水，严防地下水超采。</w:t>
                  </w:r>
                </w:p>
              </w:tc>
              <w:tc>
                <w:tcPr>
                  <w:tcW w:w="3218" w:type="dxa"/>
                  <w:vAlign w:val="center"/>
                </w:tcPr>
                <w:p w14:paraId="5E704B9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本项目钻井使用的水基钻井液循环利用，可以有效提升水资源利用效率。</w:t>
                  </w:r>
                </w:p>
              </w:tc>
              <w:tc>
                <w:tcPr>
                  <w:tcW w:w="452" w:type="pct"/>
                  <w:vAlign w:val="center"/>
                </w:tcPr>
                <w:p w14:paraId="6507A19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bl>
          <w:p w14:paraId="2042FBDF">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本项目位于塔城地区和布克赛尔蒙古自治县，属于七大片区的“北疆北部（塔城地区、阿勒泰地区）片区”，该片区的管控要求为：</w:t>
            </w:r>
          </w:p>
          <w:p w14:paraId="083ED544">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加强对阿尔泰山西北部喀纳斯自然景观及南泰加林生态功能区内湖泊、湿地、森林和野生动植物保护，维护阿尔泰山、准噶尔西部山地等水源涵养功能和生物多样性功能。加大区域建设与管理力度，实现生态环境保护、矿产资源开发、旅游与畜牧业协调发展。</w:t>
            </w:r>
          </w:p>
          <w:p w14:paraId="5FA9DD7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巩固塔额盆地绿洲农业生态功能区基本农田土壤环境质量。积极推进地下水超采治理，逐步压减超采量，实现地下水采补平衡。</w:t>
            </w:r>
          </w:p>
          <w:p w14:paraId="355B546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强化额尔齐斯河、额敏河等跨界河流突发水环境污染事故的环境风险防控；严格管控河流两岸汇水区内分布的排污口、尾矿库以及沿河公路段危险品运输、上游山区段矿产资源开发等活动，建立风险防控体系。加强废弃矿区土壤重金属污染风险管控及修复治理。</w:t>
            </w:r>
          </w:p>
          <w:p w14:paraId="2268CCD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本项目为陆地矿产资源地质勘查项目，项目选址周边不涉及农业、额尔齐斯河、额敏河等敏感目标，满足“北疆北部片区”管控要求。</w:t>
            </w:r>
          </w:p>
          <w:p w14:paraId="6AFA99A1">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2.2与塔城地区生态环境分区管控方案相符性分析</w:t>
            </w:r>
          </w:p>
          <w:p w14:paraId="09E376A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w:t>
            </w:r>
            <w:r>
              <w:rPr>
                <w:rFonts w:hint="default" w:ascii="Times New Roman" w:hAnsi="Times New Roman" w:cs="Times New Roman"/>
                <w:color w:val="000000" w:themeColor="text1"/>
                <w:lang w:val="en-US" w:eastAsia="zh-CN"/>
                <w14:textFill>
                  <w14:solidFill>
                    <w14:schemeClr w14:val="tx1"/>
                  </w14:solidFill>
                </w14:textFill>
              </w:rPr>
              <w:t>塔城地区和布克赛尔蒙古自治县，属于</w:t>
            </w:r>
            <w:r>
              <w:rPr>
                <w:rFonts w:hint="default" w:ascii="Times New Roman" w:hAnsi="Times New Roman" w:cs="Times New Roman"/>
                <w:color w:val="000000" w:themeColor="text1"/>
                <w14:textFill>
                  <w14:solidFill>
                    <w14:schemeClr w14:val="tx1"/>
                  </w14:solidFill>
                </w14:textFill>
              </w:rPr>
              <w:t>一般管控单元，单元名称为：</w:t>
            </w:r>
            <w:r>
              <w:rPr>
                <w:rFonts w:hint="eastAsia" w:cs="Times New Roman"/>
                <w:color w:val="000000" w:themeColor="text1"/>
                <w:lang w:eastAsia="zh-CN"/>
                <w14:textFill>
                  <w14:solidFill>
                    <w14:schemeClr w14:val="tx1"/>
                  </w14:solidFill>
                </w14:textFill>
              </w:rPr>
              <w:t>和布克赛尔蒙古自治县</w:t>
            </w:r>
            <w:r>
              <w:rPr>
                <w:rFonts w:hint="default" w:ascii="Times New Roman" w:hAnsi="Times New Roman" w:cs="Times New Roman"/>
                <w:color w:val="000000" w:themeColor="text1"/>
                <w14:textFill>
                  <w14:solidFill>
                    <w14:schemeClr w14:val="tx1"/>
                  </w14:solidFill>
                </w14:textFill>
              </w:rPr>
              <w:t>环境管控单元0</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（环境管控单元编码：ZH6542263000</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），与塔城地区生态环境分区管控要求相符性分析见表1-2。</w:t>
            </w:r>
          </w:p>
          <w:p w14:paraId="03310CFE">
            <w:pPr>
              <w:pStyle w:val="21"/>
              <w:spacing w:line="36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表1-2  本项目与塔城地区生态环境分区管控方案的相符性</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686"/>
              <w:gridCol w:w="686"/>
              <w:gridCol w:w="3358"/>
              <w:gridCol w:w="2341"/>
              <w:gridCol w:w="429"/>
            </w:tblGrid>
            <w:tr w14:paraId="59EA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57FA56F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单元</w:t>
                  </w:r>
                </w:p>
                <w:p w14:paraId="4419B677">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编码</w:t>
                  </w:r>
                </w:p>
              </w:tc>
              <w:tc>
                <w:tcPr>
                  <w:tcW w:w="418" w:type="pct"/>
                  <w:vAlign w:val="center"/>
                </w:tcPr>
                <w:p w14:paraId="0510F7FE">
                  <w:pPr>
                    <w:pStyle w:val="23"/>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管控单元名称</w:t>
                  </w:r>
                </w:p>
              </w:tc>
              <w:tc>
                <w:tcPr>
                  <w:tcW w:w="418" w:type="pct"/>
                  <w:vAlign w:val="center"/>
                </w:tcPr>
                <w:p w14:paraId="01B15D2A">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环境</w:t>
                  </w:r>
                </w:p>
                <w:p w14:paraId="212CDA0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管控</w:t>
                  </w:r>
                </w:p>
              </w:tc>
              <w:tc>
                <w:tcPr>
                  <w:tcW w:w="2048" w:type="pct"/>
                  <w:vAlign w:val="center"/>
                </w:tcPr>
                <w:p w14:paraId="06565216">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管控要求</w:t>
                  </w:r>
                </w:p>
              </w:tc>
              <w:tc>
                <w:tcPr>
                  <w:tcW w:w="1428" w:type="pct"/>
                  <w:vAlign w:val="center"/>
                </w:tcPr>
                <w:p w14:paraId="2012FB65">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本项目</w:t>
                  </w:r>
                </w:p>
              </w:tc>
              <w:tc>
                <w:tcPr>
                  <w:tcW w:w="261" w:type="pct"/>
                  <w:vAlign w:val="center"/>
                </w:tcPr>
                <w:p w14:paraId="2E94A7B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相符性</w:t>
                  </w:r>
                </w:p>
              </w:tc>
            </w:tr>
            <w:tr w14:paraId="4FEA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Merge w:val="restart"/>
                  <w:vAlign w:val="center"/>
                </w:tcPr>
                <w:p w14:paraId="6525C096">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ZH6542263000</w:t>
                  </w:r>
                  <w:r>
                    <w:rPr>
                      <w:rFonts w:hint="default" w:ascii="Times New Roman" w:hAnsi="Times New Roman" w:cs="Times New Roman"/>
                      <w:color w:val="000000" w:themeColor="text1"/>
                      <w:lang w:val="en-US" w:eastAsia="zh-CN"/>
                      <w14:textFill>
                        <w14:solidFill>
                          <w14:schemeClr w14:val="tx1"/>
                        </w14:solidFill>
                      </w14:textFill>
                    </w:rPr>
                    <w:t>1</w:t>
                  </w:r>
                </w:p>
              </w:tc>
              <w:tc>
                <w:tcPr>
                  <w:tcW w:w="418" w:type="pct"/>
                  <w:vMerge w:val="restart"/>
                  <w:vAlign w:val="center"/>
                </w:tcPr>
                <w:p w14:paraId="51C580F3">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和布克赛尔蒙古自治县一般管控单元01</w:t>
                  </w:r>
                </w:p>
              </w:tc>
              <w:tc>
                <w:tcPr>
                  <w:tcW w:w="418" w:type="pct"/>
                  <w:vAlign w:val="center"/>
                </w:tcPr>
                <w:p w14:paraId="21AAE5A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空间布局约束</w:t>
                  </w:r>
                </w:p>
              </w:tc>
              <w:tc>
                <w:tcPr>
                  <w:tcW w:w="2048" w:type="pct"/>
                  <w:vAlign w:val="center"/>
                </w:tcPr>
                <w:p w14:paraId="50C39FCE">
                  <w:pPr>
                    <w:pStyle w:val="23"/>
                    <w:numPr>
                      <w:ilvl w:val="0"/>
                      <w:numId w:val="0"/>
                    </w:numPr>
                    <w:ind w:leftChars="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建立集镇居住商业区、耕地保护区与工业功能区等集聚区块之间的防护带。严格执行畜禽养殖禁养区规定，根据区域用地和消纳水平，合理确定养殖规模。</w:t>
                  </w:r>
                </w:p>
                <w:p w14:paraId="17F82227">
                  <w:pPr>
                    <w:pStyle w:val="23"/>
                    <w:numPr>
                      <w:ilvl w:val="0"/>
                      <w:numId w:val="0"/>
                    </w:numPr>
                    <w:ind w:leftChars="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永久基本农田经依法划定后，任何单位和个人不得擅自占用或者改变其用途。国家能源、交通、水利、军事设施等重点建设项目选址确实难以避让外，其他任何建设不得占用。</w:t>
                  </w:r>
                </w:p>
              </w:tc>
              <w:tc>
                <w:tcPr>
                  <w:tcW w:w="1428" w:type="pct"/>
                  <w:vAlign w:val="center"/>
                </w:tcPr>
                <w:p w14:paraId="7A7BD87E">
                  <w:pPr>
                    <w:pStyle w:val="23"/>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本项目不属于畜禽养殖，因此不涉及</w:t>
                  </w:r>
                  <w:r>
                    <w:rPr>
                      <w:rFonts w:hint="default" w:ascii="Times New Roman" w:hAnsi="Times New Roman" w:cs="Times New Roman"/>
                      <w:color w:val="000000" w:themeColor="text1"/>
                      <w14:textFill>
                        <w14:solidFill>
                          <w14:schemeClr w14:val="tx1"/>
                        </w14:solidFill>
                      </w14:textFill>
                    </w:rPr>
                    <w:t>畜禽养殖禁养区</w:t>
                  </w:r>
                  <w:r>
                    <w:rPr>
                      <w:rFonts w:hint="default" w:ascii="Times New Roman" w:hAnsi="Times New Roman" w:cs="Times New Roman"/>
                      <w:color w:val="000000" w:themeColor="text1"/>
                      <w:lang w:val="en-US" w:eastAsia="zh-CN"/>
                      <w14:textFill>
                        <w14:solidFill>
                          <w14:schemeClr w14:val="tx1"/>
                        </w14:solidFill>
                      </w14:textFill>
                    </w:rPr>
                    <w:t>及养殖规模；</w:t>
                  </w:r>
                </w:p>
                <w:p w14:paraId="2C22A73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2.本项目不占用基本农田</w:t>
                  </w:r>
                  <w:r>
                    <w:rPr>
                      <w:rFonts w:hint="default" w:ascii="Times New Roman" w:hAnsi="Times New Roman" w:cs="Times New Roman"/>
                      <w:color w:val="000000" w:themeColor="text1"/>
                      <w14:textFill>
                        <w14:solidFill>
                          <w14:schemeClr w14:val="tx1"/>
                        </w14:solidFill>
                      </w14:textFill>
                    </w:rPr>
                    <w:t>。</w:t>
                  </w:r>
                </w:p>
              </w:tc>
              <w:tc>
                <w:tcPr>
                  <w:tcW w:w="261" w:type="pct"/>
                  <w:vAlign w:val="center"/>
                </w:tcPr>
                <w:p w14:paraId="646801E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2634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24" w:type="pct"/>
                  <w:vMerge w:val="continue"/>
                  <w:vAlign w:val="center"/>
                </w:tcPr>
                <w:p w14:paraId="3B9D0BEE">
                  <w:pPr>
                    <w:pStyle w:val="23"/>
                    <w:rPr>
                      <w:rFonts w:hint="default" w:ascii="Times New Roman" w:hAnsi="Times New Roman" w:cs="Times New Roman"/>
                      <w:color w:val="000000" w:themeColor="text1"/>
                      <w14:textFill>
                        <w14:solidFill>
                          <w14:schemeClr w14:val="tx1"/>
                        </w14:solidFill>
                      </w14:textFill>
                    </w:rPr>
                  </w:pPr>
                </w:p>
              </w:tc>
              <w:tc>
                <w:tcPr>
                  <w:tcW w:w="418" w:type="pct"/>
                  <w:vMerge w:val="continue"/>
                  <w:vAlign w:val="center"/>
                </w:tcPr>
                <w:p w14:paraId="54B06B48">
                  <w:pPr>
                    <w:pStyle w:val="23"/>
                    <w:rPr>
                      <w:rFonts w:hint="default" w:ascii="Times New Roman" w:hAnsi="Times New Roman" w:cs="Times New Roman"/>
                      <w:color w:val="000000" w:themeColor="text1"/>
                      <w14:textFill>
                        <w14:solidFill>
                          <w14:schemeClr w14:val="tx1"/>
                        </w14:solidFill>
                      </w14:textFill>
                    </w:rPr>
                  </w:pPr>
                </w:p>
              </w:tc>
              <w:tc>
                <w:tcPr>
                  <w:tcW w:w="418" w:type="pct"/>
                  <w:vAlign w:val="center"/>
                </w:tcPr>
                <w:p w14:paraId="36C7ECD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污染物排放管控</w:t>
                  </w:r>
                </w:p>
              </w:tc>
              <w:tc>
                <w:tcPr>
                  <w:tcW w:w="2048" w:type="pct"/>
                  <w:vAlign w:val="center"/>
                </w:tcPr>
                <w:p w14:paraId="1ACDD034">
                  <w:pPr>
                    <w:pStyle w:val="23"/>
                    <w:numPr>
                      <w:ilvl w:val="0"/>
                      <w:numId w:val="0"/>
                    </w:numPr>
                    <w:ind w:leftChars="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排污企业一般管控要求：满足总量控制、排污许可、排放标准等相关管理制度要求。</w:t>
                  </w:r>
                </w:p>
                <w:p w14:paraId="66D5B2BE">
                  <w:pPr>
                    <w:pStyle w:val="23"/>
                    <w:numPr>
                      <w:ilvl w:val="0"/>
                      <w:numId w:val="0"/>
                    </w:numPr>
                    <w:ind w:leftChars="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农业面源和生活污染源一般管控要求：因地制宜推进农村厕所革命，分类分区推进农村生活污水治理，全面提升农村生活垃圾治理水平，建立健全农村人居环境长效管护机制。实施化肥农药减量增效行动和农膜回收、秸秆综合利用行动。加强种养</w:t>
                  </w:r>
                  <w:r>
                    <w:rPr>
                      <w:rFonts w:hint="default" w:ascii="Times New Roman" w:hAnsi="Times New Roman" w:cs="Times New Roman"/>
                      <w:color w:val="000000" w:themeColor="text1"/>
                      <w:lang w:val="en-US" w:eastAsia="zh-CN"/>
                      <w14:textFill>
                        <w14:solidFill>
                          <w14:schemeClr w14:val="tx1"/>
                        </w14:solidFill>
                      </w14:textFill>
                    </w:rPr>
                    <w:t>结合、整县推进畜禽粪污资源化利用。</w:t>
                  </w:r>
                </w:p>
              </w:tc>
              <w:tc>
                <w:tcPr>
                  <w:tcW w:w="1428" w:type="pct"/>
                  <w:vAlign w:val="center"/>
                </w:tcPr>
                <w:p w14:paraId="2E2D129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1.本项目</w:t>
                  </w:r>
                  <w:r>
                    <w:rPr>
                      <w:rFonts w:hint="default" w:ascii="Times New Roman" w:hAnsi="Times New Roman" w:cs="Times New Roman"/>
                      <w:color w:val="000000" w:themeColor="text1"/>
                      <w:lang w:val="en-US" w:eastAsia="zh-CN"/>
                      <w14:textFill>
                        <w14:solidFill>
                          <w14:schemeClr w14:val="tx1"/>
                        </w14:solidFill>
                      </w14:textFill>
                    </w:rPr>
                    <w:t>不涉及总量控制、排污许可，</w:t>
                  </w:r>
                  <w:r>
                    <w:rPr>
                      <w:rFonts w:hint="default" w:ascii="Times New Roman" w:hAnsi="Times New Roman" w:cs="Times New Roman"/>
                      <w:color w:val="000000" w:themeColor="text1"/>
                      <w14:textFill>
                        <w14:solidFill>
                          <w14:schemeClr w14:val="tx1"/>
                        </w14:solidFill>
                      </w14:textFill>
                    </w:rPr>
                    <w:t>本项目产生少量无组织挥发性有机物，扬尘执行《大气污染物综合排放标准》（GB16297-1996）表2的颗粒物无组织排放限值；试油期无组织废气执行《陆上石油天然气开采工业大气污染物排放标准》（GB39728-2020）要求。</w:t>
                  </w:r>
                </w:p>
                <w:p w14:paraId="5E2C7B3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2.本项目</w:t>
                  </w:r>
                  <w:r>
                    <w:rPr>
                      <w:rFonts w:hint="default" w:ascii="Times New Roman" w:hAnsi="Times New Roman" w:cs="Times New Roman"/>
                      <w:color w:val="000000" w:themeColor="text1"/>
                      <w:lang w:val="en-US" w:eastAsia="zh-CN"/>
                      <w14:textFill>
                        <w14:solidFill>
                          <w14:schemeClr w14:val="tx1"/>
                        </w14:solidFill>
                      </w14:textFill>
                    </w:rPr>
                    <w:t>不涉及农业面源和生活污染源，不涉及</w:t>
                  </w:r>
                  <w:r>
                    <w:rPr>
                      <w:rFonts w:hint="default" w:ascii="Times New Roman" w:hAnsi="Times New Roman" w:cs="Times New Roman"/>
                      <w:color w:val="000000" w:themeColor="text1"/>
                      <w14:textFill>
                        <w14:solidFill>
                          <w14:schemeClr w14:val="tx1"/>
                        </w14:solidFill>
                      </w14:textFill>
                    </w:rPr>
                    <w:t>农村厕所革命</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农村生活污水治理</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化肥农药减量增效行动和农膜回收、</w:t>
                  </w:r>
                  <w:r>
                    <w:rPr>
                      <w:rFonts w:hint="default" w:ascii="Times New Roman" w:hAnsi="Times New Roman" w:cs="Times New Roman"/>
                      <w:color w:val="000000" w:themeColor="text1"/>
                      <w:lang w:val="en-US" w:eastAsia="zh-CN"/>
                      <w14:textFill>
                        <w14:solidFill>
                          <w14:schemeClr w14:val="tx1"/>
                        </w14:solidFill>
                      </w14:textFill>
                    </w:rPr>
                    <w:t>畜禽粪污资源化利用</w:t>
                  </w:r>
                  <w:r>
                    <w:rPr>
                      <w:rFonts w:hint="default" w:ascii="Times New Roman" w:hAnsi="Times New Roman" w:cs="Times New Roman"/>
                      <w:color w:val="000000" w:themeColor="text1"/>
                      <w14:textFill>
                        <w14:solidFill>
                          <w14:schemeClr w14:val="tx1"/>
                        </w14:solidFill>
                      </w14:textFill>
                    </w:rPr>
                    <w:t>。</w:t>
                  </w:r>
                </w:p>
              </w:tc>
              <w:tc>
                <w:tcPr>
                  <w:tcW w:w="261" w:type="pct"/>
                  <w:vAlign w:val="center"/>
                </w:tcPr>
                <w:p w14:paraId="063B0EA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156C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jc w:val="center"/>
              </w:trPr>
              <w:tc>
                <w:tcPr>
                  <w:tcW w:w="424" w:type="pct"/>
                  <w:vMerge w:val="continue"/>
                  <w:vAlign w:val="center"/>
                </w:tcPr>
                <w:p w14:paraId="466F4B28">
                  <w:pPr>
                    <w:pStyle w:val="23"/>
                    <w:rPr>
                      <w:rFonts w:hint="default" w:ascii="Times New Roman" w:hAnsi="Times New Roman" w:cs="Times New Roman"/>
                      <w:color w:val="000000" w:themeColor="text1"/>
                      <w14:textFill>
                        <w14:solidFill>
                          <w14:schemeClr w14:val="tx1"/>
                        </w14:solidFill>
                      </w14:textFill>
                    </w:rPr>
                  </w:pPr>
                </w:p>
              </w:tc>
              <w:tc>
                <w:tcPr>
                  <w:tcW w:w="418" w:type="pct"/>
                  <w:vMerge w:val="continue"/>
                  <w:vAlign w:val="center"/>
                </w:tcPr>
                <w:p w14:paraId="7F868BA3">
                  <w:pPr>
                    <w:pStyle w:val="23"/>
                    <w:rPr>
                      <w:rFonts w:hint="default" w:ascii="Times New Roman" w:hAnsi="Times New Roman" w:cs="Times New Roman"/>
                      <w:color w:val="000000" w:themeColor="text1"/>
                      <w14:textFill>
                        <w14:solidFill>
                          <w14:schemeClr w14:val="tx1"/>
                        </w14:solidFill>
                      </w14:textFill>
                    </w:rPr>
                  </w:pPr>
                </w:p>
              </w:tc>
              <w:tc>
                <w:tcPr>
                  <w:tcW w:w="418" w:type="pct"/>
                  <w:vAlign w:val="center"/>
                </w:tcPr>
                <w:p w14:paraId="6C5F844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环境风险防控</w:t>
                  </w:r>
                </w:p>
              </w:tc>
              <w:tc>
                <w:tcPr>
                  <w:tcW w:w="2048" w:type="pct"/>
                  <w:vAlign w:val="center"/>
                </w:tcPr>
                <w:p w14:paraId="55BA5374">
                  <w:pPr>
                    <w:pStyle w:val="23"/>
                    <w:numPr>
                      <w:ilvl w:val="0"/>
                      <w:numId w:val="1"/>
                    </w:num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额敏河、涉及县级及以上集中式饮用水水源地的河流以及其他重要环境敏感目标的河流，按照“一河一策一图”环境应急</w:t>
                  </w:r>
                  <w:r>
                    <w:rPr>
                      <w:rFonts w:hint="eastAsia" w:cs="Times New Roman"/>
                      <w:color w:val="000000" w:themeColor="text1"/>
                      <w:lang w:eastAsia="zh-CN"/>
                      <w14:textFill>
                        <w14:solidFill>
                          <w14:schemeClr w14:val="tx1"/>
                        </w14:solidFill>
                      </w14:textFill>
                    </w:rPr>
                    <w:t>响应</w:t>
                  </w:r>
                  <w:r>
                    <w:rPr>
                      <w:rFonts w:hint="default" w:ascii="Times New Roman" w:hAnsi="Times New Roman" w:cs="Times New Roman"/>
                      <w:color w:val="000000" w:themeColor="text1"/>
                      <w14:textFill>
                        <w14:solidFill>
                          <w14:schemeClr w14:val="tx1"/>
                        </w14:solidFill>
                      </w14:textFill>
                    </w:rPr>
                    <w:t>方案实施应急演练，视情加强闸坝、应急池、物资库等工程建设。</w:t>
                  </w:r>
                </w:p>
                <w:p w14:paraId="2F75ACA8">
                  <w:pPr>
                    <w:pStyle w:val="23"/>
                    <w:numPr>
                      <w:ilvl w:val="0"/>
                      <w:numId w:val="1"/>
                    </w:num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塔城地区行政公署和各县市人民政府有关部门应当制定水污染事故、饮用水安全突发事件、城乡供水突发事件等相关应急预案，并定期进行演</w:t>
                  </w:r>
                  <w:r>
                    <w:rPr>
                      <w:rFonts w:hint="default" w:ascii="Times New Roman" w:hAnsi="Times New Roman" w:cs="Times New Roman"/>
                      <w:color w:val="000000" w:themeColor="text1"/>
                      <w:lang w:val="en-US" w:eastAsia="zh-CN"/>
                      <w14:textFill>
                        <w14:solidFill>
                          <w14:schemeClr w14:val="tx1"/>
                        </w14:solidFill>
                      </w14:textFill>
                    </w:rPr>
                    <w:t>练，加强应急物资储备，依法做好突发事件的应急准备、应急处置和事后恢复等工作。饮用水水源发生水污染事故，或者发生其他可能影响饮用水安全的突发性事件的，饮用水供水单位应当及时采取应急处理措施，向塔城地区行政公署、所在地县（市、区）人民政府报告，并向社会公开。有关人民政府应当采取启用备用水源等措施，保障供水安全。</w:t>
                  </w:r>
                </w:p>
                <w:p w14:paraId="4542A2E6">
                  <w:pPr>
                    <w:pStyle w:val="23"/>
                    <w:numPr>
                      <w:ilvl w:val="0"/>
                      <w:numId w:val="1"/>
                    </w:numPr>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实施农用地土壤镉等重金属污染源头防治行动。依法推行农用地分类管理制度，强化受污染耕地安全利用和风险管控。因地制宜制定实施安全利用方案，鼓励采取种植结构调整等措施，确保受污染耕地全部实现安全利用。严格落实粮食收购和销售出库质量安全检验制度和追溯制度。</w:t>
                  </w:r>
                </w:p>
                <w:p w14:paraId="79F46344">
                  <w:pPr>
                    <w:pStyle w:val="23"/>
                    <w:numPr>
                      <w:ilvl w:val="0"/>
                      <w:numId w:val="1"/>
                    </w:numPr>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健全地区医疗废弃物分类收集转运体系，实施现有医疗废物集中处置设施扩能提质改造，加快推进县（市）级医疗废物集中收集和处置设施体系建设以及城市医疗废物集中处置设施应急备用能力建设，推动医疗废物集中处置设施收集范围覆盖城、乡，实现城市、乡（镇）、农村地区医疗废物安全收集处置全覆盖。针对不具备集中处置条件的医疗卫生机构，应配套自建符合要求的医疗废物处置设施。鼓励发展移动式医疗废物处置设施，为偏远乡（镇）、牧业村（队）提供就地处置服务。根据自治区统一部署，建立兵地医疗废物协同应急处置机制，保障突发疫情、处置设施检修等期间医疗废物应急处</w:t>
                  </w:r>
                </w:p>
                <w:p w14:paraId="595FB78A">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置能力。坚持医疗废物收集处置调度制度，持续强化医疗废物收集转运处置环境监管，确保医疗废物得到及时有效收集，转运和处置。完善地区医疗废物集中处置应急预案，满足突发情况下医疗废物应急处置需要。</w:t>
                  </w:r>
                </w:p>
              </w:tc>
              <w:tc>
                <w:tcPr>
                  <w:tcW w:w="1428" w:type="pct"/>
                  <w:vAlign w:val="center"/>
                </w:tcPr>
                <w:p w14:paraId="50FFC53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1.本项目</w:t>
                  </w:r>
                  <w:r>
                    <w:rPr>
                      <w:rFonts w:hint="default" w:ascii="Times New Roman" w:hAnsi="Times New Roman" w:cs="Times New Roman"/>
                      <w:color w:val="000000" w:themeColor="text1"/>
                      <w:lang w:val="en-US" w:eastAsia="zh-CN"/>
                      <w14:textFill>
                        <w14:solidFill>
                          <w14:schemeClr w14:val="tx1"/>
                        </w14:solidFill>
                      </w14:textFill>
                    </w:rPr>
                    <w:t>不涉及</w:t>
                  </w:r>
                  <w:r>
                    <w:rPr>
                      <w:rFonts w:hint="default" w:ascii="Times New Roman" w:hAnsi="Times New Roman" w:cs="Times New Roman"/>
                      <w:color w:val="000000" w:themeColor="text1"/>
                      <w14:textFill>
                        <w14:solidFill>
                          <w14:schemeClr w14:val="tx1"/>
                        </w14:solidFill>
                      </w14:textFill>
                    </w:rPr>
                    <w:t>额敏河、县级及以上集中式饮用水水源地的河流以及其他重要环境敏感目标的河流</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周边无环境敏感区，本环评对项目可能产生的环境风险进行了分析，并提出了相应的风险防范措施。</w:t>
                  </w:r>
                </w:p>
                <w:p w14:paraId="41E9542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2.本项目</w:t>
                  </w:r>
                  <w:r>
                    <w:rPr>
                      <w:rFonts w:hint="default" w:ascii="Times New Roman" w:hAnsi="Times New Roman" w:cs="Times New Roman"/>
                      <w:color w:val="000000" w:themeColor="text1"/>
                      <w:lang w:val="en-US" w:eastAsia="zh-CN"/>
                      <w14:textFill>
                        <w14:solidFill>
                          <w14:schemeClr w14:val="tx1"/>
                        </w14:solidFill>
                      </w14:textFill>
                    </w:rPr>
                    <w:t>会进行分区防渗，正常情况下不涉及水污染事故，周边无饮用水水源地，不涉及</w:t>
                  </w:r>
                  <w:r>
                    <w:rPr>
                      <w:rFonts w:hint="default" w:ascii="Times New Roman" w:hAnsi="Times New Roman" w:cs="Times New Roman"/>
                      <w:color w:val="000000" w:themeColor="text1"/>
                      <w14:textFill>
                        <w14:solidFill>
                          <w14:schemeClr w14:val="tx1"/>
                        </w14:solidFill>
                      </w14:textFill>
                    </w:rPr>
                    <w:t>饮用水安全突发事件、城乡供水突发事件等相关应急预案。</w:t>
                  </w:r>
                </w:p>
                <w:p w14:paraId="0D8AA2FD">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.本项目不涉及农用地土壤镉等重金属污染源头防治行动。</w:t>
                  </w:r>
                </w:p>
                <w:p w14:paraId="7ED23286">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4.本项目不涉及医疗废弃物分类收集转运。</w:t>
                  </w:r>
                </w:p>
              </w:tc>
              <w:tc>
                <w:tcPr>
                  <w:tcW w:w="261" w:type="pct"/>
                  <w:vAlign w:val="center"/>
                </w:tcPr>
                <w:p w14:paraId="6345EC6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6622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24" w:type="pct"/>
                  <w:vMerge w:val="continue"/>
                  <w:vAlign w:val="center"/>
                </w:tcPr>
                <w:p w14:paraId="6CF75290">
                  <w:pPr>
                    <w:pStyle w:val="23"/>
                    <w:rPr>
                      <w:rFonts w:hint="default" w:ascii="Times New Roman" w:hAnsi="Times New Roman" w:cs="Times New Roman"/>
                      <w:color w:val="000000" w:themeColor="text1"/>
                      <w14:textFill>
                        <w14:solidFill>
                          <w14:schemeClr w14:val="tx1"/>
                        </w14:solidFill>
                      </w14:textFill>
                    </w:rPr>
                  </w:pPr>
                </w:p>
              </w:tc>
              <w:tc>
                <w:tcPr>
                  <w:tcW w:w="418" w:type="pct"/>
                  <w:vMerge w:val="continue"/>
                  <w:vAlign w:val="center"/>
                </w:tcPr>
                <w:p w14:paraId="5C3BC8E5">
                  <w:pPr>
                    <w:pStyle w:val="23"/>
                    <w:rPr>
                      <w:rFonts w:hint="default" w:ascii="Times New Roman" w:hAnsi="Times New Roman" w:cs="Times New Roman"/>
                      <w:color w:val="000000" w:themeColor="text1"/>
                      <w14:textFill>
                        <w14:solidFill>
                          <w14:schemeClr w14:val="tx1"/>
                        </w14:solidFill>
                      </w14:textFill>
                    </w:rPr>
                  </w:pPr>
                </w:p>
              </w:tc>
              <w:tc>
                <w:tcPr>
                  <w:tcW w:w="418" w:type="pct"/>
                  <w:vAlign w:val="center"/>
                </w:tcPr>
                <w:p w14:paraId="6740B3E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资源利用效率</w:t>
                  </w:r>
                </w:p>
              </w:tc>
              <w:tc>
                <w:tcPr>
                  <w:tcW w:w="2048" w:type="pct"/>
                  <w:vAlign w:val="center"/>
                </w:tcPr>
                <w:p w14:paraId="15803AF0">
                  <w:pPr>
                    <w:pStyle w:val="23"/>
                    <w:numPr>
                      <w:ilvl w:val="0"/>
                      <w:numId w:val="2"/>
                    </w:num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至2025年塔城地区超采区地下水位年均下降速率控制在0.67m/a左右，至2030年超采区全部实现地下水采补平衡，地下水位下降速率控制在0.2m/a，至2035年，塔城地区超采区全域保持地下水采补平衡或补大于采，地下水水位逐渐恢复，水位恢复速率在0.1m/a以上。</w:t>
                  </w:r>
                </w:p>
                <w:p w14:paraId="54551051">
                  <w:pPr>
                    <w:pStyle w:val="23"/>
                    <w:numPr>
                      <w:ilvl w:val="0"/>
                      <w:numId w:val="2"/>
                    </w:num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结合高标准农田建设，加大田间节水设施建设力度，提高农业用水效率。塔城地区2025年、2030年农田灌溉水有效利用系数控制指标分别为0.64、0.68，塔城地区2025年、2030年农田灌溉水有效利用系数控制指标分别为0.66、0.69。</w:t>
                  </w:r>
                </w:p>
              </w:tc>
              <w:tc>
                <w:tcPr>
                  <w:tcW w:w="1428" w:type="pct"/>
                  <w:vAlign w:val="center"/>
                </w:tcPr>
                <w:p w14:paraId="073744E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1.本项目不涉及</w:t>
                  </w:r>
                  <w:r>
                    <w:rPr>
                      <w:rFonts w:hint="default" w:ascii="Times New Roman" w:hAnsi="Times New Roman" w:cs="Times New Roman"/>
                      <w:color w:val="000000" w:themeColor="text1"/>
                      <w:lang w:val="en-US" w:eastAsia="zh-CN"/>
                      <w14:textFill>
                        <w14:solidFill>
                          <w14:schemeClr w14:val="tx1"/>
                        </w14:solidFill>
                      </w14:textFill>
                    </w:rPr>
                    <w:t>地下水开采。</w:t>
                  </w:r>
                </w:p>
                <w:p w14:paraId="2AB1F1F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2.本项目</w:t>
                  </w:r>
                  <w:r>
                    <w:rPr>
                      <w:rFonts w:hint="default" w:ascii="Times New Roman" w:hAnsi="Times New Roman" w:cs="Times New Roman"/>
                      <w:color w:val="000000" w:themeColor="text1"/>
                      <w:lang w:val="en-US" w:eastAsia="zh-CN"/>
                      <w14:textFill>
                        <w14:solidFill>
                          <w14:schemeClr w14:val="tx1"/>
                        </w14:solidFill>
                      </w14:textFill>
                    </w:rPr>
                    <w:t>不涉及</w:t>
                  </w:r>
                  <w:r>
                    <w:rPr>
                      <w:rFonts w:hint="default" w:ascii="Times New Roman" w:hAnsi="Times New Roman" w:cs="Times New Roman"/>
                      <w:color w:val="000000" w:themeColor="text1"/>
                      <w14:textFill>
                        <w14:solidFill>
                          <w14:schemeClr w14:val="tx1"/>
                        </w14:solidFill>
                      </w14:textFill>
                    </w:rPr>
                    <w:t>高标准农田建设</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不涉及农业用水</w:t>
                  </w:r>
                  <w:r>
                    <w:rPr>
                      <w:rFonts w:hint="default" w:ascii="Times New Roman" w:hAnsi="Times New Roman" w:cs="Times New Roman"/>
                      <w:color w:val="000000" w:themeColor="text1"/>
                      <w14:textFill>
                        <w14:solidFill>
                          <w14:schemeClr w14:val="tx1"/>
                        </w14:solidFill>
                      </w14:textFill>
                    </w:rPr>
                    <w:t>。</w:t>
                  </w:r>
                </w:p>
              </w:tc>
              <w:tc>
                <w:tcPr>
                  <w:tcW w:w="261" w:type="pct"/>
                  <w:vAlign w:val="center"/>
                </w:tcPr>
                <w:p w14:paraId="2F5D59B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bl>
          <w:p w14:paraId="0256CFD0">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3与《石油天然气开采业污染防治技术政策》符合性分析</w:t>
            </w:r>
          </w:p>
          <w:p w14:paraId="783A30D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本项目与《石油天然气开采业污染防治技术政策》（公告2012年第18号，2012-03-07）的相关要求相符性见表1-3。</w:t>
            </w:r>
          </w:p>
          <w:p w14:paraId="74CA7188">
            <w:pPr>
              <w:pStyle w:val="21"/>
              <w:spacing w:line="36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表1-3  与《石油天然气开采业污染防治技术政策》相符性分析一览表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3433"/>
              <w:gridCol w:w="3433"/>
              <w:gridCol w:w="785"/>
            </w:tblGrid>
            <w:tr w14:paraId="6BD6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6ADBD4EB">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2955" w:type="dxa"/>
                  <w:vAlign w:val="center"/>
                </w:tcPr>
                <w:p w14:paraId="7C414BE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要求</w:t>
                  </w:r>
                </w:p>
              </w:tc>
              <w:tc>
                <w:tcPr>
                  <w:tcW w:w="2955" w:type="dxa"/>
                  <w:vAlign w:val="center"/>
                </w:tcPr>
                <w:p w14:paraId="09C02811">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本项目</w:t>
                  </w:r>
                </w:p>
              </w:tc>
              <w:tc>
                <w:tcPr>
                  <w:tcW w:w="676" w:type="dxa"/>
                  <w:vAlign w:val="center"/>
                </w:tcPr>
                <w:p w14:paraId="1E9D457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相符性</w:t>
                  </w:r>
                </w:p>
              </w:tc>
            </w:tr>
            <w:tr w14:paraId="7348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7C506B6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2955" w:type="dxa"/>
                  <w:vAlign w:val="center"/>
                </w:tcPr>
                <w:p w14:paraId="6E62567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到2015年末，行业新、改、扩建项目均采用清洁生产工艺和技术，工业废水回用率达到90%以上，工业固体废物资源化及无害化处理处置率达到100%。要遏制重大、杜绝特别重大环境污染和生态破坏事故的发生。要逐步实现对行业排放的石油类污染物进行总量控制。</w:t>
                  </w:r>
                </w:p>
              </w:tc>
              <w:tc>
                <w:tcPr>
                  <w:tcW w:w="2955" w:type="dxa"/>
                  <w:vAlign w:val="center"/>
                </w:tcPr>
                <w:p w14:paraId="43F951E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项目钻井废水循环利用，试油期废水拉运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污水处理系统处理后回注油藏，压裂返排液进入罐车拉运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压裂返排液处理装置，处理达到《碎屑岩油藏注水水质指标技术要求及分析方法》（SY/T5329-2022）中标准后回注油藏，试油期采出液拉运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的采出液处理系统处理，工业废水回用率大于90%；钻井泥浆经“钻井泥浆不落地技术”处理后循环使用。本环评对项目可能产生的环境风险进行了分析，并提出了相应的风险防范措施。本项目无总量控制要求。</w:t>
                  </w:r>
                </w:p>
              </w:tc>
              <w:tc>
                <w:tcPr>
                  <w:tcW w:w="676" w:type="dxa"/>
                  <w:vAlign w:val="center"/>
                </w:tcPr>
                <w:p w14:paraId="582AC1F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0591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13788D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2955" w:type="dxa"/>
                  <w:vAlign w:val="center"/>
                </w:tcPr>
                <w:p w14:paraId="128BB77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油气田开发不得使用含有国际公约禁用化学物质的油气田化学剂，逐步淘汰微毒及以上油气田化学剂，鼓励使用无毒油气田化学剂。</w:t>
                  </w:r>
                </w:p>
              </w:tc>
              <w:tc>
                <w:tcPr>
                  <w:tcW w:w="2955" w:type="dxa"/>
                  <w:vAlign w:val="center"/>
                </w:tcPr>
                <w:p w14:paraId="5F33388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本项目为油气资源勘探，不涉及油气田开发。</w:t>
                  </w:r>
                </w:p>
              </w:tc>
              <w:tc>
                <w:tcPr>
                  <w:tcW w:w="676" w:type="dxa"/>
                  <w:vAlign w:val="center"/>
                </w:tcPr>
                <w:p w14:paraId="0E0B4CC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1A12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11B908E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2955" w:type="dxa"/>
                  <w:vAlign w:val="center"/>
                </w:tcPr>
                <w:p w14:paraId="2CB535E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在勘探开发过程中，应防止产生落地原油。其中井下作业过程中应配备泄油器、刮油器等。落地原油应及时回收，落地原油回收率应达到100%。</w:t>
                  </w:r>
                </w:p>
              </w:tc>
              <w:tc>
                <w:tcPr>
                  <w:tcW w:w="2955" w:type="dxa"/>
                  <w:vAlign w:val="center"/>
                </w:tcPr>
                <w:p w14:paraId="0D6C6B2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本项目试油期带罐作业，正常情况下无落地油产生，事故状态下的落地油100%回收。</w:t>
                  </w:r>
                </w:p>
              </w:tc>
              <w:tc>
                <w:tcPr>
                  <w:tcW w:w="676" w:type="dxa"/>
                  <w:vAlign w:val="center"/>
                </w:tcPr>
                <w:p w14:paraId="65876A1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70A1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11A3F78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2955" w:type="dxa"/>
                  <w:vAlign w:val="center"/>
                </w:tcPr>
                <w:p w14:paraId="42C7886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在钻井过程中，鼓励采用环境友好的钻井液体系；配备完善的固控设备，钻井液循环率达到95%以上；钻井过程产生的废水应回用。</w:t>
                  </w:r>
                </w:p>
              </w:tc>
              <w:tc>
                <w:tcPr>
                  <w:tcW w:w="2955" w:type="dxa"/>
                  <w:vAlign w:val="center"/>
                </w:tcPr>
                <w:p w14:paraId="4A7866B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本项目涉及水基钻井液，采用“钻井泥浆不落地技术”，水基泥浆回收用于后续钻井液配制；产生的水基岩屑暂存于水基岩屑储罐，委托相应单位处置。</w:t>
                  </w:r>
                </w:p>
              </w:tc>
              <w:tc>
                <w:tcPr>
                  <w:tcW w:w="676" w:type="dxa"/>
                  <w:vAlign w:val="center"/>
                </w:tcPr>
                <w:p w14:paraId="1B0DFAD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08C6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538D28F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2955" w:type="dxa"/>
                  <w:vAlign w:val="center"/>
                </w:tcPr>
                <w:p w14:paraId="4141C0D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在井下作业过程中，酸化液和压裂液宜集中配制，酸化残液、压裂残液和返排液应回收利用或进行无害化处置，压裂放喷返排入罐率应达到100%。</w:t>
                  </w:r>
                </w:p>
              </w:tc>
              <w:tc>
                <w:tcPr>
                  <w:tcW w:w="2955" w:type="dxa"/>
                  <w:vAlign w:val="center"/>
                </w:tcPr>
                <w:p w14:paraId="23F32EA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项目压裂液集中配制，再拉运至井场；压裂返排液进入罐车拉运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压裂返排液处理装置，处理达到《碎屑岩油藏注水水质指标技术要求及分析方法》（SY/T5329-2022）中标准后回注油藏。</w:t>
                  </w:r>
                </w:p>
              </w:tc>
              <w:tc>
                <w:tcPr>
                  <w:tcW w:w="676" w:type="dxa"/>
                  <w:vAlign w:val="center"/>
                </w:tcPr>
                <w:p w14:paraId="25062A6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3CDB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01CF79E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p>
              </w:tc>
              <w:tc>
                <w:tcPr>
                  <w:tcW w:w="2955" w:type="dxa"/>
                  <w:vAlign w:val="center"/>
                </w:tcPr>
                <w:p w14:paraId="45DFB73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在钻井和井下作业过程中，鼓励污油、污水进入生产流程循环利用。</w:t>
                  </w:r>
                </w:p>
              </w:tc>
              <w:tc>
                <w:tcPr>
                  <w:tcW w:w="2955" w:type="dxa"/>
                  <w:vAlign w:val="center"/>
                </w:tcPr>
                <w:p w14:paraId="0371E93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本项目采用钻井泥浆不落地技术，钻井废水循环使用；试油期废水（洗井废水和压裂返排液）经</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污水处理系统处理达标后回注地层；正常情况下无落地油产生，事故状态下的落地油100%回收，交由有相应危废处置资质的单位处置。</w:t>
                  </w:r>
                </w:p>
              </w:tc>
              <w:tc>
                <w:tcPr>
                  <w:tcW w:w="676" w:type="dxa"/>
                  <w:vAlign w:val="center"/>
                </w:tcPr>
                <w:p w14:paraId="7499B04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0E56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3457679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p>
              </w:tc>
              <w:tc>
                <w:tcPr>
                  <w:tcW w:w="2955" w:type="dxa"/>
                  <w:vAlign w:val="center"/>
                </w:tcPr>
                <w:p w14:paraId="398B8B5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应回收落地原油，以及原油处理、废水处理产生的油泥（砂）等中的油类物质，含油污泥资源化利用率应达到90%以上，残余固体废物应按照《国家危险废物名录》和危险废物鉴别标准识别，根据识别结果资源化利用或无害化处置。</w:t>
                  </w:r>
                </w:p>
              </w:tc>
              <w:tc>
                <w:tcPr>
                  <w:tcW w:w="2955" w:type="dxa"/>
                  <w:vAlign w:val="center"/>
                </w:tcPr>
                <w:p w14:paraId="173996B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试油期带罐（车）操作，正常情况下无落地油产生，事故状态下的落地油100%回收，交由有相应危废处置资质的单位处置。</w:t>
                  </w:r>
                </w:p>
              </w:tc>
              <w:tc>
                <w:tcPr>
                  <w:tcW w:w="676" w:type="dxa"/>
                  <w:vAlign w:val="center"/>
                </w:tcPr>
                <w:p w14:paraId="082693D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765A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dxa"/>
                  <w:vAlign w:val="center"/>
                </w:tcPr>
                <w:p w14:paraId="7B10F66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p>
              </w:tc>
              <w:tc>
                <w:tcPr>
                  <w:tcW w:w="2955" w:type="dxa"/>
                  <w:vAlign w:val="center"/>
                </w:tcPr>
                <w:p w14:paraId="4126107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油气田企业应制定环境保护管理规定，建立并运行健康、安全与环境管理体系。</w:t>
                  </w:r>
                </w:p>
              </w:tc>
              <w:tc>
                <w:tcPr>
                  <w:tcW w:w="2955" w:type="dxa"/>
                  <w:vAlign w:val="center"/>
                </w:tcPr>
                <w:p w14:paraId="627BB18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新疆油田公司目前已建立了完善的健康、安全与环境管理体系（QHSE管理体系）。</w:t>
                  </w:r>
                </w:p>
              </w:tc>
              <w:tc>
                <w:tcPr>
                  <w:tcW w:w="676" w:type="dxa"/>
                  <w:vAlign w:val="center"/>
                </w:tcPr>
                <w:p w14:paraId="1276B1F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bl>
          <w:p w14:paraId="02CA65A4">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4</w:t>
            </w:r>
            <w:r>
              <w:rPr>
                <w:rFonts w:hint="default" w:ascii="Times New Roman" w:hAnsi="Times New Roman" w:cs="Times New Roman"/>
                <w:color w:val="000000" w:themeColor="text1"/>
                <w:sz w:val="28"/>
                <w:szCs w:val="28"/>
                <w14:textFill>
                  <w14:solidFill>
                    <w14:schemeClr w14:val="tx1"/>
                  </w14:solidFill>
                </w14:textFill>
              </w:rPr>
              <w:t xml:space="preserve"> 与《新疆维吾尔自治区石油天然气发展“十四五”规划》相符性分析</w:t>
            </w:r>
          </w:p>
          <w:p w14:paraId="29AA028C">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疆维吾尔自治区石油天然气发展“十四五”规划在规划主要任务中要求：“加快推进油气资源基础地质调查和非常规油气资源勘查，明确勘探主攻方向，以准噶尔、塔里木、吐哈等盆地为重点，加强准噶尔盆地南缘、玛湖凹陷区、沙湾凹陷区、吉木萨尔凹陷，塔里木盆地顺北、碳酸盐岩等低勘探程度区域，以及页岩油气等新领域风险勘探，尽早形成新的油气资源战略接续区。”</w:t>
            </w:r>
          </w:p>
          <w:p w14:paraId="7A3070A7">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本项目属于油气资源勘探项目，位于准噶尔盆地，属于规划重点项目中的油气勘探重点项目，符合规划要求。</w:t>
            </w:r>
          </w:p>
          <w:p w14:paraId="6D9F891C">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 xml:space="preserve">5 </w:t>
            </w:r>
            <w:r>
              <w:rPr>
                <w:rFonts w:hint="default" w:ascii="Times New Roman" w:hAnsi="Times New Roman" w:cs="Times New Roman"/>
                <w:color w:val="000000" w:themeColor="text1"/>
                <w:sz w:val="28"/>
                <w:szCs w:val="28"/>
                <w14:textFill>
                  <w14:solidFill>
                    <w14:schemeClr w14:val="tx1"/>
                  </w14:solidFill>
                </w14:textFill>
              </w:rPr>
              <w:t>与《关于进一步加强石油天然气行业环境影响评价管理的通知》的符合性分析</w:t>
            </w:r>
          </w:p>
          <w:p w14:paraId="057569B8">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本项目与《关于进一步加强石油天然气行业环境影响评价管理的通知》（环办环评函〔2019〕910号，2019年12月13日），相符性见表1-4。</w:t>
            </w:r>
          </w:p>
          <w:p w14:paraId="640B0B2E">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表1-4  与《关于进一步加强石油天然气行业环境影响评价管理的通知》相符性分析一览表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3534"/>
              <w:gridCol w:w="3143"/>
              <w:gridCol w:w="856"/>
            </w:tblGrid>
            <w:tr w14:paraId="5ABC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27B0A1A3">
                  <w:pPr>
                    <w:pStyle w:val="23"/>
                    <w:ind w:left="-105" w:right="-105"/>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3827" w:type="dxa"/>
                  <w:vAlign w:val="center"/>
                </w:tcPr>
                <w:p w14:paraId="62769951">
                  <w:pPr>
                    <w:pStyle w:val="23"/>
                    <w:ind w:left="-105" w:right="-105"/>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要求</w:t>
                  </w:r>
                </w:p>
              </w:tc>
              <w:tc>
                <w:tcPr>
                  <w:tcW w:w="3402" w:type="dxa"/>
                  <w:vAlign w:val="center"/>
                </w:tcPr>
                <w:p w14:paraId="5FDDB4B4">
                  <w:pPr>
                    <w:pStyle w:val="23"/>
                    <w:ind w:left="-105" w:right="-105"/>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本项目</w:t>
                  </w:r>
                </w:p>
              </w:tc>
              <w:tc>
                <w:tcPr>
                  <w:tcW w:w="912" w:type="dxa"/>
                  <w:vAlign w:val="center"/>
                </w:tcPr>
                <w:p w14:paraId="06A1C9B9">
                  <w:pPr>
                    <w:pStyle w:val="23"/>
                    <w:ind w:left="-105" w:right="-105"/>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相符性</w:t>
                  </w:r>
                </w:p>
              </w:tc>
            </w:tr>
            <w:tr w14:paraId="4604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79ADD50">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3827" w:type="dxa"/>
                  <w:vAlign w:val="center"/>
                </w:tcPr>
                <w:p w14:paraId="155F1DAD">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项目环评应当深入评价项目建设、运营带来的环境影响和环境风险，提出有效的生态环境保护和环境风险防范措施。</w:t>
                  </w:r>
                </w:p>
              </w:tc>
              <w:tc>
                <w:tcPr>
                  <w:tcW w:w="3402" w:type="dxa"/>
                  <w:vAlign w:val="center"/>
                </w:tcPr>
                <w:p w14:paraId="74E0D97B">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项目施工期的环境影响及风险评价详见后文“环境影响分析”章节。</w:t>
                  </w:r>
                </w:p>
              </w:tc>
              <w:tc>
                <w:tcPr>
                  <w:tcW w:w="912" w:type="dxa"/>
                  <w:vAlign w:val="center"/>
                </w:tcPr>
                <w:p w14:paraId="79D15461">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24A3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704" w:type="dxa"/>
                  <w:vAlign w:val="center"/>
                </w:tcPr>
                <w:p w14:paraId="57664FD6">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3827" w:type="dxa"/>
                  <w:vAlign w:val="center"/>
                </w:tcPr>
                <w:p w14:paraId="35B46795">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依托其他防治设施的或者委托第三方处置的，应当论证其可行性和有效性。</w:t>
                  </w:r>
                </w:p>
              </w:tc>
              <w:tc>
                <w:tcPr>
                  <w:tcW w:w="3402" w:type="dxa"/>
                  <w:vAlign w:val="center"/>
                </w:tcPr>
                <w:p w14:paraId="7207EA97">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本项目钻井废水循环利用，试油期洗井废水全部回收，采用专用废液收集罐收集后运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的污水处理系统处理达标后回注油藏，压裂返排液进入罐车拉运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压裂返排液处理装置，处理达到《碎屑岩油藏注水水质指标技术要求及分析方法》（SY/T5329-2022）中标准后回注油藏。依托工程及其可行性分析详见第二节建设内容。</w:t>
                  </w:r>
                </w:p>
              </w:tc>
              <w:tc>
                <w:tcPr>
                  <w:tcW w:w="912" w:type="dxa"/>
                  <w:vAlign w:val="center"/>
                </w:tcPr>
                <w:p w14:paraId="5E22766F">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0FF0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6ACB8D8B">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3827" w:type="dxa"/>
                  <w:vAlign w:val="center"/>
                </w:tcPr>
                <w:p w14:paraId="08ED8BE4">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涉及废水回注的，应当论证回注的环境可行性，采取切实可行的地下水污染防治和监控措施，不得回注与油气开采无关的废水，严禁造成地下水污染。</w:t>
                  </w:r>
                </w:p>
              </w:tc>
              <w:tc>
                <w:tcPr>
                  <w:tcW w:w="3402" w:type="dxa"/>
                  <w:vAlign w:val="center"/>
                </w:tcPr>
                <w:p w14:paraId="0C88B8AB">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本项目钻井废水循环利用，试油期洗井废水全部回收，采用专用废液收集罐收集后运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的污水处理系统处理达标后回注油藏，压裂返排液进入罐车拉运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压裂返排液处理装置，处理达到《碎屑岩油藏注水水质指标技术要求及分析方法》（SY/T5329-2022）中标准后回注油藏，依托可行性详见后文第二章第6小节。本项目采取了地下水污染防治和监控措施，防止造成地下水污染，详见报告环保措施章节。</w:t>
                  </w:r>
                </w:p>
              </w:tc>
              <w:tc>
                <w:tcPr>
                  <w:tcW w:w="912" w:type="dxa"/>
                  <w:vAlign w:val="center"/>
                </w:tcPr>
                <w:p w14:paraId="69CE6E78">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6D7C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4ABF8A7D">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3827" w:type="dxa"/>
                  <w:vAlign w:val="center"/>
                </w:tcPr>
                <w:p w14:paraId="2BCCDD64">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油气开采产生的废弃油基泥浆、含油钻屑及其他固体废物，应当遵循减量化、资源化、无害化原则，按照国家和地方有关固体废物的管理规定进行处置。</w:t>
                  </w:r>
                </w:p>
              </w:tc>
              <w:tc>
                <w:tcPr>
                  <w:tcW w:w="3402" w:type="dxa"/>
                  <w:vAlign w:val="center"/>
                </w:tcPr>
                <w:p w14:paraId="4CA30F58">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本项目一开</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二开、三开钻井过程中使用水基钻井液，钻井液循环使用，水基岩屑</w:t>
                  </w:r>
                  <w:r>
                    <w:rPr>
                      <w:rFonts w:hint="eastAsia" w:cs="Times New Roman"/>
                      <w:color w:val="000000" w:themeColor="text1"/>
                      <w:lang w:val="en-US" w:eastAsia="zh-CN"/>
                      <w14:textFill>
                        <w14:solidFill>
                          <w14:schemeClr w14:val="tx1"/>
                        </w14:solidFill>
                      </w14:textFill>
                    </w:rPr>
                    <w:t>委托</w:t>
                  </w:r>
                  <w:r>
                    <w:rPr>
                      <w:rFonts w:hint="default"/>
                      <w:lang w:val="en-US" w:eastAsia="zh-CN"/>
                    </w:rPr>
                    <w:t>第三方岩屑处置单位</w:t>
                  </w:r>
                  <w:r>
                    <w:rPr>
                      <w:rFonts w:hint="eastAsia"/>
                      <w:lang w:val="en-US" w:eastAsia="zh-CN"/>
                    </w:rPr>
                    <w:t>合规</w:t>
                  </w:r>
                  <w:r>
                    <w:rPr>
                      <w:rFonts w:hint="default"/>
                      <w:lang w:val="en-US" w:eastAsia="zh-CN"/>
                    </w:rPr>
                    <w:t>处置后再</w:t>
                  </w:r>
                  <w:r>
                    <w:rPr>
                      <w:rFonts w:hint="default" w:ascii="Times New Roman" w:hAnsi="Times New Roman" w:cs="Times New Roman"/>
                      <w:color w:val="000000" w:themeColor="text1"/>
                      <w14:textFill>
                        <w14:solidFill>
                          <w14:schemeClr w14:val="tx1"/>
                        </w14:solidFill>
                      </w14:textFill>
                    </w:rPr>
                    <w:t>利用。</w:t>
                  </w:r>
                </w:p>
              </w:tc>
              <w:tc>
                <w:tcPr>
                  <w:tcW w:w="912" w:type="dxa"/>
                  <w:vAlign w:val="center"/>
                </w:tcPr>
                <w:p w14:paraId="770079FA">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1F2D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37308C4D">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3827" w:type="dxa"/>
                  <w:vAlign w:val="center"/>
                </w:tcPr>
                <w:p w14:paraId="78F484E6">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施工期应当尽量减少施工占地、缩短施工时间、选择合理施工方式、落实环境敏感区管控要求以及其他生态环境保护措施，降低生态环境影响。</w:t>
                  </w:r>
                </w:p>
              </w:tc>
              <w:tc>
                <w:tcPr>
                  <w:tcW w:w="3402" w:type="dxa"/>
                  <w:vAlign w:val="center"/>
                </w:tcPr>
                <w:p w14:paraId="2B7DC62E">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施工期严格控制占地面积，施工单位在占地范围内施工，严格控制和管理运输车辆及重型机械施工作业范围。具体详见环境保护措施章节。</w:t>
                  </w:r>
                </w:p>
              </w:tc>
              <w:tc>
                <w:tcPr>
                  <w:tcW w:w="912" w:type="dxa"/>
                  <w:vAlign w:val="center"/>
                </w:tcPr>
                <w:p w14:paraId="3DADC3F7">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467F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4" w:type="dxa"/>
                  <w:vAlign w:val="center"/>
                </w:tcPr>
                <w:p w14:paraId="5B08B3A8">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p>
              </w:tc>
              <w:tc>
                <w:tcPr>
                  <w:tcW w:w="3827" w:type="dxa"/>
                  <w:vAlign w:val="center"/>
                </w:tcPr>
                <w:p w14:paraId="11F20D0D">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气企业应当切实落实生态环境保护主体责任，进一步健全生态环境保护管理体系和制度，充分发挥企业内部生态环境保护部门作用，健全健康、安全与环境（QHSE）管理体系，加强督促检查，推动所属油气田落实规划、建设、运营、退役等环节生态环境保护措施。</w:t>
                  </w:r>
                </w:p>
              </w:tc>
              <w:tc>
                <w:tcPr>
                  <w:tcW w:w="3402" w:type="dxa"/>
                  <w:vAlign w:val="center"/>
                </w:tcPr>
                <w:p w14:paraId="32029762">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建设单位设置安全环保科室及人员，建有QHSE管理体系，监督落实建设、运营及退役期各项生态环境保护措施。</w:t>
                  </w:r>
                </w:p>
              </w:tc>
              <w:tc>
                <w:tcPr>
                  <w:tcW w:w="912" w:type="dxa"/>
                  <w:vAlign w:val="center"/>
                </w:tcPr>
                <w:p w14:paraId="141350CD">
                  <w:pPr>
                    <w:pStyle w:val="23"/>
                    <w:ind w:left="-105" w:right="-10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bl>
          <w:p w14:paraId="7413C1E0">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6</w:t>
            </w:r>
            <w:r>
              <w:rPr>
                <w:rFonts w:hint="default" w:ascii="Times New Roman" w:hAnsi="Times New Roman" w:cs="Times New Roman"/>
                <w:color w:val="000000" w:themeColor="text1"/>
                <w:sz w:val="28"/>
                <w:szCs w:val="28"/>
                <w14:textFill>
                  <w14:solidFill>
                    <w14:schemeClr w14:val="tx1"/>
                  </w14:solidFill>
                </w14:textFill>
              </w:rPr>
              <w:t xml:space="preserve"> 与《陆上石油天然气开采业绿色矿山建设规范》（DZ/T 0317-2018）相符性分析</w:t>
            </w:r>
          </w:p>
          <w:p w14:paraId="3501B0F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该文件要求：“因矿制宜选择开采工艺和装备，符合清洁生产要求。应贯彻‘边开采，边治理，边恢复’的原则，及时治理恢复矿区地质环境，复垦矿区压占和损毁土地；应遵循矿区油气资源赋存状况、生态环境特征等条件，科学合理地确定开发方案，选择与油气藏类型相适应的先进开采技术和工艺，推广使用成熟、先进的技术装备，严禁使用国家明文规定的限制和淘汰的技术工艺及装备；集约节约利用土地资源，土地利用符合用地指标政策。合理确定站址、场址、管网、路网建设占地规模。应实施绿色钻井技术体系，科学选择钻井方式、环境友好型钻井液及井控措施，配备完善的固控系统，及时妥善处置钻井泥浆”。</w:t>
            </w:r>
          </w:p>
          <w:p w14:paraId="438B1CD9">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本项目钻试方案的设计技术先进、实用成熟，符合清洁生产要求；项目钻试完成后，按照要求恢复井场及生活营地、道路临时占地，符合“边开采，边治理，边恢复”的原则；项目钻试方案设计考虑了该区域油气资源赋存状况、生态环境特征等条件，所选用的技术和工艺均属于成熟、先进的技术装备；本项目临时占地规模从土地资源节约方面考虑，尽可能缩小占地面积。项目钻试过程中，配备先进完善的固控设备，设置井控装置。经泥浆经不落地系统处理实现固液分离，分离后的液相回用，水基岩屑交岩屑处置单位处置，本项目符合该规范要求。</w:t>
            </w:r>
          </w:p>
          <w:p w14:paraId="328D72D5">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 xml:space="preserve">7 </w:t>
            </w:r>
            <w:r>
              <w:rPr>
                <w:rFonts w:hint="default" w:ascii="Times New Roman" w:hAnsi="Times New Roman" w:cs="Times New Roman"/>
                <w:color w:val="000000" w:themeColor="text1"/>
                <w:sz w:val="28"/>
                <w:szCs w:val="28"/>
                <w14:textFill>
                  <w14:solidFill>
                    <w14:schemeClr w14:val="tx1"/>
                  </w14:solidFill>
                </w14:textFill>
              </w:rPr>
              <w:t>与《新疆生态环境保护“十四五”规划》相符性分析</w:t>
            </w:r>
          </w:p>
          <w:p w14:paraId="0E95A4D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本项目与《新疆生态环境保护“十四五”规划》符合性分析见表1-5。</w:t>
            </w:r>
          </w:p>
          <w:p w14:paraId="679AB552">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表1-5  与《新疆生态环境保护“十四五”规划》相符性分析一览表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3811"/>
              <w:gridCol w:w="3117"/>
              <w:gridCol w:w="718"/>
            </w:tblGrid>
            <w:tr w14:paraId="4D91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530A238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2326" w:type="pct"/>
                  <w:vAlign w:val="center"/>
                </w:tcPr>
                <w:p w14:paraId="10085A48">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要求</w:t>
                  </w:r>
                </w:p>
              </w:tc>
              <w:tc>
                <w:tcPr>
                  <w:tcW w:w="1902" w:type="pct"/>
                  <w:vAlign w:val="center"/>
                </w:tcPr>
                <w:p w14:paraId="193F92A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本项目</w:t>
                  </w:r>
                </w:p>
              </w:tc>
              <w:tc>
                <w:tcPr>
                  <w:tcW w:w="438" w:type="pct"/>
                  <w:vAlign w:val="center"/>
                </w:tcPr>
                <w:p w14:paraId="47286895">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相符性</w:t>
                  </w:r>
                </w:p>
              </w:tc>
            </w:tr>
            <w:tr w14:paraId="21C4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3E4D33E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2326" w:type="pct"/>
                  <w:vAlign w:val="center"/>
                </w:tcPr>
                <w:p w14:paraId="1B7C37A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加强重点行业VOCs治理。实施VOCs排放总量控制，重点推进石油天然气开采、石化、化工、包装印刷、工业涂装、油品储运销等重点行业排放源以及机动车等移动源VOCs污染防治，加强重点行业、重点企业的精细化管控；全面推进使用低VOCs含量涂料、油墨、胶粘剂、清洗剂等；加强汽修行业VOCs综合治理，加大餐饮油烟污染治理力度，持续削减VOCs排放量。</w:t>
                  </w:r>
                </w:p>
              </w:tc>
              <w:tc>
                <w:tcPr>
                  <w:tcW w:w="1902" w:type="pct"/>
                  <w:vAlign w:val="center"/>
                </w:tcPr>
                <w:p w14:paraId="6E786C6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本项目仅在试油期产生少量伴生气经放空燃烧，不随意排放。</w:t>
                  </w:r>
                </w:p>
              </w:tc>
              <w:tc>
                <w:tcPr>
                  <w:tcW w:w="438" w:type="pct"/>
                  <w:vAlign w:val="center"/>
                </w:tcPr>
                <w:p w14:paraId="3A6931B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211F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 w:type="pct"/>
                  <w:vAlign w:val="center"/>
                </w:tcPr>
                <w:p w14:paraId="0CA78FA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2326" w:type="pct"/>
                  <w:vAlign w:val="center"/>
                </w:tcPr>
                <w:p w14:paraId="0A67E64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严控土壤重金属污染，加强油（气）田开发土壤污染防治，以历史遗留工业企业污染场地为重点，开展风险管控与修复工程。推广绿色修复理念，强化修复过程二次污染防控。</w:t>
                  </w:r>
                </w:p>
              </w:tc>
              <w:tc>
                <w:tcPr>
                  <w:tcW w:w="1902" w:type="pct"/>
                  <w:vAlign w:val="center"/>
                </w:tcPr>
                <w:p w14:paraId="535C04D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本项目井场采取防渗措施，防止土壤污染，本项目为新建项目，不涉及历史遗留工业企业污染场地。</w:t>
                  </w:r>
                </w:p>
              </w:tc>
              <w:tc>
                <w:tcPr>
                  <w:tcW w:w="438" w:type="pct"/>
                  <w:vAlign w:val="center"/>
                </w:tcPr>
                <w:p w14:paraId="0F42785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bl>
          <w:p w14:paraId="3575B1B5">
            <w:pPr>
              <w:pStyle w:val="4"/>
              <w:ind w:firstLine="0" w:firstLineChars="0"/>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8 与《塔城地区生态环境保护“十四五”规划》</w:t>
            </w:r>
            <w:r>
              <w:rPr>
                <w:rFonts w:hint="default" w:ascii="Times New Roman" w:hAnsi="Times New Roman" w:cs="Times New Roman"/>
                <w:color w:val="000000" w:themeColor="text1"/>
                <w:sz w:val="28"/>
                <w:szCs w:val="28"/>
                <w14:textFill>
                  <w14:solidFill>
                    <w14:schemeClr w14:val="tx1"/>
                  </w14:solidFill>
                </w14:textFill>
              </w:rPr>
              <w:t>相符性分析</w:t>
            </w:r>
          </w:p>
          <w:p w14:paraId="0DF32C35">
            <w:pPr>
              <w:pStyle w:val="4"/>
              <w:ind w:firstLine="480" w:firstLineChars="200"/>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该文件要求：建立生态空间管控制度。基于地区“三线一单”成果，强化生态环境空间管控引导和约束作用，建立生态、大气、水、土壤等要素环境管控分区，明确各要素空间差异化的生态环境功能属性和管控要求，严守生态保护红线、环境质量底线、资源利用上线，严格落实建设项目环境准入清单管理。根据环境管控单元提出差异性管控目标和要求，对优先保护区、重点管控区和一般管控区实施分区分类管控。严格生态保护红线管控，原则上按禁止开发区域的要求进行管理。对优先保护的重点生态功能区域实施最严格的保护，严格控制各类开发利用活动的占用和扰动，确保面积不减少，功能不降低，生态服务保障能力逐渐提高。</w:t>
            </w:r>
          </w:p>
          <w:p w14:paraId="79CFEAEB">
            <w:pP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本项目属于</w:t>
            </w:r>
            <w:r>
              <w:rPr>
                <w:rFonts w:hint="default" w:ascii="Times New Roman" w:hAnsi="Times New Roman" w:cs="Times New Roman"/>
                <w:color w:val="000000" w:themeColor="text1"/>
                <w14:textFill>
                  <w14:solidFill>
                    <w14:schemeClr w14:val="tx1"/>
                  </w14:solidFill>
                </w14:textFill>
              </w:rPr>
              <w:t>陆地石油勘探项目</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不属于“高污染、高环境风险产品”的工业项目；不涉及生态保护红线，“三废”及噪声对区域环境质量影响小，不会突破区域环境质量底线；新鲜水和柴油消耗不会突破区域资源利用上线，符合塔城地区</w:t>
            </w:r>
            <w:r>
              <w:rPr>
                <w:rFonts w:hint="default" w:ascii="Times New Roman" w:hAnsi="Times New Roman" w:cs="Times New Roman"/>
                <w:color w:val="000000" w:themeColor="text1"/>
                <w:lang w:val="en-US" w:eastAsia="zh-CN"/>
                <w14:textFill>
                  <w14:solidFill>
                    <w14:schemeClr w14:val="tx1"/>
                  </w14:solidFill>
                </w14:textFill>
              </w:rPr>
              <w:t>生态环境保护“十四五”规划</w:t>
            </w:r>
            <w:r>
              <w:rPr>
                <w:rFonts w:hint="default" w:ascii="Times New Roman" w:hAnsi="Times New Roman" w:cs="Times New Roman"/>
                <w:color w:val="000000" w:themeColor="text1"/>
                <w14:textFill>
                  <w14:solidFill>
                    <w14:schemeClr w14:val="tx1"/>
                  </w14:solidFill>
                </w14:textFill>
              </w:rPr>
              <w:t>的要求。</w:t>
            </w:r>
          </w:p>
          <w:p w14:paraId="2FA6B037">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9</w:t>
            </w:r>
            <w:r>
              <w:rPr>
                <w:rFonts w:hint="default" w:ascii="Times New Roman" w:hAnsi="Times New Roman" w:cs="Times New Roman"/>
                <w:color w:val="000000" w:themeColor="text1"/>
                <w:sz w:val="28"/>
                <w:szCs w:val="28"/>
                <w14:textFill>
                  <w14:solidFill>
                    <w14:schemeClr w14:val="tx1"/>
                  </w14:solidFill>
                </w14:textFill>
              </w:rPr>
              <w:t>与《新疆维吾尔自治区石油勘探开发环境管理办法》相符性分析</w:t>
            </w:r>
          </w:p>
          <w:p w14:paraId="52F3F60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疆维吾尔自治区石油勘探开发环境管理办法》要求：石油勘探开发单位的新建、扩建、改建、区域开发和引进项目等，必须执行环境影响报告的审批制度，执行防治污染的设施与主体工程同时设计，同时施工，同时投产使用的制度；对含油废水经处理达到注水标准的，可以实行回注，减少废水的排放量，保护地面水和地下水不受污染；石油勘探开发单位排放的废气、烟尘、粉尘，应当符合国家和自治区有关规定；天然气、油田伴生气及炼化系统中排放的可燃性气体应当回收利用；不具备回收条件而向大气排放的可燃气体，必须经过充分燃烧或者采取其他防治污染的措施；石油勘探开发单位在钻井和井下作业过程中，应当定点存放泥浆、岩屑或者其他废弃物，并及时做好回收利用和处理。</w:t>
            </w:r>
          </w:p>
          <w:p w14:paraId="4FBFFE47">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本项目在实施之前进行了环境影响评价并落实了“三同时”制度；项目试油过程中采出液由罐车拉运至</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原油处理系统处理；试油废水由罐车拉运至</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采出水处理系统处理；项目实施过程中产生的钻井泥浆循环利用，钻井结束后由钻井</w:t>
            </w:r>
            <w:r>
              <w:rPr>
                <w:rFonts w:hint="default" w:ascii="Times New Roman" w:hAnsi="Times New Roman" w:cs="Times New Roman"/>
                <w:color w:val="000000" w:themeColor="text1"/>
                <w:lang w:val="en-US" w:eastAsia="zh-CN"/>
                <w14:textFill>
                  <w14:solidFill>
                    <w14:schemeClr w14:val="tx1"/>
                  </w14:solidFill>
                </w14:textFill>
              </w:rPr>
              <w:t>液</w:t>
            </w:r>
            <w:r>
              <w:rPr>
                <w:rFonts w:hint="default" w:ascii="Times New Roman" w:hAnsi="Times New Roman" w:cs="Times New Roman"/>
                <w:color w:val="000000" w:themeColor="text1"/>
                <w14:textFill>
                  <w14:solidFill>
                    <w14:schemeClr w14:val="tx1"/>
                  </w14:solidFill>
                </w14:textFill>
              </w:rPr>
              <w:t>公司回收。项目建设符合《新疆维吾尔自治区石油勘探开发环境管理办法》的要求。</w:t>
            </w:r>
          </w:p>
          <w:p w14:paraId="32798FA1">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10 与《加强沙区建设项目环境影响评价工作的通知》相符性分析</w:t>
            </w:r>
          </w:p>
          <w:p w14:paraId="7C87DAA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本项目与《加强沙区建设项目环境影响评价工作的通知》符合性分析见表1-6。</w:t>
            </w:r>
          </w:p>
          <w:p w14:paraId="02DCC165">
            <w:pPr>
              <w:pStyle w:val="21"/>
              <w:spacing w:line="360" w:lineRule="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表1-6  与《加强沙区建设项目环境影响评价工作的通知》相符性分析一览表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540"/>
              <w:gridCol w:w="3392"/>
              <w:gridCol w:w="718"/>
            </w:tblGrid>
            <w:tr w14:paraId="1074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69F3E92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2160" w:type="pct"/>
                  <w:vAlign w:val="center"/>
                </w:tcPr>
                <w:p w14:paraId="4D435BA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要求</w:t>
                  </w:r>
                </w:p>
              </w:tc>
              <w:tc>
                <w:tcPr>
                  <w:tcW w:w="2070" w:type="pct"/>
                  <w:vAlign w:val="center"/>
                </w:tcPr>
                <w:p w14:paraId="2C1EE24B">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本项目</w:t>
                  </w:r>
                </w:p>
              </w:tc>
              <w:tc>
                <w:tcPr>
                  <w:tcW w:w="438" w:type="pct"/>
                  <w:vAlign w:val="center"/>
                </w:tcPr>
                <w:p w14:paraId="37DC1091">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相符性</w:t>
                  </w:r>
                </w:p>
              </w:tc>
            </w:tr>
            <w:tr w14:paraId="6775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5BFED09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2160" w:type="pct"/>
                  <w:vAlign w:val="center"/>
                </w:tcPr>
                <w:p w14:paraId="5995690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按照《中华人民共和国防沙治沙法》要求，加强涉及沙区的建设项目环评文件受理审查，对于没有防沙治沙内容的建设项目环评文件不予受理。</w:t>
                  </w:r>
                </w:p>
              </w:tc>
              <w:tc>
                <w:tcPr>
                  <w:tcW w:w="2070" w:type="pct"/>
                  <w:vAlign w:val="center"/>
                </w:tcPr>
                <w:p w14:paraId="53EB1D8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本环评分析了项目对周围环境的影响，提出了防沙治沙措施，详见环保措施章节。</w:t>
                  </w:r>
                </w:p>
              </w:tc>
              <w:tc>
                <w:tcPr>
                  <w:tcW w:w="438" w:type="pct"/>
                  <w:vAlign w:val="center"/>
                </w:tcPr>
                <w:p w14:paraId="7DD820F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232D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3292D5A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2160" w:type="pct"/>
                  <w:vAlign w:val="center"/>
                </w:tcPr>
                <w:p w14:paraId="461B7EE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对于受理的涉及沙区的建设项目环评文件，严格按照《环境影响评价技术导则 生态影响》（HJ 19-2022）要求，强化建设项目的环境可行性、环境影响分析预测评估的可靠性和防沙治沙生态环境保护措施的可行性、有效性评估。</w:t>
                  </w:r>
                </w:p>
              </w:tc>
              <w:tc>
                <w:tcPr>
                  <w:tcW w:w="2070" w:type="pct"/>
                  <w:vAlign w:val="center"/>
                </w:tcPr>
                <w:p w14:paraId="27DF1FF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本项目严格按照《环境影响评价技术导则 生态影响》（HJ19-2022）要求，强化建设项目的环境可行性、环境影响分析预测评估的可靠性和防沙治沙生态环境保护措施的可行性、有效性评估，详见环境影响分析章节、环境保护措施章节。</w:t>
                  </w:r>
                </w:p>
              </w:tc>
              <w:tc>
                <w:tcPr>
                  <w:tcW w:w="438" w:type="pct"/>
                  <w:vAlign w:val="center"/>
                </w:tcPr>
                <w:p w14:paraId="35DABA6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79D9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 w:type="pct"/>
                  <w:vAlign w:val="center"/>
                </w:tcPr>
                <w:p w14:paraId="29C11B0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2160" w:type="pct"/>
                  <w:vAlign w:val="center"/>
                </w:tcPr>
                <w:p w14:paraId="70371EB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对于位于沙化土地封禁保护区范围内或者超过生态环境承载能力或对沙区生态环境可能造成重大影响的建设项目，不予批准其环评文件，从源头预防环境污染和生态破坏。</w:t>
                  </w:r>
                </w:p>
              </w:tc>
              <w:tc>
                <w:tcPr>
                  <w:tcW w:w="2070" w:type="pct"/>
                  <w:vAlign w:val="center"/>
                </w:tcPr>
                <w:p w14:paraId="0DA2CC7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本项目属于勘探项目，钻井期钻井液循环使用，各项污染物妥善处置，不会对环境造成较大影响。</w:t>
                  </w:r>
                </w:p>
              </w:tc>
              <w:tc>
                <w:tcPr>
                  <w:tcW w:w="438" w:type="pct"/>
                  <w:vAlign w:val="center"/>
                </w:tcPr>
                <w:p w14:paraId="3989E31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bl>
          <w:p w14:paraId="7977697B">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w:t>
            </w:r>
            <w:r>
              <w:rPr>
                <w:rFonts w:hint="default" w:ascii="Times New Roman" w:hAnsi="Times New Roman" w:cs="Times New Roman"/>
                <w:color w:val="000000" w:themeColor="text1"/>
                <w:sz w:val="28"/>
                <w:szCs w:val="28"/>
                <w:lang w:val="en-US" w:eastAsia="zh-CN"/>
                <w14:textFill>
                  <w14:solidFill>
                    <w14:schemeClr w14:val="tx1"/>
                  </w14:solidFill>
                </w14:textFill>
              </w:rPr>
              <w:t>1</w:t>
            </w:r>
            <w:r>
              <w:rPr>
                <w:rFonts w:hint="default" w:ascii="Times New Roman" w:hAnsi="Times New Roman" w:cs="Times New Roman"/>
                <w:color w:val="000000" w:themeColor="text1"/>
                <w:sz w:val="28"/>
                <w:szCs w:val="28"/>
                <w14:textFill>
                  <w14:solidFill>
                    <w14:schemeClr w14:val="tx1"/>
                  </w14:solidFill>
                </w14:textFill>
              </w:rPr>
              <w:t xml:space="preserve"> 与《新疆维吾尔自治区重点行业环境准入条件（2024年）》（新环环评发〔2024〕93号）相符性分析</w:t>
            </w:r>
          </w:p>
          <w:p w14:paraId="7516822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本项目与《新疆维吾尔自治区重点行业环境准入条件（2024年）》（新环环评发〔2024〕93号）相符性见表1-</w:t>
            </w:r>
            <w:r>
              <w:rPr>
                <w:rFonts w:hint="eastAsia" w:ascii="Times New Roman" w:hAnsi="Times New Roman"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w:t>
            </w:r>
          </w:p>
          <w:p w14:paraId="7B8AFBEF">
            <w:pPr>
              <w:pStyle w:val="21"/>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表1-</w:t>
            </w:r>
            <w:r>
              <w:rPr>
                <w:rFonts w:hint="eastAsia" w:ascii="Times New Roman" w:hAnsi="Times New Roman" w:cs="Times New Roman"/>
                <w:bCs/>
                <w:color w:val="000000" w:themeColor="text1"/>
                <w:sz w:val="21"/>
                <w:szCs w:val="21"/>
                <w:lang w:val="en-US" w:eastAsia="zh-CN"/>
                <w14:textFill>
                  <w14:solidFill>
                    <w14:schemeClr w14:val="tx1"/>
                  </w14:solidFill>
                </w14:textFill>
              </w:rPr>
              <w:t>7</w:t>
            </w:r>
            <w:r>
              <w:rPr>
                <w:rFonts w:hint="default" w:ascii="Times New Roman" w:hAnsi="Times New Roman" w:cs="Times New Roman"/>
                <w:bCs/>
                <w:color w:val="000000" w:themeColor="text1"/>
                <w:sz w:val="21"/>
                <w:szCs w:val="21"/>
                <w14:textFill>
                  <w14:solidFill>
                    <w14:schemeClr w14:val="tx1"/>
                  </w14:solidFill>
                </w14:textFill>
              </w:rPr>
              <w:t xml:space="preserve">  与《新疆维吾尔自治区重点行业环境准入条件（2024年）》（新环环评发〔2024〕93号）符合性分析一览表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663"/>
              <w:gridCol w:w="3340"/>
              <w:gridCol w:w="2826"/>
              <w:gridCol w:w="854"/>
            </w:tblGrid>
            <w:tr w14:paraId="54A2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1DEFF8D6">
                  <w:pPr>
                    <w:pStyle w:val="24"/>
                    <w:spacing w:line="240" w:lineRule="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序号</w:t>
                  </w:r>
                </w:p>
              </w:tc>
              <w:tc>
                <w:tcPr>
                  <w:tcW w:w="2441" w:type="pct"/>
                  <w:gridSpan w:val="2"/>
                  <w:vAlign w:val="center"/>
                </w:tcPr>
                <w:p w14:paraId="1A29EAB5">
                  <w:pPr>
                    <w:pStyle w:val="24"/>
                    <w:spacing w:line="240" w:lineRule="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要求</w:t>
                  </w:r>
                </w:p>
              </w:tc>
              <w:tc>
                <w:tcPr>
                  <w:tcW w:w="1723" w:type="pct"/>
                  <w:vAlign w:val="center"/>
                </w:tcPr>
                <w:p w14:paraId="551DE7BC">
                  <w:pPr>
                    <w:pStyle w:val="24"/>
                    <w:spacing w:line="240" w:lineRule="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本项目</w:t>
                  </w:r>
                </w:p>
              </w:tc>
              <w:tc>
                <w:tcPr>
                  <w:tcW w:w="521" w:type="pct"/>
                  <w:vAlign w:val="center"/>
                </w:tcPr>
                <w:p w14:paraId="77500A29">
                  <w:pPr>
                    <w:pStyle w:val="24"/>
                    <w:spacing w:line="240" w:lineRule="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相符性</w:t>
                  </w:r>
                </w:p>
              </w:tc>
            </w:tr>
            <w:tr w14:paraId="51F1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009ADFD7">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1</w:t>
                  </w:r>
                </w:p>
              </w:tc>
              <w:tc>
                <w:tcPr>
                  <w:tcW w:w="404" w:type="pct"/>
                  <w:vAlign w:val="center"/>
                </w:tcPr>
                <w:p w14:paraId="5089ED02">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适用范围</w:t>
                  </w:r>
                </w:p>
              </w:tc>
              <w:tc>
                <w:tcPr>
                  <w:tcW w:w="2037" w:type="pct"/>
                  <w:vAlign w:val="center"/>
                </w:tcPr>
                <w:p w14:paraId="56563E84">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适用于自治区行政区域内新、改、扩建陆地石油天然气开发项目相关环境管理活动。包括石油、天然气、页岩油、页岩气的勘探、开采、油气集输与处理等作业或过程。</w:t>
                  </w:r>
                </w:p>
              </w:tc>
              <w:tc>
                <w:tcPr>
                  <w:tcW w:w="1723" w:type="pct"/>
                  <w:vAlign w:val="center"/>
                </w:tcPr>
                <w:p w14:paraId="45A93C9F">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本项目为石油勘探项目。</w:t>
                  </w:r>
                </w:p>
              </w:tc>
              <w:tc>
                <w:tcPr>
                  <w:tcW w:w="521" w:type="pct"/>
                  <w:vAlign w:val="center"/>
                </w:tcPr>
                <w:p w14:paraId="08878478">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符合</w:t>
                  </w:r>
                </w:p>
              </w:tc>
            </w:tr>
            <w:tr w14:paraId="5674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3EC1B2EF">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2</w:t>
                  </w:r>
                </w:p>
              </w:tc>
              <w:tc>
                <w:tcPr>
                  <w:tcW w:w="404" w:type="pct"/>
                  <w:vAlign w:val="center"/>
                </w:tcPr>
                <w:p w14:paraId="27FA5903">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选址与空间布局</w:t>
                  </w:r>
                </w:p>
              </w:tc>
              <w:tc>
                <w:tcPr>
                  <w:tcW w:w="2037" w:type="pct"/>
                  <w:vAlign w:val="center"/>
                </w:tcPr>
                <w:p w14:paraId="4A3587EE">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涉及自然保护地的石油天然气勘探、开发项目按照国家和自治区有关油气安全保障政策要求执行。</w:t>
                  </w:r>
                </w:p>
              </w:tc>
              <w:tc>
                <w:tcPr>
                  <w:tcW w:w="1723" w:type="pct"/>
                  <w:vAlign w:val="center"/>
                </w:tcPr>
                <w:p w14:paraId="02AC8603">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本项目不涉及自然保护地。</w:t>
                  </w:r>
                </w:p>
              </w:tc>
              <w:tc>
                <w:tcPr>
                  <w:tcW w:w="521" w:type="pct"/>
                  <w:vAlign w:val="center"/>
                </w:tcPr>
                <w:p w14:paraId="2F9DDEAF">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符合</w:t>
                  </w:r>
                </w:p>
              </w:tc>
            </w:tr>
            <w:tr w14:paraId="5FE1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53006DF7">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3</w:t>
                  </w:r>
                </w:p>
              </w:tc>
              <w:tc>
                <w:tcPr>
                  <w:tcW w:w="404" w:type="pct"/>
                  <w:vMerge w:val="restart"/>
                  <w:vAlign w:val="center"/>
                </w:tcPr>
                <w:p w14:paraId="52876E1A">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污染防治与环境影响</w:t>
                  </w:r>
                </w:p>
              </w:tc>
              <w:tc>
                <w:tcPr>
                  <w:tcW w:w="2037" w:type="pct"/>
                  <w:vAlign w:val="center"/>
                </w:tcPr>
                <w:p w14:paraId="3097BF53">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施工期应当尽量减少施工占地、严格控制施工作业面积、缩短施工时间、选择合理施工方式、落实环境敏感区管控要求以及其他生态环境保护措施，有效降低生态环境影响。</w:t>
                  </w:r>
                </w:p>
              </w:tc>
              <w:tc>
                <w:tcPr>
                  <w:tcW w:w="1723" w:type="pct"/>
                  <w:vAlign w:val="center"/>
                </w:tcPr>
                <w:p w14:paraId="4893B1DD">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施工期严格控制占地面积，施工单位在占地范围内施工，严格控制和管理运输车辆及重型机械施工作业范围。具体详见环境保护措施章节。</w:t>
                  </w:r>
                </w:p>
              </w:tc>
              <w:tc>
                <w:tcPr>
                  <w:tcW w:w="521" w:type="pct"/>
                  <w:vAlign w:val="center"/>
                </w:tcPr>
                <w:p w14:paraId="651B358A">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符合</w:t>
                  </w:r>
                </w:p>
              </w:tc>
            </w:tr>
            <w:tr w14:paraId="42CA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73F069BD">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4</w:t>
                  </w:r>
                </w:p>
              </w:tc>
              <w:tc>
                <w:tcPr>
                  <w:tcW w:w="404" w:type="pct"/>
                  <w:vMerge w:val="continue"/>
                  <w:vAlign w:val="center"/>
                </w:tcPr>
                <w:p w14:paraId="69156B0C">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p>
              </w:tc>
              <w:tc>
                <w:tcPr>
                  <w:tcW w:w="2037" w:type="pct"/>
                  <w:vAlign w:val="center"/>
                </w:tcPr>
                <w:p w14:paraId="75B8A112">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钻井及储层改造应采用环境友好的油田化学助剂、酸化液、压裂液、钻井液，配备完善的固控设备，钻井液循环率应达到95%以上，压裂废液、酸化废液等井下作业废水应100%返排入罐。</w:t>
                  </w:r>
                </w:p>
              </w:tc>
              <w:tc>
                <w:tcPr>
                  <w:tcW w:w="1723" w:type="pct"/>
                  <w:vAlign w:val="center"/>
                </w:tcPr>
                <w:p w14:paraId="47081717">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本项目钻井使用水基钻井液，采用“钻井泥浆不落地技术”，钻井液</w:t>
                  </w:r>
                  <w:r>
                    <w:rPr>
                      <w:rFonts w:hint="eastAsia" w:ascii="Times New Roman" w:hAnsi="Times New Roman" w:cs="Times New Roman"/>
                      <w:b w:val="0"/>
                      <w:color w:val="000000" w:themeColor="text1"/>
                      <w:sz w:val="21"/>
                      <w:szCs w:val="21"/>
                      <w:lang w:val="en-US" w:eastAsia="zh-CN"/>
                      <w14:textFill>
                        <w14:solidFill>
                          <w14:schemeClr w14:val="tx1"/>
                        </w14:solidFill>
                      </w14:textFill>
                    </w:rPr>
                    <w:t>回收</w:t>
                  </w:r>
                  <w:r>
                    <w:rPr>
                      <w:rFonts w:hint="default" w:ascii="Times New Roman" w:hAnsi="Times New Roman" w:cs="Times New Roman"/>
                      <w:b w:val="0"/>
                      <w:color w:val="000000" w:themeColor="text1"/>
                      <w:sz w:val="21"/>
                      <w:szCs w:val="21"/>
                      <w14:textFill>
                        <w14:solidFill>
                          <w14:schemeClr w14:val="tx1"/>
                        </w14:solidFill>
                      </w14:textFill>
                    </w:rPr>
                    <w:t>循环使用，</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剩余</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少量的</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水基泥浆</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与水基岩屑</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委托</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第三方岩屑处置单位</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合规处置</w:t>
                  </w:r>
                  <w:r>
                    <w:rPr>
                      <w:rFonts w:hint="default" w:ascii="Times New Roman" w:hAnsi="Times New Roman" w:cs="Times New Roman"/>
                      <w:b w:val="0"/>
                      <w:color w:val="000000" w:themeColor="text1"/>
                      <w:sz w:val="21"/>
                      <w:szCs w:val="21"/>
                      <w:highlight w:val="none"/>
                      <w14:textFill>
                        <w14:solidFill>
                          <w14:schemeClr w14:val="tx1"/>
                        </w14:solidFill>
                      </w14:textFill>
                    </w:rPr>
                    <w:t>。</w:t>
                  </w:r>
                </w:p>
              </w:tc>
              <w:tc>
                <w:tcPr>
                  <w:tcW w:w="521" w:type="pct"/>
                  <w:vAlign w:val="center"/>
                </w:tcPr>
                <w:p w14:paraId="1C6AA865">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符合</w:t>
                  </w:r>
                </w:p>
              </w:tc>
            </w:tr>
            <w:tr w14:paraId="6443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7FB65B61">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5</w:t>
                  </w:r>
                </w:p>
              </w:tc>
              <w:tc>
                <w:tcPr>
                  <w:tcW w:w="404" w:type="pct"/>
                  <w:vMerge w:val="continue"/>
                  <w:vAlign w:val="center"/>
                </w:tcPr>
                <w:p w14:paraId="11DC92D3">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p>
              </w:tc>
              <w:tc>
                <w:tcPr>
                  <w:tcW w:w="2037" w:type="pct"/>
                  <w:vAlign w:val="center"/>
                </w:tcPr>
                <w:p w14:paraId="55F9626C">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涉及废水回注的，应采取切实可行的地下水污染防治和监控措施，不得回注与油气开采无关的废水，严禁造成地下水污染；在相关行业污染控制标准发布前，回注水应满足《碎屑岩油藏注水水质指标技术要求及分析方法》（SY/T5329）《气田水注入技术要求》（SY/T6596）等相关标准要求。对于页岩油、稠油注汽开采，鼓励废水处理后回用于注汽锅炉。</w:t>
                  </w:r>
                </w:p>
              </w:tc>
              <w:tc>
                <w:tcPr>
                  <w:tcW w:w="1723" w:type="pct"/>
                  <w:vAlign w:val="center"/>
                </w:tcPr>
                <w:p w14:paraId="5B41A4CC">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本项目钻井液</w:t>
                  </w:r>
                  <w:r>
                    <w:rPr>
                      <w:rFonts w:hint="eastAsia" w:ascii="Times New Roman" w:hAnsi="Times New Roman" w:cs="Times New Roman"/>
                      <w:b w:val="0"/>
                      <w:color w:val="000000" w:themeColor="text1"/>
                      <w:sz w:val="21"/>
                      <w:szCs w:val="21"/>
                      <w:lang w:val="en-US" w:eastAsia="zh-CN"/>
                      <w14:textFill>
                        <w14:solidFill>
                          <w14:schemeClr w14:val="tx1"/>
                        </w14:solidFill>
                      </w14:textFill>
                    </w:rPr>
                    <w:t>回收</w:t>
                  </w:r>
                  <w:r>
                    <w:rPr>
                      <w:rFonts w:hint="default" w:ascii="Times New Roman" w:hAnsi="Times New Roman" w:cs="Times New Roman"/>
                      <w:b w:val="0"/>
                      <w:color w:val="000000" w:themeColor="text1"/>
                      <w:sz w:val="21"/>
                      <w:szCs w:val="21"/>
                      <w14:textFill>
                        <w14:solidFill>
                          <w14:schemeClr w14:val="tx1"/>
                        </w14:solidFill>
                      </w14:textFill>
                    </w:rPr>
                    <w:t>循环使用，</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剩余</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少量的</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水基泥浆</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与水基岩屑</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委托</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第三方岩屑处置单位</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合规处置</w:t>
                  </w:r>
                  <w:r>
                    <w:rPr>
                      <w:rFonts w:hint="default" w:ascii="Times New Roman" w:hAnsi="Times New Roman" w:cs="Times New Roman"/>
                      <w:b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color w:val="000000" w:themeColor="text1"/>
                      <w:sz w:val="21"/>
                      <w:szCs w:val="21"/>
                      <w14:textFill>
                        <w14:solidFill>
                          <w14:schemeClr w14:val="tx1"/>
                        </w14:solidFill>
                      </w14:textFill>
                    </w:rPr>
                    <w:t>试油期洗井废水全部回收，采用专用废液收集罐收集后运至</w:t>
                  </w:r>
                  <w:r>
                    <w:rPr>
                      <w:rFonts w:hint="default" w:ascii="Times New Roman" w:hAnsi="Times New Roman" w:cs="Times New Roman"/>
                      <w:b w:val="0"/>
                      <w:color w:val="000000" w:themeColor="text1"/>
                      <w:sz w:val="21"/>
                      <w:szCs w:val="21"/>
                      <w:lang w:val="en-US" w:eastAsia="zh-CN"/>
                      <w14:textFill>
                        <w14:solidFill>
                          <w14:schemeClr w14:val="tx1"/>
                        </w14:solidFill>
                      </w14:textFill>
                    </w:rPr>
                    <w:t>石西集中处理站</w:t>
                  </w:r>
                  <w:r>
                    <w:rPr>
                      <w:rFonts w:hint="default" w:ascii="Times New Roman" w:hAnsi="Times New Roman" w:cs="Times New Roman"/>
                      <w:b w:val="0"/>
                      <w:color w:val="000000" w:themeColor="text1"/>
                      <w:sz w:val="21"/>
                      <w:szCs w:val="21"/>
                      <w14:textFill>
                        <w14:solidFill>
                          <w14:schemeClr w14:val="tx1"/>
                        </w14:solidFill>
                      </w14:textFill>
                    </w:rPr>
                    <w:t>污水处理系统处理达到《碎屑岩油藏注水水质指标技术要求及分析方法》（SY/T5329-2022）标准后回注油藏，本项目采取了地下水污染防治和监控措施，防止造成地下水污染，详见报告环保措施章节。</w:t>
                  </w:r>
                </w:p>
              </w:tc>
              <w:tc>
                <w:tcPr>
                  <w:tcW w:w="521" w:type="pct"/>
                  <w:vAlign w:val="center"/>
                </w:tcPr>
                <w:p w14:paraId="005BFE9B">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符合</w:t>
                  </w:r>
                </w:p>
              </w:tc>
            </w:tr>
            <w:tr w14:paraId="621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313" w:type="pct"/>
                  <w:vAlign w:val="center"/>
                </w:tcPr>
                <w:p w14:paraId="7E6077A2">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6</w:t>
                  </w:r>
                </w:p>
              </w:tc>
              <w:tc>
                <w:tcPr>
                  <w:tcW w:w="404" w:type="pct"/>
                  <w:vMerge w:val="continue"/>
                  <w:vAlign w:val="center"/>
                </w:tcPr>
                <w:p w14:paraId="55DA7E15">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p>
              </w:tc>
              <w:tc>
                <w:tcPr>
                  <w:tcW w:w="2037" w:type="pct"/>
                  <w:vAlign w:val="center"/>
                </w:tcPr>
                <w:p w14:paraId="3A23CBC3">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废弃钻井泥浆及岩屑应采取“泥浆不落地”工艺，勘探、开发过程产生的落地原油回收率应达到100%。废弃水基钻井泥浆及岩屑经“泥浆不落地”设备处理后，固相优先综合利用，暂时不利用或者不能利用的，应按照《一般工业固体废物贮存和填埋污染控制标准》（GB18599）处置；废弃油基钻井泥浆及岩屑、落地油、清罐底泥、含油污泥、含油清管废渣、油气处理厂过滤吸附介质、废脱汞剂等危险废物，应按照国家有关规定制定危险废物管理计划，建立危险废物管理台账，依法依规自行处置或委托有相应资质的单位无害化处置。固体废物无害化处置率应达到100%。</w:t>
                  </w:r>
                </w:p>
              </w:tc>
              <w:tc>
                <w:tcPr>
                  <w:tcW w:w="1723" w:type="pct"/>
                  <w:vAlign w:val="center"/>
                </w:tcPr>
                <w:p w14:paraId="0A4CD368">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本项目钻井使用水基钻井液，采用“钻井泥浆不落地技术”，钻井液</w:t>
                  </w:r>
                  <w:r>
                    <w:rPr>
                      <w:rFonts w:hint="eastAsia" w:ascii="Times New Roman" w:hAnsi="Times New Roman" w:cs="Times New Roman"/>
                      <w:b w:val="0"/>
                      <w:color w:val="000000" w:themeColor="text1"/>
                      <w:sz w:val="21"/>
                      <w:szCs w:val="21"/>
                      <w:lang w:val="en-US" w:eastAsia="zh-CN"/>
                      <w14:textFill>
                        <w14:solidFill>
                          <w14:schemeClr w14:val="tx1"/>
                        </w14:solidFill>
                      </w14:textFill>
                    </w:rPr>
                    <w:t>回收</w:t>
                  </w:r>
                  <w:r>
                    <w:rPr>
                      <w:rFonts w:hint="default" w:ascii="Times New Roman" w:hAnsi="Times New Roman" w:cs="Times New Roman"/>
                      <w:b w:val="0"/>
                      <w:color w:val="000000" w:themeColor="text1"/>
                      <w:sz w:val="21"/>
                      <w:szCs w:val="21"/>
                      <w14:textFill>
                        <w14:solidFill>
                          <w14:schemeClr w14:val="tx1"/>
                        </w14:solidFill>
                      </w14:textFill>
                    </w:rPr>
                    <w:t>循环使用，</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剩余</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少量的</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水基泥浆</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与水基岩屑</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委托</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第三方岩屑处置单位</w:t>
                  </w:r>
                  <w:r>
                    <w:rPr>
                      <w:rFonts w:hint="default" w:ascii="Times New Roman" w:hAnsi="Times New Roman" w:cs="Times New Roman"/>
                      <w:b w:val="0"/>
                      <w:color w:val="000000" w:themeColor="text1"/>
                      <w:sz w:val="21"/>
                      <w:szCs w:val="21"/>
                      <w:highlight w:val="none"/>
                      <w:lang w:val="en-US" w:eastAsia="zh-CN"/>
                      <w14:textFill>
                        <w14:solidFill>
                          <w14:schemeClr w14:val="tx1"/>
                        </w14:solidFill>
                      </w14:textFill>
                    </w:rPr>
                    <w:t>合规处置</w:t>
                  </w:r>
                  <w:r>
                    <w:rPr>
                      <w:rFonts w:hint="eastAsia" w:ascii="Times New Roman" w:hAnsi="Times New Roman" w:cs="Times New Roman"/>
                      <w:b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val="0"/>
                      <w:color w:val="000000" w:themeColor="text1"/>
                      <w:sz w:val="21"/>
                      <w:szCs w:val="21"/>
                      <w14:textFill>
                        <w14:solidFill>
                          <w14:schemeClr w14:val="tx1"/>
                        </w14:solidFill>
                      </w14:textFill>
                    </w:rPr>
                    <w:t>井下作业过程中配备了泄油器、刮油器等设备井下作业时带罐，正常情况下无落地油；本环评对项目可能产生的环境风险进行了分析，并提出了相应的风险防范措施和应急预案编制要求。</w:t>
                  </w:r>
                </w:p>
              </w:tc>
              <w:tc>
                <w:tcPr>
                  <w:tcW w:w="521" w:type="pct"/>
                  <w:vAlign w:val="center"/>
                </w:tcPr>
                <w:p w14:paraId="4056EEE9">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符合</w:t>
                  </w:r>
                </w:p>
              </w:tc>
            </w:tr>
            <w:tr w14:paraId="611C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 w:type="pct"/>
                  <w:vAlign w:val="center"/>
                </w:tcPr>
                <w:p w14:paraId="53C278A9">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7</w:t>
                  </w:r>
                </w:p>
              </w:tc>
              <w:tc>
                <w:tcPr>
                  <w:tcW w:w="404" w:type="pct"/>
                  <w:vMerge w:val="continue"/>
                  <w:vAlign w:val="center"/>
                </w:tcPr>
                <w:p w14:paraId="669BD93D">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p>
              </w:tc>
              <w:tc>
                <w:tcPr>
                  <w:tcW w:w="2037" w:type="pct"/>
                  <w:vAlign w:val="center"/>
                </w:tcPr>
                <w:p w14:paraId="03E9DDF1">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对拟退役的废弃井（站）场、管道、道路等工程设施应进行生态修复，生态修复前应对废弃油（气）井、管道进行封堵或设施拆除，确保无土壤及地下水环境污染遗留问题、废弃物得到妥善处置。生态修复应满足《矿山生态环境保护与恢复治理技术规范（试行）》（HJ651）、《废弃井封井回填技术指南（试行）》、《废弃井及长停井处置指南》（SY/T6646）、《陆上石油天然气开采业绿色矿山建设规范》（DZ/T0317）等相关</w:t>
                  </w:r>
                  <w:bookmarkStart w:id="3" w:name="_Toc163555379"/>
                  <w:r>
                    <w:rPr>
                      <w:rFonts w:hint="default" w:ascii="Times New Roman" w:hAnsi="Times New Roman" w:cs="Times New Roman"/>
                      <w:b w:val="0"/>
                      <w:color w:val="000000" w:themeColor="text1"/>
                      <w:sz w:val="21"/>
                      <w:szCs w:val="21"/>
                      <w14:textFill>
                        <w14:solidFill>
                          <w14:schemeClr w14:val="tx1"/>
                        </w14:solidFill>
                      </w14:textFill>
                    </w:rPr>
                    <w:t>要</w:t>
                  </w:r>
                  <w:bookmarkEnd w:id="3"/>
                  <w:r>
                    <w:rPr>
                      <w:rFonts w:hint="default" w:ascii="Times New Roman" w:hAnsi="Times New Roman" w:cs="Times New Roman"/>
                      <w:b w:val="0"/>
                      <w:color w:val="000000" w:themeColor="text1"/>
                      <w:sz w:val="21"/>
                      <w:szCs w:val="21"/>
                      <w14:textFill>
                        <w14:solidFill>
                          <w14:schemeClr w14:val="tx1"/>
                        </w14:solidFill>
                      </w14:textFill>
                    </w:rPr>
                    <w:t>求。</w:t>
                  </w:r>
                </w:p>
              </w:tc>
              <w:tc>
                <w:tcPr>
                  <w:tcW w:w="1723" w:type="pct"/>
                  <w:vAlign w:val="center"/>
                </w:tcPr>
                <w:p w14:paraId="3DF425CA">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生态修复按照《矿山生态环境保护与恢复治理技术规范（试行）》（HJ651-2013）、《废弃井封井回填技术指南（试行）》《废弃井及长停井处置指南》（SY/T6646）和《陆上石油天然气开采业绿色矿山建设规范》（DZ/T0317-2018）中的要求。</w:t>
                  </w:r>
                </w:p>
              </w:tc>
              <w:tc>
                <w:tcPr>
                  <w:tcW w:w="521" w:type="pct"/>
                  <w:vAlign w:val="center"/>
                </w:tcPr>
                <w:p w14:paraId="5A5A9BE9">
                  <w:pPr>
                    <w:pStyle w:val="24"/>
                    <w:spacing w:line="240" w:lineRule="auto"/>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符合</w:t>
                  </w:r>
                </w:p>
              </w:tc>
            </w:tr>
          </w:tbl>
          <w:p w14:paraId="0AFFF70C">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 xml:space="preserve">12 </w:t>
            </w:r>
            <w:r>
              <w:rPr>
                <w:rFonts w:hint="default" w:ascii="Times New Roman" w:hAnsi="Times New Roman" w:cs="Times New Roman"/>
                <w:color w:val="000000" w:themeColor="text1"/>
                <w:sz w:val="28"/>
                <w:szCs w:val="28"/>
                <w14:textFill>
                  <w14:solidFill>
                    <w14:schemeClr w14:val="tx1"/>
                  </w14:solidFill>
                </w14:textFill>
              </w:rPr>
              <w:t>与《钻前工程及井场布置技术要求》（SY/T 5466-2013）符合性分析</w:t>
            </w:r>
          </w:p>
          <w:p w14:paraId="60A8FB8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本项目与《钻前工程及井场布置技术要求》（SY/T 5466-2013）</w:t>
            </w:r>
            <w:r>
              <w:rPr>
                <w:rFonts w:hint="eastAsia" w:cs="Times New Roman"/>
                <w:color w:val="000000" w:themeColor="text1"/>
                <w:lang w:eastAsia="zh-CN"/>
                <w14:textFill>
                  <w14:solidFill>
                    <w14:schemeClr w14:val="tx1"/>
                  </w14:solidFill>
                </w14:textFill>
              </w:rPr>
              <w:t>符合</w:t>
            </w:r>
            <w:r>
              <w:rPr>
                <w:rFonts w:hint="default" w:ascii="Times New Roman" w:hAnsi="Times New Roman" w:cs="Times New Roman"/>
                <w:color w:val="000000" w:themeColor="text1"/>
                <w14:textFill>
                  <w14:solidFill>
                    <w14:schemeClr w14:val="tx1"/>
                  </w14:solidFill>
                </w14:textFill>
              </w:rPr>
              <w:t>性分析见表1-</w:t>
            </w:r>
            <w:r>
              <w:rPr>
                <w:rFonts w:hint="eastAsia" w:ascii="Times New Roman" w:hAnsi="Times New Roman" w:cs="Times New Roman"/>
                <w:color w:val="000000" w:themeColor="text1"/>
                <w:lang w:val="en-US" w:eastAsia="zh-CN"/>
                <w14:textFill>
                  <w14:solidFill>
                    <w14:schemeClr w14:val="tx1"/>
                  </w14:solidFill>
                </w14:textFill>
              </w:rPr>
              <w:t>8</w:t>
            </w:r>
            <w:r>
              <w:rPr>
                <w:rFonts w:hint="default" w:ascii="Times New Roman" w:hAnsi="Times New Roman" w:cs="Times New Roman"/>
                <w:color w:val="000000" w:themeColor="text1"/>
                <w14:textFill>
                  <w14:solidFill>
                    <w14:schemeClr w14:val="tx1"/>
                  </w14:solidFill>
                </w14:textFill>
              </w:rPr>
              <w:t>。</w:t>
            </w:r>
          </w:p>
          <w:p w14:paraId="232F8EDD">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表1-</w:t>
            </w:r>
            <w:r>
              <w:rPr>
                <w:rFonts w:hint="eastAsia" w:ascii="Times New Roman" w:hAnsi="Times New Roman" w:cs="Times New Roman"/>
                <w:color w:val="000000" w:themeColor="text1"/>
                <w:sz w:val="21"/>
                <w:szCs w:val="21"/>
                <w:lang w:val="en-US" w:eastAsia="zh-CN"/>
                <w14:textFill>
                  <w14:solidFill>
                    <w14:schemeClr w14:val="tx1"/>
                  </w14:solidFill>
                </w14:textFill>
              </w:rPr>
              <w:t>8</w:t>
            </w:r>
            <w:r>
              <w:rPr>
                <w:rFonts w:hint="default" w:ascii="Times New Roman" w:hAnsi="Times New Roman" w:cs="Times New Roman"/>
                <w:color w:val="000000" w:themeColor="text1"/>
                <w:sz w:val="21"/>
                <w:szCs w:val="21"/>
                <w14:textFill>
                  <w14:solidFill>
                    <w14:schemeClr w14:val="tx1"/>
                  </w14:solidFill>
                </w14:textFill>
              </w:rPr>
              <w:t xml:space="preserve">  本项目与《钻前工程及井场布置技术要求》</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SY/T 5466-2013</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符合性分析</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3339"/>
              <w:gridCol w:w="3591"/>
              <w:gridCol w:w="718"/>
            </w:tblGrid>
            <w:tr w14:paraId="69F5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1" w:type="pct"/>
                  <w:vAlign w:val="center"/>
                </w:tcPr>
                <w:p w14:paraId="730EB85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2038" w:type="pct"/>
                  <w:vAlign w:val="center"/>
                </w:tcPr>
                <w:p w14:paraId="7804CDE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要求</w:t>
                  </w:r>
                </w:p>
              </w:tc>
              <w:tc>
                <w:tcPr>
                  <w:tcW w:w="2192" w:type="pct"/>
                  <w:vAlign w:val="center"/>
                </w:tcPr>
                <w:p w14:paraId="7868D85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本项目</w:t>
                  </w:r>
                </w:p>
              </w:tc>
              <w:tc>
                <w:tcPr>
                  <w:tcW w:w="438" w:type="pct"/>
                  <w:vAlign w:val="center"/>
                </w:tcPr>
                <w:p w14:paraId="7058B59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相符性</w:t>
                  </w:r>
                </w:p>
              </w:tc>
            </w:tr>
            <w:tr w14:paraId="378E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54B5959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2038" w:type="pct"/>
                  <w:vAlign w:val="center"/>
                </w:tcPr>
                <w:p w14:paraId="4D5F3AA1">
                  <w:pPr>
                    <w:pStyle w:val="23"/>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eastAsia="zh-CN"/>
                      <w14:textFill>
                        <w14:solidFill>
                          <w14:schemeClr w14:val="tx1"/>
                        </w14:solidFill>
                      </w14:textFill>
                    </w:rPr>
                    <w:t>并</w:t>
                  </w:r>
                  <w:r>
                    <w:rPr>
                      <w:rFonts w:hint="default" w:ascii="Times New Roman" w:hAnsi="Times New Roman" w:cs="Times New Roman"/>
                      <w:color w:val="000000" w:themeColor="text1"/>
                      <w14:textFill>
                        <w14:solidFill>
                          <w14:schemeClr w14:val="tx1"/>
                        </w14:solidFill>
                      </w14:textFill>
                    </w:rPr>
                    <w:t>应避开滑坡、泥石流等不良地质地段。在河滩、海滩地区应避开汛、潮期进行钻前施工。</w:t>
                  </w:r>
                </w:p>
              </w:tc>
              <w:tc>
                <w:tcPr>
                  <w:tcW w:w="2192" w:type="pct"/>
                  <w:vAlign w:val="center"/>
                </w:tcPr>
                <w:p w14:paraId="68DCADF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本项目不属于滑坡、泥石流等不良地质地段，不属于河滩、海滩地区。</w:t>
                  </w:r>
                </w:p>
              </w:tc>
              <w:tc>
                <w:tcPr>
                  <w:tcW w:w="438" w:type="pct"/>
                  <w:vAlign w:val="center"/>
                </w:tcPr>
                <w:p w14:paraId="28B38EC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17A1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1" w:type="pct"/>
                  <w:vAlign w:val="center"/>
                </w:tcPr>
                <w:p w14:paraId="3D4AEF0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2038" w:type="pct"/>
                  <w:vAlign w:val="center"/>
                </w:tcPr>
                <w:p w14:paraId="66DBA13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油、气井井口距高压线及其他永久性设施不小于75m，距民宅不小于100m，距铁路、高速公路不小于200m。距学校、医院和大型油库等人口密集型、高危型场所不小于500m在地下矿产采掘区钻井。</w:t>
                  </w:r>
                  <w:r>
                    <w:rPr>
                      <w:rFonts w:hint="eastAsia" w:cs="Times New Roman"/>
                      <w:color w:val="000000" w:themeColor="text1"/>
                      <w:lang w:eastAsia="zh-CN"/>
                      <w14:textFill>
                        <w14:solidFill>
                          <w14:schemeClr w14:val="tx1"/>
                        </w14:solidFill>
                      </w14:textFill>
                    </w:rPr>
                    <w:t>井筒</w:t>
                  </w:r>
                  <w:r>
                    <w:rPr>
                      <w:rFonts w:hint="default" w:ascii="Times New Roman" w:hAnsi="Times New Roman" w:cs="Times New Roman"/>
                      <w:color w:val="000000" w:themeColor="text1"/>
                      <w14:textFill>
                        <w14:solidFill>
                          <w14:schemeClr w14:val="tx1"/>
                        </w14:solidFill>
                      </w14:textFill>
                    </w:rPr>
                    <w:t>与采掘坑道、矿井坑道之间的距离不小于1000m。</w:t>
                  </w:r>
                </w:p>
              </w:tc>
              <w:tc>
                <w:tcPr>
                  <w:tcW w:w="2192" w:type="pct"/>
                  <w:vAlign w:val="center"/>
                </w:tcPr>
                <w:p w14:paraId="2DB0048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本项目油井井口周围500m范围内无建筑物或设施。</w:t>
                  </w:r>
                </w:p>
              </w:tc>
              <w:tc>
                <w:tcPr>
                  <w:tcW w:w="438" w:type="pct"/>
                  <w:vAlign w:val="center"/>
                </w:tcPr>
                <w:p w14:paraId="4CAB28F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bl>
          <w:p w14:paraId="44102A58">
            <w:pPr>
              <w:keepNext/>
              <w:keepLines/>
              <w:ind w:firstLine="0" w:firstLineChars="0"/>
              <w:jc w:val="left"/>
              <w:outlineLvl w:val="1"/>
              <w:rPr>
                <w:rFonts w:hint="default" w:ascii="Times New Roman" w:hAnsi="Times New Roman" w:cs="Times New Roman"/>
                <w:b/>
                <w:bCs/>
                <w:color w:val="000000" w:themeColor="text1"/>
                <w:spacing w:val="4"/>
                <w:sz w:val="28"/>
                <w:szCs w:val="28"/>
                <w14:textFill>
                  <w14:solidFill>
                    <w14:schemeClr w14:val="tx1"/>
                  </w14:solidFill>
                </w14:textFill>
              </w:rPr>
            </w:pPr>
            <w:r>
              <w:rPr>
                <w:rFonts w:hint="default" w:ascii="Times New Roman" w:hAnsi="Times New Roman" w:cs="Times New Roman"/>
                <w:b/>
                <w:bCs/>
                <w:color w:val="000000" w:themeColor="text1"/>
                <w:spacing w:val="4"/>
                <w:sz w:val="28"/>
                <w:szCs w:val="28"/>
                <w14:textFill>
                  <w14:solidFill>
                    <w14:schemeClr w14:val="tx1"/>
                  </w14:solidFill>
                </w14:textFill>
              </w:rPr>
              <w:t>1</w:t>
            </w:r>
            <w:r>
              <w:rPr>
                <w:rFonts w:hint="default" w:ascii="Times New Roman" w:hAnsi="Times New Roman" w:cs="Times New Roman"/>
                <w:b/>
                <w:bCs/>
                <w:color w:val="000000" w:themeColor="text1"/>
                <w:spacing w:val="4"/>
                <w:sz w:val="28"/>
                <w:szCs w:val="28"/>
                <w:lang w:val="en-US" w:eastAsia="zh-CN"/>
                <w14:textFill>
                  <w14:solidFill>
                    <w14:schemeClr w14:val="tx1"/>
                  </w14:solidFill>
                </w14:textFill>
              </w:rPr>
              <w:t>3</w:t>
            </w:r>
            <w:r>
              <w:rPr>
                <w:rFonts w:hint="default" w:ascii="Times New Roman" w:hAnsi="Times New Roman" w:cs="Times New Roman"/>
                <w:b/>
                <w:bCs/>
                <w:color w:val="000000" w:themeColor="text1"/>
                <w:spacing w:val="4"/>
                <w:sz w:val="28"/>
                <w:szCs w:val="28"/>
                <w14:textFill>
                  <w14:solidFill>
                    <w14:schemeClr w14:val="tx1"/>
                  </w14:solidFill>
                </w14:textFill>
              </w:rPr>
              <w:t xml:space="preserve"> 《关于规范临时用地管理的通知》（自然资规〔2021〕2号）</w:t>
            </w:r>
          </w:p>
          <w:p w14:paraId="3B354F1B">
            <w:pPr>
              <w:pStyle w:val="8"/>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本项目与《关于规范临时用地管理的通知》（自然资规〔2021〕2号）相符性分析，见表1-</w:t>
            </w:r>
            <w:r>
              <w:rPr>
                <w:rFonts w:hint="eastAsia" w:ascii="Times New Roman" w:hAnsi="Times New Roman" w:cs="Times New Roman"/>
                <w:color w:val="000000" w:themeColor="text1"/>
                <w:lang w:val="en-US" w:eastAsia="zh-CN"/>
                <w14:textFill>
                  <w14:solidFill>
                    <w14:schemeClr w14:val="tx1"/>
                  </w14:solidFill>
                </w14:textFill>
              </w:rPr>
              <w:t>9</w:t>
            </w:r>
            <w:r>
              <w:rPr>
                <w:rFonts w:hint="default" w:ascii="Times New Roman" w:hAnsi="Times New Roman" w:cs="Times New Roman"/>
                <w:color w:val="000000" w:themeColor="text1"/>
                <w14:textFill>
                  <w14:solidFill>
                    <w14:schemeClr w14:val="tx1"/>
                  </w14:solidFill>
                </w14:textFill>
              </w:rPr>
              <w:t>。</w:t>
            </w:r>
          </w:p>
          <w:p w14:paraId="0728902F">
            <w:pPr>
              <w:pStyle w:val="21"/>
              <w:spacing w:line="360" w:lineRule="auto"/>
              <w:rPr>
                <w:rFonts w:hint="default" w:ascii="Times New Roman" w:hAnsi="Times New Roman" w:cs="Times New Roman"/>
                <w:color w:val="000000" w:themeColor="text1"/>
                <w:sz w:val="21"/>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w:t>表1-</w:t>
            </w:r>
            <w:r>
              <w:rPr>
                <w:rFonts w:hint="eastAsia" w:ascii="Times New Roman" w:hAnsi="Times New Roman" w:cs="Times New Roman"/>
                <w:color w:val="000000" w:themeColor="text1"/>
                <w:sz w:val="21"/>
                <w:lang w:val="en-US" w:eastAsia="zh-CN"/>
                <w14:textFill>
                  <w14:solidFill>
                    <w14:schemeClr w14:val="tx1"/>
                  </w14:solidFill>
                </w14:textFill>
              </w:rPr>
              <w:t>9</w:t>
            </w:r>
            <w:r>
              <w:rPr>
                <w:rFonts w:hint="default" w:ascii="Times New Roman" w:hAnsi="Times New Roman" w:cs="Times New Roman"/>
                <w:color w:val="000000" w:themeColor="text1"/>
                <w:sz w:val="21"/>
                <w14:textFill>
                  <w14:solidFill>
                    <w14:schemeClr w14:val="tx1"/>
                  </w14:solidFill>
                </w14:textFill>
              </w:rPr>
              <w:t xml:space="preserve">  与《关于规范临时用地管理的通知》相符性分析一览表</w:t>
            </w:r>
          </w:p>
          <w:tbl>
            <w:tblPr>
              <w:tblStyle w:val="16"/>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4416"/>
              <w:gridCol w:w="1934"/>
              <w:gridCol w:w="664"/>
            </w:tblGrid>
            <w:tr w14:paraId="3FBB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58" w:type="pct"/>
                  <w:vAlign w:val="center"/>
                </w:tcPr>
                <w:p w14:paraId="3A301897">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2732" w:type="pct"/>
                  <w:vAlign w:val="center"/>
                </w:tcPr>
                <w:p w14:paraId="622C379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要求</w:t>
                  </w:r>
                </w:p>
              </w:tc>
              <w:tc>
                <w:tcPr>
                  <w:tcW w:w="1196" w:type="pct"/>
                  <w:vAlign w:val="center"/>
                </w:tcPr>
                <w:p w14:paraId="555C7FEE">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本项目</w:t>
                  </w:r>
                </w:p>
              </w:tc>
              <w:tc>
                <w:tcPr>
                  <w:tcW w:w="411" w:type="pct"/>
                  <w:vAlign w:val="center"/>
                </w:tcPr>
                <w:p w14:paraId="58A4A786">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相符性</w:t>
                  </w:r>
                </w:p>
              </w:tc>
            </w:tr>
            <w:tr w14:paraId="4BC1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658" w:type="pct"/>
                  <w:vAlign w:val="center"/>
                </w:tcPr>
                <w:p w14:paraId="1CE5FF0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二、临时用地选址要求和使用期限</w:t>
                  </w:r>
                </w:p>
              </w:tc>
              <w:tc>
                <w:tcPr>
                  <w:tcW w:w="2732" w:type="pct"/>
                  <w:vAlign w:val="center"/>
                </w:tcPr>
                <w:p w14:paraId="3E7498B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项目施工、地质勘查使用临时用地时应坚持“用多少、批多少、占多少、恢复多少”，尽量不占或者少占耕地。使用后土地复垦难度较大的临时用地，要严格控制占用耕地。铁路、公路等单独选址建设项目，应科学组织施工，节约集约使用临时用地。制梁场、拌合站等难以恢复原种植条件的不得以临时用地方式占用耕地和永久基本农田，可以建设用地方式或者临时占用未利用地方式使用土地。临时用地确需占用永久基本农田的，必须能够恢复原种植条件，并符合《自然资源部 农业农村部关于加强和改进永久基本农田保护工作的通知》（自然资规〔2019〕1号）中申请条件、土壤剥离、复垦验收等有关规定。</w:t>
                  </w:r>
                </w:p>
                <w:p w14:paraId="1A1365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用地使用期限一般不超过两年。建设周期较长的能源、交通、水利等基础设施建设项目施工使用的临时用地，期限不超过四年。城镇开发边界内临时建设用地规划许可、临时建设工程规划许可的期限应当与临时用地期限相衔接。临时用地使用期限，从批准之日起算。</w:t>
                  </w:r>
                </w:p>
              </w:tc>
              <w:tc>
                <w:tcPr>
                  <w:tcW w:w="1196" w:type="pct"/>
                  <w:vAlign w:val="center"/>
                </w:tcPr>
                <w:p w14:paraId="75302C0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勘探井临时占地严格控制占地面积，尽量减少占地；本项目不占农田和基本农田，占用土地类型</w:t>
                  </w:r>
                  <w:r>
                    <w:rPr>
                      <w:rFonts w:hint="default" w:ascii="Times New Roman" w:hAnsi="Times New Roman" w:cs="Times New Roman"/>
                      <w:color w:val="000000" w:themeColor="text1"/>
                      <w:lang w:val="en-US" w:eastAsia="zh-CN"/>
                      <w14:textFill>
                        <w14:solidFill>
                          <w14:schemeClr w14:val="tx1"/>
                        </w14:solidFill>
                      </w14:textFill>
                    </w:rPr>
                    <w:t>灌木林地、</w:t>
                  </w:r>
                  <w:r>
                    <w:rPr>
                      <w:rFonts w:hint="default" w:ascii="Times New Roman" w:hAnsi="Times New Roman" w:cs="Times New Roman"/>
                      <w:color w:val="000000" w:themeColor="text1"/>
                      <w14:textFill>
                        <w14:solidFill>
                          <w14:schemeClr w14:val="tx1"/>
                        </w14:solidFill>
                      </w14:textFill>
                    </w:rPr>
                    <w:t>其他草地</w:t>
                  </w:r>
                  <w:r>
                    <w:rPr>
                      <w:rFonts w:hint="default" w:ascii="Times New Roman" w:hAnsi="Times New Roman" w:cs="Times New Roman"/>
                      <w:color w:val="000000" w:themeColor="text1"/>
                      <w:lang w:val="en-US" w:eastAsia="zh-CN"/>
                      <w14:textFill>
                        <w14:solidFill>
                          <w14:schemeClr w14:val="tx1"/>
                        </w14:solidFill>
                      </w14:textFill>
                    </w:rPr>
                    <w:t>和公路用地</w:t>
                  </w:r>
                  <w:r>
                    <w:rPr>
                      <w:rFonts w:hint="default" w:ascii="Times New Roman" w:hAnsi="Times New Roman" w:cs="Times New Roman"/>
                      <w:color w:val="000000" w:themeColor="text1"/>
                      <w14:textFill>
                        <w14:solidFill>
                          <w14:schemeClr w14:val="tx1"/>
                        </w14:solidFill>
                      </w14:textFill>
                    </w:rPr>
                    <w:t>。施工前应向当地相关主管部门办理征地手续，按照相关法律法规进行经济补偿。本项目临时用地使用期限根据征地协议期限要求执行。</w:t>
                  </w:r>
                </w:p>
              </w:tc>
              <w:tc>
                <w:tcPr>
                  <w:tcW w:w="411" w:type="pct"/>
                  <w:vAlign w:val="center"/>
                </w:tcPr>
                <w:p w14:paraId="54152F3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5001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658" w:type="pct"/>
                  <w:vAlign w:val="center"/>
                </w:tcPr>
                <w:p w14:paraId="609CA53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三、规范临时用地审批</w:t>
                  </w:r>
                </w:p>
              </w:tc>
              <w:tc>
                <w:tcPr>
                  <w:tcW w:w="2732" w:type="pct"/>
                  <w:vAlign w:val="center"/>
                </w:tcPr>
                <w:p w14:paraId="747C22B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县（市）自然资源主管部门负责临时用地审批，其中涉及占用耕地和永久基本农田的，由市级或者市级以上自然资源主管部门负责审批。不得下放临时用地审批权或者委托相关部门行使审批权。城镇开发边界内使用临时用地的，可以一并申请临时建设用地规划许可和临时用地审批，具备条件的还可以同时申请临时建设工程规划许可，一并出具相关批准文件。油气资源探采合一开发涉及的钻井及配套设施建设用地，可先以临时用地方式批准使用，勘探结束转入生产使用的，办理建设用地审批手续；不转入生产的，油气企业应当完成土地复垦，按期归还。</w:t>
                  </w:r>
                </w:p>
              </w:tc>
              <w:tc>
                <w:tcPr>
                  <w:tcW w:w="1196" w:type="pct"/>
                  <w:vAlign w:val="center"/>
                </w:tcPr>
                <w:p w14:paraId="594C0B7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不占用基本草原和基本农田。施工前按要求办理征地手续；本项目属于油气资源勘探项目，涉及的钻井及配套设施建设用地，本次属于临时用地，若转生产井后重新开展环境影响评价，同时办理建设用地审批手续，若后期不转入生产井，则完成土地恢复，按期归还。</w:t>
                  </w:r>
                </w:p>
              </w:tc>
              <w:tc>
                <w:tcPr>
                  <w:tcW w:w="411" w:type="pct"/>
                  <w:vAlign w:val="center"/>
                </w:tcPr>
                <w:p w14:paraId="555F9C6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r w14:paraId="57BE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58" w:type="pct"/>
                  <w:vAlign w:val="center"/>
                </w:tcPr>
                <w:p w14:paraId="542FEA4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四、落实临时用地恢复责任</w:t>
                  </w:r>
                </w:p>
              </w:tc>
              <w:tc>
                <w:tcPr>
                  <w:tcW w:w="2732" w:type="pct"/>
                  <w:vAlign w:val="center"/>
                </w:tcPr>
                <w:p w14:paraId="4D3C8D7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用地使用人应当按照批准的用途使用土地，不得转让、出租、抵押临时用地。临时用地使用人应当自临时用地期满之日起一年内完成土地复垦，因气候、灾害等不可抗力因素影响复垦的，经批准可以适当延长复垦期限。</w:t>
                  </w:r>
                </w:p>
                <w:p w14:paraId="270B49D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严格落实临时用地恢复责任，临时用地期满后应当拆除临时建（构）筑物，使用耕地的应当复垦为耕地，确保耕地面积不减少、质量不降低；使用耕地以外的其他农用地的应当恢复为农用地；使用未利用地的，对于符合条件的鼓励复垦为耕地。</w:t>
                  </w:r>
                </w:p>
                <w:p w14:paraId="771BDD5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县（市）自然资源主管部门依法监督临时用地使用人履行复垦义务情况，对逾期不恢复种植条件、违反土地复垦规定的行为，责令限期改正，并依照法律法规的规定进行处罚。按年度统计，县（市）范围内的临时用地，超期一年以上未完成土地复垦规模达到应复垦规模20%以上的，省级自然资源主管部门应当要求所在县（市）暂停审批新的临时用地，根据县（市）整改情况恢复审批。</w:t>
                  </w:r>
                </w:p>
              </w:tc>
              <w:tc>
                <w:tcPr>
                  <w:tcW w:w="1196" w:type="pct"/>
                  <w:vAlign w:val="center"/>
                </w:tcPr>
                <w:p w14:paraId="030773E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本项目试油结束后视试油结果决定是否转为生产井，若转为生产井，则应当在产能开发建设前开展其环境影响评价工作，临时道路保留；若不具开发价值，井口进行封井，临时道路进行平整，自然恢复。</w:t>
                  </w:r>
                </w:p>
              </w:tc>
              <w:tc>
                <w:tcPr>
                  <w:tcW w:w="411" w:type="pct"/>
                  <w:vAlign w:val="center"/>
                </w:tcPr>
                <w:p w14:paraId="4FF727C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符合</w:t>
                  </w:r>
                </w:p>
              </w:tc>
            </w:tr>
          </w:tbl>
          <w:p w14:paraId="2B9F3FA9">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p>
          <w:p w14:paraId="681D17C7">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p>
          <w:p w14:paraId="085BFA05">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p>
          <w:p w14:paraId="7118B06F">
            <w:pPr>
              <w:ind w:firstLine="480"/>
              <w:rPr>
                <w:rFonts w:hint="default" w:ascii="Times New Roman" w:hAnsi="Times New Roman" w:cs="Times New Roman"/>
                <w:color w:val="000000" w:themeColor="text1"/>
                <w14:textFill>
                  <w14:solidFill>
                    <w14:schemeClr w14:val="tx1"/>
                  </w14:solidFill>
                </w14:textFill>
              </w:rPr>
            </w:pPr>
          </w:p>
        </w:tc>
      </w:tr>
      <w:bookmarkEnd w:id="2"/>
    </w:tbl>
    <w:p w14:paraId="13FC2908">
      <w:pPr>
        <w:ind w:firstLine="600"/>
        <w:outlineLvl w:val="0"/>
        <w:rPr>
          <w:rFonts w:hint="default" w:ascii="Times New Roman" w:hAnsi="Times New Roman" w:eastAsia="黑体" w:cs="Times New Roman"/>
          <w:color w:val="000000" w:themeColor="text1"/>
          <w:sz w:val="30"/>
          <w14:textFill>
            <w14:solidFill>
              <w14:schemeClr w14:val="tx1"/>
            </w14:solidFill>
          </w14:textFill>
        </w:rPr>
        <w:sectPr>
          <w:footerReference r:id="rId11" w:type="default"/>
          <w:pgSz w:w="11906" w:h="16838"/>
          <w:pgMar w:top="1701" w:right="1531" w:bottom="1701" w:left="1531" w:header="851" w:footer="1077" w:gutter="0"/>
          <w:pgNumType w:start="1"/>
          <w:cols w:space="720" w:num="1"/>
          <w:docGrid w:linePitch="312" w:charSpace="0"/>
        </w:sectPr>
      </w:pPr>
    </w:p>
    <w:tbl>
      <w:tblPr>
        <w:tblStyle w:val="16"/>
        <w:tblpPr w:leftFromText="180" w:rightFromText="180" w:vertAnchor="text" w:horzAnchor="page" w:tblpX="1542" w:tblpY="647"/>
        <w:tblOverlap w:val="never"/>
        <w:tblW w:w="903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418"/>
      </w:tblGrid>
      <w:tr w14:paraId="68893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619" w:type="dxa"/>
            <w:vAlign w:val="center"/>
          </w:tcPr>
          <w:p w14:paraId="3B556192">
            <w:pPr>
              <w:spacing w:line="240" w:lineRule="auto"/>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地理</w:t>
            </w:r>
            <w:bookmarkStart w:id="43" w:name="_GoBack"/>
            <w:r>
              <w:rPr>
                <w:rFonts w:hint="default" w:ascii="Times New Roman" w:hAnsi="Times New Roman" w:cs="Times New Roman"/>
                <w:color w:val="000000" w:themeColor="text1"/>
                <w14:textFill>
                  <w14:solidFill>
                    <w14:schemeClr w14:val="tx1"/>
                  </w14:solidFill>
                </w14:textFill>
              </w:rPr>
              <w:t>位置</w:t>
            </w:r>
            <w:bookmarkEnd w:id="43"/>
          </w:p>
        </w:tc>
        <w:tc>
          <w:tcPr>
            <w:tcW w:w="8418" w:type="dxa"/>
            <w:vAlign w:val="center"/>
          </w:tcPr>
          <w:p w14:paraId="64959E48">
            <w:pPr>
              <w:ind w:firstLine="480"/>
              <w:rPr>
                <w:rFonts w:hint="default" w:ascii="Times New Roman" w:hAnsi="Times New Roman" w:cs="Times New Roman"/>
                <w:color w:val="000000" w:themeColor="text1"/>
                <w:kern w:val="0"/>
                <w:highlight w:val="yellow"/>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342265</wp:posOffset>
                      </wp:positionH>
                      <wp:positionV relativeFrom="paragraph">
                        <wp:posOffset>-443230</wp:posOffset>
                      </wp:positionV>
                      <wp:extent cx="4210050" cy="409575"/>
                      <wp:effectExtent l="0" t="0" r="0" b="0"/>
                      <wp:wrapNone/>
                      <wp:docPr id="27" name="文本框 64"/>
                      <wp:cNvGraphicFramePr/>
                      <a:graphic xmlns:a="http://schemas.openxmlformats.org/drawingml/2006/main">
                        <a:graphicData uri="http://schemas.microsoft.com/office/word/2010/wordprocessingShape">
                          <wps:wsp>
                            <wps:cNvSpPr txBox="1"/>
                            <wps:spPr>
                              <a:xfrm>
                                <a:off x="0" y="0"/>
                                <a:ext cx="4210050" cy="409575"/>
                              </a:xfrm>
                              <a:prstGeom prst="rect">
                                <a:avLst/>
                              </a:prstGeom>
                              <a:noFill/>
                              <a:ln>
                                <a:noFill/>
                              </a:ln>
                            </wps:spPr>
                            <wps:txbx>
                              <w:txbxContent>
                                <w:p w14:paraId="78BB03FD">
                                  <w:pPr>
                                    <w:pStyle w:val="15"/>
                                    <w:ind w:firstLine="60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二、建设内容</w:t>
                                  </w:r>
                                </w:p>
                                <w:p w14:paraId="1D8126AC">
                                  <w:pPr>
                                    <w:ind w:firstLine="480"/>
                                  </w:pPr>
                                </w:p>
                              </w:txbxContent>
                            </wps:txbx>
                            <wps:bodyPr wrap="square" upright="1"/>
                          </wps:wsp>
                        </a:graphicData>
                      </a:graphic>
                    </wp:anchor>
                  </w:drawing>
                </mc:Choice>
                <mc:Fallback>
                  <w:pict>
                    <v:shape id="文本框 64" o:spid="_x0000_s1026" o:spt="202" type="#_x0000_t202" style="position:absolute;left:0pt;margin-left:26.95pt;margin-top:-34.9pt;height:32.25pt;width:331.5pt;z-index:251659264;mso-width-relative:page;mso-height-relative:page;" filled="f" stroked="f" coordsize="21600,21600" o:gfxdata="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QmGqLWAAAACQEAAA8AAAAAAAAAAQAgAAAAIgAAAGRycy9kb3ducmV2LnhtbFBLAQIUABQA&#10;AAAIAIdO4kAkqqusuQEAAF4DAAAOAAAAAAAAAAEAIAAAACUBAABkcnMvZTJvRG9jLnhtbFBLBQYA&#10;AAAABgAGAFkBAABQBQAAAAA=&#10;">
                      <v:fill on="f" focussize="0,0"/>
                      <v:stroke on="f"/>
                      <v:imagedata o:title=""/>
                      <o:lock v:ext="edit" aspectratio="f"/>
                      <v:textbox>
                        <w:txbxContent>
                          <w:p w14:paraId="78BB03FD">
                            <w:pPr>
                              <w:pStyle w:val="15"/>
                              <w:ind w:firstLine="600"/>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二、建设内容</w:t>
                            </w:r>
                          </w:p>
                          <w:p w14:paraId="1D8126AC">
                            <w:pPr>
                              <w:ind w:firstLine="480"/>
                            </w:pPr>
                          </w:p>
                        </w:txbxContent>
                      </v:textbox>
                    </v:shape>
                  </w:pict>
                </mc:Fallback>
              </mc:AlternateContent>
            </w:r>
            <w:r>
              <w:rPr>
                <w:rFonts w:hint="default" w:ascii="Times New Roman" w:hAnsi="Times New Roman" w:cs="Times New Roman"/>
                <w:color w:val="000000" w:themeColor="text1"/>
                <w14:textFill>
                  <w14:solidFill>
                    <w14:schemeClr w14:val="tx1"/>
                  </w14:solidFill>
                </w14:textFill>
              </w:rPr>
              <w:t>本项目位于新疆维吾尔自治区塔城地区和布克赛尔蒙古自治县，</w:t>
            </w:r>
            <w:r>
              <w:rPr>
                <w:rFonts w:hint="default" w:ascii="Times New Roman" w:hAnsi="Times New Roman" w:cs="Times New Roman"/>
                <w:color w:val="000000" w:themeColor="text1"/>
                <w:highlight w:val="none"/>
                <w14:textFill>
                  <w14:solidFill>
                    <w14:schemeClr w14:val="tx1"/>
                  </w14:solidFill>
                </w14:textFill>
              </w:rPr>
              <w:t>西</w:t>
            </w:r>
            <w:r>
              <w:rPr>
                <w:rFonts w:hint="default" w:ascii="Times New Roman" w:hAnsi="Times New Roman" w:cs="Times New Roman"/>
                <w:color w:val="000000" w:themeColor="text1"/>
                <w:highlight w:val="none"/>
                <w:lang w:val="en-US" w:eastAsia="zh-CN"/>
                <w14:textFill>
                  <w14:solidFill>
                    <w14:schemeClr w14:val="tx1"/>
                  </w14:solidFill>
                </w14:textFill>
              </w:rPr>
              <w:t>北</w:t>
            </w:r>
            <w:r>
              <w:rPr>
                <w:rFonts w:hint="default" w:ascii="Times New Roman" w:hAnsi="Times New Roman" w:cs="Times New Roman"/>
                <w:color w:val="000000" w:themeColor="text1"/>
                <w:highlight w:val="none"/>
                <w14:textFill>
                  <w14:solidFill>
                    <w14:schemeClr w14:val="tx1"/>
                  </w14:solidFill>
                </w14:textFill>
              </w:rPr>
              <w:t>距克拉玛依市乌尔禾区</w:t>
            </w:r>
            <w:r>
              <w:rPr>
                <w:rFonts w:hint="default" w:ascii="Times New Roman" w:hAnsi="Times New Roman" w:cs="Times New Roman"/>
                <w:color w:val="000000" w:themeColor="text1"/>
                <w:highlight w:val="none"/>
                <w:lang w:val="en-US" w:eastAsia="zh-CN"/>
                <w14:textFill>
                  <w14:solidFill>
                    <w14:schemeClr w14:val="tx1"/>
                  </w14:solidFill>
                </w14:textFill>
              </w:rPr>
              <w:t>约122</w:t>
            </w:r>
            <w:r>
              <w:rPr>
                <w:rFonts w:hint="default" w:ascii="Times New Roman" w:hAnsi="Times New Roman" w:cs="Times New Roman"/>
                <w:color w:val="000000" w:themeColor="text1"/>
                <w:highlight w:val="none"/>
                <w14:textFill>
                  <w14:solidFill>
                    <w14:schemeClr w14:val="tx1"/>
                  </w14:solidFill>
                </w14:textFill>
              </w:rPr>
              <w:t>km</w:t>
            </w:r>
            <w:r>
              <w:rPr>
                <w:rFonts w:hint="default" w:ascii="Times New Roman" w:hAnsi="Times New Roman"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距和布克赛尔蒙古自治县</w:t>
            </w:r>
            <w:r>
              <w:rPr>
                <w:rFonts w:hint="default" w:ascii="Times New Roman" w:hAnsi="Times New Roman" w:cs="Times New Roman"/>
                <w:color w:val="000000" w:themeColor="text1"/>
                <w:highlight w:val="none"/>
                <w:lang w:val="en-US" w:eastAsia="zh-CN"/>
                <w14:textFill>
                  <w14:solidFill>
                    <w14:schemeClr w14:val="tx1"/>
                  </w14:solidFill>
                </w14:textFill>
              </w:rPr>
              <w:t>约176</w:t>
            </w:r>
            <w:r>
              <w:rPr>
                <w:rFonts w:hint="default" w:ascii="Times New Roman" w:hAnsi="Times New Roman" w:cs="Times New Roman"/>
                <w:color w:val="000000" w:themeColor="text1"/>
                <w:highlight w:val="none"/>
                <w14:textFill>
                  <w14:solidFill>
                    <w14:schemeClr w14:val="tx1"/>
                  </w14:solidFill>
                </w14:textFill>
              </w:rPr>
              <w:t>km</w:t>
            </w:r>
            <w:r>
              <w:rPr>
                <w:rFonts w:hint="default" w:ascii="Times New Roman" w:hAnsi="Times New Roman" w:cs="Times New Roman"/>
                <w:color w:val="000000" w:themeColor="text1"/>
                <w:kern w:val="0"/>
                <w:highlight w:val="none"/>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项目占地类型为</w:t>
            </w:r>
            <w:r>
              <w:rPr>
                <w:rFonts w:hint="default" w:ascii="Times New Roman" w:hAnsi="Times New Roman" w:cs="Times New Roman"/>
                <w:color w:val="000000" w:themeColor="text1"/>
                <w:highlight w:val="none"/>
                <w:lang w:val="en-US" w:eastAsia="zh-CN"/>
                <w14:textFill>
                  <w14:solidFill>
                    <w14:schemeClr w14:val="tx1"/>
                  </w14:solidFill>
                </w14:textFill>
              </w:rPr>
              <w:t>灌木林地、</w:t>
            </w:r>
            <w:r>
              <w:rPr>
                <w:rFonts w:hint="default" w:ascii="Times New Roman" w:hAnsi="Times New Roman" w:cs="Times New Roman"/>
                <w:color w:val="000000" w:themeColor="text1"/>
                <w:highlight w:val="none"/>
                <w:lang w:eastAsia="zh-CN"/>
                <w14:textFill>
                  <w14:solidFill>
                    <w14:schemeClr w14:val="tx1"/>
                  </w14:solidFill>
                </w14:textFill>
              </w:rPr>
              <w:t>其他草地、</w:t>
            </w:r>
            <w:r>
              <w:rPr>
                <w:rFonts w:hint="default" w:ascii="Times New Roman" w:hAnsi="Times New Roman" w:cs="Times New Roman"/>
                <w:color w:val="000000" w:themeColor="text1"/>
                <w:highlight w:val="none"/>
                <w:lang w:val="en-US" w:eastAsia="zh-CN"/>
                <w14:textFill>
                  <w14:solidFill>
                    <w14:schemeClr w14:val="tx1"/>
                  </w14:solidFill>
                </w14:textFill>
              </w:rPr>
              <w:t>公路用地</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kern w:val="0"/>
                <w:highlight w:val="none"/>
                <w14:textFill>
                  <w14:solidFill>
                    <w14:schemeClr w14:val="tx1"/>
                  </w14:solidFill>
                </w14:textFill>
              </w:rPr>
              <w:t>本次拟钻</w:t>
            </w:r>
            <w:r>
              <w:rPr>
                <w:rFonts w:hint="default" w:ascii="Times New Roman" w:hAnsi="Times New Roman" w:cs="Times New Roman"/>
                <w:color w:val="000000" w:themeColor="text1"/>
                <w:kern w:val="0"/>
                <w:highlight w:val="none"/>
                <w:lang w:val="en-US" w:eastAsia="zh-CN"/>
                <w14:textFill>
                  <w14:solidFill>
                    <w14:schemeClr w14:val="tx1"/>
                  </w14:solidFill>
                </w14:textFill>
              </w:rPr>
              <w:t>1</w:t>
            </w:r>
            <w:r>
              <w:rPr>
                <w:rFonts w:hint="default" w:ascii="Times New Roman" w:hAnsi="Times New Roman" w:cs="Times New Roman"/>
                <w:color w:val="000000" w:themeColor="text1"/>
                <w:kern w:val="0"/>
                <w:highlight w:val="none"/>
                <w14:textFill>
                  <w14:solidFill>
                    <w14:schemeClr w14:val="tx1"/>
                  </w14:solidFill>
                </w14:textFill>
              </w:rPr>
              <w:t>口勘探井，井口坐标详见表2-1。</w:t>
            </w:r>
          </w:p>
          <w:p w14:paraId="740142B5">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表2-1  项目各井口坐标一览表</w:t>
            </w:r>
          </w:p>
          <w:tbl>
            <w:tblPr>
              <w:tblStyle w:val="16"/>
              <w:tblW w:w="82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958"/>
              <w:gridCol w:w="1811"/>
              <w:gridCol w:w="1673"/>
              <w:gridCol w:w="1604"/>
              <w:gridCol w:w="1524"/>
            </w:tblGrid>
            <w:tr w14:paraId="66E4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Merge w:val="restart"/>
                  <w:vAlign w:val="center"/>
                </w:tcPr>
                <w:p w14:paraId="4852BBF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958" w:type="dxa"/>
                  <w:vMerge w:val="restart"/>
                  <w:vAlign w:val="center"/>
                </w:tcPr>
                <w:p w14:paraId="6F391C0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井号</w:t>
                  </w:r>
                </w:p>
              </w:tc>
              <w:tc>
                <w:tcPr>
                  <w:tcW w:w="6612" w:type="dxa"/>
                  <w:gridSpan w:val="4"/>
                  <w:vAlign w:val="center"/>
                </w:tcPr>
                <w:p w14:paraId="478B8AC2">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坐标</w:t>
                  </w:r>
                </w:p>
              </w:tc>
            </w:tr>
            <w:tr w14:paraId="6396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92" w:type="dxa"/>
                  <w:vMerge w:val="continue"/>
                  <w:vAlign w:val="center"/>
                </w:tcPr>
                <w:p w14:paraId="00A8AF5B">
                  <w:pPr>
                    <w:pStyle w:val="23"/>
                    <w:rPr>
                      <w:rFonts w:hint="default" w:ascii="Times New Roman" w:hAnsi="Times New Roman" w:cs="Times New Roman"/>
                      <w:b/>
                      <w:bCs/>
                      <w:color w:val="000000" w:themeColor="text1"/>
                      <w14:textFill>
                        <w14:solidFill>
                          <w14:schemeClr w14:val="tx1"/>
                        </w14:solidFill>
                      </w14:textFill>
                    </w:rPr>
                  </w:pPr>
                </w:p>
              </w:tc>
              <w:tc>
                <w:tcPr>
                  <w:tcW w:w="958" w:type="dxa"/>
                  <w:vMerge w:val="continue"/>
                  <w:vAlign w:val="center"/>
                </w:tcPr>
                <w:p w14:paraId="1EB7843F">
                  <w:pPr>
                    <w:pStyle w:val="23"/>
                    <w:rPr>
                      <w:rFonts w:hint="default" w:ascii="Times New Roman" w:hAnsi="Times New Roman" w:cs="Times New Roman"/>
                      <w:b/>
                      <w:bCs/>
                      <w:color w:val="000000" w:themeColor="text1"/>
                      <w14:textFill>
                        <w14:solidFill>
                          <w14:schemeClr w14:val="tx1"/>
                        </w14:solidFill>
                      </w14:textFill>
                    </w:rPr>
                  </w:pPr>
                </w:p>
              </w:tc>
              <w:tc>
                <w:tcPr>
                  <w:tcW w:w="1811" w:type="dxa"/>
                  <w:vAlign w:val="center"/>
                </w:tcPr>
                <w:p w14:paraId="7CA368F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X（</w:t>
                  </w:r>
                  <w:r>
                    <w:rPr>
                      <w:rFonts w:hint="default" w:ascii="Times New Roman" w:hAnsi="Times New Roman" w:cs="Times New Roman"/>
                      <w:b/>
                      <w:bCs/>
                      <w:color w:val="000000" w:themeColor="text1"/>
                      <w:lang w:val="en-US" w:eastAsia="zh-CN"/>
                      <w14:textFill>
                        <w14:solidFill>
                          <w14:schemeClr w14:val="tx1"/>
                        </w14:solidFill>
                      </w14:textFill>
                    </w:rPr>
                    <w:t>北京54</w:t>
                  </w:r>
                  <w:r>
                    <w:rPr>
                      <w:rFonts w:hint="default" w:ascii="Times New Roman" w:hAnsi="Times New Roman" w:cs="Times New Roman"/>
                      <w:b/>
                      <w:bCs/>
                      <w:color w:val="000000" w:themeColor="text1"/>
                      <w14:textFill>
                        <w14:solidFill>
                          <w14:schemeClr w14:val="tx1"/>
                        </w14:solidFill>
                      </w14:textFill>
                    </w:rPr>
                    <w:t>）</w:t>
                  </w:r>
                </w:p>
              </w:tc>
              <w:tc>
                <w:tcPr>
                  <w:tcW w:w="1673" w:type="dxa"/>
                  <w:vAlign w:val="center"/>
                </w:tcPr>
                <w:p w14:paraId="35CD4F17">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Y（</w:t>
                  </w:r>
                  <w:r>
                    <w:rPr>
                      <w:rFonts w:hint="default" w:ascii="Times New Roman" w:hAnsi="Times New Roman" w:cs="Times New Roman"/>
                      <w:b/>
                      <w:bCs/>
                      <w:color w:val="000000" w:themeColor="text1"/>
                      <w:lang w:val="en-US" w:eastAsia="zh-CN"/>
                      <w14:textFill>
                        <w14:solidFill>
                          <w14:schemeClr w14:val="tx1"/>
                        </w14:solidFill>
                      </w14:textFill>
                    </w:rPr>
                    <w:t>北京54</w:t>
                  </w:r>
                  <w:r>
                    <w:rPr>
                      <w:rFonts w:hint="default" w:ascii="Times New Roman" w:hAnsi="Times New Roman" w:cs="Times New Roman"/>
                      <w:b/>
                      <w:bCs/>
                      <w:color w:val="000000" w:themeColor="text1"/>
                      <w14:textFill>
                        <w14:solidFill>
                          <w14:schemeClr w14:val="tx1"/>
                        </w14:solidFill>
                      </w14:textFill>
                    </w:rPr>
                    <w:t>）</w:t>
                  </w:r>
                </w:p>
              </w:tc>
              <w:tc>
                <w:tcPr>
                  <w:tcW w:w="1604" w:type="dxa"/>
                  <w:vAlign w:val="center"/>
                </w:tcPr>
                <w:p w14:paraId="7696F37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东经</w:t>
                  </w:r>
                </w:p>
              </w:tc>
              <w:tc>
                <w:tcPr>
                  <w:tcW w:w="1524" w:type="dxa"/>
                  <w:vAlign w:val="center"/>
                </w:tcPr>
                <w:p w14:paraId="0A9C6FD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北纬</w:t>
                  </w:r>
                </w:p>
              </w:tc>
            </w:tr>
            <w:tr w14:paraId="7BC7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92" w:type="dxa"/>
                  <w:vAlign w:val="center"/>
                </w:tcPr>
                <w:p w14:paraId="288AA88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958" w:type="dxa"/>
                  <w:vAlign w:val="center"/>
                </w:tcPr>
                <w:p w14:paraId="5B48C80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陆西1</w:t>
                  </w:r>
                </w:p>
              </w:tc>
              <w:tc>
                <w:tcPr>
                  <w:tcW w:w="1811" w:type="dxa"/>
                  <w:vAlign w:val="center"/>
                </w:tcPr>
                <w:p w14:paraId="672475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73" w:type="dxa"/>
                  <w:vAlign w:val="center"/>
                </w:tcPr>
                <w:p w14:paraId="44EE70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604" w:type="dxa"/>
                  <w:vAlign w:val="bottom"/>
                </w:tcPr>
                <w:p w14:paraId="18BBBC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24" w:type="dxa"/>
                  <w:vAlign w:val="bottom"/>
                </w:tcPr>
                <w:p w14:paraId="38DF0C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bl>
          <w:p w14:paraId="57FD907D">
            <w:pPr>
              <w:ind w:firstLine="480"/>
              <w:rPr>
                <w:rFonts w:hint="default" w:ascii="Times New Roman" w:hAnsi="Times New Roman" w:cs="Times New Roman"/>
                <w:color w:val="000000" w:themeColor="text1"/>
                <w14:textFill>
                  <w14:solidFill>
                    <w14:schemeClr w14:val="tx1"/>
                  </w14:solidFill>
                </w14:textFill>
              </w:rPr>
            </w:pPr>
          </w:p>
        </w:tc>
      </w:tr>
      <w:tr w14:paraId="0A4EC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619" w:type="dxa"/>
            <w:vAlign w:val="center"/>
          </w:tcPr>
          <w:p w14:paraId="1540E06E">
            <w:pPr>
              <w:spacing w:line="240" w:lineRule="auto"/>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项目组成及规模</w:t>
            </w:r>
          </w:p>
        </w:tc>
        <w:tc>
          <w:tcPr>
            <w:tcW w:w="8418" w:type="dxa"/>
            <w:vAlign w:val="center"/>
          </w:tcPr>
          <w:p w14:paraId="04638959">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1建设内容及规模</w:t>
            </w:r>
          </w:p>
          <w:p w14:paraId="19FAFCF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本项目建设内容为：新钻</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口勘探井，完井后进行试油，获取有关技术参数。本项目临时占地</w:t>
            </w:r>
            <w:r>
              <w:rPr>
                <w:rFonts w:hint="eastAsia" w:cs="Times New Roman"/>
                <w:color w:val="000000" w:themeColor="text1"/>
                <w:lang w:val="en-US" w:eastAsia="zh-CN"/>
                <w14:textFill>
                  <w14:solidFill>
                    <w14:schemeClr w14:val="tx1"/>
                  </w14:solidFill>
                </w14:textFill>
              </w:rPr>
              <w:t>32097</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，占地类型为</w:t>
            </w:r>
            <w:r>
              <w:rPr>
                <w:rFonts w:hint="default" w:ascii="Times New Roman" w:hAnsi="Times New Roman" w:cs="Times New Roman"/>
                <w:color w:val="000000" w:themeColor="text1"/>
                <w:highlight w:val="none"/>
                <w:lang w:val="en-US" w:eastAsia="zh-CN"/>
                <w14:textFill>
                  <w14:solidFill>
                    <w14:schemeClr w14:val="tx1"/>
                  </w14:solidFill>
                </w14:textFill>
              </w:rPr>
              <w:t>灌木林地、</w:t>
            </w:r>
            <w:r>
              <w:rPr>
                <w:rFonts w:hint="default" w:ascii="Times New Roman" w:hAnsi="Times New Roman" w:cs="Times New Roman"/>
                <w:color w:val="000000" w:themeColor="text1"/>
                <w:highlight w:val="none"/>
                <w:lang w:eastAsia="zh-CN"/>
                <w14:textFill>
                  <w14:solidFill>
                    <w14:schemeClr w14:val="tx1"/>
                  </w14:solidFill>
                </w14:textFill>
              </w:rPr>
              <w:t>其他草地、</w:t>
            </w:r>
            <w:r>
              <w:rPr>
                <w:rFonts w:hint="default" w:ascii="Times New Roman" w:hAnsi="Times New Roman" w:cs="Times New Roman"/>
                <w:color w:val="000000" w:themeColor="text1"/>
                <w:highlight w:val="none"/>
                <w:lang w:val="en-US" w:eastAsia="zh-CN"/>
                <w14:textFill>
                  <w14:solidFill>
                    <w14:schemeClr w14:val="tx1"/>
                  </w14:solidFill>
                </w14:textFill>
              </w:rPr>
              <w:t>公路用地</w:t>
            </w:r>
            <w:r>
              <w:rPr>
                <w:rFonts w:hint="default" w:ascii="Times New Roman" w:hAnsi="Times New Roman" w:cs="Times New Roman"/>
                <w:color w:val="000000" w:themeColor="text1"/>
                <w14:textFill>
                  <w14:solidFill>
                    <w14:schemeClr w14:val="tx1"/>
                  </w14:solidFill>
                </w14:textFill>
              </w:rPr>
              <w:t>。本项目工程组成详见表2-2。</w:t>
            </w:r>
          </w:p>
          <w:p w14:paraId="46DC3B5C">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表2-2  项目建设内容一览表</w:t>
            </w:r>
          </w:p>
          <w:tbl>
            <w:tblPr>
              <w:tblStyle w:val="16"/>
              <w:tblW w:w="497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88"/>
              <w:gridCol w:w="594"/>
              <w:gridCol w:w="1176"/>
              <w:gridCol w:w="5794"/>
            </w:tblGrid>
            <w:tr w14:paraId="5C9CAB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Align w:val="center"/>
                </w:tcPr>
                <w:p w14:paraId="439BF15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名称</w:t>
                  </w:r>
                </w:p>
              </w:tc>
              <w:tc>
                <w:tcPr>
                  <w:tcW w:w="1085" w:type="pct"/>
                  <w:gridSpan w:val="2"/>
                  <w:vAlign w:val="center"/>
                </w:tcPr>
                <w:p w14:paraId="2488E5A8">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建设内容</w:t>
                  </w:r>
                </w:p>
              </w:tc>
              <w:tc>
                <w:tcPr>
                  <w:tcW w:w="3553" w:type="pct"/>
                  <w:vAlign w:val="center"/>
                </w:tcPr>
                <w:p w14:paraId="770A28CA">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建设规模及建设内容</w:t>
                  </w:r>
                </w:p>
              </w:tc>
            </w:tr>
            <w:tr w14:paraId="05B990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6" w:hRule="atLeast"/>
                <w:jc w:val="center"/>
              </w:trPr>
              <w:tc>
                <w:tcPr>
                  <w:tcW w:w="361" w:type="pct"/>
                  <w:vMerge w:val="restart"/>
                  <w:vAlign w:val="center"/>
                </w:tcPr>
                <w:p w14:paraId="1979BB9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主体工程</w:t>
                  </w:r>
                </w:p>
              </w:tc>
              <w:tc>
                <w:tcPr>
                  <w:tcW w:w="1085" w:type="pct"/>
                  <w:gridSpan w:val="2"/>
                  <w:vAlign w:val="center"/>
                </w:tcPr>
                <w:p w14:paraId="278A3D4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钻前工程</w:t>
                  </w:r>
                </w:p>
              </w:tc>
              <w:tc>
                <w:tcPr>
                  <w:tcW w:w="3553" w:type="pct"/>
                  <w:tcBorders>
                    <w:bottom w:val="single" w:color="auto" w:sz="4" w:space="0"/>
                  </w:tcBorders>
                  <w:vAlign w:val="center"/>
                </w:tcPr>
                <w:p w14:paraId="3C9B76B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钻井前准备工作，包括进场道路建设、井场平整、设备基础修建等，井场占地面积</w:t>
                  </w:r>
                  <w:r>
                    <w:rPr>
                      <w:rFonts w:hint="default" w:ascii="Times New Roman" w:hAnsi="Times New Roman" w:cs="Times New Roman"/>
                      <w:color w:val="000000" w:themeColor="text1"/>
                      <w:lang w:val="en-US" w:eastAsia="zh-CN"/>
                      <w14:textFill>
                        <w14:solidFill>
                          <w14:schemeClr w14:val="tx1"/>
                        </w14:solidFill>
                      </w14:textFill>
                    </w:rPr>
                    <w:t>11760.07</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tc>
            </w:tr>
            <w:tr w14:paraId="325D7C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1" w:hRule="atLeast"/>
                <w:jc w:val="center"/>
              </w:trPr>
              <w:tc>
                <w:tcPr>
                  <w:tcW w:w="361" w:type="pct"/>
                  <w:vMerge w:val="continue"/>
                  <w:vAlign w:val="center"/>
                </w:tcPr>
                <w:p w14:paraId="5B4758EE">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bottom w:val="single" w:color="auto" w:sz="4" w:space="0"/>
                  </w:tcBorders>
                  <w:vAlign w:val="center"/>
                </w:tcPr>
                <w:p w14:paraId="64EBD72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钻井工程</w:t>
                  </w:r>
                </w:p>
              </w:tc>
              <w:tc>
                <w:tcPr>
                  <w:tcW w:w="3553" w:type="pct"/>
                  <w:tcBorders>
                    <w:top w:val="single" w:color="auto" w:sz="4" w:space="0"/>
                    <w:bottom w:val="single" w:color="auto" w:sz="4" w:space="0"/>
                  </w:tcBorders>
                  <w:vAlign w:val="center"/>
                </w:tcPr>
                <w:p w14:paraId="15E6887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新钻勘探井</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口，井型为直井，钻井进尺</w:t>
                  </w:r>
                  <w:r>
                    <w:rPr>
                      <w:rFonts w:hint="default" w:ascii="Times New Roman" w:hAnsi="Times New Roman" w:cs="Times New Roman"/>
                      <w:color w:val="000000" w:themeColor="text1"/>
                      <w:lang w:val="en-US" w:eastAsia="zh-CN"/>
                      <w14:textFill>
                        <w14:solidFill>
                          <w14:schemeClr w14:val="tx1"/>
                        </w14:solidFill>
                      </w14:textFill>
                    </w:rPr>
                    <w:t>5150</w:t>
                  </w:r>
                  <w:r>
                    <w:rPr>
                      <w:rFonts w:hint="default" w:ascii="Times New Roman" w:hAnsi="Times New Roman" w:cs="Times New Roman"/>
                      <w:color w:val="000000" w:themeColor="text1"/>
                      <w14:textFill>
                        <w14:solidFill>
                          <w14:schemeClr w14:val="tx1"/>
                        </w14:solidFill>
                      </w14:textFill>
                    </w:rPr>
                    <w:t>m，钻井期</w:t>
                  </w:r>
                  <w:r>
                    <w:rPr>
                      <w:rFonts w:hint="default" w:ascii="Times New Roman" w:hAnsi="Times New Roman" w:cs="Times New Roman"/>
                      <w:color w:val="000000" w:themeColor="text1"/>
                      <w:lang w:val="en-US" w:eastAsia="zh-CN"/>
                      <w14:textFill>
                        <w14:solidFill>
                          <w14:schemeClr w14:val="tx1"/>
                        </w14:solidFill>
                      </w14:textFill>
                    </w:rPr>
                    <w:t>70</w:t>
                  </w:r>
                  <w:r>
                    <w:rPr>
                      <w:rFonts w:hint="default" w:ascii="Times New Roman" w:hAnsi="Times New Roman" w:cs="Times New Roman"/>
                      <w:color w:val="000000" w:themeColor="text1"/>
                      <w14:textFill>
                        <w14:solidFill>
                          <w14:schemeClr w14:val="tx1"/>
                        </w14:solidFill>
                      </w14:textFill>
                    </w:rPr>
                    <w:t>天，施工人数35人。</w:t>
                  </w:r>
                </w:p>
              </w:tc>
            </w:tr>
            <w:tr w14:paraId="4B2631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361" w:type="pct"/>
                  <w:vMerge w:val="continue"/>
                  <w:vAlign w:val="center"/>
                </w:tcPr>
                <w:p w14:paraId="3AE37517">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bottom w:val="single" w:color="auto" w:sz="4" w:space="0"/>
                  </w:tcBorders>
                  <w:vAlign w:val="center"/>
                </w:tcPr>
                <w:p w14:paraId="5F7986F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试油工程</w:t>
                  </w:r>
                </w:p>
              </w:tc>
              <w:tc>
                <w:tcPr>
                  <w:tcW w:w="3553" w:type="pct"/>
                  <w:tcBorders>
                    <w:top w:val="single" w:color="auto" w:sz="4" w:space="0"/>
                    <w:bottom w:val="single" w:color="auto" w:sz="4" w:space="0"/>
                  </w:tcBorders>
                  <w:vAlign w:val="center"/>
                </w:tcPr>
                <w:p w14:paraId="6ECA76A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对完钻井开展通井、洗井、试压、射孔、诱喷、求产等工序，并配套洗井液注入泵等试油设备。单井试油期</w:t>
                  </w:r>
                  <w:r>
                    <w:rPr>
                      <w:rFonts w:hint="default" w:ascii="Times New Roman" w:hAnsi="Times New Roman" w:cs="Times New Roman"/>
                      <w:color w:val="000000" w:themeColor="text1"/>
                      <w:lang w:val="en-US" w:eastAsia="zh-CN"/>
                      <w14:textFill>
                        <w14:solidFill>
                          <w14:schemeClr w14:val="tx1"/>
                        </w14:solidFill>
                      </w14:textFill>
                    </w:rPr>
                    <w:t>9</w:t>
                  </w:r>
                  <w:r>
                    <w:rPr>
                      <w:rFonts w:hint="default" w:ascii="Times New Roman" w:hAnsi="Times New Roman" w:cs="Times New Roman"/>
                      <w:color w:val="000000" w:themeColor="text1"/>
                      <w14:textFill>
                        <w14:solidFill>
                          <w14:schemeClr w14:val="tx1"/>
                        </w14:solidFill>
                      </w14:textFill>
                    </w:rPr>
                    <w:t>0天。</w:t>
                  </w:r>
                </w:p>
              </w:tc>
            </w:tr>
            <w:tr w14:paraId="097CBB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jc w:val="center"/>
              </w:trPr>
              <w:tc>
                <w:tcPr>
                  <w:tcW w:w="361" w:type="pct"/>
                  <w:vMerge w:val="continue"/>
                  <w:vAlign w:val="center"/>
                </w:tcPr>
                <w:p w14:paraId="517FD59B">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bottom w:val="single" w:color="auto" w:sz="4" w:space="0"/>
                  </w:tcBorders>
                  <w:vAlign w:val="center"/>
                </w:tcPr>
                <w:p w14:paraId="4DD2D68E">
                  <w:pPr>
                    <w:pStyle w:val="2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val="0"/>
                      <w:bCs/>
                      <w:color w:val="000000" w:themeColor="text1"/>
                      <w:kern w:val="0"/>
                      <w:sz w:val="21"/>
                      <w:szCs w:val="21"/>
                      <w14:textFill>
                        <w14:solidFill>
                          <w14:schemeClr w14:val="tx1"/>
                        </w14:solidFill>
                      </w14:textFill>
                    </w:rPr>
                    <w:t>完井</w:t>
                  </w:r>
                </w:p>
              </w:tc>
              <w:tc>
                <w:tcPr>
                  <w:tcW w:w="3553" w:type="pct"/>
                  <w:tcBorders>
                    <w:top w:val="single" w:color="auto" w:sz="4" w:space="0"/>
                    <w:bottom w:val="single" w:color="auto" w:sz="4" w:space="0"/>
                  </w:tcBorders>
                  <w:vAlign w:val="center"/>
                </w:tcPr>
                <w:p w14:paraId="2B95AB7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根据试油结果进行关井或封井作业，最后撤去所有生产设施，清理、平整井场。</w:t>
                  </w:r>
                </w:p>
              </w:tc>
            </w:tr>
            <w:tr w14:paraId="0B1F8D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restart"/>
                  <w:vAlign w:val="center"/>
                </w:tcPr>
                <w:p w14:paraId="694FB81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辅助</w:t>
                  </w:r>
                </w:p>
                <w:p w14:paraId="4E3A9AA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w:t>
                  </w:r>
                </w:p>
              </w:tc>
              <w:tc>
                <w:tcPr>
                  <w:tcW w:w="1085" w:type="pct"/>
                  <w:gridSpan w:val="2"/>
                  <w:vAlign w:val="center"/>
                </w:tcPr>
                <w:p w14:paraId="46AD9AB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井口基础</w:t>
                  </w:r>
                </w:p>
              </w:tc>
              <w:tc>
                <w:tcPr>
                  <w:tcW w:w="3553" w:type="pct"/>
                  <w:vAlign w:val="center"/>
                </w:tcPr>
                <w:p w14:paraId="4887CB1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加固井口，方便其他配套设施安装</w:t>
                  </w:r>
                </w:p>
              </w:tc>
            </w:tr>
            <w:tr w14:paraId="056859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361" w:type="pct"/>
                  <w:vMerge w:val="continue"/>
                  <w:vAlign w:val="center"/>
                </w:tcPr>
                <w:p w14:paraId="7736DC6A">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bottom w:val="single" w:color="auto" w:sz="4" w:space="0"/>
                  </w:tcBorders>
                  <w:vAlign w:val="center"/>
                </w:tcPr>
                <w:p w14:paraId="7787DB9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生活营地</w:t>
                  </w:r>
                </w:p>
              </w:tc>
              <w:tc>
                <w:tcPr>
                  <w:tcW w:w="3553" w:type="pct"/>
                  <w:tcBorders>
                    <w:bottom w:val="single" w:color="auto" w:sz="4" w:space="0"/>
                  </w:tcBorders>
                  <w:vAlign w:val="center"/>
                </w:tcPr>
                <w:p w14:paraId="29915FE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项目设井场生活营地</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座，占地面积</w:t>
                  </w:r>
                  <w:r>
                    <w:rPr>
                      <w:rFonts w:hint="default" w:ascii="Times New Roman" w:hAnsi="Times New Roman" w:cs="Times New Roman"/>
                      <w:color w:val="000000" w:themeColor="text1"/>
                      <w:lang w:val="en-US" w:eastAsia="zh-CN"/>
                      <w14:textFill>
                        <w14:solidFill>
                          <w14:schemeClr w14:val="tx1"/>
                        </w14:solidFill>
                      </w14:textFill>
                    </w:rPr>
                    <w:t>2468.76</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tc>
            </w:tr>
            <w:tr w14:paraId="06A9A5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7" w:hRule="atLeast"/>
                <w:jc w:val="center"/>
              </w:trPr>
              <w:tc>
                <w:tcPr>
                  <w:tcW w:w="361" w:type="pct"/>
                  <w:vMerge w:val="continue"/>
                  <w:vAlign w:val="center"/>
                </w:tcPr>
                <w:p w14:paraId="1D6359DF">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bottom w:val="single" w:color="auto" w:sz="4" w:space="0"/>
                  </w:tcBorders>
                  <w:vAlign w:val="center"/>
                </w:tcPr>
                <w:p w14:paraId="4849D43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临时道路</w:t>
                  </w:r>
                </w:p>
              </w:tc>
              <w:tc>
                <w:tcPr>
                  <w:tcW w:w="3553" w:type="pct"/>
                  <w:tcBorders>
                    <w:bottom w:val="single" w:color="auto" w:sz="4" w:space="0"/>
                  </w:tcBorders>
                  <w:vAlign w:val="center"/>
                </w:tcPr>
                <w:p w14:paraId="77A136A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陆西1</w:t>
                  </w:r>
                  <w:r>
                    <w:rPr>
                      <w:rFonts w:hint="default" w:ascii="Times New Roman" w:hAnsi="Times New Roman" w:cs="Times New Roman"/>
                      <w:color w:val="000000" w:themeColor="text1"/>
                      <w14:textFill>
                        <w14:solidFill>
                          <w14:schemeClr w14:val="tx1"/>
                        </w14:solidFill>
                      </w14:textFill>
                    </w:rPr>
                    <w:t>井临时道路总长</w:t>
                  </w:r>
                  <w:r>
                    <w:rPr>
                      <w:rFonts w:hint="default" w:ascii="Times New Roman" w:hAnsi="Times New Roman" w:cs="Times New Roman"/>
                      <w:color w:val="000000" w:themeColor="text1"/>
                      <w:lang w:val="en-US" w:eastAsia="zh-CN"/>
                      <w14:textFill>
                        <w14:solidFill>
                          <w14:schemeClr w14:val="tx1"/>
                        </w14:solidFill>
                      </w14:textFill>
                    </w:rPr>
                    <w:t>1242.41</w:t>
                  </w:r>
                  <w:r>
                    <w:rPr>
                      <w:rFonts w:hint="default" w:ascii="Times New Roman" w:hAnsi="Times New Roman" w:cs="Times New Roman"/>
                      <w:color w:val="000000" w:themeColor="text1"/>
                      <w14:textFill>
                        <w14:solidFill>
                          <w14:schemeClr w14:val="tx1"/>
                        </w14:solidFill>
                      </w14:textFill>
                    </w:rPr>
                    <w:t>m，宽</w:t>
                  </w:r>
                  <w:r>
                    <w:rPr>
                      <w:rFonts w:hint="default" w:ascii="Times New Roman" w:hAnsi="Times New Roman" w:cs="Times New Roman"/>
                      <w:color w:val="000000" w:themeColor="text1"/>
                      <w:lang w:val="en-US" w:eastAsia="zh-CN"/>
                      <w14:textFill>
                        <w14:solidFill>
                          <w14:schemeClr w14:val="tx1"/>
                        </w14:solidFill>
                      </w14:textFill>
                    </w:rPr>
                    <w:t>13.33</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占地面积约16561.33m</w:t>
                  </w:r>
                  <w:r>
                    <w:rPr>
                      <w:rFonts w:hint="default"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tc>
            </w:tr>
            <w:tr w14:paraId="406A0B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0" w:hRule="atLeast"/>
                <w:jc w:val="center"/>
              </w:trPr>
              <w:tc>
                <w:tcPr>
                  <w:tcW w:w="361" w:type="pct"/>
                  <w:vMerge w:val="restart"/>
                  <w:tcBorders>
                    <w:top w:val="single" w:color="auto" w:sz="4" w:space="0"/>
                  </w:tcBorders>
                  <w:vAlign w:val="center"/>
                </w:tcPr>
                <w:p w14:paraId="34F766C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储运工程</w:t>
                  </w:r>
                </w:p>
              </w:tc>
              <w:tc>
                <w:tcPr>
                  <w:tcW w:w="1085" w:type="pct"/>
                  <w:gridSpan w:val="2"/>
                  <w:tcBorders>
                    <w:top w:val="single" w:color="auto" w:sz="4" w:space="0"/>
                    <w:bottom w:val="single" w:color="auto" w:sz="4" w:space="0"/>
                  </w:tcBorders>
                  <w:vAlign w:val="center"/>
                </w:tcPr>
                <w:p w14:paraId="5DA506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柴油储罐</w:t>
                  </w:r>
                </w:p>
              </w:tc>
              <w:tc>
                <w:tcPr>
                  <w:tcW w:w="3553" w:type="pct"/>
                  <w:tcBorders>
                    <w:top w:val="single" w:color="auto" w:sz="4" w:space="0"/>
                    <w:bottom w:val="single" w:color="auto" w:sz="4" w:space="0"/>
                  </w:tcBorders>
                  <w:vAlign w:val="center"/>
                </w:tcPr>
                <w:p w14:paraId="7364A5E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各井场内设1个柴油储罐，存储钻井用柴油，20m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/个，最大储存量约16.7t，地坪基础防渗。</w:t>
                  </w:r>
                </w:p>
              </w:tc>
            </w:tr>
            <w:tr w14:paraId="1BA2FC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0" w:hRule="atLeast"/>
                <w:jc w:val="center"/>
              </w:trPr>
              <w:tc>
                <w:tcPr>
                  <w:tcW w:w="361" w:type="pct"/>
                  <w:vMerge w:val="continue"/>
                  <w:vAlign w:val="center"/>
                </w:tcPr>
                <w:p w14:paraId="738D1D5D">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bottom w:val="single" w:color="auto" w:sz="4" w:space="0"/>
                  </w:tcBorders>
                  <w:vAlign w:val="center"/>
                </w:tcPr>
                <w:p w14:paraId="3BF5402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泥浆储备罐区</w:t>
                  </w:r>
                </w:p>
              </w:tc>
              <w:tc>
                <w:tcPr>
                  <w:tcW w:w="3553" w:type="pct"/>
                  <w:tcBorders>
                    <w:top w:val="single" w:color="auto" w:sz="4" w:space="0"/>
                    <w:bottom w:val="single" w:color="auto" w:sz="4" w:space="0"/>
                  </w:tcBorders>
                  <w:vAlign w:val="center"/>
                </w:tcPr>
                <w:p w14:paraId="1F29932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位于泥浆循环系统区域，用于储备压井泥浆。</w:t>
                  </w:r>
                </w:p>
              </w:tc>
            </w:tr>
            <w:tr w14:paraId="5171E0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0" w:hRule="atLeast"/>
                <w:jc w:val="center"/>
              </w:trPr>
              <w:tc>
                <w:tcPr>
                  <w:tcW w:w="361" w:type="pct"/>
                  <w:vMerge w:val="continue"/>
                  <w:vAlign w:val="center"/>
                </w:tcPr>
                <w:p w14:paraId="28F4EC88">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bottom w:val="single" w:color="auto" w:sz="4" w:space="0"/>
                  </w:tcBorders>
                  <w:vAlign w:val="center"/>
                </w:tcPr>
                <w:p w14:paraId="6D91E8E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材料储存区</w:t>
                  </w:r>
                </w:p>
              </w:tc>
              <w:tc>
                <w:tcPr>
                  <w:tcW w:w="3553" w:type="pct"/>
                  <w:tcBorders>
                    <w:top w:val="single" w:color="auto" w:sz="4" w:space="0"/>
                    <w:bottom w:val="single" w:color="auto" w:sz="4" w:space="0"/>
                  </w:tcBorders>
                  <w:vAlign w:val="center"/>
                </w:tcPr>
                <w:p w14:paraId="6F0F172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每个井场内设置1处材料堆存区。</w:t>
                  </w:r>
                </w:p>
              </w:tc>
            </w:tr>
            <w:tr w14:paraId="7DD393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361" w:type="pct"/>
                  <w:vMerge w:val="continue"/>
                  <w:vAlign w:val="center"/>
                </w:tcPr>
                <w:p w14:paraId="4EF86192">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tcBorders>
                  <w:vAlign w:val="center"/>
                </w:tcPr>
                <w:p w14:paraId="7AB9CE4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采出液临时储罐</w:t>
                  </w:r>
                </w:p>
              </w:tc>
              <w:tc>
                <w:tcPr>
                  <w:tcW w:w="3553" w:type="pct"/>
                  <w:tcBorders>
                    <w:top w:val="single" w:color="auto" w:sz="4" w:space="0"/>
                    <w:bottom w:val="single" w:color="auto" w:sz="4" w:space="0"/>
                  </w:tcBorders>
                  <w:vAlign w:val="center"/>
                </w:tcPr>
                <w:p w14:paraId="2815BC1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每个井场内设置4个20m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采出液临时储罐。</w:t>
                  </w:r>
                </w:p>
              </w:tc>
            </w:tr>
            <w:tr w14:paraId="190CE2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361" w:type="pct"/>
                  <w:vMerge w:val="continue"/>
                  <w:vAlign w:val="center"/>
                </w:tcPr>
                <w:p w14:paraId="25FD0D04">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tcBorders>
                  <w:vAlign w:val="center"/>
                </w:tcPr>
                <w:p w14:paraId="7194CB6C">
                  <w:pPr>
                    <w:pStyle w:val="23"/>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危废贮存点</w:t>
                  </w:r>
                </w:p>
              </w:tc>
              <w:tc>
                <w:tcPr>
                  <w:tcW w:w="3553" w:type="pct"/>
                  <w:tcBorders>
                    <w:top w:val="single" w:color="auto" w:sz="4" w:space="0"/>
                    <w:bottom w:val="single" w:color="auto" w:sz="4" w:space="0"/>
                  </w:tcBorders>
                  <w:vAlign w:val="center"/>
                </w:tcPr>
                <w:p w14:paraId="5D2E8BE1">
                  <w:pPr>
                    <w:pStyle w:val="23"/>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施工期在井场设1座</w:t>
                  </w: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的危废贮存点。</w:t>
                  </w:r>
                </w:p>
              </w:tc>
            </w:tr>
            <w:tr w14:paraId="6009C5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restart"/>
                  <w:vAlign w:val="center"/>
                </w:tcPr>
                <w:p w14:paraId="173EC8B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公用工程</w:t>
                  </w:r>
                </w:p>
              </w:tc>
              <w:tc>
                <w:tcPr>
                  <w:tcW w:w="1085" w:type="pct"/>
                  <w:gridSpan w:val="2"/>
                  <w:vAlign w:val="center"/>
                </w:tcPr>
                <w:p w14:paraId="22E878F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供配电</w:t>
                  </w:r>
                </w:p>
              </w:tc>
              <w:tc>
                <w:tcPr>
                  <w:tcW w:w="3553" w:type="pct"/>
                  <w:tcBorders>
                    <w:top w:val="single" w:color="auto" w:sz="4" w:space="0"/>
                  </w:tcBorders>
                  <w:vAlign w:val="center"/>
                </w:tcPr>
                <w:p w14:paraId="67DBA97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钻机、生活、办公等通过柴油机、发电机供电。</w:t>
                  </w:r>
                </w:p>
              </w:tc>
            </w:tr>
            <w:tr w14:paraId="158A7F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continue"/>
                  <w:vAlign w:val="center"/>
                </w:tcPr>
                <w:p w14:paraId="76867A8A">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vAlign w:val="center"/>
                </w:tcPr>
                <w:p w14:paraId="1DCD511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供水</w:t>
                  </w:r>
                </w:p>
              </w:tc>
              <w:tc>
                <w:tcPr>
                  <w:tcW w:w="3553" w:type="pct"/>
                  <w:vAlign w:val="center"/>
                </w:tcPr>
                <w:p w14:paraId="7D96222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项目用水就近拉运至井场。</w:t>
                  </w:r>
                </w:p>
              </w:tc>
            </w:tr>
            <w:tr w14:paraId="7B93B3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continue"/>
                  <w:vAlign w:val="center"/>
                </w:tcPr>
                <w:p w14:paraId="2AD1AAAE">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vAlign w:val="center"/>
                </w:tcPr>
                <w:p w14:paraId="64D1AD8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供热</w:t>
                  </w:r>
                </w:p>
              </w:tc>
              <w:tc>
                <w:tcPr>
                  <w:tcW w:w="3553" w:type="pct"/>
                  <w:vAlign w:val="center"/>
                </w:tcPr>
                <w:p w14:paraId="15E0BCD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项目冬季无供暖设施。</w:t>
                  </w:r>
                </w:p>
              </w:tc>
            </w:tr>
            <w:tr w14:paraId="23475A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61" w:type="pct"/>
                  <w:vMerge w:val="restart"/>
                  <w:vAlign w:val="center"/>
                </w:tcPr>
                <w:p w14:paraId="47DA328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环保工程</w:t>
                  </w:r>
                </w:p>
              </w:tc>
              <w:tc>
                <w:tcPr>
                  <w:tcW w:w="364" w:type="pct"/>
                  <w:vMerge w:val="restart"/>
                  <w:vAlign w:val="center"/>
                </w:tcPr>
                <w:p w14:paraId="7DB7827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w:t>
                  </w:r>
                </w:p>
              </w:tc>
              <w:tc>
                <w:tcPr>
                  <w:tcW w:w="721" w:type="pct"/>
                  <w:vAlign w:val="center"/>
                </w:tcPr>
                <w:p w14:paraId="7CF85FD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柴油发电机废气</w:t>
                  </w:r>
                </w:p>
              </w:tc>
              <w:tc>
                <w:tcPr>
                  <w:tcW w:w="3553" w:type="pct"/>
                  <w:vAlign w:val="center"/>
                </w:tcPr>
                <w:p w14:paraId="4754666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废气产生量较少，属无组织排放。</w:t>
                  </w:r>
                </w:p>
              </w:tc>
            </w:tr>
            <w:tr w14:paraId="10FD51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continue"/>
                  <w:vAlign w:val="center"/>
                </w:tcPr>
                <w:p w14:paraId="3C6BC237">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6C603FC2">
                  <w:pPr>
                    <w:pStyle w:val="23"/>
                    <w:rPr>
                      <w:rFonts w:hint="default" w:ascii="Times New Roman" w:hAnsi="Times New Roman" w:cs="Times New Roman"/>
                      <w:color w:val="000000" w:themeColor="text1"/>
                      <w14:textFill>
                        <w14:solidFill>
                          <w14:schemeClr w14:val="tx1"/>
                        </w14:solidFill>
                      </w14:textFill>
                    </w:rPr>
                  </w:pPr>
                </w:p>
              </w:tc>
              <w:tc>
                <w:tcPr>
                  <w:tcW w:w="721" w:type="pct"/>
                  <w:vAlign w:val="center"/>
                </w:tcPr>
                <w:p w14:paraId="18F5615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施工扬尘</w:t>
                  </w:r>
                </w:p>
              </w:tc>
              <w:tc>
                <w:tcPr>
                  <w:tcW w:w="3553" w:type="pct"/>
                  <w:vAlign w:val="center"/>
                </w:tcPr>
                <w:p w14:paraId="31E285E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产生量较少，属无组织排放，采取场区洒水抑尘措施。</w:t>
                  </w:r>
                </w:p>
              </w:tc>
            </w:tr>
            <w:tr w14:paraId="5BBBA2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361" w:type="pct"/>
                  <w:vMerge w:val="continue"/>
                  <w:vAlign w:val="center"/>
                </w:tcPr>
                <w:p w14:paraId="0A4275D0">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79815F62">
                  <w:pPr>
                    <w:pStyle w:val="23"/>
                    <w:rPr>
                      <w:rFonts w:hint="default" w:ascii="Times New Roman" w:hAnsi="Times New Roman" w:cs="Times New Roman"/>
                      <w:color w:val="000000" w:themeColor="text1"/>
                      <w14:textFill>
                        <w14:solidFill>
                          <w14:schemeClr w14:val="tx1"/>
                        </w14:solidFill>
                      </w14:textFill>
                    </w:rPr>
                  </w:pPr>
                </w:p>
              </w:tc>
              <w:tc>
                <w:tcPr>
                  <w:tcW w:w="721" w:type="pct"/>
                  <w:tcBorders>
                    <w:bottom w:val="single" w:color="auto" w:sz="4" w:space="0"/>
                  </w:tcBorders>
                  <w:vAlign w:val="center"/>
                </w:tcPr>
                <w:p w14:paraId="5B9F654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伴生气燃烧</w:t>
                  </w:r>
                </w:p>
              </w:tc>
              <w:tc>
                <w:tcPr>
                  <w:tcW w:w="3553" w:type="pct"/>
                  <w:tcBorders>
                    <w:bottom w:val="single" w:color="auto" w:sz="4" w:space="0"/>
                  </w:tcBorders>
                  <w:vAlign w:val="center"/>
                </w:tcPr>
                <w:p w14:paraId="06F7106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伴生气无收集设施，燃烧后无组织排放。</w:t>
                  </w:r>
                </w:p>
              </w:tc>
            </w:tr>
            <w:tr w14:paraId="62E66F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361" w:type="pct"/>
                  <w:vMerge w:val="continue"/>
                  <w:vAlign w:val="center"/>
                </w:tcPr>
                <w:p w14:paraId="301BE9CA">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37201062">
                  <w:pPr>
                    <w:pStyle w:val="23"/>
                    <w:rPr>
                      <w:rFonts w:hint="default" w:ascii="Times New Roman" w:hAnsi="Times New Roman" w:cs="Times New Roman"/>
                      <w:color w:val="000000" w:themeColor="text1"/>
                      <w14:textFill>
                        <w14:solidFill>
                          <w14:schemeClr w14:val="tx1"/>
                        </w14:solidFill>
                      </w14:textFill>
                    </w:rPr>
                  </w:pPr>
                </w:p>
              </w:tc>
              <w:tc>
                <w:tcPr>
                  <w:tcW w:w="721" w:type="pct"/>
                  <w:tcBorders>
                    <w:bottom w:val="single" w:color="auto" w:sz="4" w:space="0"/>
                  </w:tcBorders>
                  <w:vAlign w:val="center"/>
                </w:tcPr>
                <w:p w14:paraId="5779E73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临时储罐废气和采出液装卸废气</w:t>
                  </w:r>
                </w:p>
              </w:tc>
              <w:tc>
                <w:tcPr>
                  <w:tcW w:w="3553" w:type="pct"/>
                  <w:tcBorders>
                    <w:bottom w:val="single" w:color="auto" w:sz="4" w:space="0"/>
                  </w:tcBorders>
                  <w:vAlign w:val="center"/>
                </w:tcPr>
                <w:p w14:paraId="215F06A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临时储罐废气产生量较少，通过密闭底部装载方式减少废气的排放，排放方式均为无组织排放。</w:t>
                  </w:r>
                </w:p>
              </w:tc>
            </w:tr>
            <w:tr w14:paraId="305E82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361" w:type="pct"/>
                  <w:vMerge w:val="continue"/>
                  <w:vAlign w:val="center"/>
                </w:tcPr>
                <w:p w14:paraId="56CB823A">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4521B67E">
                  <w:pPr>
                    <w:pStyle w:val="23"/>
                    <w:rPr>
                      <w:rFonts w:hint="default" w:ascii="Times New Roman" w:hAnsi="Times New Roman" w:cs="Times New Roman"/>
                      <w:color w:val="000000" w:themeColor="text1"/>
                      <w14:textFill>
                        <w14:solidFill>
                          <w14:schemeClr w14:val="tx1"/>
                        </w14:solidFill>
                      </w14:textFill>
                    </w:rPr>
                  </w:pPr>
                </w:p>
              </w:tc>
              <w:tc>
                <w:tcPr>
                  <w:tcW w:w="721" w:type="pct"/>
                  <w:tcBorders>
                    <w:bottom w:val="single" w:color="auto" w:sz="4" w:space="0"/>
                  </w:tcBorders>
                  <w:vAlign w:val="center"/>
                </w:tcPr>
                <w:p w14:paraId="6C281752">
                  <w:pPr>
                    <w:pStyle w:val="23"/>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柴油卸车及储存无组织废气</w:t>
                  </w:r>
                </w:p>
              </w:tc>
              <w:tc>
                <w:tcPr>
                  <w:tcW w:w="3553" w:type="pct"/>
                  <w:tcBorders>
                    <w:bottom w:val="single" w:color="auto" w:sz="4" w:space="0"/>
                  </w:tcBorders>
                  <w:vAlign w:val="center"/>
                </w:tcPr>
                <w:p w14:paraId="39A7F573">
                  <w:pPr>
                    <w:pStyle w:val="23"/>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临时储罐废气产生量较少，排放方式均为无组织排放。</w:t>
                  </w:r>
                </w:p>
              </w:tc>
            </w:tr>
            <w:tr w14:paraId="4DFDBE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6" w:hRule="atLeast"/>
                <w:jc w:val="center"/>
              </w:trPr>
              <w:tc>
                <w:tcPr>
                  <w:tcW w:w="361" w:type="pct"/>
                  <w:vMerge w:val="continue"/>
                  <w:vAlign w:val="center"/>
                </w:tcPr>
                <w:p w14:paraId="695AD7CE">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3A9181CE">
                  <w:pPr>
                    <w:pStyle w:val="23"/>
                    <w:rPr>
                      <w:rFonts w:hint="default" w:ascii="Times New Roman" w:hAnsi="Times New Roman" w:cs="Times New Roman"/>
                      <w:color w:val="000000" w:themeColor="text1"/>
                      <w14:textFill>
                        <w14:solidFill>
                          <w14:schemeClr w14:val="tx1"/>
                        </w14:solidFill>
                      </w14:textFill>
                    </w:rPr>
                  </w:pPr>
                </w:p>
              </w:tc>
              <w:tc>
                <w:tcPr>
                  <w:tcW w:w="721" w:type="pct"/>
                  <w:tcBorders>
                    <w:bottom w:val="single" w:color="auto" w:sz="4" w:space="0"/>
                  </w:tcBorders>
                  <w:vAlign w:val="center"/>
                </w:tcPr>
                <w:p w14:paraId="21CB89D3">
                  <w:pPr>
                    <w:pStyle w:val="23"/>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水基钻井岩屑暂存扬尘</w:t>
                  </w:r>
                </w:p>
              </w:tc>
              <w:tc>
                <w:tcPr>
                  <w:tcW w:w="3553" w:type="pct"/>
                  <w:tcBorders>
                    <w:bottom w:val="single" w:color="auto" w:sz="4" w:space="0"/>
                  </w:tcBorders>
                  <w:vAlign w:val="center"/>
                </w:tcPr>
                <w:p w14:paraId="32CF3F09">
                  <w:pPr>
                    <w:pStyle w:val="23"/>
                    <w:ind w:left="0" w:leftChars="0"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水基钻井岩屑暂存于罐中，并及时清运。</w:t>
                  </w:r>
                </w:p>
              </w:tc>
            </w:tr>
            <w:tr w14:paraId="33F90F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26" w:hRule="atLeast"/>
                <w:jc w:val="center"/>
              </w:trPr>
              <w:tc>
                <w:tcPr>
                  <w:tcW w:w="361" w:type="pct"/>
                  <w:vMerge w:val="continue"/>
                  <w:vAlign w:val="center"/>
                </w:tcPr>
                <w:p w14:paraId="579C4477">
                  <w:pPr>
                    <w:pStyle w:val="23"/>
                    <w:rPr>
                      <w:rFonts w:hint="default" w:ascii="Times New Roman" w:hAnsi="Times New Roman" w:cs="Times New Roman"/>
                      <w:color w:val="000000" w:themeColor="text1"/>
                      <w14:textFill>
                        <w14:solidFill>
                          <w14:schemeClr w14:val="tx1"/>
                        </w14:solidFill>
                      </w14:textFill>
                    </w:rPr>
                  </w:pPr>
                </w:p>
              </w:tc>
              <w:tc>
                <w:tcPr>
                  <w:tcW w:w="364" w:type="pct"/>
                  <w:vMerge w:val="restart"/>
                  <w:vAlign w:val="center"/>
                </w:tcPr>
                <w:p w14:paraId="172EE5D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废水</w:t>
                  </w:r>
                </w:p>
              </w:tc>
              <w:tc>
                <w:tcPr>
                  <w:tcW w:w="721" w:type="pct"/>
                  <w:vAlign w:val="center"/>
                </w:tcPr>
                <w:p w14:paraId="063E6C6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洗井废水</w:t>
                  </w:r>
                </w:p>
              </w:tc>
              <w:tc>
                <w:tcPr>
                  <w:tcW w:w="3553" w:type="pct"/>
                  <w:vAlign w:val="center"/>
                </w:tcPr>
                <w:p w14:paraId="11B95FC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采用专用废液收集罐收集后运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的污水处理系统处理达标后回注油藏。</w:t>
                  </w:r>
                </w:p>
              </w:tc>
            </w:tr>
            <w:tr w14:paraId="766CEA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61" w:type="pct"/>
                  <w:vMerge w:val="continue"/>
                  <w:vAlign w:val="center"/>
                </w:tcPr>
                <w:p w14:paraId="2D606D55">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070287C0">
                  <w:pPr>
                    <w:pStyle w:val="23"/>
                    <w:rPr>
                      <w:rFonts w:hint="default" w:ascii="Times New Roman" w:hAnsi="Times New Roman" w:cs="Times New Roman"/>
                      <w:color w:val="000000" w:themeColor="text1"/>
                      <w14:textFill>
                        <w14:solidFill>
                          <w14:schemeClr w14:val="tx1"/>
                        </w14:solidFill>
                      </w14:textFill>
                    </w:rPr>
                  </w:pPr>
                </w:p>
              </w:tc>
              <w:tc>
                <w:tcPr>
                  <w:tcW w:w="721" w:type="pct"/>
                  <w:vAlign w:val="center"/>
                </w:tcPr>
                <w:p w14:paraId="035F7E2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w:t>
                  </w:r>
                </w:p>
              </w:tc>
              <w:tc>
                <w:tcPr>
                  <w:tcW w:w="3553" w:type="pct"/>
                  <w:vAlign w:val="center"/>
                </w:tcPr>
                <w:p w14:paraId="2D5BEA0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生活污水排入防渗污水收集池（30m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），钻井结束后清运至乌尔禾污水处理厂处理。</w:t>
                  </w:r>
                </w:p>
              </w:tc>
            </w:tr>
            <w:tr w14:paraId="48A88F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61" w:type="pct"/>
                  <w:vMerge w:val="continue"/>
                  <w:vAlign w:val="center"/>
                </w:tcPr>
                <w:p w14:paraId="5EE7A43A">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70736E22">
                  <w:pPr>
                    <w:pStyle w:val="23"/>
                    <w:rPr>
                      <w:rFonts w:hint="default" w:ascii="Times New Roman" w:hAnsi="Times New Roman" w:cs="Times New Roman"/>
                      <w:color w:val="000000" w:themeColor="text1"/>
                      <w14:textFill>
                        <w14:solidFill>
                          <w14:schemeClr w14:val="tx1"/>
                        </w14:solidFill>
                      </w14:textFill>
                    </w:rPr>
                  </w:pPr>
                </w:p>
              </w:tc>
              <w:tc>
                <w:tcPr>
                  <w:tcW w:w="721" w:type="pct"/>
                  <w:vAlign w:val="center"/>
                </w:tcPr>
                <w:p w14:paraId="1699D1B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压裂返排液</w:t>
                  </w:r>
                </w:p>
              </w:tc>
              <w:tc>
                <w:tcPr>
                  <w:tcW w:w="3553" w:type="pct"/>
                  <w:vAlign w:val="center"/>
                </w:tcPr>
                <w:p w14:paraId="3ED68F6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压裂返排液进入罐车拉运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压裂返排液处理装置，处理达到《碎屑岩油藏注水水质指标技术要求及分析方法》（SY/T5329-2022）中标准后回注油藏。</w:t>
                  </w:r>
                </w:p>
              </w:tc>
            </w:tr>
            <w:tr w14:paraId="00DA10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continue"/>
                  <w:vAlign w:val="center"/>
                </w:tcPr>
                <w:p w14:paraId="41B42223">
                  <w:pPr>
                    <w:pStyle w:val="23"/>
                    <w:rPr>
                      <w:rFonts w:hint="default" w:ascii="Times New Roman" w:hAnsi="Times New Roman" w:cs="Times New Roman"/>
                      <w:color w:val="000000" w:themeColor="text1"/>
                      <w14:textFill>
                        <w14:solidFill>
                          <w14:schemeClr w14:val="tx1"/>
                        </w14:solidFill>
                      </w14:textFill>
                    </w:rPr>
                  </w:pPr>
                </w:p>
              </w:tc>
              <w:tc>
                <w:tcPr>
                  <w:tcW w:w="364" w:type="pct"/>
                  <w:vMerge w:val="restart"/>
                  <w:vAlign w:val="center"/>
                </w:tcPr>
                <w:p w14:paraId="3D86491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噪声</w:t>
                  </w:r>
                </w:p>
              </w:tc>
              <w:tc>
                <w:tcPr>
                  <w:tcW w:w="721" w:type="pct"/>
                  <w:vAlign w:val="center"/>
                </w:tcPr>
                <w:p w14:paraId="5BB7F2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施工设备、钻井机械噪声</w:t>
                  </w:r>
                </w:p>
              </w:tc>
              <w:tc>
                <w:tcPr>
                  <w:tcW w:w="3553" w:type="pct"/>
                  <w:vAlign w:val="center"/>
                </w:tcPr>
                <w:p w14:paraId="751843F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减振、隔声降噪措施。</w:t>
                  </w:r>
                </w:p>
              </w:tc>
            </w:tr>
            <w:tr w14:paraId="37C4ED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continue"/>
                  <w:vAlign w:val="center"/>
                </w:tcPr>
                <w:p w14:paraId="26CD7F47">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77D3C942">
                  <w:pPr>
                    <w:pStyle w:val="23"/>
                    <w:rPr>
                      <w:rFonts w:hint="default" w:ascii="Times New Roman" w:hAnsi="Times New Roman" w:cs="Times New Roman"/>
                      <w:color w:val="000000" w:themeColor="text1"/>
                      <w14:textFill>
                        <w14:solidFill>
                          <w14:schemeClr w14:val="tx1"/>
                        </w14:solidFill>
                      </w14:textFill>
                    </w:rPr>
                  </w:pPr>
                </w:p>
              </w:tc>
              <w:tc>
                <w:tcPr>
                  <w:tcW w:w="721" w:type="pct"/>
                  <w:vAlign w:val="center"/>
                </w:tcPr>
                <w:p w14:paraId="6D6C380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试油期机械噪声</w:t>
                  </w:r>
                </w:p>
              </w:tc>
              <w:tc>
                <w:tcPr>
                  <w:tcW w:w="3553" w:type="pct"/>
                  <w:vAlign w:val="center"/>
                </w:tcPr>
                <w:p w14:paraId="29C6B22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选用低噪声设备，安装基础减振垫。</w:t>
                  </w:r>
                </w:p>
              </w:tc>
            </w:tr>
            <w:tr w14:paraId="49FC59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continue"/>
                  <w:vAlign w:val="center"/>
                </w:tcPr>
                <w:p w14:paraId="2B5CC4C3">
                  <w:pPr>
                    <w:pStyle w:val="23"/>
                    <w:rPr>
                      <w:rFonts w:hint="default" w:ascii="Times New Roman" w:hAnsi="Times New Roman" w:cs="Times New Roman"/>
                      <w:color w:val="000000" w:themeColor="text1"/>
                      <w14:textFill>
                        <w14:solidFill>
                          <w14:schemeClr w14:val="tx1"/>
                        </w14:solidFill>
                      </w14:textFill>
                    </w:rPr>
                  </w:pPr>
                </w:p>
              </w:tc>
              <w:tc>
                <w:tcPr>
                  <w:tcW w:w="364" w:type="pct"/>
                  <w:vMerge w:val="restart"/>
                  <w:vAlign w:val="center"/>
                </w:tcPr>
                <w:p w14:paraId="1274380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固废</w:t>
                  </w:r>
                </w:p>
              </w:tc>
              <w:tc>
                <w:tcPr>
                  <w:tcW w:w="721" w:type="pct"/>
                  <w:vAlign w:val="center"/>
                </w:tcPr>
                <w:p w14:paraId="17517F8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钻井岩屑</w:t>
                  </w:r>
                </w:p>
              </w:tc>
              <w:tc>
                <w:tcPr>
                  <w:tcW w:w="3553" w:type="pct"/>
                  <w:vAlign w:val="center"/>
                </w:tcPr>
                <w:p w14:paraId="286DB13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钻井岩屑、泥浆经不落地系统处理实现固液分离，分离后的液相回用，分离后的固相（岩屑）临时贮存在井场内的岩屑储罐，水基岩屑交岩屑处置单位处置。</w:t>
                  </w:r>
                </w:p>
              </w:tc>
            </w:tr>
            <w:tr w14:paraId="6F4133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361" w:type="pct"/>
                  <w:vMerge w:val="continue"/>
                  <w:vAlign w:val="center"/>
                </w:tcPr>
                <w:p w14:paraId="41ABC0CD">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0DFB64D0">
                  <w:pPr>
                    <w:pStyle w:val="23"/>
                    <w:rPr>
                      <w:rFonts w:hint="default" w:ascii="Times New Roman" w:hAnsi="Times New Roman" w:cs="Times New Roman"/>
                      <w:color w:val="000000" w:themeColor="text1"/>
                      <w14:textFill>
                        <w14:solidFill>
                          <w14:schemeClr w14:val="tx1"/>
                        </w14:solidFill>
                      </w14:textFill>
                    </w:rPr>
                  </w:pPr>
                </w:p>
              </w:tc>
              <w:tc>
                <w:tcPr>
                  <w:tcW w:w="721" w:type="pct"/>
                  <w:vAlign w:val="center"/>
                </w:tcPr>
                <w:p w14:paraId="5849AD4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w:t>
                  </w:r>
                </w:p>
              </w:tc>
              <w:tc>
                <w:tcPr>
                  <w:tcW w:w="3553" w:type="pct"/>
                  <w:vAlign w:val="center"/>
                </w:tcPr>
                <w:p w14:paraId="40B9E49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集中收集后统一拉运至乌尔禾生活垃圾填埋场处理。</w:t>
                  </w:r>
                </w:p>
              </w:tc>
            </w:tr>
            <w:tr w14:paraId="37E770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6" w:hRule="atLeast"/>
                <w:jc w:val="center"/>
              </w:trPr>
              <w:tc>
                <w:tcPr>
                  <w:tcW w:w="361" w:type="pct"/>
                  <w:vMerge w:val="continue"/>
                  <w:vAlign w:val="center"/>
                </w:tcPr>
                <w:p w14:paraId="76B27157">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6190D33D">
                  <w:pPr>
                    <w:pStyle w:val="23"/>
                    <w:rPr>
                      <w:rFonts w:hint="default" w:ascii="Times New Roman" w:hAnsi="Times New Roman" w:cs="Times New Roman"/>
                      <w:color w:val="000000" w:themeColor="text1"/>
                      <w14:textFill>
                        <w14:solidFill>
                          <w14:schemeClr w14:val="tx1"/>
                        </w14:solidFill>
                      </w14:textFill>
                    </w:rPr>
                  </w:pPr>
                </w:p>
              </w:tc>
              <w:tc>
                <w:tcPr>
                  <w:tcW w:w="721" w:type="pct"/>
                  <w:tcBorders>
                    <w:top w:val="single" w:color="auto" w:sz="4" w:space="0"/>
                    <w:bottom w:val="single" w:color="auto" w:sz="4" w:space="0"/>
                  </w:tcBorders>
                  <w:vAlign w:val="center"/>
                </w:tcPr>
                <w:p w14:paraId="420F15C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废弃防渗膜</w:t>
                  </w:r>
                </w:p>
              </w:tc>
              <w:tc>
                <w:tcPr>
                  <w:tcW w:w="3553" w:type="pct"/>
                  <w:tcBorders>
                    <w:top w:val="single" w:color="auto" w:sz="4" w:space="0"/>
                    <w:bottom w:val="single" w:color="auto" w:sz="4" w:space="0"/>
                  </w:tcBorders>
                  <w:vAlign w:val="center"/>
                </w:tcPr>
                <w:p w14:paraId="1AFF651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集中收集后委托有相应危废处置资质的单位处置。</w:t>
                  </w:r>
                </w:p>
              </w:tc>
            </w:tr>
            <w:tr w14:paraId="4743D8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6" w:hRule="atLeast"/>
                <w:jc w:val="center"/>
              </w:trPr>
              <w:tc>
                <w:tcPr>
                  <w:tcW w:w="361" w:type="pct"/>
                  <w:vMerge w:val="continue"/>
                  <w:vAlign w:val="center"/>
                </w:tcPr>
                <w:p w14:paraId="656C8BFB">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22281D96">
                  <w:pPr>
                    <w:pStyle w:val="23"/>
                    <w:rPr>
                      <w:rFonts w:hint="default" w:ascii="Times New Roman" w:hAnsi="Times New Roman" w:cs="Times New Roman"/>
                      <w:color w:val="000000" w:themeColor="text1"/>
                      <w14:textFill>
                        <w14:solidFill>
                          <w14:schemeClr w14:val="tx1"/>
                        </w14:solidFill>
                      </w14:textFill>
                    </w:rPr>
                  </w:pPr>
                </w:p>
              </w:tc>
              <w:tc>
                <w:tcPr>
                  <w:tcW w:w="721" w:type="pct"/>
                  <w:tcBorders>
                    <w:top w:val="single" w:color="auto" w:sz="4" w:space="0"/>
                    <w:bottom w:val="single" w:color="auto" w:sz="4" w:space="0"/>
                  </w:tcBorders>
                  <w:vAlign w:val="center"/>
                </w:tcPr>
                <w:p w14:paraId="34DECCD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机械设备废油</w:t>
                  </w:r>
                </w:p>
              </w:tc>
              <w:tc>
                <w:tcPr>
                  <w:tcW w:w="3553" w:type="pct"/>
                  <w:tcBorders>
                    <w:top w:val="single" w:color="auto" w:sz="4" w:space="0"/>
                    <w:bottom w:val="single" w:color="auto" w:sz="4" w:space="0"/>
                  </w:tcBorders>
                  <w:vAlign w:val="center"/>
                </w:tcPr>
                <w:p w14:paraId="4602C7A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机械设备产生的机械设备废油由钻井单位用专用罐集中收集后交由有相应危废处置资质的单位处置。</w:t>
                  </w:r>
                </w:p>
              </w:tc>
            </w:tr>
            <w:tr w14:paraId="788BF2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361" w:type="pct"/>
                  <w:vMerge w:val="continue"/>
                  <w:vAlign w:val="center"/>
                </w:tcPr>
                <w:p w14:paraId="28EB443D">
                  <w:pPr>
                    <w:pStyle w:val="23"/>
                    <w:rPr>
                      <w:rFonts w:hint="default" w:ascii="Times New Roman" w:hAnsi="Times New Roman" w:cs="Times New Roman"/>
                      <w:color w:val="000000" w:themeColor="text1"/>
                      <w14:textFill>
                        <w14:solidFill>
                          <w14:schemeClr w14:val="tx1"/>
                        </w14:solidFill>
                      </w14:textFill>
                    </w:rPr>
                  </w:pPr>
                </w:p>
              </w:tc>
              <w:tc>
                <w:tcPr>
                  <w:tcW w:w="364" w:type="pct"/>
                  <w:vMerge w:val="restart"/>
                  <w:vAlign w:val="center"/>
                </w:tcPr>
                <w:p w14:paraId="11EEB1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生态恢复</w:t>
                  </w:r>
                </w:p>
              </w:tc>
              <w:tc>
                <w:tcPr>
                  <w:tcW w:w="721" w:type="pct"/>
                  <w:vAlign w:val="center"/>
                </w:tcPr>
                <w:p w14:paraId="16F0156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井场、生活营地</w:t>
                  </w:r>
                </w:p>
              </w:tc>
              <w:tc>
                <w:tcPr>
                  <w:tcW w:w="3553" w:type="pct"/>
                  <w:vAlign w:val="center"/>
                </w:tcPr>
                <w:p w14:paraId="47B7B7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施工结束后，对井场和生活营地进行平整，自然恢复。</w:t>
                  </w:r>
                </w:p>
              </w:tc>
            </w:tr>
            <w:tr w14:paraId="3F8E26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2" w:hRule="atLeast"/>
                <w:jc w:val="center"/>
              </w:trPr>
              <w:tc>
                <w:tcPr>
                  <w:tcW w:w="361" w:type="pct"/>
                  <w:vMerge w:val="continue"/>
                  <w:vAlign w:val="center"/>
                </w:tcPr>
                <w:p w14:paraId="331E7618">
                  <w:pPr>
                    <w:pStyle w:val="23"/>
                    <w:rPr>
                      <w:rFonts w:hint="default" w:ascii="Times New Roman" w:hAnsi="Times New Roman" w:cs="Times New Roman"/>
                      <w:color w:val="000000" w:themeColor="text1"/>
                      <w14:textFill>
                        <w14:solidFill>
                          <w14:schemeClr w14:val="tx1"/>
                        </w14:solidFill>
                      </w14:textFill>
                    </w:rPr>
                  </w:pPr>
                </w:p>
              </w:tc>
              <w:tc>
                <w:tcPr>
                  <w:tcW w:w="364" w:type="pct"/>
                  <w:vMerge w:val="continue"/>
                  <w:vAlign w:val="center"/>
                </w:tcPr>
                <w:p w14:paraId="3EB83594">
                  <w:pPr>
                    <w:pStyle w:val="23"/>
                    <w:rPr>
                      <w:rFonts w:hint="default" w:ascii="Times New Roman" w:hAnsi="Times New Roman" w:cs="Times New Roman"/>
                      <w:color w:val="000000" w:themeColor="text1"/>
                      <w14:textFill>
                        <w14:solidFill>
                          <w14:schemeClr w14:val="tx1"/>
                        </w14:solidFill>
                      </w14:textFill>
                    </w:rPr>
                  </w:pPr>
                </w:p>
              </w:tc>
              <w:tc>
                <w:tcPr>
                  <w:tcW w:w="721" w:type="pct"/>
                  <w:vAlign w:val="center"/>
                </w:tcPr>
                <w:p w14:paraId="3B859A1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井口、临时道路</w:t>
                  </w:r>
                </w:p>
              </w:tc>
              <w:tc>
                <w:tcPr>
                  <w:tcW w:w="3553" w:type="pct"/>
                  <w:vAlign w:val="center"/>
                </w:tcPr>
                <w:p w14:paraId="4D651C7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试油结束后视试油结果决定是否转为生产井，若转为生产井，则应当在产能开发建设前开展环境影响评价工作，井口安装采油树，临时道路保留；若不具开发价值，井口进行封井，临时道路进行平整，自然恢复。</w:t>
                  </w:r>
                </w:p>
              </w:tc>
            </w:tr>
            <w:tr w14:paraId="0090A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361" w:type="pct"/>
                  <w:vMerge w:val="restart"/>
                  <w:tcBorders>
                    <w:right w:val="single" w:color="auto" w:sz="4" w:space="0"/>
                  </w:tcBorders>
                  <w:vAlign w:val="center"/>
                </w:tcPr>
                <w:p w14:paraId="14C2497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依托工程</w:t>
                  </w:r>
                </w:p>
              </w:tc>
              <w:tc>
                <w:tcPr>
                  <w:tcW w:w="1085" w:type="pct"/>
                  <w:gridSpan w:val="2"/>
                  <w:tcBorders>
                    <w:left w:val="single" w:color="auto" w:sz="4" w:space="0"/>
                    <w:bottom w:val="single" w:color="auto" w:sz="4" w:space="0"/>
                  </w:tcBorders>
                  <w:vAlign w:val="center"/>
                </w:tcPr>
                <w:p w14:paraId="45DA1B1A">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石西集中处理站</w:t>
                  </w:r>
                </w:p>
              </w:tc>
              <w:tc>
                <w:tcPr>
                  <w:tcW w:w="3553" w:type="pct"/>
                  <w:tcBorders>
                    <w:bottom w:val="single" w:color="auto" w:sz="4" w:space="0"/>
                  </w:tcBorders>
                  <w:vAlign w:val="center"/>
                </w:tcPr>
                <w:p w14:paraId="0EF8A7A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污水处理能力30000m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/d，目前实际处理量为22000m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/d，富余处理量为8000m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/d，本项目产生洗井废水</w:t>
                  </w:r>
                  <w:r>
                    <w:rPr>
                      <w:rFonts w:hint="default" w:ascii="Times New Roman" w:hAnsi="Times New Roman" w:cs="Times New Roman"/>
                      <w:color w:val="000000" w:themeColor="text1"/>
                      <w:lang w:val="en-US" w:eastAsia="zh-CN"/>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t>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，压裂返排液</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，剩余处理能力可满足本工程需求，依托可行。</w:t>
                  </w:r>
                </w:p>
              </w:tc>
            </w:tr>
            <w:tr w14:paraId="058B35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4" w:hRule="atLeast"/>
                <w:jc w:val="center"/>
              </w:trPr>
              <w:tc>
                <w:tcPr>
                  <w:tcW w:w="361" w:type="pct"/>
                  <w:vMerge w:val="continue"/>
                  <w:tcBorders>
                    <w:right w:val="single" w:color="auto" w:sz="4" w:space="0"/>
                  </w:tcBorders>
                  <w:vAlign w:val="center"/>
                </w:tcPr>
                <w:p w14:paraId="62A233F4">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left w:val="single" w:color="auto" w:sz="4" w:space="0"/>
                    <w:bottom w:val="single" w:color="auto" w:sz="4" w:space="0"/>
                  </w:tcBorders>
                  <w:vAlign w:val="center"/>
                </w:tcPr>
                <w:p w14:paraId="3C4E213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乌尔禾污水处理厂</w:t>
                  </w:r>
                </w:p>
              </w:tc>
              <w:tc>
                <w:tcPr>
                  <w:tcW w:w="3553" w:type="pct"/>
                  <w:tcBorders>
                    <w:top w:val="single" w:color="auto" w:sz="4" w:space="0"/>
                    <w:bottom w:val="single" w:color="auto" w:sz="4" w:space="0"/>
                  </w:tcBorders>
                  <w:vAlign w:val="center"/>
                </w:tcPr>
                <w:p w14:paraId="5F68FB5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钻井期生活污水拉运至乌尔禾</w:t>
                  </w:r>
                  <w:r>
                    <w:rPr>
                      <w:rFonts w:hint="default" w:ascii="Times New Roman" w:hAnsi="Times New Roman" w:cs="Times New Roman"/>
                      <w:color w:val="000000" w:themeColor="text1"/>
                      <w:lang w:val="zh-CN"/>
                      <w14:textFill>
                        <w14:solidFill>
                          <w14:schemeClr w14:val="tx1"/>
                        </w14:solidFill>
                      </w14:textFill>
                    </w:rPr>
                    <w:t>污水处理厂</w:t>
                  </w:r>
                  <w:r>
                    <w:rPr>
                      <w:rFonts w:hint="default" w:ascii="Times New Roman" w:hAnsi="Times New Roman" w:cs="Times New Roman"/>
                      <w:color w:val="000000" w:themeColor="text1"/>
                      <w14:textFill>
                        <w14:solidFill>
                          <w14:schemeClr w14:val="tx1"/>
                        </w14:solidFill>
                      </w14:textFill>
                    </w:rPr>
                    <w:t>，乌尔禾污水处理厂设计处理规模为6000m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/d，预留远期6000m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/d扩建位置，出水满足《城镇污水处理厂污染物排放标准》（GB18918-2002）中的一级A标准。目前处理量为4000m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/d，有2000m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/d的处理余量，本项目钻井期产生的生活污水为</w:t>
                  </w:r>
                  <w:r>
                    <w:rPr>
                      <w:rFonts w:hint="default" w:ascii="Times New Roman" w:hAnsi="Times New Roman" w:cs="Times New Roman"/>
                      <w:color w:val="000000" w:themeColor="text1"/>
                      <w:lang w:val="en-US" w:eastAsia="zh-CN"/>
                      <w14:textFill>
                        <w14:solidFill>
                          <w14:schemeClr w14:val="tx1"/>
                        </w14:solidFill>
                      </w14:textFill>
                    </w:rPr>
                    <w:t>39.2</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（0.56m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/d），污水处理厂的处理余量能够满足本工程。</w:t>
                  </w:r>
                </w:p>
              </w:tc>
            </w:tr>
            <w:tr w14:paraId="69779B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5" w:hRule="atLeast"/>
                <w:jc w:val="center"/>
              </w:trPr>
              <w:tc>
                <w:tcPr>
                  <w:tcW w:w="361" w:type="pct"/>
                  <w:vMerge w:val="continue"/>
                  <w:tcBorders>
                    <w:right w:val="single" w:color="auto" w:sz="4" w:space="0"/>
                  </w:tcBorders>
                  <w:vAlign w:val="center"/>
                </w:tcPr>
                <w:p w14:paraId="0C229609">
                  <w:pPr>
                    <w:pStyle w:val="23"/>
                    <w:rPr>
                      <w:rFonts w:hint="default" w:ascii="Times New Roman" w:hAnsi="Times New Roman" w:cs="Times New Roman"/>
                      <w:color w:val="000000" w:themeColor="text1"/>
                      <w14:textFill>
                        <w14:solidFill>
                          <w14:schemeClr w14:val="tx1"/>
                        </w14:solidFill>
                      </w14:textFill>
                    </w:rPr>
                  </w:pPr>
                </w:p>
              </w:tc>
              <w:tc>
                <w:tcPr>
                  <w:tcW w:w="1085" w:type="pct"/>
                  <w:gridSpan w:val="2"/>
                  <w:tcBorders>
                    <w:top w:val="single" w:color="auto" w:sz="4" w:space="0"/>
                    <w:bottom w:val="single" w:color="auto" w:sz="4" w:space="0"/>
                  </w:tcBorders>
                  <w:vAlign w:val="center"/>
                </w:tcPr>
                <w:p w14:paraId="42B4002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乌尔禾生活垃圾填埋场</w:t>
                  </w:r>
                </w:p>
              </w:tc>
              <w:tc>
                <w:tcPr>
                  <w:tcW w:w="3553" w:type="pct"/>
                  <w:tcBorders>
                    <w:top w:val="single" w:color="auto" w:sz="4" w:space="0"/>
                    <w:bottom w:val="single" w:color="auto" w:sz="4" w:space="0"/>
                  </w:tcBorders>
                  <w:vAlign w:val="center"/>
                </w:tcPr>
                <w:p w14:paraId="1C17685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乌尔禾区生活垃圾填埋场占地面积11.31ha，填埋场设计总库容为77万m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。服务年限为2018年至2030年。近期（2023年）生活垃圾日清运处置87t，累计处理量23.56万t；远期（2030年）生活垃圾日清运处置98t，累计处理量47.64万t。本项目整个钻井期生活垃圾量</w:t>
                  </w:r>
                  <w:r>
                    <w:rPr>
                      <w:rFonts w:hint="default" w:ascii="Times New Roman" w:hAnsi="Times New Roman" w:cs="Times New Roman"/>
                      <w:color w:val="000000" w:themeColor="text1"/>
                      <w:lang w:val="en-US" w:eastAsia="zh-CN"/>
                      <w14:textFill>
                        <w14:solidFill>
                          <w14:schemeClr w14:val="tx1"/>
                        </w14:solidFill>
                      </w14:textFill>
                    </w:rPr>
                    <w:t>1.23</w:t>
                  </w:r>
                  <w:r>
                    <w:rPr>
                      <w:rFonts w:hint="default" w:ascii="Times New Roman" w:hAnsi="Times New Roman" w:cs="Times New Roman"/>
                      <w:color w:val="000000" w:themeColor="text1"/>
                      <w14:textFill>
                        <w14:solidFill>
                          <w14:schemeClr w14:val="tx1"/>
                        </w14:solidFill>
                      </w14:textFill>
                    </w:rPr>
                    <w:t>t，占比很小，依托可行。</w:t>
                  </w:r>
                </w:p>
              </w:tc>
            </w:tr>
          </w:tbl>
          <w:p w14:paraId="7DB21A27">
            <w:pPr>
              <w:keepNext/>
              <w:keepLines/>
              <w:ind w:firstLine="0" w:firstLineChars="0"/>
              <w:jc w:val="left"/>
              <w:outlineLvl w:val="1"/>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2</w:t>
            </w:r>
            <w:r>
              <w:rPr>
                <w:rFonts w:hint="default" w:ascii="Times New Roman" w:hAnsi="Times New Roman" w:cs="Times New Roman"/>
                <w:b/>
                <w:bCs/>
                <w:color w:val="000000" w:themeColor="text1"/>
                <w:sz w:val="28"/>
                <w:szCs w:val="28"/>
                <w14:textFill>
                  <w14:solidFill>
                    <w14:schemeClr w14:val="tx1"/>
                  </w14:solidFill>
                </w14:textFill>
              </w:rPr>
              <w:t xml:space="preserve"> 技术经济指标</w:t>
            </w:r>
          </w:p>
          <w:p w14:paraId="34A25529">
            <w:pPr>
              <w:widowControl/>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本项目主要经济技术指标见表2-</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p w14:paraId="52A9DDA2">
            <w:pPr>
              <w:ind w:firstLine="422"/>
              <w:jc w:val="center"/>
              <w:rPr>
                <w:rFonts w:hint="default" w:ascii="Times New Roman" w:hAnsi="Times New Roman" w:cs="Times New Roman"/>
                <w:b/>
                <w:bCs/>
                <w:color w:val="000000" w:themeColor="text1"/>
                <w:kern w:val="0"/>
                <w:sz w:val="21"/>
                <w:szCs w:val="21"/>
                <w:highlight w:val="none"/>
                <w14:textFill>
                  <w14:solidFill>
                    <w14:schemeClr w14:val="tx1"/>
                  </w14:solidFill>
                </w14:textFill>
              </w:rPr>
            </w:pPr>
            <w:r>
              <w:rPr>
                <w:rFonts w:hint="default" w:ascii="Times New Roman" w:hAnsi="Times New Roman" w:cs="Times New Roman"/>
                <w:b/>
                <w:bCs/>
                <w:color w:val="000000" w:themeColor="text1"/>
                <w:kern w:val="0"/>
                <w:sz w:val="21"/>
                <w:szCs w:val="21"/>
                <w:highlight w:val="none"/>
                <w14:textFill>
                  <w14:solidFill>
                    <w14:schemeClr w14:val="tx1"/>
                  </w14:solidFill>
                </w14:textFill>
              </w:rPr>
              <w:t>表2-</w:t>
            </w:r>
            <w:r>
              <w:rPr>
                <w:rFonts w:hint="default" w:ascii="Times New Roman" w:hAnsi="Times New Roman" w:cs="Times New Roman"/>
                <w:b/>
                <w:bCs/>
                <w:color w:val="000000" w:themeColor="text1"/>
                <w:kern w:val="0"/>
                <w:sz w:val="21"/>
                <w:szCs w:val="21"/>
                <w:highlight w:val="none"/>
                <w:lang w:val="en-US" w:eastAsia="zh-CN"/>
                <w14:textFill>
                  <w14:solidFill>
                    <w14:schemeClr w14:val="tx1"/>
                  </w14:solidFill>
                </w14:textFill>
              </w:rPr>
              <w:t>3</w:t>
            </w:r>
            <w:r>
              <w:rPr>
                <w:rFonts w:hint="default" w:ascii="Times New Roman" w:hAnsi="Times New Roman" w:cs="Times New Roman"/>
                <w:b/>
                <w:bCs/>
                <w:color w:val="000000" w:themeColor="text1"/>
                <w:kern w:val="0"/>
                <w:sz w:val="21"/>
                <w:szCs w:val="21"/>
                <w:highlight w:val="none"/>
                <w14:textFill>
                  <w14:solidFill>
                    <w14:schemeClr w14:val="tx1"/>
                  </w14:solidFill>
                </w14:textFill>
              </w:rPr>
              <w:t xml:space="preserve">  本项目主要经济技术指标表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332"/>
              <w:gridCol w:w="1951"/>
              <w:gridCol w:w="1951"/>
              <w:gridCol w:w="1780"/>
            </w:tblGrid>
            <w:tr w14:paraId="0786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59A88497">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2004" w:type="pct"/>
                  <w:gridSpan w:val="2"/>
                  <w:vAlign w:val="center"/>
                </w:tcPr>
                <w:p w14:paraId="30F36E8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项目</w:t>
                  </w:r>
                </w:p>
              </w:tc>
              <w:tc>
                <w:tcPr>
                  <w:tcW w:w="1191" w:type="pct"/>
                  <w:vAlign w:val="center"/>
                </w:tcPr>
                <w:p w14:paraId="05E4B49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单位</w:t>
                  </w:r>
                </w:p>
              </w:tc>
              <w:tc>
                <w:tcPr>
                  <w:tcW w:w="1086" w:type="pct"/>
                  <w:vAlign w:val="center"/>
                </w:tcPr>
                <w:p w14:paraId="31F10CDA">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数量</w:t>
                  </w:r>
                </w:p>
              </w:tc>
            </w:tr>
            <w:tr w14:paraId="75B1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5A999D4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2004" w:type="pct"/>
                  <w:gridSpan w:val="2"/>
                  <w:vAlign w:val="center"/>
                </w:tcPr>
                <w:p w14:paraId="5233A1F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设计井数</w:t>
                  </w:r>
                </w:p>
              </w:tc>
              <w:tc>
                <w:tcPr>
                  <w:tcW w:w="1191" w:type="pct"/>
                  <w:vAlign w:val="center"/>
                </w:tcPr>
                <w:p w14:paraId="21D9F75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口</w:t>
                  </w:r>
                </w:p>
              </w:tc>
              <w:tc>
                <w:tcPr>
                  <w:tcW w:w="1086" w:type="pct"/>
                  <w:vAlign w:val="center"/>
                </w:tcPr>
                <w:p w14:paraId="41F1D62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r>
            <w:tr w14:paraId="42D0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402378A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2004" w:type="pct"/>
                  <w:gridSpan w:val="2"/>
                  <w:vAlign w:val="center"/>
                </w:tcPr>
                <w:p w14:paraId="2BD7F5D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水基钻井液</w:t>
                  </w:r>
                </w:p>
              </w:tc>
              <w:tc>
                <w:tcPr>
                  <w:tcW w:w="1191" w:type="pct"/>
                  <w:vAlign w:val="center"/>
                </w:tcPr>
                <w:p w14:paraId="16FEC67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p>
              </w:tc>
              <w:tc>
                <w:tcPr>
                  <w:tcW w:w="1086" w:type="pct"/>
                  <w:vAlign w:val="center"/>
                </w:tcPr>
                <w:p w14:paraId="470FC3A1">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980</w:t>
                  </w:r>
                </w:p>
              </w:tc>
            </w:tr>
            <w:tr w14:paraId="5130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5E0FCB4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2004" w:type="pct"/>
                  <w:gridSpan w:val="2"/>
                  <w:shd w:val="clear" w:color="auto" w:fill="auto"/>
                  <w:vAlign w:val="center"/>
                </w:tcPr>
                <w:p w14:paraId="1EF73087">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压裂液</w:t>
                  </w:r>
                </w:p>
              </w:tc>
              <w:tc>
                <w:tcPr>
                  <w:tcW w:w="1191" w:type="pct"/>
                  <w:shd w:val="clear" w:color="auto" w:fill="auto"/>
                  <w:vAlign w:val="center"/>
                </w:tcPr>
                <w:p w14:paraId="0C0D5F92">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p>
              </w:tc>
              <w:tc>
                <w:tcPr>
                  <w:tcW w:w="1086" w:type="pct"/>
                  <w:shd w:val="clear" w:color="auto" w:fill="auto"/>
                  <w:vAlign w:val="center"/>
                </w:tcPr>
                <w:p w14:paraId="7818242D">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000</w:t>
                  </w:r>
                </w:p>
              </w:tc>
            </w:tr>
            <w:tr w14:paraId="2830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56135F1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2004" w:type="pct"/>
                  <w:gridSpan w:val="2"/>
                  <w:shd w:val="clear" w:color="auto" w:fill="auto"/>
                  <w:vAlign w:val="center"/>
                </w:tcPr>
                <w:p w14:paraId="4034A351">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新鲜水</w:t>
                  </w:r>
                </w:p>
              </w:tc>
              <w:tc>
                <w:tcPr>
                  <w:tcW w:w="1191" w:type="pct"/>
                  <w:shd w:val="clear" w:color="auto" w:fill="auto"/>
                  <w:vAlign w:val="center"/>
                </w:tcPr>
                <w:p w14:paraId="3E6A34B7">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p>
              </w:tc>
              <w:tc>
                <w:tcPr>
                  <w:tcW w:w="1086" w:type="pct"/>
                  <w:shd w:val="clear" w:color="auto" w:fill="auto"/>
                  <w:vAlign w:val="center"/>
                </w:tcPr>
                <w:p w14:paraId="0B75259A">
                  <w:pPr>
                    <w:pStyle w:val="23"/>
                    <w:ind w:left="0" w:leftChars="0" w:firstLine="0" w:firstLineChars="0"/>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349</w:t>
                  </w:r>
                </w:p>
              </w:tc>
            </w:tr>
            <w:tr w14:paraId="0725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7" w:type="pct"/>
                  <w:vAlign w:val="center"/>
                </w:tcPr>
                <w:p w14:paraId="5EEB422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2004" w:type="pct"/>
                  <w:gridSpan w:val="2"/>
                  <w:shd w:val="clear" w:color="auto" w:fill="auto"/>
                  <w:vAlign w:val="center"/>
                </w:tcPr>
                <w:p w14:paraId="0255626E">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w:t>
                  </w:r>
                </w:p>
              </w:tc>
              <w:tc>
                <w:tcPr>
                  <w:tcW w:w="1191" w:type="pct"/>
                  <w:shd w:val="clear" w:color="auto" w:fill="auto"/>
                  <w:vAlign w:val="center"/>
                </w:tcPr>
                <w:p w14:paraId="20ADD966">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t</w:t>
                  </w:r>
                </w:p>
              </w:tc>
              <w:tc>
                <w:tcPr>
                  <w:tcW w:w="1086" w:type="pct"/>
                  <w:shd w:val="clear" w:color="auto" w:fill="auto"/>
                  <w:vAlign w:val="center"/>
                </w:tcPr>
                <w:p w14:paraId="4879E3D1">
                  <w:pPr>
                    <w:pStyle w:val="23"/>
                    <w:ind w:left="0" w:leftChars="0" w:firstLine="0" w:firstLineChars="0"/>
                    <w:rPr>
                      <w:rFonts w:hint="default" w:ascii="Times New Roman" w:hAnsi="Times New Roman" w:eastAsia="宋体" w:cs="Times New Roman"/>
                      <w:color w:val="000000" w:themeColor="text1"/>
                      <w:kern w:val="0"/>
                      <w:sz w:val="21"/>
                      <w:szCs w:val="21"/>
                      <w:highlight w:val="yellow"/>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54.4</w:t>
                  </w:r>
                </w:p>
              </w:tc>
            </w:tr>
            <w:tr w14:paraId="5348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146A9638">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6</w:t>
                  </w:r>
                </w:p>
              </w:tc>
              <w:tc>
                <w:tcPr>
                  <w:tcW w:w="813" w:type="pct"/>
                  <w:vMerge w:val="restart"/>
                  <w:vAlign w:val="center"/>
                </w:tcPr>
                <w:p w14:paraId="5811B10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工程占地</w:t>
                  </w:r>
                </w:p>
              </w:tc>
              <w:tc>
                <w:tcPr>
                  <w:tcW w:w="1191" w:type="pct"/>
                  <w:vAlign w:val="center"/>
                </w:tcPr>
                <w:p w14:paraId="39C0DC0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永久占地</w:t>
                  </w:r>
                </w:p>
              </w:tc>
              <w:tc>
                <w:tcPr>
                  <w:tcW w:w="1191" w:type="pct"/>
                  <w:vAlign w:val="center"/>
                </w:tcPr>
                <w:p w14:paraId="36C55F1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p>
              </w:tc>
              <w:tc>
                <w:tcPr>
                  <w:tcW w:w="1086" w:type="pct"/>
                  <w:vAlign w:val="center"/>
                </w:tcPr>
                <w:p w14:paraId="4CDCF24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p>
              </w:tc>
            </w:tr>
            <w:tr w14:paraId="5595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1F66BF76">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w:t>
                  </w:r>
                </w:p>
              </w:tc>
              <w:tc>
                <w:tcPr>
                  <w:tcW w:w="813" w:type="pct"/>
                  <w:vMerge w:val="continue"/>
                  <w:vAlign w:val="center"/>
                </w:tcPr>
                <w:p w14:paraId="43CBC1D2">
                  <w:pPr>
                    <w:pStyle w:val="23"/>
                    <w:rPr>
                      <w:rFonts w:hint="default" w:ascii="Times New Roman" w:hAnsi="Times New Roman" w:cs="Times New Roman"/>
                      <w:color w:val="000000" w:themeColor="text1"/>
                      <w14:textFill>
                        <w14:solidFill>
                          <w14:schemeClr w14:val="tx1"/>
                        </w14:solidFill>
                      </w14:textFill>
                    </w:rPr>
                  </w:pPr>
                </w:p>
              </w:tc>
              <w:tc>
                <w:tcPr>
                  <w:tcW w:w="1191" w:type="pct"/>
                  <w:vAlign w:val="center"/>
                </w:tcPr>
                <w:p w14:paraId="7AD778B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临时占地</w:t>
                  </w:r>
                </w:p>
              </w:tc>
              <w:tc>
                <w:tcPr>
                  <w:tcW w:w="1191" w:type="pct"/>
                  <w:vAlign w:val="center"/>
                </w:tcPr>
                <w:p w14:paraId="373F061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p>
              </w:tc>
              <w:tc>
                <w:tcPr>
                  <w:tcW w:w="1086" w:type="pct"/>
                  <w:vAlign w:val="center"/>
                </w:tcPr>
                <w:p w14:paraId="07DA1CF1">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32097</w:t>
                  </w:r>
                </w:p>
              </w:tc>
            </w:tr>
            <w:tr w14:paraId="3B63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5184D2A7">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8</w:t>
                  </w:r>
                </w:p>
              </w:tc>
              <w:tc>
                <w:tcPr>
                  <w:tcW w:w="2004" w:type="pct"/>
                  <w:gridSpan w:val="2"/>
                  <w:vAlign w:val="center"/>
                </w:tcPr>
                <w:p w14:paraId="6F9226F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总投资</w:t>
                  </w:r>
                </w:p>
              </w:tc>
              <w:tc>
                <w:tcPr>
                  <w:tcW w:w="1191" w:type="pct"/>
                  <w:vAlign w:val="center"/>
                </w:tcPr>
                <w:p w14:paraId="54EE74F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万元</w:t>
                  </w:r>
                </w:p>
              </w:tc>
              <w:tc>
                <w:tcPr>
                  <w:tcW w:w="1086" w:type="pct"/>
                  <w:vAlign w:val="center"/>
                </w:tcPr>
                <w:p w14:paraId="5B0A7628">
                  <w:pPr>
                    <w:pStyle w:val="23"/>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2300</w:t>
                  </w:r>
                </w:p>
              </w:tc>
            </w:tr>
            <w:tr w14:paraId="740D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7" w:type="pct"/>
                  <w:vAlign w:val="center"/>
                </w:tcPr>
                <w:p w14:paraId="7DC23060">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9</w:t>
                  </w:r>
                </w:p>
              </w:tc>
              <w:tc>
                <w:tcPr>
                  <w:tcW w:w="2004" w:type="pct"/>
                  <w:gridSpan w:val="2"/>
                  <w:vAlign w:val="center"/>
                </w:tcPr>
                <w:p w14:paraId="1DC6CEF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环保投资</w:t>
                  </w:r>
                </w:p>
              </w:tc>
              <w:tc>
                <w:tcPr>
                  <w:tcW w:w="1191" w:type="pct"/>
                  <w:vAlign w:val="center"/>
                </w:tcPr>
                <w:p w14:paraId="6EFE5F0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万元</w:t>
                  </w:r>
                </w:p>
              </w:tc>
              <w:tc>
                <w:tcPr>
                  <w:tcW w:w="1086" w:type="pct"/>
                  <w:vAlign w:val="center"/>
                </w:tcPr>
                <w:p w14:paraId="2F914B98">
                  <w:pPr>
                    <w:pStyle w:val="23"/>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119</w:t>
                  </w:r>
                </w:p>
              </w:tc>
            </w:tr>
          </w:tbl>
          <w:p w14:paraId="6DF1BF84">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3钻井工程</w:t>
            </w:r>
          </w:p>
          <w:p w14:paraId="4E3EFBD1">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 xml:space="preserve">3.1 </w:t>
            </w:r>
            <w:r>
              <w:rPr>
                <w:rFonts w:hint="default" w:ascii="Times New Roman" w:hAnsi="Times New Roman" w:cs="Times New Roman"/>
                <w:color w:val="000000" w:themeColor="text1"/>
                <w:sz w:val="28"/>
                <w:szCs w:val="28"/>
                <w14:textFill>
                  <w14:solidFill>
                    <w14:schemeClr w14:val="tx1"/>
                  </w14:solidFill>
                </w14:textFill>
              </w:rPr>
              <w:t>钻井基本参数</w:t>
            </w:r>
          </w:p>
          <w:p w14:paraId="0A43A2E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本次拟钻</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口井主要技术参数见表2-</w:t>
            </w:r>
            <w:r>
              <w:rPr>
                <w:rFonts w:hint="eastAsia"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14:textFill>
                  <w14:solidFill>
                    <w14:schemeClr w14:val="tx1"/>
                  </w14:solidFill>
                </w14:textFill>
              </w:rPr>
              <w:t>。</w:t>
            </w:r>
          </w:p>
          <w:p w14:paraId="2D9BE8D0">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表2-</w:t>
            </w:r>
            <w:r>
              <w:rPr>
                <w:rFonts w:hint="eastAsia"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 xml:space="preserve">  钻井基本参数</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0"/>
              <w:gridCol w:w="1141"/>
              <w:gridCol w:w="1138"/>
              <w:gridCol w:w="899"/>
              <w:gridCol w:w="1274"/>
              <w:gridCol w:w="1601"/>
              <w:gridCol w:w="1461"/>
            </w:tblGrid>
            <w:tr w14:paraId="2133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409" w:type="pct"/>
                  <w:tcMar>
                    <w:top w:w="14" w:type="dxa"/>
                    <w:left w:w="14" w:type="dxa"/>
                    <w:bottom w:w="0" w:type="dxa"/>
                    <w:right w:w="14" w:type="dxa"/>
                  </w:tcMar>
                  <w:vAlign w:val="center"/>
                </w:tcPr>
                <w:p w14:paraId="79F598D5">
                  <w:pPr>
                    <w:pStyle w:val="23"/>
                    <w:rPr>
                      <w:rFonts w:hint="default" w:ascii="Times New Roman" w:hAnsi="Times New Roman" w:cs="Times New Roman"/>
                      <w:b/>
                      <w:bCs/>
                      <w:color w:val="000000" w:themeColor="text1"/>
                      <w14:textFill>
                        <w14:solidFill>
                          <w14:schemeClr w14:val="tx1"/>
                        </w14:solidFill>
                      </w14:textFill>
                    </w:rPr>
                  </w:pPr>
                  <w:bookmarkStart w:id="4" w:name="_Toc13133400"/>
                  <w:r>
                    <w:rPr>
                      <w:rFonts w:hint="default" w:ascii="Times New Roman" w:hAnsi="Times New Roman" w:cs="Times New Roman"/>
                      <w:b/>
                      <w:bCs/>
                      <w:color w:val="000000" w:themeColor="text1"/>
                      <w14:textFill>
                        <w14:solidFill>
                          <w14:schemeClr w14:val="tx1"/>
                        </w14:solidFill>
                      </w14:textFill>
                    </w:rPr>
                    <w:t>序号</w:t>
                  </w:r>
                </w:p>
              </w:tc>
              <w:tc>
                <w:tcPr>
                  <w:tcW w:w="697" w:type="pct"/>
                  <w:tcMar>
                    <w:top w:w="14" w:type="dxa"/>
                    <w:left w:w="14" w:type="dxa"/>
                    <w:bottom w:w="0" w:type="dxa"/>
                    <w:right w:w="14" w:type="dxa"/>
                  </w:tcMar>
                  <w:vAlign w:val="center"/>
                </w:tcPr>
                <w:p w14:paraId="71BD76F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井号</w:t>
                  </w:r>
                </w:p>
              </w:tc>
              <w:tc>
                <w:tcPr>
                  <w:tcW w:w="695" w:type="pct"/>
                  <w:tcMar>
                    <w:top w:w="14" w:type="dxa"/>
                    <w:left w:w="14" w:type="dxa"/>
                    <w:bottom w:w="0" w:type="dxa"/>
                    <w:right w:w="14" w:type="dxa"/>
                  </w:tcMar>
                  <w:vAlign w:val="center"/>
                </w:tcPr>
                <w:p w14:paraId="69919B42">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井别</w:t>
                  </w:r>
                </w:p>
              </w:tc>
              <w:tc>
                <w:tcPr>
                  <w:tcW w:w="549" w:type="pct"/>
                  <w:tcMar>
                    <w:top w:w="14" w:type="dxa"/>
                    <w:left w:w="14" w:type="dxa"/>
                    <w:bottom w:w="0" w:type="dxa"/>
                    <w:right w:w="14" w:type="dxa"/>
                  </w:tcMar>
                  <w:vAlign w:val="center"/>
                </w:tcPr>
                <w:p w14:paraId="339C3F6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井型</w:t>
                  </w:r>
                </w:p>
              </w:tc>
              <w:tc>
                <w:tcPr>
                  <w:tcW w:w="778" w:type="pct"/>
                  <w:tcMar>
                    <w:top w:w="14" w:type="dxa"/>
                    <w:left w:w="14" w:type="dxa"/>
                    <w:bottom w:w="0" w:type="dxa"/>
                    <w:right w:w="14" w:type="dxa"/>
                  </w:tcMar>
                  <w:vAlign w:val="center"/>
                </w:tcPr>
                <w:p w14:paraId="57E5CBD4">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井身结构</w:t>
                  </w:r>
                </w:p>
              </w:tc>
              <w:tc>
                <w:tcPr>
                  <w:tcW w:w="978" w:type="pct"/>
                  <w:tcMar>
                    <w:top w:w="14" w:type="dxa"/>
                    <w:left w:w="14" w:type="dxa"/>
                    <w:bottom w:w="0" w:type="dxa"/>
                    <w:right w:w="14" w:type="dxa"/>
                  </w:tcMar>
                  <w:vAlign w:val="center"/>
                </w:tcPr>
                <w:p w14:paraId="58C49C5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设计井深（m）</w:t>
                  </w:r>
                </w:p>
              </w:tc>
              <w:tc>
                <w:tcPr>
                  <w:tcW w:w="892" w:type="pct"/>
                  <w:tcMar>
                    <w:top w:w="14" w:type="dxa"/>
                    <w:left w:w="14" w:type="dxa"/>
                    <w:bottom w:w="0" w:type="dxa"/>
                    <w:right w:w="14" w:type="dxa"/>
                  </w:tcMar>
                  <w:vAlign w:val="center"/>
                </w:tcPr>
                <w:p w14:paraId="094C1A7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钻井时间（d）</w:t>
                  </w:r>
                </w:p>
              </w:tc>
            </w:tr>
            <w:tr w14:paraId="4A2F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09" w:type="pct"/>
                  <w:tcMar>
                    <w:top w:w="14" w:type="dxa"/>
                    <w:left w:w="14" w:type="dxa"/>
                    <w:bottom w:w="0" w:type="dxa"/>
                    <w:right w:w="14" w:type="dxa"/>
                  </w:tcMar>
                  <w:vAlign w:val="center"/>
                </w:tcPr>
                <w:p w14:paraId="1B332EB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697" w:type="pct"/>
                  <w:tcMar>
                    <w:top w:w="14" w:type="dxa"/>
                    <w:left w:w="14" w:type="dxa"/>
                    <w:bottom w:w="0" w:type="dxa"/>
                    <w:right w:w="14" w:type="dxa"/>
                  </w:tcMar>
                  <w:vAlign w:val="center"/>
                </w:tcPr>
                <w:p w14:paraId="09BEBA5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陆西1</w:t>
                  </w:r>
                </w:p>
              </w:tc>
              <w:tc>
                <w:tcPr>
                  <w:tcW w:w="695" w:type="pct"/>
                  <w:tcMar>
                    <w:top w:w="14" w:type="dxa"/>
                    <w:left w:w="14" w:type="dxa"/>
                    <w:bottom w:w="0" w:type="dxa"/>
                    <w:right w:w="14" w:type="dxa"/>
                  </w:tcMar>
                  <w:vAlign w:val="center"/>
                </w:tcPr>
                <w:p w14:paraId="6EB206E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勘探井</w:t>
                  </w:r>
                </w:p>
              </w:tc>
              <w:tc>
                <w:tcPr>
                  <w:tcW w:w="549" w:type="pct"/>
                  <w:tcMar>
                    <w:top w:w="14" w:type="dxa"/>
                    <w:left w:w="14" w:type="dxa"/>
                    <w:bottom w:w="0" w:type="dxa"/>
                    <w:right w:w="14" w:type="dxa"/>
                  </w:tcMar>
                  <w:vAlign w:val="center"/>
                </w:tcPr>
                <w:p w14:paraId="7534F7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直</w:t>
                  </w:r>
                  <w:r>
                    <w:rPr>
                      <w:rFonts w:hint="default" w:ascii="Times New Roman" w:hAnsi="Times New Roman" w:cs="Times New Roman"/>
                      <w:color w:val="000000" w:themeColor="text1"/>
                      <w14:textFill>
                        <w14:solidFill>
                          <w14:schemeClr w14:val="tx1"/>
                        </w14:solidFill>
                      </w14:textFill>
                    </w:rPr>
                    <w:t>井</w:t>
                  </w:r>
                </w:p>
              </w:tc>
              <w:tc>
                <w:tcPr>
                  <w:tcW w:w="778" w:type="pct"/>
                  <w:tcMar>
                    <w:top w:w="14" w:type="dxa"/>
                    <w:left w:w="14" w:type="dxa"/>
                    <w:bottom w:w="0" w:type="dxa"/>
                    <w:right w:w="14" w:type="dxa"/>
                  </w:tcMar>
                  <w:vAlign w:val="center"/>
                </w:tcPr>
                <w:p w14:paraId="0263349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三开</w:t>
                  </w:r>
                </w:p>
              </w:tc>
              <w:tc>
                <w:tcPr>
                  <w:tcW w:w="978" w:type="pct"/>
                  <w:tcMar>
                    <w:top w:w="14" w:type="dxa"/>
                    <w:left w:w="14" w:type="dxa"/>
                    <w:bottom w:w="0" w:type="dxa"/>
                    <w:right w:w="14" w:type="dxa"/>
                  </w:tcMar>
                  <w:vAlign w:val="center"/>
                </w:tcPr>
                <w:p w14:paraId="291DAED0">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5150</w:t>
                  </w:r>
                </w:p>
              </w:tc>
              <w:tc>
                <w:tcPr>
                  <w:tcW w:w="892" w:type="pct"/>
                  <w:tcMar>
                    <w:top w:w="14" w:type="dxa"/>
                    <w:left w:w="14" w:type="dxa"/>
                    <w:bottom w:w="0" w:type="dxa"/>
                    <w:right w:w="14" w:type="dxa"/>
                  </w:tcMar>
                  <w:vAlign w:val="center"/>
                </w:tcPr>
                <w:p w14:paraId="5432039B">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70</w:t>
                  </w:r>
                </w:p>
              </w:tc>
            </w:tr>
            <w:bookmarkEnd w:id="4"/>
          </w:tbl>
          <w:p w14:paraId="4CF0A9D6">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井身结构</w:t>
            </w:r>
          </w:p>
          <w:p w14:paraId="4DD129C2">
            <w:pPr>
              <w:pStyle w:val="25"/>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井身结构设计数据见表2-</w:t>
            </w:r>
            <w:r>
              <w:rPr>
                <w:rFonts w:hint="eastAsia" w:ascii="Times New Roman" w:hAnsi="Times New Roman" w:cs="Times New Roman"/>
                <w:bCs/>
                <w:color w:val="000000" w:themeColor="text1"/>
                <w:sz w:val="24"/>
                <w:szCs w:val="24"/>
                <w:lang w:val="en-US" w:eastAsia="zh-CN"/>
                <w14:textFill>
                  <w14:solidFill>
                    <w14:schemeClr w14:val="tx1"/>
                  </w14:solidFill>
                </w14:textFill>
              </w:rPr>
              <w:t>5</w:t>
            </w:r>
            <w:r>
              <w:rPr>
                <w:rFonts w:hint="default" w:ascii="Times New Roman" w:hAnsi="Times New Roman" w:cs="Times New Roman"/>
                <w:bCs/>
                <w:color w:val="000000" w:themeColor="text1"/>
                <w:sz w:val="24"/>
                <w:szCs w:val="24"/>
                <w14:textFill>
                  <w14:solidFill>
                    <w14:schemeClr w14:val="tx1"/>
                  </w14:solidFill>
                </w14:textFill>
              </w:rPr>
              <w:t>。</w:t>
            </w:r>
          </w:p>
          <w:p w14:paraId="0A0BFDC3">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表2-</w:t>
            </w:r>
            <w:r>
              <w:rPr>
                <w:rFonts w:hint="eastAsia"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 xml:space="preserve">  井身结构一览表</w:t>
            </w:r>
          </w:p>
          <w:tbl>
            <w:tblPr>
              <w:tblStyle w:val="1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62"/>
              <w:gridCol w:w="905"/>
              <w:gridCol w:w="647"/>
              <w:gridCol w:w="842"/>
              <w:gridCol w:w="818"/>
              <w:gridCol w:w="1221"/>
              <w:gridCol w:w="670"/>
              <w:gridCol w:w="1006"/>
              <w:gridCol w:w="1214"/>
            </w:tblGrid>
            <w:tr w14:paraId="5110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526" w:type="pct"/>
                  <w:noWrap w:val="0"/>
                  <w:vAlign w:val="center"/>
                </w:tcPr>
                <w:p w14:paraId="2EEB14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开钻</w:t>
                  </w:r>
                </w:p>
                <w:p w14:paraId="790304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次序</w:t>
                  </w:r>
                </w:p>
              </w:tc>
              <w:tc>
                <w:tcPr>
                  <w:tcW w:w="552" w:type="pct"/>
                  <w:noWrap w:val="0"/>
                  <w:vAlign w:val="center"/>
                </w:tcPr>
                <w:p w14:paraId="2145A7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钻头</w:t>
                  </w:r>
                </w:p>
                <w:p w14:paraId="0AF49E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尺寸</w:t>
                  </w:r>
                </w:p>
                <w:p w14:paraId="2BDEF4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（mm）</w:t>
                  </w:r>
                </w:p>
              </w:tc>
              <w:tc>
                <w:tcPr>
                  <w:tcW w:w="395" w:type="pct"/>
                  <w:noWrap w:val="0"/>
                  <w:vAlign w:val="center"/>
                </w:tcPr>
                <w:p w14:paraId="0AA7E8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井段</w:t>
                  </w:r>
                </w:p>
                <w:p w14:paraId="322002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w:t>
                  </w:r>
                </w:p>
              </w:tc>
              <w:tc>
                <w:tcPr>
                  <w:tcW w:w="514" w:type="pct"/>
                  <w:noWrap w:val="0"/>
                  <w:vAlign w:val="center"/>
                </w:tcPr>
                <w:p w14:paraId="3E1941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套管</w:t>
                  </w:r>
                </w:p>
                <w:p w14:paraId="55678F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尺寸</w:t>
                  </w:r>
                </w:p>
                <w:p w14:paraId="555232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（mm）</w:t>
                  </w:r>
                </w:p>
              </w:tc>
              <w:tc>
                <w:tcPr>
                  <w:tcW w:w="499" w:type="pct"/>
                  <w:noWrap w:val="0"/>
                  <w:vAlign w:val="center"/>
                </w:tcPr>
                <w:p w14:paraId="48F905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套管</w:t>
                  </w:r>
                </w:p>
                <w:p w14:paraId="5E91BA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下深</w:t>
                  </w:r>
                </w:p>
                <w:p w14:paraId="66BAD3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w:t>
                  </w:r>
                </w:p>
              </w:tc>
              <w:tc>
                <w:tcPr>
                  <w:tcW w:w="745" w:type="pct"/>
                  <w:noWrap w:val="0"/>
                  <w:vAlign w:val="center"/>
                </w:tcPr>
                <w:p w14:paraId="4B0140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水泥封</w:t>
                  </w:r>
                </w:p>
                <w:p w14:paraId="16F318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固井段</w:t>
                  </w:r>
                </w:p>
                <w:p w14:paraId="1355A9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w:t>
                  </w:r>
                </w:p>
              </w:tc>
              <w:tc>
                <w:tcPr>
                  <w:tcW w:w="409" w:type="pct"/>
                  <w:noWrap w:val="0"/>
                  <w:vAlign w:val="center"/>
                </w:tcPr>
                <w:p w14:paraId="3AE3F5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阻位</w:t>
                  </w:r>
                </w:p>
                <w:p w14:paraId="5BB907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w:t>
                  </w:r>
                </w:p>
              </w:tc>
              <w:tc>
                <w:tcPr>
                  <w:tcW w:w="614" w:type="pct"/>
                  <w:noWrap w:val="0"/>
                  <w:vAlign w:val="center"/>
                </w:tcPr>
                <w:p w14:paraId="5A2408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测井</w:t>
                  </w:r>
                </w:p>
                <w:p w14:paraId="6F17D4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项目</w:t>
                  </w:r>
                </w:p>
              </w:tc>
              <w:tc>
                <w:tcPr>
                  <w:tcW w:w="741" w:type="pct"/>
                  <w:noWrap w:val="0"/>
                  <w:vAlign w:val="center"/>
                </w:tcPr>
                <w:p w14:paraId="568AA4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固井质量要求</w:t>
                  </w:r>
                </w:p>
              </w:tc>
            </w:tr>
            <w:tr w14:paraId="6D18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526" w:type="pct"/>
                  <w:noWrap w:val="0"/>
                  <w:vAlign w:val="center"/>
                </w:tcPr>
                <w:p w14:paraId="7DE1AA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一开</w:t>
                  </w:r>
                </w:p>
              </w:tc>
              <w:tc>
                <w:tcPr>
                  <w:tcW w:w="552" w:type="pct"/>
                  <w:noWrap w:val="0"/>
                  <w:vAlign w:val="center"/>
                </w:tcPr>
                <w:p w14:paraId="2FF296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444.5</w:t>
                  </w:r>
                </w:p>
              </w:tc>
              <w:tc>
                <w:tcPr>
                  <w:tcW w:w="395" w:type="pct"/>
                  <w:noWrap w:val="0"/>
                  <w:vAlign w:val="center"/>
                </w:tcPr>
                <w:p w14:paraId="3B81B2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0~500</w:t>
                  </w:r>
                </w:p>
              </w:tc>
              <w:tc>
                <w:tcPr>
                  <w:tcW w:w="514" w:type="pct"/>
                  <w:noWrap w:val="0"/>
                  <w:vAlign w:val="center"/>
                </w:tcPr>
                <w:p w14:paraId="65D666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339.7</w:t>
                  </w:r>
                </w:p>
              </w:tc>
              <w:tc>
                <w:tcPr>
                  <w:tcW w:w="499" w:type="pct"/>
                  <w:noWrap w:val="0"/>
                  <w:vAlign w:val="center"/>
                </w:tcPr>
                <w:p w14:paraId="05E53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500</w:t>
                  </w:r>
                </w:p>
              </w:tc>
              <w:tc>
                <w:tcPr>
                  <w:tcW w:w="745" w:type="pct"/>
                  <w:noWrap w:val="0"/>
                  <w:vAlign w:val="center"/>
                </w:tcPr>
                <w:p w14:paraId="0DB147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0~500</w:t>
                  </w:r>
                </w:p>
              </w:tc>
              <w:tc>
                <w:tcPr>
                  <w:tcW w:w="781" w:type="dxa"/>
                  <w:noWrap w:val="0"/>
                  <w:vAlign w:val="center"/>
                </w:tcPr>
                <w:p w14:paraId="0EBEE8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480</w:t>
                  </w:r>
                </w:p>
              </w:tc>
              <w:tc>
                <w:tcPr>
                  <w:tcW w:w="614" w:type="pct"/>
                  <w:noWrap w:val="0"/>
                  <w:vAlign w:val="center"/>
                </w:tcPr>
                <w:p w14:paraId="64FBAF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741" w:type="pct"/>
                  <w:noWrap w:val="0"/>
                  <w:vAlign w:val="center"/>
                </w:tcPr>
                <w:p w14:paraId="437938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固井水泥浆返至地面</w:t>
                  </w:r>
                </w:p>
              </w:tc>
            </w:tr>
            <w:tr w14:paraId="0806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526" w:type="pct"/>
                  <w:noWrap w:val="0"/>
                  <w:vAlign w:val="center"/>
                </w:tcPr>
                <w:p w14:paraId="1FFF46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二开</w:t>
                  </w:r>
                </w:p>
              </w:tc>
              <w:tc>
                <w:tcPr>
                  <w:tcW w:w="552" w:type="pct"/>
                  <w:noWrap w:val="0"/>
                  <w:vAlign w:val="center"/>
                </w:tcPr>
                <w:p w14:paraId="6BB85F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311.2</w:t>
                  </w:r>
                </w:p>
              </w:tc>
              <w:tc>
                <w:tcPr>
                  <w:tcW w:w="395" w:type="pct"/>
                  <w:noWrap w:val="0"/>
                  <w:vAlign w:val="center"/>
                </w:tcPr>
                <w:p w14:paraId="671A84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~4100</w:t>
                  </w:r>
                </w:p>
              </w:tc>
              <w:tc>
                <w:tcPr>
                  <w:tcW w:w="514" w:type="pct"/>
                  <w:noWrap w:val="0"/>
                  <w:vAlign w:val="center"/>
                </w:tcPr>
                <w:p w14:paraId="038B8C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244.5</w:t>
                  </w:r>
                </w:p>
              </w:tc>
              <w:tc>
                <w:tcPr>
                  <w:tcW w:w="499" w:type="pct"/>
                  <w:noWrap w:val="0"/>
                  <w:vAlign w:val="center"/>
                </w:tcPr>
                <w:p w14:paraId="18E9E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4100</w:t>
                  </w:r>
                </w:p>
              </w:tc>
              <w:tc>
                <w:tcPr>
                  <w:tcW w:w="745" w:type="pct"/>
                  <w:noWrap w:val="0"/>
                  <w:vAlign w:val="center"/>
                </w:tcPr>
                <w:p w14:paraId="25F9CC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0~4100</w:t>
                  </w:r>
                </w:p>
              </w:tc>
              <w:tc>
                <w:tcPr>
                  <w:tcW w:w="781" w:type="dxa"/>
                  <w:noWrap w:val="0"/>
                  <w:vAlign w:val="center"/>
                </w:tcPr>
                <w:p w14:paraId="11B196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4075</w:t>
                  </w:r>
                </w:p>
              </w:tc>
              <w:tc>
                <w:tcPr>
                  <w:tcW w:w="614" w:type="pct"/>
                  <w:noWrap w:val="0"/>
                  <w:vAlign w:val="center"/>
                </w:tcPr>
                <w:p w14:paraId="13BEC9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CBL+VDL</w:t>
                  </w:r>
                </w:p>
              </w:tc>
              <w:tc>
                <w:tcPr>
                  <w:tcW w:w="741" w:type="pct"/>
                  <w:noWrap w:val="0"/>
                  <w:vAlign w:val="center"/>
                </w:tcPr>
                <w:p w14:paraId="2C3C84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合格</w:t>
                  </w:r>
                </w:p>
              </w:tc>
            </w:tr>
            <w:tr w14:paraId="7A42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526" w:type="pct"/>
                  <w:noWrap w:val="0"/>
                  <w:vAlign w:val="center"/>
                </w:tcPr>
                <w:p w14:paraId="374294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三开</w:t>
                  </w:r>
                </w:p>
              </w:tc>
              <w:tc>
                <w:tcPr>
                  <w:tcW w:w="552" w:type="pct"/>
                  <w:noWrap w:val="0"/>
                  <w:vAlign w:val="center"/>
                </w:tcPr>
                <w:p w14:paraId="58A79C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215.9</w:t>
                  </w:r>
                </w:p>
              </w:tc>
              <w:tc>
                <w:tcPr>
                  <w:tcW w:w="395" w:type="pct"/>
                  <w:noWrap w:val="0"/>
                  <w:vAlign w:val="center"/>
                </w:tcPr>
                <w:p w14:paraId="5C2217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~5150</w:t>
                  </w:r>
                </w:p>
              </w:tc>
              <w:tc>
                <w:tcPr>
                  <w:tcW w:w="514" w:type="pct"/>
                  <w:noWrap w:val="0"/>
                  <w:vAlign w:val="center"/>
                </w:tcPr>
                <w:p w14:paraId="0AF4A0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139.7</w:t>
                  </w:r>
                </w:p>
              </w:tc>
              <w:tc>
                <w:tcPr>
                  <w:tcW w:w="499" w:type="pct"/>
                  <w:noWrap w:val="0"/>
                  <w:vAlign w:val="center"/>
                </w:tcPr>
                <w:p w14:paraId="379B4E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5150</w:t>
                  </w:r>
                </w:p>
              </w:tc>
              <w:tc>
                <w:tcPr>
                  <w:tcW w:w="745" w:type="pct"/>
                  <w:noWrap w:val="0"/>
                  <w:vAlign w:val="center"/>
                </w:tcPr>
                <w:p w14:paraId="50C4CC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0~5150</w:t>
                  </w:r>
                </w:p>
              </w:tc>
              <w:tc>
                <w:tcPr>
                  <w:tcW w:w="781" w:type="dxa"/>
                  <w:noWrap w:val="0"/>
                  <w:vAlign w:val="center"/>
                </w:tcPr>
                <w:p w14:paraId="014AAB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5125</w:t>
                  </w:r>
                </w:p>
              </w:tc>
              <w:tc>
                <w:tcPr>
                  <w:tcW w:w="614" w:type="pct"/>
                  <w:noWrap w:val="0"/>
                  <w:vAlign w:val="center"/>
                </w:tcPr>
                <w:p w14:paraId="6CA8BC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CBL+VDL</w:t>
                  </w:r>
                </w:p>
              </w:tc>
              <w:tc>
                <w:tcPr>
                  <w:tcW w:w="741" w:type="pct"/>
                  <w:noWrap w:val="0"/>
                  <w:vAlign w:val="center"/>
                </w:tcPr>
                <w:p w14:paraId="030DA1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合格</w:t>
                  </w:r>
                </w:p>
              </w:tc>
            </w:tr>
          </w:tbl>
          <w:p w14:paraId="29867295">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 xml:space="preserve"> 主要设备</w:t>
            </w:r>
          </w:p>
          <w:p w14:paraId="45C91EEA">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本项目钻井主要设备见表2-</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w:t>
            </w:r>
          </w:p>
          <w:p w14:paraId="0BB5F068">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表2-</w:t>
            </w:r>
            <w:r>
              <w:rPr>
                <w:rFonts w:hint="eastAsia"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cs="Times New Roman"/>
                <w:color w:val="000000" w:themeColor="text1"/>
                <w:sz w:val="21"/>
                <w:szCs w:val="21"/>
                <w14:textFill>
                  <w14:solidFill>
                    <w14:schemeClr w14:val="tx1"/>
                  </w14:solidFill>
                </w14:textFill>
              </w:rPr>
              <w:t xml:space="preserve">  钻井主要设备配置（单井）</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36"/>
              <w:gridCol w:w="1406"/>
              <w:gridCol w:w="1855"/>
              <w:gridCol w:w="882"/>
              <w:gridCol w:w="892"/>
              <w:gridCol w:w="1706"/>
            </w:tblGrid>
            <w:tr w14:paraId="3350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noWrap w:val="0"/>
                  <w:vAlign w:val="center"/>
                </w:tcPr>
                <w:p w14:paraId="65EF56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序号</w:t>
                  </w:r>
                </w:p>
              </w:tc>
              <w:tc>
                <w:tcPr>
                  <w:tcW w:w="1307" w:type="pct"/>
                  <w:gridSpan w:val="2"/>
                  <w:noWrap w:val="0"/>
                  <w:vAlign w:val="center"/>
                </w:tcPr>
                <w:p w14:paraId="2B346A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名称</w:t>
                  </w:r>
                </w:p>
              </w:tc>
              <w:tc>
                <w:tcPr>
                  <w:tcW w:w="1132" w:type="pct"/>
                  <w:noWrap w:val="0"/>
                  <w:vAlign w:val="center"/>
                </w:tcPr>
                <w:p w14:paraId="3A6091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型号</w:t>
                  </w:r>
                </w:p>
              </w:tc>
              <w:tc>
                <w:tcPr>
                  <w:tcW w:w="538" w:type="pct"/>
                  <w:noWrap w:val="0"/>
                  <w:vAlign w:val="center"/>
                </w:tcPr>
                <w:p w14:paraId="02BBD2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载荷</w:t>
                  </w:r>
                </w:p>
                <w:p w14:paraId="6D17AE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kN</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p>
              </w:tc>
              <w:tc>
                <w:tcPr>
                  <w:tcW w:w="544" w:type="pct"/>
                  <w:noWrap w:val="0"/>
                  <w:vAlign w:val="center"/>
                </w:tcPr>
                <w:p w14:paraId="43C799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功率</w:t>
                  </w:r>
                </w:p>
                <w:p w14:paraId="460D28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kW</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p>
              </w:tc>
              <w:tc>
                <w:tcPr>
                  <w:tcW w:w="1041" w:type="pct"/>
                  <w:noWrap w:val="0"/>
                  <w:vAlign w:val="center"/>
                </w:tcPr>
                <w:p w14:paraId="5DD2A7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备注</w:t>
                  </w:r>
                </w:p>
              </w:tc>
            </w:tr>
            <w:tr w14:paraId="63B2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noWrap w:val="0"/>
                  <w:vAlign w:val="center"/>
                </w:tcPr>
                <w:p w14:paraId="203482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w:t>
                  </w:r>
                </w:p>
              </w:tc>
              <w:tc>
                <w:tcPr>
                  <w:tcW w:w="1307" w:type="pct"/>
                  <w:gridSpan w:val="2"/>
                  <w:noWrap w:val="0"/>
                  <w:vAlign w:val="center"/>
                </w:tcPr>
                <w:p w14:paraId="733DF6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钻机</w:t>
                  </w:r>
                </w:p>
              </w:tc>
              <w:tc>
                <w:tcPr>
                  <w:tcW w:w="1132" w:type="pct"/>
                  <w:noWrap w:val="0"/>
                  <w:vAlign w:val="center"/>
                </w:tcPr>
                <w:p w14:paraId="322A73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ZJ70D</w:t>
                  </w:r>
                </w:p>
              </w:tc>
              <w:tc>
                <w:tcPr>
                  <w:tcW w:w="538" w:type="pct"/>
                  <w:noWrap w:val="0"/>
                  <w:vAlign w:val="center"/>
                </w:tcPr>
                <w:p w14:paraId="620622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4500</w:t>
                  </w:r>
                </w:p>
              </w:tc>
              <w:tc>
                <w:tcPr>
                  <w:tcW w:w="544" w:type="pct"/>
                  <w:noWrap w:val="0"/>
                  <w:vAlign w:val="center"/>
                </w:tcPr>
                <w:p w14:paraId="62BB94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792D6F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1F5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tcBorders>
                    <w:bottom w:val="single" w:color="auto" w:sz="4" w:space="0"/>
                  </w:tcBorders>
                  <w:noWrap w:val="0"/>
                  <w:vAlign w:val="center"/>
                </w:tcPr>
                <w:p w14:paraId="5A8AC5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二</w:t>
                  </w:r>
                </w:p>
              </w:tc>
              <w:tc>
                <w:tcPr>
                  <w:tcW w:w="1307" w:type="pct"/>
                  <w:gridSpan w:val="2"/>
                  <w:tcBorders>
                    <w:bottom w:val="nil"/>
                  </w:tcBorders>
                  <w:noWrap w:val="0"/>
                  <w:vAlign w:val="center"/>
                </w:tcPr>
                <w:p w14:paraId="2DCB7A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井架</w:t>
                  </w:r>
                </w:p>
              </w:tc>
              <w:tc>
                <w:tcPr>
                  <w:tcW w:w="1132" w:type="pct"/>
                  <w:tcBorders>
                    <w:bottom w:val="single" w:color="auto" w:sz="4" w:space="0"/>
                  </w:tcBorders>
                  <w:noWrap w:val="0"/>
                  <w:vAlign w:val="center"/>
                </w:tcPr>
                <w:p w14:paraId="5533F1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JJ450/45-K8</w:t>
                  </w:r>
                </w:p>
              </w:tc>
              <w:tc>
                <w:tcPr>
                  <w:tcW w:w="538" w:type="pct"/>
                  <w:tcBorders>
                    <w:bottom w:val="single" w:color="auto" w:sz="4" w:space="0"/>
                  </w:tcBorders>
                  <w:noWrap w:val="0"/>
                  <w:vAlign w:val="center"/>
                </w:tcPr>
                <w:p w14:paraId="4FADBA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4500</w:t>
                  </w:r>
                </w:p>
              </w:tc>
              <w:tc>
                <w:tcPr>
                  <w:tcW w:w="544" w:type="pct"/>
                  <w:tcBorders>
                    <w:bottom w:val="single" w:color="auto" w:sz="4" w:space="0"/>
                  </w:tcBorders>
                  <w:noWrap w:val="0"/>
                  <w:vAlign w:val="center"/>
                </w:tcPr>
                <w:p w14:paraId="582BC1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tcBorders>
                    <w:bottom w:val="single" w:color="auto" w:sz="4" w:space="0"/>
                  </w:tcBorders>
                  <w:noWrap w:val="0"/>
                  <w:vAlign w:val="center"/>
                </w:tcPr>
                <w:p w14:paraId="5792D0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净空高度≥7m</w:t>
                  </w:r>
                </w:p>
              </w:tc>
            </w:tr>
            <w:tr w14:paraId="0BEA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restart"/>
                  <w:noWrap w:val="0"/>
                  <w:vAlign w:val="center"/>
                </w:tcPr>
                <w:p w14:paraId="4570A9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三</w:t>
                  </w:r>
                </w:p>
              </w:tc>
              <w:tc>
                <w:tcPr>
                  <w:tcW w:w="449" w:type="pct"/>
                  <w:vMerge w:val="restart"/>
                  <w:noWrap w:val="0"/>
                  <w:vAlign w:val="center"/>
                </w:tcPr>
                <w:p w14:paraId="1D7A26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提升</w:t>
                  </w:r>
                </w:p>
                <w:p w14:paraId="3916EB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系统</w:t>
                  </w:r>
                </w:p>
              </w:tc>
              <w:tc>
                <w:tcPr>
                  <w:tcW w:w="857" w:type="pct"/>
                  <w:noWrap w:val="0"/>
                  <w:vAlign w:val="center"/>
                </w:tcPr>
                <w:p w14:paraId="3984F6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绞车</w:t>
                  </w:r>
                </w:p>
              </w:tc>
              <w:tc>
                <w:tcPr>
                  <w:tcW w:w="1132" w:type="pct"/>
                  <w:noWrap w:val="0"/>
                  <w:vAlign w:val="center"/>
                </w:tcPr>
                <w:p w14:paraId="472387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JC-70-09</w:t>
                  </w:r>
                </w:p>
              </w:tc>
              <w:tc>
                <w:tcPr>
                  <w:tcW w:w="538" w:type="pct"/>
                  <w:noWrap w:val="0"/>
                  <w:vAlign w:val="center"/>
                </w:tcPr>
                <w:p w14:paraId="66EF9A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0882C5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7F8385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674D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35DC57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37FEF5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3EF1D9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天车</w:t>
                  </w:r>
                </w:p>
              </w:tc>
              <w:tc>
                <w:tcPr>
                  <w:tcW w:w="1132" w:type="pct"/>
                  <w:noWrap w:val="0"/>
                  <w:vAlign w:val="center"/>
                </w:tcPr>
                <w:p w14:paraId="02BC82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TC450-1</w:t>
                  </w:r>
                </w:p>
              </w:tc>
              <w:tc>
                <w:tcPr>
                  <w:tcW w:w="538" w:type="pct"/>
                  <w:noWrap w:val="0"/>
                  <w:vAlign w:val="center"/>
                </w:tcPr>
                <w:p w14:paraId="6A4B31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4500</w:t>
                  </w:r>
                </w:p>
              </w:tc>
              <w:tc>
                <w:tcPr>
                  <w:tcW w:w="544" w:type="pct"/>
                  <w:noWrap w:val="0"/>
                  <w:vAlign w:val="center"/>
                </w:tcPr>
                <w:p w14:paraId="417AB0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0B5AE7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172A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41520A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3C0002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3DFAA8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游车</w:t>
                  </w:r>
                </w:p>
              </w:tc>
              <w:tc>
                <w:tcPr>
                  <w:tcW w:w="1132" w:type="pct"/>
                  <w:noWrap w:val="0"/>
                  <w:vAlign w:val="center"/>
                </w:tcPr>
                <w:p w14:paraId="2B9C59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YC450</w:t>
                  </w:r>
                </w:p>
              </w:tc>
              <w:tc>
                <w:tcPr>
                  <w:tcW w:w="538" w:type="pct"/>
                  <w:noWrap w:val="0"/>
                  <w:vAlign w:val="center"/>
                </w:tcPr>
                <w:p w14:paraId="590AC2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4500</w:t>
                  </w:r>
                </w:p>
              </w:tc>
              <w:tc>
                <w:tcPr>
                  <w:tcW w:w="544" w:type="pct"/>
                  <w:noWrap w:val="0"/>
                  <w:vAlign w:val="center"/>
                </w:tcPr>
                <w:p w14:paraId="17A2E6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372C0B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7FAE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56ED50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6D8B54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44D93E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大钩</w:t>
                  </w:r>
                </w:p>
              </w:tc>
              <w:tc>
                <w:tcPr>
                  <w:tcW w:w="1132" w:type="pct"/>
                  <w:noWrap w:val="0"/>
                  <w:vAlign w:val="center"/>
                </w:tcPr>
                <w:p w14:paraId="3A9AF7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DG450</w:t>
                  </w:r>
                </w:p>
              </w:tc>
              <w:tc>
                <w:tcPr>
                  <w:tcW w:w="538" w:type="pct"/>
                  <w:noWrap w:val="0"/>
                  <w:vAlign w:val="center"/>
                </w:tcPr>
                <w:p w14:paraId="142459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4500</w:t>
                  </w:r>
                </w:p>
              </w:tc>
              <w:tc>
                <w:tcPr>
                  <w:tcW w:w="544" w:type="pct"/>
                  <w:noWrap w:val="0"/>
                  <w:vAlign w:val="center"/>
                </w:tcPr>
                <w:p w14:paraId="47772D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075BBA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6FF1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2EF654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1E4211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6446A5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水龙头</w:t>
                  </w:r>
                </w:p>
              </w:tc>
              <w:tc>
                <w:tcPr>
                  <w:tcW w:w="1132" w:type="pct"/>
                  <w:noWrap w:val="0"/>
                  <w:vAlign w:val="center"/>
                </w:tcPr>
                <w:p w14:paraId="69E345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SL-450-H</w:t>
                  </w:r>
                </w:p>
              </w:tc>
              <w:tc>
                <w:tcPr>
                  <w:tcW w:w="538" w:type="pct"/>
                  <w:noWrap w:val="0"/>
                  <w:vAlign w:val="center"/>
                </w:tcPr>
                <w:p w14:paraId="5524AB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4500</w:t>
                  </w:r>
                </w:p>
              </w:tc>
              <w:tc>
                <w:tcPr>
                  <w:tcW w:w="544" w:type="pct"/>
                  <w:noWrap w:val="0"/>
                  <w:vAlign w:val="center"/>
                </w:tcPr>
                <w:p w14:paraId="05E8FA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48F08B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2B4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tcBorders>
                    <w:bottom w:val="single" w:color="auto" w:sz="4" w:space="0"/>
                  </w:tcBorders>
                  <w:noWrap w:val="0"/>
                  <w:vAlign w:val="center"/>
                </w:tcPr>
                <w:p w14:paraId="73C093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四</w:t>
                  </w:r>
                </w:p>
              </w:tc>
              <w:tc>
                <w:tcPr>
                  <w:tcW w:w="1307" w:type="pct"/>
                  <w:gridSpan w:val="2"/>
                  <w:tcBorders>
                    <w:bottom w:val="single" w:color="auto" w:sz="4" w:space="0"/>
                  </w:tcBorders>
                  <w:noWrap w:val="0"/>
                  <w:vAlign w:val="center"/>
                </w:tcPr>
                <w:p w14:paraId="61C273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转盘</w:t>
                  </w:r>
                </w:p>
              </w:tc>
              <w:tc>
                <w:tcPr>
                  <w:tcW w:w="1132" w:type="pct"/>
                  <w:tcBorders>
                    <w:bottom w:val="single" w:color="auto" w:sz="4" w:space="0"/>
                  </w:tcBorders>
                  <w:noWrap w:val="0"/>
                  <w:vAlign w:val="center"/>
                </w:tcPr>
                <w:p w14:paraId="57D828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ZP375</w:t>
                  </w:r>
                </w:p>
              </w:tc>
              <w:tc>
                <w:tcPr>
                  <w:tcW w:w="538" w:type="pct"/>
                  <w:tcBorders>
                    <w:bottom w:val="single" w:color="auto" w:sz="4" w:space="0"/>
                  </w:tcBorders>
                  <w:noWrap w:val="0"/>
                  <w:vAlign w:val="center"/>
                </w:tcPr>
                <w:p w14:paraId="357E03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tcBorders>
                    <w:bottom w:val="single" w:color="auto" w:sz="4" w:space="0"/>
                  </w:tcBorders>
                  <w:noWrap w:val="0"/>
                  <w:vAlign w:val="center"/>
                </w:tcPr>
                <w:p w14:paraId="0D0B3E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tcBorders>
                    <w:bottom w:val="single" w:color="auto" w:sz="4" w:space="0"/>
                  </w:tcBorders>
                  <w:noWrap w:val="0"/>
                  <w:vAlign w:val="center"/>
                </w:tcPr>
                <w:p w14:paraId="2E6D26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开口直径952.5mm</w:t>
                  </w:r>
                </w:p>
              </w:tc>
            </w:tr>
            <w:tr w14:paraId="339C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restart"/>
                  <w:noWrap w:val="0"/>
                  <w:vAlign w:val="center"/>
                </w:tcPr>
                <w:p w14:paraId="49B814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五</w:t>
                  </w:r>
                </w:p>
              </w:tc>
              <w:tc>
                <w:tcPr>
                  <w:tcW w:w="449" w:type="pct"/>
                  <w:vMerge w:val="restart"/>
                  <w:noWrap w:val="0"/>
                  <w:vAlign w:val="center"/>
                </w:tcPr>
                <w:p w14:paraId="60E3D4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循环系统配置</w:t>
                  </w:r>
                </w:p>
              </w:tc>
              <w:tc>
                <w:tcPr>
                  <w:tcW w:w="857" w:type="pct"/>
                  <w:noWrap w:val="0"/>
                  <w:vAlign w:val="center"/>
                </w:tcPr>
                <w:p w14:paraId="4704AF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钻井泵1#</w:t>
                  </w:r>
                </w:p>
              </w:tc>
              <w:tc>
                <w:tcPr>
                  <w:tcW w:w="1132" w:type="pct"/>
                  <w:noWrap w:val="0"/>
                  <w:vAlign w:val="center"/>
                </w:tcPr>
                <w:p w14:paraId="50DFE1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F-1600</w:t>
                  </w:r>
                </w:p>
              </w:tc>
              <w:tc>
                <w:tcPr>
                  <w:tcW w:w="538" w:type="pct"/>
                  <w:noWrap w:val="0"/>
                  <w:vAlign w:val="center"/>
                </w:tcPr>
                <w:p w14:paraId="7775B8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7B5D7E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1193</w:t>
                  </w:r>
                </w:p>
              </w:tc>
              <w:tc>
                <w:tcPr>
                  <w:tcW w:w="1041" w:type="pct"/>
                  <w:noWrap w:val="0"/>
                  <w:vAlign w:val="center"/>
                </w:tcPr>
                <w:p w14:paraId="56D10B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52A3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5DCEEB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72AAFA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741E94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钻井泵2#</w:t>
                  </w:r>
                </w:p>
              </w:tc>
              <w:tc>
                <w:tcPr>
                  <w:tcW w:w="1132" w:type="pct"/>
                  <w:noWrap w:val="0"/>
                  <w:vAlign w:val="center"/>
                </w:tcPr>
                <w:p w14:paraId="3690D6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F-1600</w:t>
                  </w:r>
                </w:p>
              </w:tc>
              <w:tc>
                <w:tcPr>
                  <w:tcW w:w="538" w:type="pct"/>
                  <w:noWrap w:val="0"/>
                  <w:vAlign w:val="center"/>
                </w:tcPr>
                <w:p w14:paraId="3D667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2E1A5A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1193</w:t>
                  </w:r>
                </w:p>
              </w:tc>
              <w:tc>
                <w:tcPr>
                  <w:tcW w:w="1041" w:type="pct"/>
                  <w:noWrap w:val="0"/>
                  <w:vAlign w:val="center"/>
                </w:tcPr>
                <w:p w14:paraId="168618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28A4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4E9F0A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6244DD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25F834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钻井泵3#</w:t>
                  </w:r>
                </w:p>
              </w:tc>
              <w:tc>
                <w:tcPr>
                  <w:tcW w:w="1132" w:type="pct"/>
                  <w:noWrap w:val="0"/>
                  <w:vAlign w:val="center"/>
                </w:tcPr>
                <w:p w14:paraId="690D15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F-1300</w:t>
                  </w:r>
                </w:p>
              </w:tc>
              <w:tc>
                <w:tcPr>
                  <w:tcW w:w="538" w:type="pct"/>
                  <w:noWrap w:val="0"/>
                  <w:vAlign w:val="center"/>
                </w:tcPr>
                <w:p w14:paraId="5236AE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544" w:type="pct"/>
                  <w:noWrap w:val="0"/>
                  <w:vAlign w:val="center"/>
                </w:tcPr>
                <w:p w14:paraId="3127D4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960</w:t>
                  </w:r>
                </w:p>
              </w:tc>
              <w:tc>
                <w:tcPr>
                  <w:tcW w:w="1041" w:type="pct"/>
                  <w:noWrap w:val="0"/>
                  <w:vAlign w:val="center"/>
                </w:tcPr>
                <w:p w14:paraId="25C491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61EC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57302D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1A68C5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60EE3B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高压管汇</w:t>
                  </w:r>
                </w:p>
              </w:tc>
              <w:tc>
                <w:tcPr>
                  <w:tcW w:w="1132" w:type="pct"/>
                  <w:noWrap w:val="0"/>
                  <w:vAlign w:val="center"/>
                </w:tcPr>
                <w:p w14:paraId="02AF2D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38" w:type="pct"/>
                  <w:noWrap w:val="0"/>
                  <w:vAlign w:val="center"/>
                </w:tcPr>
                <w:p w14:paraId="793932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686418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595276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pacing w:val="-20"/>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52MPa</w:t>
                  </w:r>
                </w:p>
              </w:tc>
            </w:tr>
            <w:tr w14:paraId="0E1B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013FBC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2E7EC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1A538D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钻井液罐</w:t>
                  </w:r>
                </w:p>
              </w:tc>
              <w:tc>
                <w:tcPr>
                  <w:tcW w:w="1132" w:type="pct"/>
                  <w:noWrap w:val="0"/>
                  <w:vAlign w:val="center"/>
                </w:tcPr>
                <w:p w14:paraId="36ABEC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38" w:type="pct"/>
                  <w:noWrap w:val="0"/>
                  <w:vAlign w:val="center"/>
                </w:tcPr>
                <w:p w14:paraId="2AB8CC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171F7E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327CC1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循环罐总容积350m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p>
              </w:tc>
            </w:tr>
            <w:tr w14:paraId="40DB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353BA5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3293CC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258DE8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搅拌器</w:t>
                  </w:r>
                </w:p>
              </w:tc>
              <w:tc>
                <w:tcPr>
                  <w:tcW w:w="1132" w:type="pct"/>
                  <w:noWrap w:val="0"/>
                  <w:vAlign w:val="center"/>
                </w:tcPr>
                <w:p w14:paraId="3965C8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NJ-15</w:t>
                  </w:r>
                </w:p>
              </w:tc>
              <w:tc>
                <w:tcPr>
                  <w:tcW w:w="538" w:type="pct"/>
                  <w:noWrap w:val="0"/>
                  <w:vAlign w:val="center"/>
                </w:tcPr>
                <w:p w14:paraId="654B93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79C200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608F29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12个</w:t>
                  </w:r>
                </w:p>
                <w:p w14:paraId="2031DC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叶片直径600mm</w:t>
                  </w:r>
                </w:p>
              </w:tc>
            </w:tr>
            <w:tr w14:paraId="05F7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restart"/>
                  <w:noWrap w:val="0"/>
                  <w:vAlign w:val="center"/>
                </w:tcPr>
                <w:p w14:paraId="75A32F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六</w:t>
                  </w:r>
                </w:p>
              </w:tc>
              <w:tc>
                <w:tcPr>
                  <w:tcW w:w="449" w:type="pct"/>
                  <w:vMerge w:val="restart"/>
                  <w:tcBorders>
                    <w:top w:val="nil"/>
                  </w:tcBorders>
                  <w:noWrap w:val="0"/>
                  <w:vAlign w:val="center"/>
                </w:tcPr>
                <w:p w14:paraId="7C2A37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钻机动力系统</w:t>
                  </w:r>
                </w:p>
              </w:tc>
              <w:tc>
                <w:tcPr>
                  <w:tcW w:w="857" w:type="pct"/>
                  <w:tcBorders>
                    <w:top w:val="nil"/>
                  </w:tcBorders>
                  <w:noWrap w:val="0"/>
                  <w:vAlign w:val="center"/>
                </w:tcPr>
                <w:p w14:paraId="63459C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柴油机1#</w:t>
                  </w:r>
                </w:p>
              </w:tc>
              <w:tc>
                <w:tcPr>
                  <w:tcW w:w="1132" w:type="pct"/>
                  <w:noWrap w:val="0"/>
                  <w:vAlign w:val="center"/>
                </w:tcPr>
                <w:p w14:paraId="000228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G12V190PILG-3</w:t>
                  </w:r>
                </w:p>
              </w:tc>
              <w:tc>
                <w:tcPr>
                  <w:tcW w:w="538" w:type="pct"/>
                  <w:noWrap w:val="0"/>
                  <w:vAlign w:val="center"/>
                </w:tcPr>
                <w:p w14:paraId="41CEA8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1ACD85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810</w:t>
                  </w:r>
                </w:p>
              </w:tc>
              <w:tc>
                <w:tcPr>
                  <w:tcW w:w="1041" w:type="pct"/>
                  <w:noWrap w:val="0"/>
                  <w:vAlign w:val="center"/>
                </w:tcPr>
                <w:p w14:paraId="74C610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6CEB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796014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tcBorders>
                    <w:top w:val="nil"/>
                  </w:tcBorders>
                  <w:noWrap w:val="0"/>
                  <w:vAlign w:val="center"/>
                </w:tcPr>
                <w:p w14:paraId="48BDD1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tcBorders>
                    <w:top w:val="nil"/>
                  </w:tcBorders>
                  <w:noWrap w:val="0"/>
                  <w:vAlign w:val="center"/>
                </w:tcPr>
                <w:p w14:paraId="4AF4F4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柴油机2#</w:t>
                  </w:r>
                </w:p>
              </w:tc>
              <w:tc>
                <w:tcPr>
                  <w:tcW w:w="1132" w:type="pct"/>
                  <w:noWrap w:val="0"/>
                  <w:vAlign w:val="center"/>
                </w:tcPr>
                <w:p w14:paraId="772F68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G12V190PILG-3</w:t>
                  </w:r>
                </w:p>
              </w:tc>
              <w:tc>
                <w:tcPr>
                  <w:tcW w:w="538" w:type="pct"/>
                  <w:noWrap w:val="0"/>
                  <w:vAlign w:val="center"/>
                </w:tcPr>
                <w:p w14:paraId="5596AF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747967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810</w:t>
                  </w:r>
                </w:p>
              </w:tc>
              <w:tc>
                <w:tcPr>
                  <w:tcW w:w="1041" w:type="pct"/>
                  <w:noWrap w:val="0"/>
                  <w:vAlign w:val="center"/>
                </w:tcPr>
                <w:p w14:paraId="75FD95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DBB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3471B2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tcBorders>
                    <w:top w:val="nil"/>
                  </w:tcBorders>
                  <w:noWrap w:val="0"/>
                  <w:vAlign w:val="center"/>
                </w:tcPr>
                <w:p w14:paraId="4DC028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18300E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柴油机3#</w:t>
                  </w:r>
                </w:p>
              </w:tc>
              <w:tc>
                <w:tcPr>
                  <w:tcW w:w="1132" w:type="pct"/>
                  <w:noWrap w:val="0"/>
                  <w:vAlign w:val="center"/>
                </w:tcPr>
                <w:p w14:paraId="68384F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G12V190PILG-3</w:t>
                  </w:r>
                </w:p>
              </w:tc>
              <w:tc>
                <w:tcPr>
                  <w:tcW w:w="538" w:type="pct"/>
                  <w:noWrap w:val="0"/>
                  <w:vAlign w:val="center"/>
                </w:tcPr>
                <w:p w14:paraId="4DA4FE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48E5AB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810</w:t>
                  </w:r>
                </w:p>
              </w:tc>
              <w:tc>
                <w:tcPr>
                  <w:tcW w:w="1041" w:type="pct"/>
                  <w:noWrap w:val="0"/>
                  <w:vAlign w:val="center"/>
                </w:tcPr>
                <w:p w14:paraId="5BFDEC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ABB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restart"/>
                  <w:noWrap w:val="0"/>
                  <w:vAlign w:val="center"/>
                </w:tcPr>
                <w:p w14:paraId="5819F0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七</w:t>
                  </w:r>
                  <w:r>
                    <w:rPr>
                      <w:rFonts w:hint="default" w:ascii="Times New Roman" w:hAnsi="Times New Roman" w:eastAsia="宋体" w:cs="Times New Roman"/>
                      <w:color w:val="000000" w:themeColor="text1"/>
                      <w:sz w:val="21"/>
                      <w:szCs w:val="21"/>
                      <w14:textFill>
                        <w14:solidFill>
                          <w14:schemeClr w14:val="tx1"/>
                        </w14:solidFill>
                      </w14:textFill>
                    </w:rPr>
                    <w:t xml:space="preserve">                                                                       </w:t>
                  </w:r>
                </w:p>
              </w:tc>
              <w:tc>
                <w:tcPr>
                  <w:tcW w:w="449" w:type="pct"/>
                  <w:vMerge w:val="restart"/>
                  <w:noWrap w:val="0"/>
                  <w:vAlign w:val="center"/>
                </w:tcPr>
                <w:p w14:paraId="769ED9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发电</w:t>
                  </w:r>
                </w:p>
                <w:p w14:paraId="281E5D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机组</w:t>
                  </w:r>
                </w:p>
              </w:tc>
              <w:tc>
                <w:tcPr>
                  <w:tcW w:w="857" w:type="pct"/>
                  <w:noWrap w:val="0"/>
                  <w:vAlign w:val="center"/>
                </w:tcPr>
                <w:p w14:paraId="765AD3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发电机1#</w:t>
                  </w:r>
                </w:p>
              </w:tc>
              <w:tc>
                <w:tcPr>
                  <w:tcW w:w="1132" w:type="pct"/>
                  <w:noWrap w:val="0"/>
                  <w:vAlign w:val="center"/>
                </w:tcPr>
                <w:p w14:paraId="3C2F92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C15</w:t>
                  </w:r>
                </w:p>
              </w:tc>
              <w:tc>
                <w:tcPr>
                  <w:tcW w:w="538" w:type="pct"/>
                  <w:noWrap w:val="0"/>
                  <w:vAlign w:val="center"/>
                </w:tcPr>
                <w:p w14:paraId="0AE0A3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743368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320</w:t>
                  </w:r>
                </w:p>
              </w:tc>
              <w:tc>
                <w:tcPr>
                  <w:tcW w:w="1041" w:type="pct"/>
                  <w:noWrap w:val="0"/>
                  <w:vAlign w:val="center"/>
                </w:tcPr>
                <w:p w14:paraId="7E293B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2A56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57C599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4D3DAB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7B42B9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发电机2#</w:t>
                  </w:r>
                </w:p>
              </w:tc>
              <w:tc>
                <w:tcPr>
                  <w:tcW w:w="1132" w:type="pct"/>
                  <w:noWrap w:val="0"/>
                  <w:vAlign w:val="center"/>
                </w:tcPr>
                <w:p w14:paraId="1961A5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G12V190ZLD1</w:t>
                  </w:r>
                </w:p>
              </w:tc>
              <w:tc>
                <w:tcPr>
                  <w:tcW w:w="538" w:type="pct"/>
                  <w:noWrap w:val="0"/>
                  <w:vAlign w:val="center"/>
                </w:tcPr>
                <w:p w14:paraId="3A8B97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1C2544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700</w:t>
                  </w:r>
                </w:p>
              </w:tc>
              <w:tc>
                <w:tcPr>
                  <w:tcW w:w="1041" w:type="pct"/>
                  <w:noWrap w:val="0"/>
                  <w:vAlign w:val="center"/>
                </w:tcPr>
                <w:p w14:paraId="5315B2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74F6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1A70DF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56C012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161B82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发电机3#</w:t>
                  </w:r>
                </w:p>
              </w:tc>
              <w:tc>
                <w:tcPr>
                  <w:tcW w:w="1132" w:type="pct"/>
                  <w:noWrap w:val="0"/>
                  <w:vAlign w:val="center"/>
                </w:tcPr>
                <w:p w14:paraId="7E387D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G12V190ZLD1-2</w:t>
                  </w:r>
                </w:p>
              </w:tc>
              <w:tc>
                <w:tcPr>
                  <w:tcW w:w="538" w:type="pct"/>
                  <w:noWrap w:val="0"/>
                  <w:vAlign w:val="center"/>
                </w:tcPr>
                <w:p w14:paraId="307B78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558376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500</w:t>
                  </w:r>
                </w:p>
              </w:tc>
              <w:tc>
                <w:tcPr>
                  <w:tcW w:w="1041" w:type="pct"/>
                  <w:noWrap w:val="0"/>
                  <w:vAlign w:val="center"/>
                </w:tcPr>
                <w:p w14:paraId="50D3F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5E75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5A005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7302A5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7BFA05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MCC房</w:t>
                  </w:r>
                </w:p>
              </w:tc>
              <w:tc>
                <w:tcPr>
                  <w:tcW w:w="1132" w:type="pct"/>
                  <w:noWrap w:val="0"/>
                  <w:vAlign w:val="center"/>
                </w:tcPr>
                <w:p w14:paraId="7FA769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HH70LDB</w:t>
                  </w:r>
                </w:p>
              </w:tc>
              <w:tc>
                <w:tcPr>
                  <w:tcW w:w="538" w:type="pct"/>
                  <w:noWrap w:val="0"/>
                  <w:vAlign w:val="center"/>
                </w:tcPr>
                <w:p w14:paraId="29EB2E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537274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23A52A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1栋</w:t>
                  </w:r>
                </w:p>
              </w:tc>
            </w:tr>
            <w:tr w14:paraId="1EDB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restart"/>
                  <w:noWrap w:val="0"/>
                  <w:vAlign w:val="center"/>
                </w:tcPr>
                <w:p w14:paraId="436D4E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八</w:t>
                  </w:r>
                </w:p>
              </w:tc>
              <w:tc>
                <w:tcPr>
                  <w:tcW w:w="449" w:type="pct"/>
                  <w:vMerge w:val="restart"/>
                  <w:noWrap w:val="0"/>
                  <w:vAlign w:val="center"/>
                </w:tcPr>
                <w:p w14:paraId="33278E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钻机控制系统</w:t>
                  </w:r>
                </w:p>
              </w:tc>
              <w:tc>
                <w:tcPr>
                  <w:tcW w:w="857" w:type="pct"/>
                  <w:noWrap w:val="0"/>
                  <w:vAlign w:val="center"/>
                </w:tcPr>
                <w:p w14:paraId="1BBF41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自动压风机</w:t>
                  </w:r>
                </w:p>
              </w:tc>
              <w:tc>
                <w:tcPr>
                  <w:tcW w:w="1132" w:type="pct"/>
                  <w:noWrap w:val="0"/>
                  <w:vAlign w:val="center"/>
                </w:tcPr>
                <w:p w14:paraId="48A19C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SPE306X</w:t>
                  </w:r>
                </w:p>
              </w:tc>
              <w:tc>
                <w:tcPr>
                  <w:tcW w:w="538" w:type="pct"/>
                  <w:noWrap w:val="0"/>
                  <w:vAlign w:val="center"/>
                </w:tcPr>
                <w:p w14:paraId="4148C7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42F2AD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6AD225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6.5m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/min</w:t>
                  </w:r>
                </w:p>
              </w:tc>
            </w:tr>
            <w:tr w14:paraId="0EC3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06F320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72F29F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205BFB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电动压风机</w:t>
                  </w:r>
                </w:p>
              </w:tc>
              <w:tc>
                <w:tcPr>
                  <w:tcW w:w="1132" w:type="pct"/>
                  <w:noWrap w:val="0"/>
                  <w:vAlign w:val="center"/>
                </w:tcPr>
                <w:p w14:paraId="142125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SPE306X</w:t>
                  </w:r>
                </w:p>
              </w:tc>
              <w:tc>
                <w:tcPr>
                  <w:tcW w:w="538" w:type="pct"/>
                  <w:noWrap w:val="0"/>
                  <w:vAlign w:val="center"/>
                </w:tcPr>
                <w:p w14:paraId="5BCB20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0417E0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50B897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6.5m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/min</w:t>
                  </w:r>
                </w:p>
              </w:tc>
            </w:tr>
            <w:tr w14:paraId="6E2D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restart"/>
                  <w:noWrap w:val="0"/>
                  <w:vAlign w:val="center"/>
                </w:tcPr>
                <w:p w14:paraId="1BECA9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九</w:t>
                  </w:r>
                </w:p>
              </w:tc>
              <w:tc>
                <w:tcPr>
                  <w:tcW w:w="449" w:type="pct"/>
                  <w:vMerge w:val="restart"/>
                  <w:noWrap w:val="0"/>
                  <w:vAlign w:val="center"/>
                </w:tcPr>
                <w:p w14:paraId="201512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固控</w:t>
                  </w:r>
                </w:p>
                <w:p w14:paraId="39BC10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系统</w:t>
                  </w:r>
                </w:p>
              </w:tc>
              <w:tc>
                <w:tcPr>
                  <w:tcW w:w="857" w:type="pct"/>
                  <w:noWrap w:val="0"/>
                  <w:vAlign w:val="center"/>
                </w:tcPr>
                <w:p w14:paraId="0B7981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振动筛</w:t>
                  </w:r>
                </w:p>
              </w:tc>
              <w:tc>
                <w:tcPr>
                  <w:tcW w:w="1132" w:type="pct"/>
                  <w:noWrap w:val="0"/>
                  <w:vAlign w:val="center"/>
                </w:tcPr>
                <w:p w14:paraId="070FB2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pacing w:val="4"/>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HS270-4P-PTS</w:t>
                  </w:r>
                </w:p>
              </w:tc>
              <w:tc>
                <w:tcPr>
                  <w:tcW w:w="538" w:type="pct"/>
                  <w:noWrap w:val="0"/>
                  <w:vAlign w:val="center"/>
                </w:tcPr>
                <w:p w14:paraId="6A163C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763195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061118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3台</w:t>
                  </w:r>
                </w:p>
              </w:tc>
            </w:tr>
            <w:tr w14:paraId="276D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05A752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446E59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3386C4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除砂除泥</w:t>
                  </w:r>
                </w:p>
                <w:p w14:paraId="40360C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一体机</w:t>
                  </w:r>
                </w:p>
              </w:tc>
              <w:tc>
                <w:tcPr>
                  <w:tcW w:w="1132" w:type="pct"/>
                  <w:noWrap w:val="0"/>
                  <w:vAlign w:val="center"/>
                </w:tcPr>
                <w:p w14:paraId="2F0AD9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pacing w:val="4"/>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ZQJ-l/250X2</w:t>
                  </w:r>
                </w:p>
                <w:p w14:paraId="58DFC7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pacing w:val="4"/>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-100X14-2</w:t>
                  </w:r>
                </w:p>
              </w:tc>
              <w:tc>
                <w:tcPr>
                  <w:tcW w:w="538" w:type="pct"/>
                  <w:noWrap w:val="0"/>
                  <w:vAlign w:val="center"/>
                </w:tcPr>
                <w:p w14:paraId="742B1A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66C1F0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0320A1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1FF7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vMerge w:val="continue"/>
                  <w:noWrap w:val="0"/>
                  <w:vAlign w:val="center"/>
                </w:tcPr>
                <w:p w14:paraId="2D0F1D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49" w:type="pct"/>
                  <w:vMerge w:val="continue"/>
                  <w:noWrap w:val="0"/>
                  <w:vAlign w:val="center"/>
                </w:tcPr>
                <w:p w14:paraId="1A8AD8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57" w:type="pct"/>
                  <w:noWrap w:val="0"/>
                  <w:vAlign w:val="center"/>
                </w:tcPr>
                <w:p w14:paraId="776F04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离心机</w:t>
                  </w:r>
                </w:p>
              </w:tc>
              <w:tc>
                <w:tcPr>
                  <w:tcW w:w="1132" w:type="pct"/>
                  <w:noWrap w:val="0"/>
                  <w:vAlign w:val="center"/>
                </w:tcPr>
                <w:p w14:paraId="604457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LW600×1000-N</w:t>
                  </w:r>
                </w:p>
              </w:tc>
              <w:tc>
                <w:tcPr>
                  <w:tcW w:w="538" w:type="pct"/>
                  <w:noWrap w:val="0"/>
                  <w:vAlign w:val="center"/>
                </w:tcPr>
                <w:p w14:paraId="70DAAA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544" w:type="pct"/>
                  <w:noWrap w:val="0"/>
                  <w:vAlign w:val="center"/>
                </w:tcPr>
                <w:p w14:paraId="0DAF3D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41" w:type="pct"/>
                  <w:noWrap w:val="0"/>
                  <w:vAlign w:val="center"/>
                </w:tcPr>
                <w:p w14:paraId="111758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2台</w:t>
                  </w:r>
                </w:p>
              </w:tc>
            </w:tr>
            <w:tr w14:paraId="3DA2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noWrap w:val="0"/>
                  <w:vAlign w:val="center"/>
                </w:tcPr>
                <w:p w14:paraId="00B7A0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十</w:t>
                  </w:r>
                </w:p>
              </w:tc>
              <w:tc>
                <w:tcPr>
                  <w:tcW w:w="449" w:type="pct"/>
                  <w:noWrap w:val="0"/>
                  <w:vAlign w:val="center"/>
                </w:tcPr>
                <w:p w14:paraId="70295A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加重</w:t>
                  </w:r>
                </w:p>
                <w:p w14:paraId="19E5F8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装置</w:t>
                  </w:r>
                </w:p>
              </w:tc>
              <w:tc>
                <w:tcPr>
                  <w:tcW w:w="857" w:type="pct"/>
                  <w:noWrap w:val="0"/>
                  <w:vAlign w:val="center"/>
                </w:tcPr>
                <w:p w14:paraId="4D1432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加重泵组</w:t>
                  </w:r>
                </w:p>
              </w:tc>
              <w:tc>
                <w:tcPr>
                  <w:tcW w:w="1132" w:type="pct"/>
                  <w:noWrap w:val="0"/>
                  <w:vAlign w:val="center"/>
                </w:tcPr>
                <w:p w14:paraId="3DE67D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150NSP</w:t>
                  </w:r>
                </w:p>
              </w:tc>
              <w:tc>
                <w:tcPr>
                  <w:tcW w:w="538" w:type="pct"/>
                  <w:noWrap w:val="0"/>
                  <w:vAlign w:val="center"/>
                </w:tcPr>
                <w:p w14:paraId="122C1C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544" w:type="pct"/>
                  <w:noWrap w:val="0"/>
                  <w:vAlign w:val="center"/>
                </w:tcPr>
                <w:p w14:paraId="05AA74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041" w:type="pct"/>
                  <w:noWrap w:val="0"/>
                  <w:vAlign w:val="center"/>
                </w:tcPr>
                <w:p w14:paraId="3544E2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1套</w:t>
                  </w:r>
                </w:p>
              </w:tc>
            </w:tr>
            <w:tr w14:paraId="5071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shd w:val="clear" w:color="auto" w:fill="auto"/>
                  <w:noWrap w:val="0"/>
                  <w:vAlign w:val="center"/>
                </w:tcPr>
                <w:p w14:paraId="6F93C252">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十</w:t>
                  </w:r>
                  <w:r>
                    <w:rPr>
                      <w:rFonts w:hint="default" w:ascii="Times New Roman" w:hAnsi="Times New Roman" w:cs="Times New Roman"/>
                      <w:color w:val="000000" w:themeColor="text1"/>
                      <w:lang w:val="en-US" w:eastAsia="zh-CN"/>
                      <w14:textFill>
                        <w14:solidFill>
                          <w14:schemeClr w14:val="tx1"/>
                        </w14:solidFill>
                      </w14:textFill>
                    </w:rPr>
                    <w:t>一</w:t>
                  </w:r>
                </w:p>
              </w:tc>
              <w:tc>
                <w:tcPr>
                  <w:tcW w:w="1307" w:type="pct"/>
                  <w:gridSpan w:val="2"/>
                  <w:shd w:val="clear" w:color="auto" w:fill="auto"/>
                  <w:noWrap w:val="0"/>
                  <w:vAlign w:val="center"/>
                </w:tcPr>
                <w:p w14:paraId="1B0DF704">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泥浆不落地系统</w:t>
                  </w:r>
                </w:p>
              </w:tc>
              <w:tc>
                <w:tcPr>
                  <w:tcW w:w="1132" w:type="pct"/>
                  <w:shd w:val="clear" w:color="auto" w:fill="auto"/>
                  <w:noWrap w:val="0"/>
                  <w:vAlign w:val="center"/>
                </w:tcPr>
                <w:p w14:paraId="11AE804B">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538" w:type="pct"/>
                  <w:shd w:val="clear" w:color="auto" w:fill="auto"/>
                  <w:noWrap w:val="0"/>
                  <w:vAlign w:val="center"/>
                </w:tcPr>
                <w:p w14:paraId="4EC3E278">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544" w:type="pct"/>
                  <w:noWrap w:val="0"/>
                  <w:vAlign w:val="center"/>
                </w:tcPr>
                <w:p w14:paraId="1A2402AE">
                  <w:pPr>
                    <w:pStyle w:val="23"/>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1套</w:t>
                  </w:r>
                </w:p>
              </w:tc>
              <w:tc>
                <w:tcPr>
                  <w:tcW w:w="1041" w:type="pct"/>
                  <w:noWrap w:val="0"/>
                  <w:vAlign w:val="center"/>
                </w:tcPr>
                <w:p w14:paraId="1DD97E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5E92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shd w:val="clear" w:color="auto" w:fill="auto"/>
                  <w:noWrap w:val="0"/>
                  <w:vAlign w:val="center"/>
                </w:tcPr>
                <w:p w14:paraId="6D2B4A65">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十</w:t>
                  </w:r>
                  <w:r>
                    <w:rPr>
                      <w:rFonts w:hint="default" w:ascii="Times New Roman" w:hAnsi="Times New Roman" w:cs="Times New Roman"/>
                      <w:color w:val="000000" w:themeColor="text1"/>
                      <w:lang w:val="en-US" w:eastAsia="zh-CN"/>
                      <w14:textFill>
                        <w14:solidFill>
                          <w14:schemeClr w14:val="tx1"/>
                        </w14:solidFill>
                      </w14:textFill>
                    </w:rPr>
                    <w:t>二</w:t>
                  </w:r>
                </w:p>
              </w:tc>
              <w:tc>
                <w:tcPr>
                  <w:tcW w:w="1307" w:type="pct"/>
                  <w:gridSpan w:val="2"/>
                  <w:shd w:val="clear" w:color="auto" w:fill="auto"/>
                  <w:noWrap w:val="0"/>
                  <w:vAlign w:val="center"/>
                </w:tcPr>
                <w:p w14:paraId="1EB46687">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净化罐</w:t>
                  </w:r>
                </w:p>
              </w:tc>
              <w:tc>
                <w:tcPr>
                  <w:tcW w:w="1132" w:type="pct"/>
                  <w:shd w:val="clear" w:color="auto" w:fill="auto"/>
                  <w:noWrap w:val="0"/>
                  <w:vAlign w:val="center"/>
                </w:tcPr>
                <w:p w14:paraId="38F213F1">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40m</w:t>
                  </w:r>
                  <w:r>
                    <w:rPr>
                      <w:rFonts w:hint="default" w:ascii="Times New Roman" w:hAnsi="Times New Roman" w:cs="Times New Roman"/>
                      <w:color w:val="000000" w:themeColor="text1"/>
                      <w:vertAlign w:val="superscript"/>
                      <w14:textFill>
                        <w14:solidFill>
                          <w14:schemeClr w14:val="tx1"/>
                        </w14:solidFill>
                      </w14:textFill>
                    </w:rPr>
                    <w:t>3</w:t>
                  </w:r>
                </w:p>
              </w:tc>
              <w:tc>
                <w:tcPr>
                  <w:tcW w:w="538" w:type="pct"/>
                  <w:shd w:val="clear" w:color="auto" w:fill="auto"/>
                  <w:noWrap w:val="0"/>
                  <w:vAlign w:val="center"/>
                </w:tcPr>
                <w:p w14:paraId="2DC80A81">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544" w:type="pct"/>
                  <w:noWrap w:val="0"/>
                  <w:vAlign w:val="center"/>
                </w:tcPr>
                <w:p w14:paraId="44731B82">
                  <w:pPr>
                    <w:pStyle w:val="23"/>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2套</w:t>
                  </w:r>
                </w:p>
              </w:tc>
              <w:tc>
                <w:tcPr>
                  <w:tcW w:w="1041" w:type="pct"/>
                  <w:noWrap w:val="0"/>
                  <w:vAlign w:val="center"/>
                </w:tcPr>
                <w:p w14:paraId="7386C5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519D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shd w:val="clear" w:color="auto" w:fill="auto"/>
                  <w:noWrap w:val="0"/>
                  <w:vAlign w:val="center"/>
                </w:tcPr>
                <w:p w14:paraId="136B6DF3">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十三</w:t>
                  </w:r>
                </w:p>
              </w:tc>
              <w:tc>
                <w:tcPr>
                  <w:tcW w:w="1307" w:type="pct"/>
                  <w:gridSpan w:val="2"/>
                  <w:shd w:val="clear" w:color="auto" w:fill="auto"/>
                  <w:noWrap w:val="0"/>
                  <w:vAlign w:val="center"/>
                </w:tcPr>
                <w:p w14:paraId="0D0B0046">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套装水罐</w:t>
                  </w:r>
                </w:p>
              </w:tc>
              <w:tc>
                <w:tcPr>
                  <w:tcW w:w="1132" w:type="pct"/>
                  <w:shd w:val="clear" w:color="auto" w:fill="auto"/>
                  <w:noWrap w:val="0"/>
                  <w:vAlign w:val="center"/>
                </w:tcPr>
                <w:p w14:paraId="2B617363">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60m</w:t>
                  </w:r>
                  <w:r>
                    <w:rPr>
                      <w:rFonts w:hint="default" w:ascii="Times New Roman" w:hAnsi="Times New Roman" w:cs="Times New Roman"/>
                      <w:color w:val="000000" w:themeColor="text1"/>
                      <w:vertAlign w:val="superscript"/>
                      <w14:textFill>
                        <w14:solidFill>
                          <w14:schemeClr w14:val="tx1"/>
                        </w14:solidFill>
                      </w14:textFill>
                    </w:rPr>
                    <w:t>3</w:t>
                  </w:r>
                </w:p>
              </w:tc>
              <w:tc>
                <w:tcPr>
                  <w:tcW w:w="538" w:type="pct"/>
                  <w:shd w:val="clear" w:color="auto" w:fill="auto"/>
                  <w:noWrap w:val="0"/>
                  <w:vAlign w:val="center"/>
                </w:tcPr>
                <w:p w14:paraId="752C24DA">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544" w:type="pct"/>
                  <w:noWrap w:val="0"/>
                  <w:vAlign w:val="center"/>
                </w:tcPr>
                <w:p w14:paraId="0656FECC">
                  <w:pPr>
                    <w:pStyle w:val="23"/>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1套</w:t>
                  </w:r>
                </w:p>
              </w:tc>
              <w:tc>
                <w:tcPr>
                  <w:tcW w:w="1041" w:type="pct"/>
                  <w:noWrap w:val="0"/>
                  <w:vAlign w:val="center"/>
                </w:tcPr>
                <w:p w14:paraId="2A77E9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096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shd w:val="clear" w:color="auto" w:fill="auto"/>
                  <w:noWrap w:val="0"/>
                  <w:vAlign w:val="center"/>
                </w:tcPr>
                <w:p w14:paraId="2E077E0A">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十四</w:t>
                  </w:r>
                </w:p>
              </w:tc>
              <w:tc>
                <w:tcPr>
                  <w:tcW w:w="1307" w:type="pct"/>
                  <w:gridSpan w:val="2"/>
                  <w:shd w:val="clear" w:color="auto" w:fill="auto"/>
                  <w:noWrap w:val="0"/>
                  <w:vAlign w:val="center"/>
                </w:tcPr>
                <w:p w14:paraId="687A26D5">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油水罐</w:t>
                  </w:r>
                </w:p>
              </w:tc>
              <w:tc>
                <w:tcPr>
                  <w:tcW w:w="1132" w:type="pct"/>
                  <w:shd w:val="clear" w:color="auto" w:fill="auto"/>
                  <w:noWrap w:val="0"/>
                  <w:vAlign w:val="center"/>
                </w:tcPr>
                <w:p w14:paraId="1457F984">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40m</w:t>
                  </w:r>
                  <w:r>
                    <w:rPr>
                      <w:rFonts w:hint="default" w:ascii="Times New Roman" w:hAnsi="Times New Roman" w:cs="Times New Roman"/>
                      <w:color w:val="000000" w:themeColor="text1"/>
                      <w:vertAlign w:val="superscript"/>
                      <w14:textFill>
                        <w14:solidFill>
                          <w14:schemeClr w14:val="tx1"/>
                        </w14:solidFill>
                      </w14:textFill>
                    </w:rPr>
                    <w:t>3</w:t>
                  </w:r>
                </w:p>
              </w:tc>
              <w:tc>
                <w:tcPr>
                  <w:tcW w:w="538" w:type="pct"/>
                  <w:shd w:val="clear" w:color="auto" w:fill="auto"/>
                  <w:noWrap w:val="0"/>
                  <w:vAlign w:val="center"/>
                </w:tcPr>
                <w:p w14:paraId="0E13E4F7">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544" w:type="pct"/>
                  <w:noWrap w:val="0"/>
                  <w:vAlign w:val="center"/>
                </w:tcPr>
                <w:p w14:paraId="28C19ADB">
                  <w:pPr>
                    <w:pStyle w:val="23"/>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3套</w:t>
                  </w:r>
                </w:p>
              </w:tc>
              <w:tc>
                <w:tcPr>
                  <w:tcW w:w="1041" w:type="pct"/>
                  <w:noWrap w:val="0"/>
                  <w:vAlign w:val="center"/>
                </w:tcPr>
                <w:p w14:paraId="0A0570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7BA0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shd w:val="clear" w:color="auto" w:fill="auto"/>
                  <w:noWrap w:val="0"/>
                  <w:vAlign w:val="center"/>
                </w:tcPr>
                <w:p w14:paraId="56C3CB4E">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十五</w:t>
                  </w:r>
                </w:p>
              </w:tc>
              <w:tc>
                <w:tcPr>
                  <w:tcW w:w="1307" w:type="pct"/>
                  <w:gridSpan w:val="2"/>
                  <w:shd w:val="clear" w:color="auto" w:fill="auto"/>
                  <w:noWrap w:val="0"/>
                  <w:vAlign w:val="center"/>
                </w:tcPr>
                <w:p w14:paraId="3E25E5B1">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柴油罐</w:t>
                  </w:r>
                </w:p>
              </w:tc>
              <w:tc>
                <w:tcPr>
                  <w:tcW w:w="1132" w:type="pct"/>
                  <w:shd w:val="clear" w:color="auto" w:fill="auto"/>
                  <w:noWrap w:val="0"/>
                  <w:vAlign w:val="center"/>
                </w:tcPr>
                <w:p w14:paraId="329FE654">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20m</w:t>
                  </w:r>
                  <w:r>
                    <w:rPr>
                      <w:rFonts w:hint="default" w:ascii="Times New Roman" w:hAnsi="Times New Roman" w:cs="Times New Roman"/>
                      <w:color w:val="000000" w:themeColor="text1"/>
                      <w:vertAlign w:val="superscript"/>
                      <w14:textFill>
                        <w14:solidFill>
                          <w14:schemeClr w14:val="tx1"/>
                        </w14:solidFill>
                      </w14:textFill>
                    </w:rPr>
                    <w:t>3</w:t>
                  </w:r>
                </w:p>
              </w:tc>
              <w:tc>
                <w:tcPr>
                  <w:tcW w:w="538" w:type="pct"/>
                  <w:shd w:val="clear" w:color="auto" w:fill="auto"/>
                  <w:noWrap w:val="0"/>
                  <w:vAlign w:val="center"/>
                </w:tcPr>
                <w:p w14:paraId="25CDD0F1">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544" w:type="pct"/>
                  <w:noWrap w:val="0"/>
                  <w:vAlign w:val="center"/>
                </w:tcPr>
                <w:p w14:paraId="3E099ABA">
                  <w:pPr>
                    <w:pStyle w:val="23"/>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1套</w:t>
                  </w:r>
                </w:p>
              </w:tc>
              <w:tc>
                <w:tcPr>
                  <w:tcW w:w="1041" w:type="pct"/>
                  <w:noWrap w:val="0"/>
                  <w:vAlign w:val="center"/>
                </w:tcPr>
                <w:p w14:paraId="1E50F5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B6A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5" w:type="pct"/>
                  <w:shd w:val="clear" w:color="auto" w:fill="auto"/>
                  <w:noWrap w:val="0"/>
                  <w:vAlign w:val="center"/>
                </w:tcPr>
                <w:p w14:paraId="70628A01">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十六</w:t>
                  </w:r>
                </w:p>
              </w:tc>
              <w:tc>
                <w:tcPr>
                  <w:tcW w:w="1307" w:type="pct"/>
                  <w:gridSpan w:val="2"/>
                  <w:shd w:val="clear" w:color="auto" w:fill="auto"/>
                  <w:noWrap w:val="0"/>
                  <w:vAlign w:val="center"/>
                </w:tcPr>
                <w:p w14:paraId="70D79D5B">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岩屑储罐</w:t>
                  </w:r>
                </w:p>
              </w:tc>
              <w:tc>
                <w:tcPr>
                  <w:tcW w:w="1132" w:type="pct"/>
                  <w:shd w:val="clear" w:color="auto" w:fill="auto"/>
                  <w:noWrap w:val="0"/>
                  <w:vAlign w:val="center"/>
                </w:tcPr>
                <w:p w14:paraId="65E1F6F7">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50m</w:t>
                  </w:r>
                  <w:r>
                    <w:rPr>
                      <w:rFonts w:hint="default" w:ascii="Times New Roman" w:hAnsi="Times New Roman" w:cs="Times New Roman"/>
                      <w:color w:val="000000" w:themeColor="text1"/>
                      <w:vertAlign w:val="superscript"/>
                      <w14:textFill>
                        <w14:solidFill>
                          <w14:schemeClr w14:val="tx1"/>
                        </w14:solidFill>
                      </w14:textFill>
                    </w:rPr>
                    <w:t>3</w:t>
                  </w:r>
                </w:p>
              </w:tc>
              <w:tc>
                <w:tcPr>
                  <w:tcW w:w="538" w:type="pct"/>
                  <w:shd w:val="clear" w:color="auto" w:fill="auto"/>
                  <w:noWrap w:val="0"/>
                  <w:vAlign w:val="center"/>
                </w:tcPr>
                <w:p w14:paraId="680E9DC1">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p>
              </w:tc>
              <w:tc>
                <w:tcPr>
                  <w:tcW w:w="544" w:type="pct"/>
                  <w:noWrap w:val="0"/>
                  <w:vAlign w:val="center"/>
                </w:tcPr>
                <w:p w14:paraId="32AA441C">
                  <w:pPr>
                    <w:pStyle w:val="23"/>
                    <w:ind w:left="0" w:leftChars="0" w:firstLine="0" w:firstLineChars="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2套</w:t>
                  </w:r>
                </w:p>
              </w:tc>
              <w:tc>
                <w:tcPr>
                  <w:tcW w:w="1041" w:type="pct"/>
                  <w:noWrap w:val="0"/>
                  <w:vAlign w:val="center"/>
                </w:tcPr>
                <w:p w14:paraId="573E4F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bl>
          <w:p w14:paraId="5AE8C8CC">
            <w:pPr>
              <w:pStyle w:val="4"/>
              <w:ind w:firstLine="0" w:firstLineChars="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 xml:space="preserve">4 </w:t>
            </w:r>
            <w:r>
              <w:rPr>
                <w:rFonts w:hint="default" w:ascii="Times New Roman" w:hAnsi="Times New Roman" w:cs="Times New Roman"/>
                <w:color w:val="000000" w:themeColor="text1"/>
                <w14:textFill>
                  <w14:solidFill>
                    <w14:schemeClr w14:val="tx1"/>
                  </w14:solidFill>
                </w14:textFill>
              </w:rPr>
              <w:t>钻井液</w:t>
            </w:r>
            <w:r>
              <w:rPr>
                <w:rFonts w:hint="default" w:ascii="Times New Roman" w:hAnsi="Times New Roman" w:cs="Times New Roman"/>
                <w:color w:val="000000" w:themeColor="text1"/>
                <w:lang w:val="en-US" w:eastAsia="zh-CN"/>
                <w14:textFill>
                  <w14:solidFill>
                    <w14:schemeClr w14:val="tx1"/>
                  </w14:solidFill>
                </w14:textFill>
              </w:rPr>
              <w:t>体系</w:t>
            </w:r>
          </w:p>
          <w:p w14:paraId="6B9D17E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根据钻井工程设计，本次钻试工程</w:t>
            </w:r>
            <w:r>
              <w:rPr>
                <w:rFonts w:hint="default" w:ascii="Times New Roman" w:hAnsi="Times New Roman" w:cs="Times New Roman"/>
                <w:color w:val="000000" w:themeColor="text1"/>
                <w:sz w:val="24"/>
                <w:szCs w:val="24"/>
                <w:lang w:val="en-US" w:eastAsia="zh-CN"/>
                <w14:textFill>
                  <w14:solidFill>
                    <w14:schemeClr w14:val="tx1"/>
                  </w14:solidFill>
                </w14:textFill>
              </w:rPr>
              <w:t>一开、二开、三开</w:t>
            </w:r>
            <w:r>
              <w:rPr>
                <w:rFonts w:hint="default" w:ascii="Times New Roman" w:hAnsi="Times New Roman" w:cs="Times New Roman"/>
                <w:color w:val="000000" w:themeColor="text1"/>
                <w:sz w:val="24"/>
                <w:szCs w:val="24"/>
                <w14:textFill>
                  <w14:solidFill>
                    <w14:schemeClr w14:val="tx1"/>
                  </w14:solidFill>
                </w14:textFill>
              </w:rPr>
              <w:t>采用水基钻井液体系（不含磺化物质），主要成分：坂土、CMC（中）、Na</w:t>
            </w:r>
            <w:r>
              <w:rPr>
                <w:rFonts w:hint="default" w:ascii="Times New Roman" w:hAnsi="Times New Roman" w:cs="Times New Roman"/>
                <w:color w:val="000000" w:themeColor="text1"/>
                <w:sz w:val="24"/>
                <w:szCs w:val="24"/>
                <w:vertAlign w:val="subscript"/>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CO</w:t>
            </w:r>
            <w:r>
              <w:rPr>
                <w:rFonts w:hint="default" w:ascii="Times New Roman" w:hAnsi="Times New Roman" w:cs="Times New Roman"/>
                <w:color w:val="000000" w:themeColor="text1"/>
                <w:sz w:val="24"/>
                <w:szCs w:val="24"/>
                <w:vertAlign w:val="subscript"/>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NaOH、</w:t>
            </w:r>
            <w:r>
              <w:rPr>
                <w:rFonts w:hint="default" w:ascii="Times New Roman" w:hAnsi="Times New Roman" w:cs="Times New Roman"/>
                <w:color w:val="000000" w:themeColor="text1"/>
                <w:sz w:val="24"/>
                <w:szCs w:val="24"/>
                <w14:textFill>
                  <w14:solidFill>
                    <w14:schemeClr w14:val="tx1"/>
                  </w14:solidFill>
                </w14:textFill>
              </w:rPr>
              <w:t>重晶石等。</w:t>
            </w:r>
            <w:r>
              <w:rPr>
                <w:rFonts w:hint="default" w:ascii="Times New Roman" w:hAnsi="Times New Roman" w:cs="Times New Roman"/>
                <w:color w:val="000000" w:themeColor="text1"/>
                <w14:textFill>
                  <w14:solidFill>
                    <w14:schemeClr w14:val="tx1"/>
                  </w14:solidFill>
                </w14:textFill>
              </w:rPr>
              <w:t>本项目钻井液用量为</w:t>
            </w:r>
            <w:r>
              <w:rPr>
                <w:rFonts w:hint="default" w:ascii="Times New Roman" w:hAnsi="Times New Roman" w:cs="Times New Roman"/>
                <w:color w:val="000000" w:themeColor="text1"/>
                <w:lang w:val="en-US" w:eastAsia="zh-CN"/>
                <w14:textFill>
                  <w14:solidFill>
                    <w14:schemeClr w14:val="tx1"/>
                  </w14:solidFill>
                </w14:textFill>
              </w:rPr>
              <w:t>980</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p>
          <w:p w14:paraId="337690D2">
            <w:pPr>
              <w:pStyle w:val="9"/>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lang w:val="en-US" w:eastAsia="zh-CN"/>
                <w14:textFill>
                  <w14:solidFill>
                    <w14:schemeClr w14:val="tx1"/>
                  </w14:solidFill>
                </w14:textFill>
              </w:rPr>
              <w:t>坂土：又称膨润土，</w:t>
            </w:r>
            <w:r>
              <w:rPr>
                <w:rFonts w:hint="default" w:ascii="Times New Roman" w:hAnsi="Times New Roman" w:cs="Times New Roman"/>
                <w:color w:val="000000" w:themeColor="text1"/>
                <w:kern w:val="0"/>
                <w:szCs w:val="21"/>
                <w14:textFill>
                  <w14:solidFill>
                    <w14:schemeClr w14:val="tx1"/>
                  </w14:solidFill>
                </w14:textFill>
              </w:rPr>
              <w:t>主要成分为蒙脱石，外观是适当粒度的粉末，因含杂质的不同，有白色、灰色、灰黄色和紫红色等颜色，易吸潮，吸潮后结块。</w:t>
            </w:r>
          </w:p>
          <w:p w14:paraId="0D354151">
            <w:pPr>
              <w:pStyle w:val="9"/>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CMC（中）</w:t>
            </w:r>
            <w:r>
              <w:rPr>
                <w:rFonts w:hint="default" w:ascii="Times New Roman" w:hAnsi="Times New Roman" w:cs="Times New Roman"/>
                <w:color w:val="000000" w:themeColor="text1"/>
                <w:sz w:val="24"/>
                <w:szCs w:val="24"/>
                <w:lang w:eastAsia="zh-CN"/>
                <w14:textFill>
                  <w14:solidFill>
                    <w14:schemeClr w14:val="tx1"/>
                  </w14:solidFill>
                </w14:textFill>
              </w:rPr>
              <w:t>：羧甲基纤维素钠（CMC）为白色至微淡黄色纤维状或颗粒粉末，无臭无味，具有较强吸湿性，无固定熔点，不溶于乙醇、丙酮、乙醚等纯有机溶剂，具备乳化、分散、悬浮性能，可与黄原胶、瓜尔胶、淀粉等多数水溶性胶体复配协同增稠，避光储存稳定性良好，常温水溶液不易被微生物分解，遇强酸可发生质子化析出固体，浓强碱长期作用下易发生大分子断链降解。</w:t>
            </w:r>
          </w:p>
          <w:p w14:paraId="4AE421D8">
            <w:pPr>
              <w:pStyle w:val="9"/>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Na</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CO</w:t>
            </w:r>
            <w:r>
              <w:rPr>
                <w:rFonts w:hint="default" w:ascii="Times New Roman" w:hAnsi="Times New Roman" w:cs="Times New Roman"/>
                <w:color w:val="000000" w:themeColor="text1"/>
                <w:vertAlign w:val="subscript"/>
                <w14:textFill>
                  <w14:solidFill>
                    <w14:schemeClr w14:val="tx1"/>
                  </w14:solidFill>
                </w14:textFill>
              </w:rPr>
              <w:t>3</w:t>
            </w:r>
            <w:r>
              <w:rPr>
                <w:rFonts w:hint="default" w:ascii="Times New Roman" w:hAnsi="Times New Roman" w:cs="Times New Roman"/>
                <w:color w:val="000000" w:themeColor="text1"/>
                <w:lang w:eastAsia="zh-CN"/>
                <w14:textFill>
                  <w14:solidFill>
                    <w14:schemeClr w14:val="tx1"/>
                  </w14:solidFill>
                </w14:textFill>
              </w:rPr>
              <w:t>：白色粉末，或不透明单斜晶系细微晶体，无臭、味微咸而性凉，易溶于水及甘油，水溶液呈微碱性。受热易分解，在潮湿空气中缓慢分解，产生二氧化碳，约50℃开始分解，加热至270℃完全分解。遇酸则强烈分解，产生二氧化碳。</w:t>
            </w:r>
          </w:p>
          <w:p w14:paraId="26B408B3">
            <w:pPr>
              <w:pStyle w:val="9"/>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NaOH：</w:t>
            </w:r>
            <w:r>
              <w:rPr>
                <w:rFonts w:hint="default" w:ascii="Times New Roman" w:hAnsi="Times New Roman" w:cs="Times New Roman"/>
                <w:color w:val="000000" w:themeColor="text1"/>
                <w:lang w:eastAsia="zh-CN"/>
                <w14:textFill>
                  <w14:solidFill>
                    <w14:schemeClr w14:val="tx1"/>
                  </w14:solidFill>
                </w14:textFill>
              </w:rPr>
              <w:t>氢氧化钠又称烧碱、火碱或苛性钠。白色结晶，有液体、固体片状三种产品，纯度从50%至99%不等，密度2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2g/cm</w:t>
            </w:r>
            <w:r>
              <w:rPr>
                <w:rFonts w:hint="default" w:ascii="Times New Roman" w:hAnsi="Times New Roman" w:cs="Times New Roman"/>
                <w:color w:val="000000" w:themeColor="text1"/>
                <w:vertAlign w:val="superscript"/>
                <w:lang w:eastAsia="zh-CN"/>
                <w14:textFill>
                  <w14:solidFill>
                    <w14:schemeClr w14:val="tx1"/>
                  </w14:solidFill>
                </w14:textFill>
              </w:rPr>
              <w:t>3</w:t>
            </w:r>
            <w:r>
              <w:rPr>
                <w:rFonts w:hint="default" w:ascii="Times New Roman" w:hAnsi="Times New Roman" w:cs="Times New Roman"/>
                <w:color w:val="000000" w:themeColor="text1"/>
                <w:lang w:eastAsia="zh-CN"/>
                <w14:textFill>
                  <w14:solidFill>
                    <w14:schemeClr w14:val="tx1"/>
                  </w14:solidFill>
                </w14:textFill>
              </w:rPr>
              <w:t>，易吸潮，有强烈的腐蚀性。</w:t>
            </w:r>
          </w:p>
          <w:p w14:paraId="51A1DABA">
            <w:pPr>
              <w:pStyle w:val="9"/>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重晶石：成分为硫酸钡。产于低温热液矿脉中不溶于水和盐酸，无磁性和毒性。</w:t>
            </w:r>
          </w:p>
          <w:p w14:paraId="7EE3F0CA">
            <w:pPr>
              <w:keepNext/>
              <w:keepLines/>
              <w:ind w:firstLine="0" w:firstLineChars="0"/>
              <w:jc w:val="left"/>
              <w:outlineLvl w:val="1"/>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3.5</w:t>
            </w:r>
            <w:r>
              <w:rPr>
                <w:rFonts w:hint="default" w:ascii="Times New Roman" w:hAnsi="Times New Roman" w:cs="Times New Roman"/>
                <w:b/>
                <w:bCs/>
                <w:color w:val="000000" w:themeColor="text1"/>
                <w14:textFill>
                  <w14:solidFill>
                    <w14:schemeClr w14:val="tx1"/>
                  </w14:solidFill>
                </w14:textFill>
              </w:rPr>
              <w:t xml:space="preserve"> 钻井周期</w:t>
            </w:r>
          </w:p>
          <w:p w14:paraId="09997E81">
            <w:pPr>
              <w:pStyle w:val="4"/>
              <w:ind w:firstLine="480"/>
              <w:rPr>
                <w:rFonts w:hint="default" w:ascii="Times New Roman" w:hAnsi="Times New Roman" w:cs="Times New Roman"/>
                <w:b w:val="0"/>
                <w:bCs w:val="0"/>
                <w:color w:val="000000" w:themeColor="text1"/>
                <w:sz w:val="28"/>
                <w:szCs w:val="28"/>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本项目钻井周期总计70天，施工人数35人。</w:t>
            </w:r>
          </w:p>
          <w:p w14:paraId="387C3863">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4试油工程</w:t>
            </w:r>
          </w:p>
          <w:p w14:paraId="16CC966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（1）试油设备</w:t>
            </w:r>
          </w:p>
          <w:p w14:paraId="59BAB464">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本项目对完钻后的新井进行试油，试油主要包括测井、油气测试、完井等工序组成，试油期单井主要设备见表2-7。</w:t>
            </w:r>
          </w:p>
          <w:p w14:paraId="704DB79A">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表2-7  试油期主要设备</w:t>
            </w:r>
          </w:p>
          <w:tbl>
            <w:tblPr>
              <w:tblStyle w:val="16"/>
              <w:tblW w:w="4995" w:type="pct"/>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
              <w:gridCol w:w="716"/>
              <w:gridCol w:w="1752"/>
              <w:gridCol w:w="1931"/>
              <w:gridCol w:w="847"/>
              <w:gridCol w:w="574"/>
              <w:gridCol w:w="2358"/>
            </w:tblGrid>
            <w:tr w14:paraId="0D43D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4" w:hRule="atLeast"/>
              </w:trPr>
              <w:tc>
                <w:tcPr>
                  <w:tcW w:w="437" w:type="pct"/>
                  <w:vAlign w:val="center"/>
                </w:tcPr>
                <w:p w14:paraId="30A48672">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1069" w:type="pct"/>
                  <w:vAlign w:val="center"/>
                </w:tcPr>
                <w:p w14:paraId="0FEBD34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设备名称</w:t>
                  </w:r>
                </w:p>
              </w:tc>
              <w:tc>
                <w:tcPr>
                  <w:tcW w:w="1178" w:type="pct"/>
                  <w:vAlign w:val="center"/>
                </w:tcPr>
                <w:p w14:paraId="711D090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型号及规格</w:t>
                  </w:r>
                </w:p>
              </w:tc>
              <w:tc>
                <w:tcPr>
                  <w:tcW w:w="517" w:type="pct"/>
                  <w:vAlign w:val="center"/>
                </w:tcPr>
                <w:p w14:paraId="3A8A694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单位</w:t>
                  </w:r>
                </w:p>
              </w:tc>
              <w:tc>
                <w:tcPr>
                  <w:tcW w:w="350" w:type="pct"/>
                  <w:vAlign w:val="center"/>
                </w:tcPr>
                <w:p w14:paraId="4E7BD44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数量</w:t>
                  </w:r>
                </w:p>
              </w:tc>
              <w:tc>
                <w:tcPr>
                  <w:tcW w:w="1439" w:type="pct"/>
                  <w:vAlign w:val="center"/>
                </w:tcPr>
                <w:p w14:paraId="4D9C0C4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备注</w:t>
                  </w:r>
                </w:p>
              </w:tc>
            </w:tr>
            <w:tr w14:paraId="38D24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5" w:hRule="atLeast"/>
              </w:trPr>
              <w:tc>
                <w:tcPr>
                  <w:tcW w:w="437" w:type="pct"/>
                  <w:vAlign w:val="center"/>
                </w:tcPr>
                <w:p w14:paraId="3C48878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069" w:type="pct"/>
                  <w:vAlign w:val="center"/>
                </w:tcPr>
                <w:p w14:paraId="415BFAF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修井机</w:t>
                  </w:r>
                </w:p>
              </w:tc>
              <w:tc>
                <w:tcPr>
                  <w:tcW w:w="1178" w:type="pct"/>
                  <w:vAlign w:val="center"/>
                </w:tcPr>
                <w:p w14:paraId="0BE057D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60t</w:t>
                  </w:r>
                </w:p>
              </w:tc>
              <w:tc>
                <w:tcPr>
                  <w:tcW w:w="517" w:type="pct"/>
                  <w:vAlign w:val="center"/>
                </w:tcPr>
                <w:p w14:paraId="4F49F32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部</w:t>
                  </w:r>
                </w:p>
              </w:tc>
              <w:tc>
                <w:tcPr>
                  <w:tcW w:w="350" w:type="pct"/>
                  <w:vAlign w:val="center"/>
                </w:tcPr>
                <w:p w14:paraId="10C98F2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1BF59F4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56195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3" w:hRule="atLeast"/>
              </w:trPr>
              <w:tc>
                <w:tcPr>
                  <w:tcW w:w="437" w:type="pct"/>
                  <w:vAlign w:val="center"/>
                </w:tcPr>
                <w:p w14:paraId="679FC51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1069" w:type="pct"/>
                  <w:vAlign w:val="center"/>
                </w:tcPr>
                <w:p w14:paraId="4EE7922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试油井架</w:t>
                  </w:r>
                </w:p>
              </w:tc>
              <w:tc>
                <w:tcPr>
                  <w:tcW w:w="1178" w:type="pct"/>
                  <w:vAlign w:val="center"/>
                </w:tcPr>
                <w:p w14:paraId="351DF0F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517" w:type="pct"/>
                  <w:vAlign w:val="center"/>
                </w:tcPr>
                <w:p w14:paraId="0738D44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部</w:t>
                  </w:r>
                </w:p>
              </w:tc>
              <w:tc>
                <w:tcPr>
                  <w:tcW w:w="350" w:type="pct"/>
                  <w:vAlign w:val="center"/>
                </w:tcPr>
                <w:p w14:paraId="45E0166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65249F2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5B496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5" w:hRule="atLeast"/>
              </w:trPr>
              <w:tc>
                <w:tcPr>
                  <w:tcW w:w="437" w:type="pct"/>
                  <w:vAlign w:val="center"/>
                </w:tcPr>
                <w:p w14:paraId="78E0F25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1069" w:type="pct"/>
                  <w:vAlign w:val="center"/>
                </w:tcPr>
                <w:p w14:paraId="2EFE40E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液压钳</w:t>
                  </w:r>
                </w:p>
              </w:tc>
              <w:tc>
                <w:tcPr>
                  <w:tcW w:w="1178" w:type="pct"/>
                  <w:vAlign w:val="center"/>
                </w:tcPr>
                <w:p w14:paraId="681E349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600型或300型</w:t>
                  </w:r>
                </w:p>
              </w:tc>
              <w:tc>
                <w:tcPr>
                  <w:tcW w:w="517" w:type="pct"/>
                  <w:vAlign w:val="center"/>
                </w:tcPr>
                <w:p w14:paraId="6579AC5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台</w:t>
                  </w:r>
                </w:p>
              </w:tc>
              <w:tc>
                <w:tcPr>
                  <w:tcW w:w="350" w:type="pct"/>
                  <w:vAlign w:val="center"/>
                </w:tcPr>
                <w:p w14:paraId="671E27C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3D68CDB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足够长的配套管线</w:t>
                  </w:r>
                </w:p>
              </w:tc>
            </w:tr>
            <w:tr w14:paraId="3ECB8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5" w:hRule="atLeast"/>
              </w:trPr>
              <w:tc>
                <w:tcPr>
                  <w:tcW w:w="437" w:type="pct"/>
                  <w:vAlign w:val="center"/>
                </w:tcPr>
                <w:p w14:paraId="6EC7844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1069" w:type="pct"/>
                  <w:vAlign w:val="center"/>
                </w:tcPr>
                <w:p w14:paraId="402B301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方罐（采出液临时储罐）</w:t>
                  </w:r>
                </w:p>
              </w:tc>
              <w:tc>
                <w:tcPr>
                  <w:tcW w:w="1178" w:type="pct"/>
                  <w:vAlign w:val="center"/>
                </w:tcPr>
                <w:p w14:paraId="6DBDA5C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20m</w:t>
                  </w:r>
                  <w:r>
                    <w:rPr>
                      <w:rFonts w:hint="default" w:ascii="Times New Roman" w:hAnsi="Times New Roman" w:cs="Times New Roman"/>
                      <w:color w:val="000000" w:themeColor="text1"/>
                      <w:vertAlign w:val="superscript"/>
                      <w14:textFill>
                        <w14:solidFill>
                          <w14:schemeClr w14:val="tx1"/>
                        </w14:solidFill>
                      </w14:textFill>
                    </w:rPr>
                    <w:t>3</w:t>
                  </w:r>
                </w:p>
              </w:tc>
              <w:tc>
                <w:tcPr>
                  <w:tcW w:w="517" w:type="pct"/>
                  <w:vAlign w:val="center"/>
                </w:tcPr>
                <w:p w14:paraId="3F7F9CA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个</w:t>
                  </w:r>
                </w:p>
              </w:tc>
              <w:tc>
                <w:tcPr>
                  <w:tcW w:w="350" w:type="pct"/>
                  <w:vAlign w:val="center"/>
                </w:tcPr>
                <w:p w14:paraId="1082121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1439" w:type="pct"/>
                  <w:vAlign w:val="center"/>
                </w:tcPr>
                <w:p w14:paraId="529CFB6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56E44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483" w:hRule="atLeast"/>
              </w:trPr>
              <w:tc>
                <w:tcPr>
                  <w:tcW w:w="437" w:type="pct"/>
                  <w:vAlign w:val="center"/>
                </w:tcPr>
                <w:p w14:paraId="4483B95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1069" w:type="pct"/>
                  <w:vAlign w:val="center"/>
                </w:tcPr>
                <w:p w14:paraId="65A269B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吊卡</w:t>
                  </w:r>
                </w:p>
              </w:tc>
              <w:tc>
                <w:tcPr>
                  <w:tcW w:w="1178" w:type="pct"/>
                  <w:vAlign w:val="center"/>
                </w:tcPr>
                <w:p w14:paraId="5C82F36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Φ73.0mm/Φ88.9mm</w:t>
                  </w:r>
                </w:p>
              </w:tc>
              <w:tc>
                <w:tcPr>
                  <w:tcW w:w="517" w:type="pct"/>
                  <w:vAlign w:val="center"/>
                </w:tcPr>
                <w:p w14:paraId="246B2F6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只</w:t>
                  </w:r>
                </w:p>
              </w:tc>
              <w:tc>
                <w:tcPr>
                  <w:tcW w:w="350" w:type="pct"/>
                  <w:vAlign w:val="center"/>
                </w:tcPr>
                <w:p w14:paraId="19E8C0F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2/2</w:t>
                  </w:r>
                </w:p>
              </w:tc>
              <w:tc>
                <w:tcPr>
                  <w:tcW w:w="1439" w:type="pct"/>
                  <w:vAlign w:val="center"/>
                </w:tcPr>
                <w:p w14:paraId="251A0A8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50t</w:t>
                  </w:r>
                </w:p>
              </w:tc>
            </w:tr>
            <w:tr w14:paraId="79F1A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5" w:hRule="atLeast"/>
              </w:trPr>
              <w:tc>
                <w:tcPr>
                  <w:tcW w:w="437" w:type="pct"/>
                  <w:vAlign w:val="center"/>
                </w:tcPr>
                <w:p w14:paraId="39A82FD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p>
              </w:tc>
              <w:tc>
                <w:tcPr>
                  <w:tcW w:w="1069" w:type="pct"/>
                  <w:vAlign w:val="center"/>
                </w:tcPr>
                <w:p w14:paraId="53F1F5D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吊环</w:t>
                  </w:r>
                </w:p>
              </w:tc>
              <w:tc>
                <w:tcPr>
                  <w:tcW w:w="1178" w:type="pct"/>
                  <w:vAlign w:val="center"/>
                </w:tcPr>
                <w:p w14:paraId="75FDFC6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SH-80</w:t>
                  </w:r>
                </w:p>
              </w:tc>
              <w:tc>
                <w:tcPr>
                  <w:tcW w:w="517" w:type="pct"/>
                  <w:vAlign w:val="center"/>
                </w:tcPr>
                <w:p w14:paraId="5A43148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付</w:t>
                  </w:r>
                </w:p>
              </w:tc>
              <w:tc>
                <w:tcPr>
                  <w:tcW w:w="350" w:type="pct"/>
                  <w:vAlign w:val="center"/>
                </w:tcPr>
                <w:p w14:paraId="1D94278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51AB0CF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3BE1D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3" w:hRule="atLeast"/>
              </w:trPr>
              <w:tc>
                <w:tcPr>
                  <w:tcW w:w="437" w:type="pct"/>
                  <w:vAlign w:val="center"/>
                </w:tcPr>
                <w:p w14:paraId="0761AA4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p>
              </w:tc>
              <w:tc>
                <w:tcPr>
                  <w:tcW w:w="1069" w:type="pct"/>
                  <w:vAlign w:val="center"/>
                </w:tcPr>
                <w:p w14:paraId="0BBA308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通管规</w:t>
                  </w:r>
                </w:p>
              </w:tc>
              <w:tc>
                <w:tcPr>
                  <w:tcW w:w="1178" w:type="pct"/>
                  <w:vAlign w:val="center"/>
                </w:tcPr>
                <w:p w14:paraId="53083D3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Φ73.0mm/58.0mm</w:t>
                  </w:r>
                </w:p>
              </w:tc>
              <w:tc>
                <w:tcPr>
                  <w:tcW w:w="517" w:type="pct"/>
                  <w:vAlign w:val="center"/>
                </w:tcPr>
                <w:p w14:paraId="73E6032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个</w:t>
                  </w:r>
                </w:p>
              </w:tc>
              <w:tc>
                <w:tcPr>
                  <w:tcW w:w="350" w:type="pct"/>
                  <w:vAlign w:val="center"/>
                </w:tcPr>
                <w:p w14:paraId="6835FE4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2/2</w:t>
                  </w:r>
                </w:p>
              </w:tc>
              <w:tc>
                <w:tcPr>
                  <w:tcW w:w="1439" w:type="pct"/>
                  <w:vAlign w:val="center"/>
                </w:tcPr>
                <w:p w14:paraId="041B1C1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1A0B9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45" w:hRule="atLeast"/>
              </w:trPr>
              <w:tc>
                <w:tcPr>
                  <w:tcW w:w="437" w:type="pct"/>
                  <w:vAlign w:val="center"/>
                </w:tcPr>
                <w:p w14:paraId="2403851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p>
              </w:tc>
              <w:tc>
                <w:tcPr>
                  <w:tcW w:w="1069" w:type="pct"/>
                  <w:vAlign w:val="center"/>
                </w:tcPr>
                <w:p w14:paraId="45799AC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提升短节</w:t>
                  </w:r>
                </w:p>
              </w:tc>
              <w:tc>
                <w:tcPr>
                  <w:tcW w:w="1178" w:type="pct"/>
                  <w:vAlign w:val="center"/>
                </w:tcPr>
                <w:p w14:paraId="0FD5355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Φ88.9mm</w:t>
                  </w:r>
                </w:p>
              </w:tc>
              <w:tc>
                <w:tcPr>
                  <w:tcW w:w="517" w:type="pct"/>
                  <w:vAlign w:val="center"/>
                </w:tcPr>
                <w:p w14:paraId="2EE7438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套</w:t>
                  </w:r>
                </w:p>
              </w:tc>
              <w:tc>
                <w:tcPr>
                  <w:tcW w:w="350" w:type="pct"/>
                  <w:vAlign w:val="center"/>
                </w:tcPr>
                <w:p w14:paraId="469D173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747C1C4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38480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90" w:hRule="atLeast"/>
              </w:trPr>
              <w:tc>
                <w:tcPr>
                  <w:tcW w:w="437" w:type="pct"/>
                  <w:vAlign w:val="center"/>
                </w:tcPr>
                <w:p w14:paraId="6A2CC63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w:t>
                  </w:r>
                </w:p>
              </w:tc>
              <w:tc>
                <w:tcPr>
                  <w:tcW w:w="1069" w:type="pct"/>
                  <w:vAlign w:val="center"/>
                </w:tcPr>
                <w:p w14:paraId="2ECF9A2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调整短节</w:t>
                  </w:r>
                </w:p>
              </w:tc>
              <w:tc>
                <w:tcPr>
                  <w:tcW w:w="1178" w:type="pct"/>
                  <w:vAlign w:val="center"/>
                </w:tcPr>
                <w:p w14:paraId="6261364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Φ73.0mm</w:t>
                  </w:r>
                </w:p>
              </w:tc>
              <w:tc>
                <w:tcPr>
                  <w:tcW w:w="517" w:type="pct"/>
                  <w:vAlign w:val="center"/>
                </w:tcPr>
                <w:p w14:paraId="7512D75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w:t>
                  </w:r>
                </w:p>
              </w:tc>
              <w:tc>
                <w:tcPr>
                  <w:tcW w:w="350" w:type="pct"/>
                  <w:vAlign w:val="center"/>
                </w:tcPr>
                <w:p w14:paraId="7D95D67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64FD98E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（0.3m、0.5m、1.0m、1.5m、2.0m）</w:t>
                  </w:r>
                </w:p>
              </w:tc>
            </w:tr>
            <w:tr w14:paraId="2A954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7" w:type="pct"/>
                <w:trHeight w:val="370" w:hRule="atLeast"/>
              </w:trPr>
              <w:tc>
                <w:tcPr>
                  <w:tcW w:w="437" w:type="pct"/>
                  <w:vAlign w:val="center"/>
                </w:tcPr>
                <w:p w14:paraId="2C3545C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w:t>
                  </w:r>
                </w:p>
              </w:tc>
              <w:tc>
                <w:tcPr>
                  <w:tcW w:w="1069" w:type="pct"/>
                  <w:vAlign w:val="center"/>
                </w:tcPr>
                <w:p w14:paraId="121B4CB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值班房</w:t>
                  </w:r>
                </w:p>
              </w:tc>
              <w:tc>
                <w:tcPr>
                  <w:tcW w:w="1178" w:type="pct"/>
                  <w:vAlign w:val="center"/>
                </w:tcPr>
                <w:p w14:paraId="6F397CE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517" w:type="pct"/>
                  <w:vAlign w:val="center"/>
                </w:tcPr>
                <w:p w14:paraId="17C5895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套</w:t>
                  </w:r>
                </w:p>
              </w:tc>
              <w:tc>
                <w:tcPr>
                  <w:tcW w:w="350" w:type="pct"/>
                  <w:vAlign w:val="center"/>
                </w:tcPr>
                <w:p w14:paraId="2EE6339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6488D72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3DE83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44" w:type="pct"/>
                  <w:gridSpan w:val="2"/>
                  <w:vAlign w:val="center"/>
                </w:tcPr>
                <w:p w14:paraId="5FCE04F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11</w:t>
                  </w:r>
                </w:p>
              </w:tc>
              <w:tc>
                <w:tcPr>
                  <w:tcW w:w="1069" w:type="pct"/>
                  <w:vAlign w:val="center"/>
                </w:tcPr>
                <w:p w14:paraId="54C76E3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发电房</w:t>
                  </w:r>
                </w:p>
              </w:tc>
              <w:tc>
                <w:tcPr>
                  <w:tcW w:w="1178" w:type="pct"/>
                  <w:vAlign w:val="center"/>
                </w:tcPr>
                <w:p w14:paraId="3A1B97D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517" w:type="pct"/>
                  <w:vAlign w:val="center"/>
                </w:tcPr>
                <w:p w14:paraId="6F07F95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套</w:t>
                  </w:r>
                </w:p>
              </w:tc>
              <w:tc>
                <w:tcPr>
                  <w:tcW w:w="350" w:type="pct"/>
                  <w:vAlign w:val="center"/>
                </w:tcPr>
                <w:p w14:paraId="2713B33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31C7060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756E4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4" w:type="pct"/>
                  <w:gridSpan w:val="2"/>
                  <w:vAlign w:val="center"/>
                </w:tcPr>
                <w:p w14:paraId="6377478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12</w:t>
                  </w:r>
                </w:p>
              </w:tc>
              <w:tc>
                <w:tcPr>
                  <w:tcW w:w="1069" w:type="pct"/>
                  <w:vAlign w:val="center"/>
                </w:tcPr>
                <w:p w14:paraId="249C515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柴油发电机</w:t>
                  </w:r>
                </w:p>
              </w:tc>
              <w:tc>
                <w:tcPr>
                  <w:tcW w:w="1178" w:type="pct"/>
                  <w:vAlign w:val="center"/>
                </w:tcPr>
                <w:p w14:paraId="1103C9D3">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058ACEC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台</w:t>
                  </w:r>
                </w:p>
              </w:tc>
              <w:tc>
                <w:tcPr>
                  <w:tcW w:w="350" w:type="pct"/>
                  <w:vAlign w:val="center"/>
                </w:tcPr>
                <w:p w14:paraId="326907B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5FA6B560">
                  <w:pPr>
                    <w:pStyle w:val="23"/>
                    <w:rPr>
                      <w:rFonts w:hint="default" w:ascii="Times New Roman" w:hAnsi="Times New Roman" w:cs="Times New Roman"/>
                      <w:color w:val="000000" w:themeColor="text1"/>
                      <w14:textFill>
                        <w14:solidFill>
                          <w14:schemeClr w14:val="tx1"/>
                        </w14:solidFill>
                      </w14:textFill>
                    </w:rPr>
                  </w:pPr>
                </w:p>
              </w:tc>
            </w:tr>
            <w:tr w14:paraId="56CD4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4" w:type="pct"/>
                  <w:gridSpan w:val="2"/>
                  <w:vAlign w:val="center"/>
                </w:tcPr>
                <w:p w14:paraId="03ED8E0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w:t>
                  </w:r>
                </w:p>
              </w:tc>
              <w:tc>
                <w:tcPr>
                  <w:tcW w:w="1069" w:type="pct"/>
                  <w:vAlign w:val="center"/>
                </w:tcPr>
                <w:p w14:paraId="0CC8094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气液分离装置</w:t>
                  </w:r>
                </w:p>
              </w:tc>
              <w:tc>
                <w:tcPr>
                  <w:tcW w:w="1178" w:type="pct"/>
                  <w:vAlign w:val="center"/>
                </w:tcPr>
                <w:p w14:paraId="60EDE6E1">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79C5175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套</w:t>
                  </w:r>
                </w:p>
              </w:tc>
              <w:tc>
                <w:tcPr>
                  <w:tcW w:w="350" w:type="pct"/>
                  <w:vAlign w:val="center"/>
                </w:tcPr>
                <w:p w14:paraId="28A11EC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723DB068">
                  <w:pPr>
                    <w:pStyle w:val="23"/>
                    <w:rPr>
                      <w:rFonts w:hint="default" w:ascii="Times New Roman" w:hAnsi="Times New Roman" w:cs="Times New Roman"/>
                      <w:color w:val="000000" w:themeColor="text1"/>
                      <w14:textFill>
                        <w14:solidFill>
                          <w14:schemeClr w14:val="tx1"/>
                        </w14:solidFill>
                      </w14:textFill>
                    </w:rPr>
                  </w:pPr>
                </w:p>
              </w:tc>
            </w:tr>
            <w:tr w14:paraId="39E65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4" w:type="pct"/>
                  <w:gridSpan w:val="2"/>
                  <w:vAlign w:val="center"/>
                </w:tcPr>
                <w:p w14:paraId="3A3B9C2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14</w:t>
                  </w:r>
                </w:p>
              </w:tc>
              <w:tc>
                <w:tcPr>
                  <w:tcW w:w="1069" w:type="pct"/>
                  <w:vAlign w:val="center"/>
                </w:tcPr>
                <w:p w14:paraId="4B3A72B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泵车</w:t>
                  </w:r>
                </w:p>
              </w:tc>
              <w:tc>
                <w:tcPr>
                  <w:tcW w:w="1178" w:type="pct"/>
                  <w:vAlign w:val="center"/>
                </w:tcPr>
                <w:p w14:paraId="660A6DB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700型</w:t>
                  </w:r>
                </w:p>
              </w:tc>
              <w:tc>
                <w:tcPr>
                  <w:tcW w:w="517" w:type="pct"/>
                  <w:vAlign w:val="center"/>
                </w:tcPr>
                <w:p w14:paraId="2D1C3EC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台</w:t>
                  </w:r>
                </w:p>
              </w:tc>
              <w:tc>
                <w:tcPr>
                  <w:tcW w:w="350" w:type="pct"/>
                  <w:vAlign w:val="center"/>
                </w:tcPr>
                <w:p w14:paraId="49C2C9D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5F0C41B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5470D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4" w:type="pct"/>
                  <w:gridSpan w:val="2"/>
                  <w:vAlign w:val="center"/>
                </w:tcPr>
                <w:p w14:paraId="4DC82AC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15</w:t>
                  </w:r>
                </w:p>
              </w:tc>
              <w:tc>
                <w:tcPr>
                  <w:tcW w:w="1069" w:type="pct"/>
                  <w:vAlign w:val="center"/>
                </w:tcPr>
                <w:p w14:paraId="113452C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防喷器</w:t>
                  </w:r>
                </w:p>
              </w:tc>
              <w:tc>
                <w:tcPr>
                  <w:tcW w:w="1178" w:type="pct"/>
                  <w:vAlign w:val="center"/>
                </w:tcPr>
                <w:p w14:paraId="75DB101F">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2E7AA40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台</w:t>
                  </w:r>
                </w:p>
              </w:tc>
              <w:tc>
                <w:tcPr>
                  <w:tcW w:w="350" w:type="pct"/>
                  <w:vAlign w:val="center"/>
                </w:tcPr>
                <w:p w14:paraId="2125F40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1CACDFED">
                  <w:pPr>
                    <w:pStyle w:val="23"/>
                    <w:rPr>
                      <w:rFonts w:hint="default" w:ascii="Times New Roman" w:hAnsi="Times New Roman" w:cs="Times New Roman"/>
                      <w:color w:val="000000" w:themeColor="text1"/>
                      <w14:textFill>
                        <w14:solidFill>
                          <w14:schemeClr w14:val="tx1"/>
                        </w14:solidFill>
                      </w14:textFill>
                    </w:rPr>
                  </w:pPr>
                </w:p>
              </w:tc>
            </w:tr>
            <w:tr w14:paraId="0660A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44" w:type="pct"/>
                  <w:gridSpan w:val="2"/>
                  <w:vAlign w:val="center"/>
                </w:tcPr>
                <w:p w14:paraId="3A092E6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16</w:t>
                  </w:r>
                </w:p>
              </w:tc>
              <w:tc>
                <w:tcPr>
                  <w:tcW w:w="1069" w:type="pct"/>
                  <w:vAlign w:val="center"/>
                </w:tcPr>
                <w:p w14:paraId="75A783D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放喷管及罐</w:t>
                  </w:r>
                </w:p>
              </w:tc>
              <w:tc>
                <w:tcPr>
                  <w:tcW w:w="1178" w:type="pct"/>
                  <w:vAlign w:val="center"/>
                </w:tcPr>
                <w:p w14:paraId="799DC380">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304830B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套</w:t>
                  </w:r>
                </w:p>
              </w:tc>
              <w:tc>
                <w:tcPr>
                  <w:tcW w:w="350" w:type="pct"/>
                  <w:vAlign w:val="center"/>
                </w:tcPr>
                <w:p w14:paraId="70CC56E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6532052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放喷罐1个，30m</w:t>
                  </w:r>
                  <w:r>
                    <w:rPr>
                      <w:rFonts w:hint="default" w:ascii="Times New Roman" w:hAnsi="Times New Roman" w:cs="Times New Roman"/>
                      <w:color w:val="000000" w:themeColor="text1"/>
                      <w:vertAlign w:val="superscript"/>
                      <w14:textFill>
                        <w14:solidFill>
                          <w14:schemeClr w14:val="tx1"/>
                        </w14:solidFill>
                      </w14:textFill>
                    </w:rPr>
                    <w:t>3</w:t>
                  </w:r>
                </w:p>
              </w:tc>
            </w:tr>
            <w:tr w14:paraId="3C397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4" w:type="pct"/>
                  <w:gridSpan w:val="2"/>
                  <w:vAlign w:val="center"/>
                </w:tcPr>
                <w:p w14:paraId="5F79C7E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17</w:t>
                  </w:r>
                </w:p>
              </w:tc>
              <w:tc>
                <w:tcPr>
                  <w:tcW w:w="1069" w:type="pct"/>
                  <w:vAlign w:val="center"/>
                </w:tcPr>
                <w:p w14:paraId="6968C1E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采油树</w:t>
                  </w:r>
                </w:p>
              </w:tc>
              <w:tc>
                <w:tcPr>
                  <w:tcW w:w="1178" w:type="pct"/>
                  <w:vAlign w:val="center"/>
                </w:tcPr>
                <w:p w14:paraId="2106BED7">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0CB1943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套</w:t>
                  </w:r>
                </w:p>
              </w:tc>
              <w:tc>
                <w:tcPr>
                  <w:tcW w:w="350" w:type="pct"/>
                  <w:vAlign w:val="center"/>
                </w:tcPr>
                <w:p w14:paraId="558C57C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0DA22803">
                  <w:pPr>
                    <w:pStyle w:val="23"/>
                    <w:rPr>
                      <w:rFonts w:hint="default" w:ascii="Times New Roman" w:hAnsi="Times New Roman" w:cs="Times New Roman"/>
                      <w:color w:val="000000" w:themeColor="text1"/>
                      <w14:textFill>
                        <w14:solidFill>
                          <w14:schemeClr w14:val="tx1"/>
                        </w14:solidFill>
                      </w14:textFill>
                    </w:rPr>
                  </w:pPr>
                </w:p>
              </w:tc>
            </w:tr>
            <w:tr w14:paraId="5621E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4" w:type="pct"/>
                  <w:gridSpan w:val="2"/>
                  <w:vAlign w:val="center"/>
                </w:tcPr>
                <w:p w14:paraId="272AAC8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18</w:t>
                  </w:r>
                </w:p>
              </w:tc>
              <w:tc>
                <w:tcPr>
                  <w:tcW w:w="1069" w:type="pct"/>
                  <w:vAlign w:val="center"/>
                </w:tcPr>
                <w:p w14:paraId="51180F4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H</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S气体监测仪</w:t>
                  </w:r>
                </w:p>
              </w:tc>
              <w:tc>
                <w:tcPr>
                  <w:tcW w:w="1178" w:type="pct"/>
                  <w:vAlign w:val="center"/>
                </w:tcPr>
                <w:p w14:paraId="58E6724C">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09C1681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部</w:t>
                  </w:r>
                </w:p>
              </w:tc>
              <w:tc>
                <w:tcPr>
                  <w:tcW w:w="350" w:type="pct"/>
                  <w:vAlign w:val="center"/>
                </w:tcPr>
                <w:p w14:paraId="3EEDA6A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2D21B6EC">
                  <w:pPr>
                    <w:pStyle w:val="23"/>
                    <w:rPr>
                      <w:rFonts w:hint="default" w:ascii="Times New Roman" w:hAnsi="Times New Roman" w:cs="Times New Roman"/>
                      <w:color w:val="000000" w:themeColor="text1"/>
                      <w14:textFill>
                        <w14:solidFill>
                          <w14:schemeClr w14:val="tx1"/>
                        </w14:solidFill>
                      </w14:textFill>
                    </w:rPr>
                  </w:pPr>
                </w:p>
              </w:tc>
            </w:tr>
            <w:tr w14:paraId="49DB9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444" w:type="pct"/>
                  <w:gridSpan w:val="2"/>
                  <w:vAlign w:val="center"/>
                </w:tcPr>
                <w:p w14:paraId="14D7202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19</w:t>
                  </w:r>
                </w:p>
              </w:tc>
              <w:tc>
                <w:tcPr>
                  <w:tcW w:w="1069" w:type="pct"/>
                  <w:vAlign w:val="center"/>
                </w:tcPr>
                <w:p w14:paraId="6E3C5A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可燃气体检测仪</w:t>
                  </w:r>
                </w:p>
              </w:tc>
              <w:tc>
                <w:tcPr>
                  <w:tcW w:w="1178" w:type="pct"/>
                  <w:vAlign w:val="center"/>
                </w:tcPr>
                <w:p w14:paraId="4BEFAFFE">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45516C1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部</w:t>
                  </w:r>
                </w:p>
              </w:tc>
              <w:tc>
                <w:tcPr>
                  <w:tcW w:w="350" w:type="pct"/>
                  <w:vAlign w:val="center"/>
                </w:tcPr>
                <w:p w14:paraId="0155605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36DE2172">
                  <w:pPr>
                    <w:pStyle w:val="23"/>
                    <w:rPr>
                      <w:rFonts w:hint="default" w:ascii="Times New Roman" w:hAnsi="Times New Roman" w:cs="Times New Roman"/>
                      <w:color w:val="000000" w:themeColor="text1"/>
                      <w14:textFill>
                        <w14:solidFill>
                          <w14:schemeClr w14:val="tx1"/>
                        </w14:solidFill>
                      </w14:textFill>
                    </w:rPr>
                  </w:pPr>
                </w:p>
              </w:tc>
            </w:tr>
            <w:tr w14:paraId="05406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4" w:type="pct"/>
                  <w:gridSpan w:val="2"/>
                  <w:vAlign w:val="center"/>
                </w:tcPr>
                <w:p w14:paraId="044E1FB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w:t>
                  </w:r>
                </w:p>
              </w:tc>
              <w:tc>
                <w:tcPr>
                  <w:tcW w:w="1069" w:type="pct"/>
                  <w:vAlign w:val="center"/>
                </w:tcPr>
                <w:p w14:paraId="21B8DF1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消防砂</w:t>
                  </w:r>
                </w:p>
              </w:tc>
              <w:tc>
                <w:tcPr>
                  <w:tcW w:w="1178" w:type="pct"/>
                  <w:vAlign w:val="center"/>
                </w:tcPr>
                <w:p w14:paraId="68E1ACA2">
                  <w:pPr>
                    <w:pStyle w:val="23"/>
                    <w:rPr>
                      <w:rFonts w:hint="default" w:ascii="Times New Roman" w:hAnsi="Times New Roman" w:cs="Times New Roman"/>
                      <w:color w:val="000000" w:themeColor="text1"/>
                      <w14:textFill>
                        <w14:solidFill>
                          <w14:schemeClr w14:val="tx1"/>
                        </w14:solidFill>
                      </w14:textFill>
                    </w:rPr>
                  </w:pPr>
                </w:p>
              </w:tc>
              <w:tc>
                <w:tcPr>
                  <w:tcW w:w="517" w:type="pct"/>
                  <w:vAlign w:val="center"/>
                </w:tcPr>
                <w:p w14:paraId="3A83DD4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p>
              </w:tc>
              <w:tc>
                <w:tcPr>
                  <w:tcW w:w="350" w:type="pct"/>
                  <w:vAlign w:val="center"/>
                </w:tcPr>
                <w:p w14:paraId="041C81A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0.5</w:t>
                  </w:r>
                </w:p>
              </w:tc>
              <w:tc>
                <w:tcPr>
                  <w:tcW w:w="1439" w:type="pct"/>
                  <w:vAlign w:val="center"/>
                </w:tcPr>
                <w:p w14:paraId="74BC8EBB">
                  <w:pPr>
                    <w:pStyle w:val="23"/>
                    <w:rPr>
                      <w:rFonts w:hint="default" w:ascii="Times New Roman" w:hAnsi="Times New Roman" w:cs="Times New Roman"/>
                      <w:color w:val="000000" w:themeColor="text1"/>
                      <w14:textFill>
                        <w14:solidFill>
                          <w14:schemeClr w14:val="tx1"/>
                        </w14:solidFill>
                      </w14:textFill>
                    </w:rPr>
                  </w:pPr>
                </w:p>
              </w:tc>
            </w:tr>
            <w:tr w14:paraId="0590B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444" w:type="pct"/>
                  <w:gridSpan w:val="2"/>
                  <w:vAlign w:val="center"/>
                </w:tcPr>
                <w:p w14:paraId="46BFFF4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21</w:t>
                  </w:r>
                </w:p>
              </w:tc>
              <w:tc>
                <w:tcPr>
                  <w:tcW w:w="1069" w:type="pct"/>
                  <w:vAlign w:val="center"/>
                </w:tcPr>
                <w:p w14:paraId="0BDF5FD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推车式干粉灭火器</w:t>
                  </w:r>
                </w:p>
              </w:tc>
              <w:tc>
                <w:tcPr>
                  <w:tcW w:w="1178" w:type="pct"/>
                  <w:vAlign w:val="center"/>
                </w:tcPr>
                <w:p w14:paraId="765A987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MFZL35型</w:t>
                  </w:r>
                </w:p>
              </w:tc>
              <w:tc>
                <w:tcPr>
                  <w:tcW w:w="517" w:type="pct"/>
                  <w:vAlign w:val="center"/>
                </w:tcPr>
                <w:p w14:paraId="56A018C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具</w:t>
                  </w:r>
                </w:p>
              </w:tc>
              <w:tc>
                <w:tcPr>
                  <w:tcW w:w="350" w:type="pct"/>
                  <w:vAlign w:val="center"/>
                </w:tcPr>
                <w:p w14:paraId="29056F3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271D0E53">
                  <w:pPr>
                    <w:pStyle w:val="23"/>
                    <w:rPr>
                      <w:rFonts w:hint="default" w:ascii="Times New Roman" w:hAnsi="Times New Roman" w:cs="Times New Roman"/>
                      <w:color w:val="000000" w:themeColor="text1"/>
                      <w14:textFill>
                        <w14:solidFill>
                          <w14:schemeClr w14:val="tx1"/>
                        </w14:solidFill>
                      </w14:textFill>
                    </w:rPr>
                  </w:pPr>
                </w:p>
              </w:tc>
            </w:tr>
            <w:tr w14:paraId="1726F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44" w:type="pct"/>
                  <w:gridSpan w:val="2"/>
                  <w:vAlign w:val="center"/>
                </w:tcPr>
                <w:p w14:paraId="1D72516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22</w:t>
                  </w:r>
                </w:p>
              </w:tc>
              <w:tc>
                <w:tcPr>
                  <w:tcW w:w="1069" w:type="pct"/>
                  <w:vAlign w:val="center"/>
                </w:tcPr>
                <w:p w14:paraId="74BE2D2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干粉灭火器</w:t>
                  </w:r>
                </w:p>
              </w:tc>
              <w:tc>
                <w:tcPr>
                  <w:tcW w:w="1178" w:type="pct"/>
                  <w:vAlign w:val="center"/>
                </w:tcPr>
                <w:p w14:paraId="2220EBA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MFZL8型</w:t>
                  </w:r>
                </w:p>
              </w:tc>
              <w:tc>
                <w:tcPr>
                  <w:tcW w:w="517" w:type="pct"/>
                  <w:vAlign w:val="center"/>
                </w:tcPr>
                <w:p w14:paraId="0C8CA71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具</w:t>
                  </w:r>
                </w:p>
              </w:tc>
              <w:tc>
                <w:tcPr>
                  <w:tcW w:w="350" w:type="pct"/>
                  <w:vAlign w:val="center"/>
                </w:tcPr>
                <w:p w14:paraId="6AADD6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1439" w:type="pct"/>
                  <w:vAlign w:val="center"/>
                </w:tcPr>
                <w:p w14:paraId="0E511C27">
                  <w:pPr>
                    <w:pStyle w:val="23"/>
                    <w:rPr>
                      <w:rFonts w:hint="default" w:ascii="Times New Roman" w:hAnsi="Times New Roman" w:cs="Times New Roman"/>
                      <w:color w:val="000000" w:themeColor="text1"/>
                      <w14:textFill>
                        <w14:solidFill>
                          <w14:schemeClr w14:val="tx1"/>
                        </w14:solidFill>
                      </w14:textFill>
                    </w:rPr>
                  </w:pPr>
                </w:p>
              </w:tc>
            </w:tr>
            <w:tr w14:paraId="667F3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44" w:type="pct"/>
                  <w:gridSpan w:val="2"/>
                  <w:vAlign w:val="center"/>
                </w:tcPr>
                <w:p w14:paraId="2901182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23</w:t>
                  </w:r>
                </w:p>
              </w:tc>
              <w:tc>
                <w:tcPr>
                  <w:tcW w:w="1069" w:type="pct"/>
                  <w:vAlign w:val="center"/>
                </w:tcPr>
                <w:p w14:paraId="330EE40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柴油储罐</w:t>
                  </w:r>
                </w:p>
              </w:tc>
              <w:tc>
                <w:tcPr>
                  <w:tcW w:w="1178" w:type="pct"/>
                  <w:vAlign w:val="center"/>
                </w:tcPr>
                <w:p w14:paraId="1BBB41B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5m</w:t>
                  </w:r>
                  <w:r>
                    <w:rPr>
                      <w:rFonts w:hint="default" w:ascii="Times New Roman" w:hAnsi="Times New Roman" w:cs="Times New Roman"/>
                      <w:color w:val="000000" w:themeColor="text1"/>
                      <w:vertAlign w:val="superscript"/>
                      <w14:textFill>
                        <w14:solidFill>
                          <w14:schemeClr w14:val="tx1"/>
                        </w14:solidFill>
                      </w14:textFill>
                    </w:rPr>
                    <w:t>3</w:t>
                  </w:r>
                </w:p>
              </w:tc>
              <w:tc>
                <w:tcPr>
                  <w:tcW w:w="517" w:type="pct"/>
                  <w:vAlign w:val="center"/>
                </w:tcPr>
                <w:p w14:paraId="7EFAC61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个</w:t>
                  </w:r>
                </w:p>
              </w:tc>
              <w:tc>
                <w:tcPr>
                  <w:tcW w:w="350" w:type="pct"/>
                  <w:vAlign w:val="center"/>
                </w:tcPr>
                <w:p w14:paraId="408341B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4577CD22">
                  <w:pPr>
                    <w:pStyle w:val="23"/>
                    <w:rPr>
                      <w:rFonts w:hint="default" w:ascii="Times New Roman" w:hAnsi="Times New Roman" w:cs="Times New Roman"/>
                      <w:color w:val="000000" w:themeColor="text1"/>
                      <w14:textFill>
                        <w14:solidFill>
                          <w14:schemeClr w14:val="tx1"/>
                        </w14:solidFill>
                      </w14:textFill>
                    </w:rPr>
                  </w:pPr>
                </w:p>
              </w:tc>
            </w:tr>
            <w:tr w14:paraId="19C8C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44" w:type="pct"/>
                  <w:gridSpan w:val="2"/>
                  <w:vAlign w:val="center"/>
                </w:tcPr>
                <w:p w14:paraId="79C48229">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24</w:t>
                  </w:r>
                </w:p>
              </w:tc>
              <w:tc>
                <w:tcPr>
                  <w:tcW w:w="1069" w:type="pct"/>
                  <w:shd w:val="clear" w:color="auto" w:fill="auto"/>
                  <w:vAlign w:val="center"/>
                </w:tcPr>
                <w:p w14:paraId="401CA9E2">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采出液临时储罐</w:t>
                  </w:r>
                </w:p>
              </w:tc>
              <w:tc>
                <w:tcPr>
                  <w:tcW w:w="1178" w:type="pct"/>
                  <w:shd w:val="clear" w:color="auto" w:fill="auto"/>
                  <w:vAlign w:val="center"/>
                </w:tcPr>
                <w:p w14:paraId="19ADDF97">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60m</w:t>
                  </w:r>
                  <w:r>
                    <w:rPr>
                      <w:rFonts w:hint="default" w:ascii="Times New Roman" w:hAnsi="Times New Roman" w:cs="Times New Roman"/>
                      <w:color w:val="000000" w:themeColor="text1"/>
                      <w:vertAlign w:val="superscript"/>
                      <w14:textFill>
                        <w14:solidFill>
                          <w14:schemeClr w14:val="tx1"/>
                        </w14:solidFill>
                      </w14:textFill>
                    </w:rPr>
                    <w:t>3</w:t>
                  </w:r>
                </w:p>
              </w:tc>
              <w:tc>
                <w:tcPr>
                  <w:tcW w:w="517" w:type="pct"/>
                  <w:shd w:val="clear" w:color="auto" w:fill="auto"/>
                  <w:vAlign w:val="center"/>
                </w:tcPr>
                <w:p w14:paraId="0DF8B266">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座</w:t>
                  </w:r>
                </w:p>
              </w:tc>
              <w:tc>
                <w:tcPr>
                  <w:tcW w:w="350" w:type="pct"/>
                  <w:shd w:val="clear" w:color="auto" w:fill="auto"/>
                  <w:vAlign w:val="center"/>
                </w:tcPr>
                <w:p w14:paraId="1BBC77DB">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439" w:type="pct"/>
                  <w:vAlign w:val="center"/>
                </w:tcPr>
                <w:p w14:paraId="13D89FAB">
                  <w:pPr>
                    <w:pStyle w:val="23"/>
                    <w:rPr>
                      <w:rFonts w:hint="default" w:ascii="Times New Roman" w:hAnsi="Times New Roman" w:cs="Times New Roman"/>
                      <w:color w:val="000000" w:themeColor="text1"/>
                      <w14:textFill>
                        <w14:solidFill>
                          <w14:schemeClr w14:val="tx1"/>
                        </w14:solidFill>
                      </w14:textFill>
                    </w:rPr>
                  </w:pPr>
                </w:p>
              </w:tc>
            </w:tr>
          </w:tbl>
          <w:p w14:paraId="42E53A19">
            <w:pPr>
              <w:pStyle w:val="2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）完井</w:t>
            </w:r>
          </w:p>
          <w:p w14:paraId="2A2A885D">
            <w:pPr>
              <w:pStyle w:val="26"/>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完井是钻井工程的最后环节，整个钻井工艺结束。一般情况下，完井即钻开油层，完井方式采用套管固井完井。</w:t>
            </w:r>
          </w:p>
          <w:p w14:paraId="2B6A57F8">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）储层改造设备</w:t>
            </w:r>
          </w:p>
          <w:p w14:paraId="29BD93B2">
            <w:pPr>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储层改造包括射孔和压裂两个工序。射孔时利用专用设备和射孔枪，对套管和井壁进行射孔，建立地层与井筒之间的通道；压裂时用泵车将压裂液挤入油层，当把油层压出许多裂缝后加入支撑剂（如石英砂等），使其充填进裂缝，可有效提高油气层的渗透能力等操作。</w:t>
            </w:r>
          </w:p>
          <w:p w14:paraId="68D7DBE5">
            <w:pPr>
              <w:pStyle w:val="7"/>
              <w:keepNext/>
              <w:spacing w:line="360" w:lineRule="auto"/>
              <w:ind w:firstLine="422"/>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表2-</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b/>
                <w:color w:val="000000" w:themeColor="text1"/>
                <w:sz w:val="21"/>
                <w:szCs w:val="21"/>
                <w14:textFill>
                  <w14:solidFill>
                    <w14:schemeClr w14:val="tx1"/>
                  </w14:solidFill>
                </w14:textFill>
              </w:rPr>
              <w:t xml:space="preserve">  压裂主要设备（单井）</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2269"/>
              <w:gridCol w:w="1984"/>
              <w:gridCol w:w="2677"/>
            </w:tblGrid>
            <w:tr w14:paraId="387C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Align w:val="center"/>
                </w:tcPr>
                <w:p w14:paraId="3C1BBDED">
                  <w:pPr>
                    <w:pStyle w:val="27"/>
                    <w:ind w:firstLine="0" w:firstLineChars="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阶段</w:t>
                  </w:r>
                </w:p>
              </w:tc>
              <w:tc>
                <w:tcPr>
                  <w:tcW w:w="1385" w:type="pct"/>
                  <w:vAlign w:val="center"/>
                </w:tcPr>
                <w:p w14:paraId="0F520FDB">
                  <w:pPr>
                    <w:pStyle w:val="27"/>
                    <w:ind w:firstLine="0" w:firstLineChars="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设备名称</w:t>
                  </w:r>
                </w:p>
              </w:tc>
              <w:tc>
                <w:tcPr>
                  <w:tcW w:w="1211" w:type="pct"/>
                  <w:vAlign w:val="center"/>
                </w:tcPr>
                <w:p w14:paraId="5A370778">
                  <w:pPr>
                    <w:pStyle w:val="27"/>
                    <w:ind w:firstLine="0" w:firstLineChars="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主要型号</w:t>
                  </w:r>
                </w:p>
              </w:tc>
              <w:tc>
                <w:tcPr>
                  <w:tcW w:w="1634" w:type="pct"/>
                  <w:vAlign w:val="center"/>
                </w:tcPr>
                <w:p w14:paraId="0C26684E">
                  <w:pPr>
                    <w:pStyle w:val="27"/>
                    <w:ind w:firstLine="0" w:firstLineChars="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数量（台/座）</w:t>
                  </w:r>
                </w:p>
              </w:tc>
            </w:tr>
            <w:tr w14:paraId="131A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restart"/>
                  <w:vAlign w:val="center"/>
                </w:tcPr>
                <w:p w14:paraId="0DDAA58D">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w:t>
                  </w:r>
                </w:p>
              </w:tc>
              <w:tc>
                <w:tcPr>
                  <w:tcW w:w="1385" w:type="pct"/>
                  <w:vAlign w:val="center"/>
                </w:tcPr>
                <w:p w14:paraId="180DBB10">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压裂车</w:t>
                  </w:r>
                </w:p>
              </w:tc>
              <w:tc>
                <w:tcPr>
                  <w:tcW w:w="1211" w:type="pct"/>
                  <w:vAlign w:val="center"/>
                </w:tcPr>
                <w:p w14:paraId="61CE0810">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2500型</w:t>
                  </w:r>
                </w:p>
              </w:tc>
              <w:tc>
                <w:tcPr>
                  <w:tcW w:w="1634" w:type="pct"/>
                  <w:vAlign w:val="center"/>
                </w:tcPr>
                <w:p w14:paraId="381830F2">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p>
              </w:tc>
            </w:tr>
            <w:tr w14:paraId="1236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78C6446F">
                  <w:pPr>
                    <w:pStyle w:val="27"/>
                    <w:ind w:firstLine="420"/>
                    <w:rPr>
                      <w:rFonts w:hint="default" w:ascii="Times New Roman" w:hAnsi="Times New Roman" w:cs="Times New Roman"/>
                      <w:color w:val="000000" w:themeColor="text1"/>
                      <w14:textFill>
                        <w14:solidFill>
                          <w14:schemeClr w14:val="tx1"/>
                        </w14:solidFill>
                      </w14:textFill>
                    </w:rPr>
                  </w:pPr>
                </w:p>
              </w:tc>
              <w:tc>
                <w:tcPr>
                  <w:tcW w:w="1385" w:type="pct"/>
                  <w:vAlign w:val="center"/>
                </w:tcPr>
                <w:p w14:paraId="693C5301">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混砂车</w:t>
                  </w:r>
                </w:p>
              </w:tc>
              <w:tc>
                <w:tcPr>
                  <w:tcW w:w="1211" w:type="pct"/>
                  <w:vAlign w:val="center"/>
                </w:tcPr>
                <w:p w14:paraId="4A4930CB">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634" w:type="pct"/>
                  <w:vAlign w:val="center"/>
                </w:tcPr>
                <w:p w14:paraId="74E1B701">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r>
            <w:tr w14:paraId="0180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563FB9A5">
                  <w:pPr>
                    <w:pStyle w:val="27"/>
                    <w:ind w:firstLine="420"/>
                    <w:rPr>
                      <w:rFonts w:hint="default" w:ascii="Times New Roman" w:hAnsi="Times New Roman" w:cs="Times New Roman"/>
                      <w:color w:val="000000" w:themeColor="text1"/>
                      <w14:textFill>
                        <w14:solidFill>
                          <w14:schemeClr w14:val="tx1"/>
                        </w14:solidFill>
                      </w14:textFill>
                    </w:rPr>
                  </w:pPr>
                </w:p>
              </w:tc>
              <w:tc>
                <w:tcPr>
                  <w:tcW w:w="1385" w:type="pct"/>
                  <w:vAlign w:val="center"/>
                </w:tcPr>
                <w:p w14:paraId="65C1CB40">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仪表车</w:t>
                  </w:r>
                </w:p>
              </w:tc>
              <w:tc>
                <w:tcPr>
                  <w:tcW w:w="1211" w:type="pct"/>
                  <w:vAlign w:val="center"/>
                </w:tcPr>
                <w:p w14:paraId="569F4E0F">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634" w:type="pct"/>
                  <w:vAlign w:val="center"/>
                </w:tcPr>
                <w:p w14:paraId="3882804C">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r>
            <w:tr w14:paraId="7FEC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430D7528">
                  <w:pPr>
                    <w:pStyle w:val="27"/>
                    <w:ind w:firstLine="420"/>
                    <w:rPr>
                      <w:rFonts w:hint="default" w:ascii="Times New Roman" w:hAnsi="Times New Roman" w:cs="Times New Roman"/>
                      <w:color w:val="000000" w:themeColor="text1"/>
                      <w14:textFill>
                        <w14:solidFill>
                          <w14:schemeClr w14:val="tx1"/>
                        </w14:solidFill>
                      </w14:textFill>
                    </w:rPr>
                  </w:pPr>
                </w:p>
              </w:tc>
              <w:tc>
                <w:tcPr>
                  <w:tcW w:w="1385" w:type="pct"/>
                  <w:vAlign w:val="center"/>
                </w:tcPr>
                <w:p w14:paraId="76545612">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砂罐车</w:t>
                  </w:r>
                </w:p>
              </w:tc>
              <w:tc>
                <w:tcPr>
                  <w:tcW w:w="1211" w:type="pct"/>
                  <w:vAlign w:val="center"/>
                </w:tcPr>
                <w:p w14:paraId="1C76F457">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634" w:type="pct"/>
                  <w:vAlign w:val="center"/>
                </w:tcPr>
                <w:p w14:paraId="1A887491">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r>
            <w:tr w14:paraId="424E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restart"/>
                  <w:vAlign w:val="center"/>
                </w:tcPr>
                <w:p w14:paraId="31C3D2F0">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射孔</w:t>
                  </w:r>
                </w:p>
              </w:tc>
              <w:tc>
                <w:tcPr>
                  <w:tcW w:w="1385" w:type="pct"/>
                  <w:vAlign w:val="center"/>
                </w:tcPr>
                <w:p w14:paraId="407FFDCE">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射孔车</w:t>
                  </w:r>
                </w:p>
              </w:tc>
              <w:tc>
                <w:tcPr>
                  <w:tcW w:w="1211" w:type="pct"/>
                  <w:vAlign w:val="center"/>
                </w:tcPr>
                <w:p w14:paraId="09389FA8">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634" w:type="pct"/>
                  <w:vAlign w:val="center"/>
                </w:tcPr>
                <w:p w14:paraId="5C519F03">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r>
            <w:tr w14:paraId="3652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pct"/>
                  <w:vMerge w:val="continue"/>
                  <w:vAlign w:val="center"/>
                </w:tcPr>
                <w:p w14:paraId="47221681">
                  <w:pPr>
                    <w:pStyle w:val="27"/>
                    <w:ind w:firstLine="420"/>
                    <w:rPr>
                      <w:rFonts w:hint="default" w:ascii="Times New Roman" w:hAnsi="Times New Roman" w:cs="Times New Roman"/>
                      <w:color w:val="000000" w:themeColor="text1"/>
                      <w14:textFill>
                        <w14:solidFill>
                          <w14:schemeClr w14:val="tx1"/>
                        </w14:solidFill>
                      </w14:textFill>
                    </w:rPr>
                  </w:pPr>
                </w:p>
              </w:tc>
              <w:tc>
                <w:tcPr>
                  <w:tcW w:w="1385" w:type="pct"/>
                  <w:vAlign w:val="center"/>
                </w:tcPr>
                <w:p w14:paraId="01C630FA">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射孔工具车</w:t>
                  </w:r>
                </w:p>
              </w:tc>
              <w:tc>
                <w:tcPr>
                  <w:tcW w:w="1211" w:type="pct"/>
                  <w:vAlign w:val="center"/>
                </w:tcPr>
                <w:p w14:paraId="2B519FB1">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634" w:type="pct"/>
                  <w:vAlign w:val="center"/>
                </w:tcPr>
                <w:p w14:paraId="75681DF8">
                  <w:pPr>
                    <w:pStyle w:val="27"/>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r>
          </w:tbl>
          <w:p w14:paraId="2271F7F5">
            <w:pPr>
              <w:adjustRightInd/>
              <w:snapToGrid/>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压裂液用量</w:t>
            </w:r>
          </w:p>
          <w:p w14:paraId="26507966">
            <w:pPr>
              <w:adjustRightInd/>
              <w:snapToGrid/>
              <w:ind w:firstLine="480"/>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根据建设单位提供的钻井工程设计资料，试油期压裂液使用量为</w:t>
            </w: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000</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。压裂液由压裂液公司配置好后拉运至井场，不在现场配置。</w:t>
            </w:r>
          </w:p>
          <w:p w14:paraId="7E3569BE">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）试油周期</w:t>
            </w:r>
          </w:p>
          <w:p w14:paraId="58E3546E">
            <w:pPr>
              <w:pStyle w:val="4"/>
              <w:ind w:firstLine="480" w:firstLineChars="200"/>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本项目试油周期</w:t>
            </w:r>
            <w:r>
              <w:rPr>
                <w:rFonts w:hint="default" w:ascii="Times New Roman" w:hAnsi="Times New Roman" w:cs="Times New Roman"/>
                <w:b w:val="0"/>
                <w:bCs w:val="0"/>
                <w:color w:val="000000" w:themeColor="text1"/>
                <w:lang w:val="en-US" w:eastAsia="zh-CN"/>
                <w14:textFill>
                  <w14:solidFill>
                    <w14:schemeClr w14:val="tx1"/>
                  </w14:solidFill>
                </w14:textFill>
              </w:rPr>
              <w:t>9</w:t>
            </w:r>
            <w:r>
              <w:rPr>
                <w:rFonts w:hint="default" w:ascii="Times New Roman" w:hAnsi="Times New Roman" w:cs="Times New Roman"/>
                <w:b w:val="0"/>
                <w:bCs w:val="0"/>
                <w:color w:val="000000" w:themeColor="text1"/>
                <w14:textFill>
                  <w14:solidFill>
                    <w14:schemeClr w14:val="tx1"/>
                  </w14:solidFill>
                </w14:textFill>
              </w:rPr>
              <w:t>0天，试油作业人数2人。</w:t>
            </w:r>
          </w:p>
          <w:p w14:paraId="7E5D2B24">
            <w:pPr>
              <w:ind w:firstLine="0" w:firstLineChars="0"/>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lang w:val="en-US" w:eastAsia="zh-CN"/>
                <w14:textFill>
                  <w14:solidFill>
                    <w14:schemeClr w14:val="tx1"/>
                  </w14:solidFill>
                </w14:textFill>
              </w:rPr>
              <w:t>5</w:t>
            </w:r>
            <w:r>
              <w:rPr>
                <w:rFonts w:hint="default" w:ascii="Times New Roman" w:hAnsi="Times New Roman" w:cs="Times New Roman"/>
                <w:b/>
                <w:bCs/>
                <w:color w:val="000000" w:themeColor="text1"/>
                <w:sz w:val="28"/>
                <w:szCs w:val="28"/>
                <w14:textFill>
                  <w14:solidFill>
                    <w14:schemeClr w14:val="tx1"/>
                  </w14:solidFill>
                </w14:textFill>
              </w:rPr>
              <w:t xml:space="preserve"> 钻后工程</w:t>
            </w:r>
          </w:p>
          <w:p w14:paraId="574D0840">
            <w:pPr>
              <w:pStyle w:val="9"/>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结束后视试油结果决定是否转为生产井，若可转为生产井，则应当在产能开发建设前开展环境影响评价工作。如发现该井不具开发价值或目的层不含油，则进行封井，拆除井口装置，截去地下1m内管头，最后清理场地，清除各种固体废弃物，自然恢复至相对自然的地貌。封井后，人员撤离，区域内没有了人为的扰动，井场范围内的自然植被会逐渐得以恢复，有助于区域生态环境的改善。</w:t>
            </w:r>
          </w:p>
          <w:p w14:paraId="28089854">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 xml:space="preserve">6 </w:t>
            </w:r>
            <w:r>
              <w:rPr>
                <w:rFonts w:hint="default" w:ascii="Times New Roman" w:hAnsi="Times New Roman" w:cs="Times New Roman"/>
                <w:color w:val="000000" w:themeColor="text1"/>
                <w:sz w:val="28"/>
                <w:szCs w:val="28"/>
                <w14:textFill>
                  <w14:solidFill>
                    <w14:schemeClr w14:val="tx1"/>
                  </w14:solidFill>
                </w14:textFill>
              </w:rPr>
              <w:t>公用工程</w:t>
            </w:r>
          </w:p>
          <w:p w14:paraId="796CAFAE">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lang w:val="en-US" w:eastAsia="zh-CN"/>
                <w14:textFill>
                  <w14:solidFill>
                    <w14:schemeClr w14:val="tx1"/>
                  </w14:solidFill>
                </w14:textFill>
              </w:rPr>
              <w:t>6</w:t>
            </w:r>
            <w:r>
              <w:rPr>
                <w:rFonts w:hint="default" w:ascii="Times New Roman" w:hAnsi="Times New Roman" w:cs="Times New Roman"/>
                <w:b/>
                <w:color w:val="000000" w:themeColor="text1"/>
                <w14:textFill>
                  <w14:solidFill>
                    <w14:schemeClr w14:val="tx1"/>
                  </w14:solidFill>
                </w14:textFill>
              </w:rPr>
              <w:t>.1给水</w:t>
            </w:r>
          </w:p>
          <w:p w14:paraId="456406BF">
            <w:pPr>
              <w:ind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本项目压裂液不在现场配置，无需配置用水，本项目用水主要为洗井用水和生活用水。</w:t>
            </w:r>
          </w:p>
          <w:p w14:paraId="5036BBDB">
            <w:pPr>
              <w:numPr>
                <w:ilvl w:val="0"/>
                <w:numId w:val="0"/>
              </w:numPr>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洗井用水</w:t>
            </w:r>
          </w:p>
          <w:p w14:paraId="5FEC23FE">
            <w:pPr>
              <w:numPr>
                <w:ilvl w:val="0"/>
                <w:numId w:val="0"/>
              </w:numPr>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根据建设单位提供资料，</w:t>
            </w: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陆西1井</w:t>
            </w:r>
            <w:r>
              <w:rPr>
                <w:rFonts w:hint="default" w:ascii="Times New Roman" w:hAnsi="Times New Roman" w:eastAsia="宋体" w:cs="Times New Roman"/>
                <w:color w:val="000000" w:themeColor="text1"/>
                <w:sz w:val="24"/>
                <w:szCs w:val="24"/>
                <w14:textFill>
                  <w14:solidFill>
                    <w14:schemeClr w14:val="tx1"/>
                  </w14:solidFill>
                </w14:textFill>
              </w:rPr>
              <w:t>试油期洗井天数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14:textFill>
                  <w14:solidFill>
                    <w14:schemeClr w14:val="tx1"/>
                  </w14:solidFill>
                </w14:textFill>
              </w:rPr>
              <w:t>0d，洗井用水预计总用量为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00m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，洗井用水采用就近拉运的方式。</w:t>
            </w:r>
          </w:p>
          <w:p w14:paraId="18C3A604">
            <w:pPr>
              <w:numPr>
                <w:ilvl w:val="0"/>
                <w:numId w:val="0"/>
              </w:numPr>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生活用水</w:t>
            </w:r>
          </w:p>
          <w:p w14:paraId="55F3864D">
            <w:pPr>
              <w:numPr>
                <w:ilvl w:val="0"/>
                <w:numId w:val="0"/>
              </w:numPr>
              <w:ind w:firstLine="48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本项目钻井期施工人员各35人，按每人每天用水20L计算，钻井期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70</w:t>
            </w:r>
            <w:r>
              <w:rPr>
                <w:rFonts w:hint="default" w:ascii="Times New Roman" w:hAnsi="Times New Roman" w:eastAsia="宋体" w:cs="Times New Roman"/>
                <w:color w:val="000000" w:themeColor="text1"/>
                <w:sz w:val="24"/>
                <w:szCs w:val="24"/>
                <w14:textFill>
                  <w14:solidFill>
                    <w14:schemeClr w14:val="tx1"/>
                  </w14:solidFill>
                </w14:textFill>
              </w:rPr>
              <w:t>天，生活用水总量为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49</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0.7</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/d）。试油期均设2人值班，不在井区食宿，无生活用水需求。</w:t>
            </w:r>
          </w:p>
          <w:p w14:paraId="3DD98E9C">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5.2排水</w:t>
            </w:r>
          </w:p>
          <w:p w14:paraId="32419211">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本项目在钻井过程中采用“钻井泥浆不落地技术”，分离出的液相循环使用，无钻井废水产生。废水主要为生活污水和试油期废水（洗井废水和压裂返排液）。</w:t>
            </w:r>
          </w:p>
          <w:p w14:paraId="2B3C2A9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生活污水产生量占用水量的80%，预计生活污水产生量为</w:t>
            </w:r>
            <w:r>
              <w:rPr>
                <w:rFonts w:hint="default" w:ascii="Times New Roman" w:hAnsi="Times New Roman" w:cs="Times New Roman"/>
                <w:color w:val="000000" w:themeColor="text1"/>
                <w:lang w:val="en-US" w:eastAsia="zh-CN"/>
                <w14:textFill>
                  <w14:solidFill>
                    <w14:schemeClr w14:val="tx1"/>
                  </w14:solidFill>
                </w14:textFill>
              </w:rPr>
              <w:t>39.2</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。生活营地设置防渗污水收集池，生活污水清运至乌尔禾污水处理厂。</w:t>
            </w:r>
          </w:p>
          <w:p w14:paraId="09DAA9EC">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洗井废水</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压裂返排液入罐收集后拉运</w:t>
            </w:r>
            <w:r>
              <w:rPr>
                <w:rFonts w:hint="default" w:ascii="Times New Roman" w:hAnsi="Times New Roman" w:cs="Times New Roman"/>
                <w:color w:val="000000" w:themeColor="text1"/>
                <w:lang w:val="en-US"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的污水处理系统处理，达到《碎屑岩油藏注水水质指标技术要求及分析方法》（SY/T5329-2022）中标准后回注油藏。</w:t>
            </w:r>
          </w:p>
          <w:p w14:paraId="6BABCBAF">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5.3供暖</w:t>
            </w:r>
          </w:p>
          <w:p w14:paraId="3CCE86DE">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本项目钻井期不在冬季，无需供暖。</w:t>
            </w:r>
          </w:p>
          <w:p w14:paraId="055B115F">
            <w:pPr>
              <w:ind w:firstLine="0" w:firstLineChars="0"/>
              <w:rPr>
                <w:rStyle w:val="28"/>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5.4供电</w:t>
            </w:r>
          </w:p>
          <w:p w14:paraId="2E23F19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本项目施工期钻机、生活、办公等通过柴油机、发电机供电。</w:t>
            </w:r>
          </w:p>
          <w:p w14:paraId="701A60BE">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6工程占地</w:t>
            </w:r>
          </w:p>
          <w:p w14:paraId="0C14A03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本项目总占地面积</w:t>
            </w:r>
            <w:r>
              <w:rPr>
                <w:rFonts w:hint="eastAsia" w:cs="Times New Roman"/>
                <w:color w:val="000000" w:themeColor="text1"/>
                <w:lang w:val="en-US" w:eastAsia="zh-CN"/>
                <w14:textFill>
                  <w14:solidFill>
                    <w14:schemeClr w14:val="tx1"/>
                  </w14:solidFill>
                </w14:textFill>
              </w:rPr>
              <w:t>32097</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，均为临时占地，本项目占地情况见表2-</w:t>
            </w:r>
            <w:r>
              <w:rPr>
                <w:rFonts w:hint="eastAsia" w:ascii="Times New Roman" w:hAnsi="Times New Roman" w:cs="Times New Roman"/>
                <w:color w:val="000000" w:themeColor="text1"/>
                <w:lang w:val="en-US" w:eastAsia="zh-CN"/>
                <w14:textFill>
                  <w14:solidFill>
                    <w14:schemeClr w14:val="tx1"/>
                  </w14:solidFill>
                </w14:textFill>
              </w:rPr>
              <w:t>9</w:t>
            </w:r>
            <w:r>
              <w:rPr>
                <w:rFonts w:hint="default" w:ascii="Times New Roman" w:hAnsi="Times New Roman" w:cs="Times New Roman"/>
                <w:color w:val="000000" w:themeColor="text1"/>
                <w14:textFill>
                  <w14:solidFill>
                    <w14:schemeClr w14:val="tx1"/>
                  </w14:solidFill>
                </w14:textFill>
              </w:rPr>
              <w:t>。</w:t>
            </w:r>
          </w:p>
          <w:p w14:paraId="3B787B67">
            <w:pPr>
              <w:widowControl/>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表2-</w:t>
            </w:r>
            <w:r>
              <w:rPr>
                <w:rFonts w:hint="eastAsia" w:ascii="Times New Roman" w:hAnsi="Times New Roman" w:cs="Times New Roman"/>
                <w:b/>
                <w:bCs/>
                <w:color w:val="000000" w:themeColor="text1"/>
                <w:sz w:val="21"/>
                <w:szCs w:val="21"/>
                <w:lang w:val="en-US" w:eastAsia="zh-CN"/>
                <w14:textFill>
                  <w14:solidFill>
                    <w14:schemeClr w14:val="tx1"/>
                  </w14:solidFill>
                </w14:textFill>
              </w:rPr>
              <w:t>9</w:t>
            </w:r>
            <w:r>
              <w:rPr>
                <w:rFonts w:hint="default" w:ascii="Times New Roman" w:hAnsi="Times New Roman" w:cs="Times New Roman"/>
                <w:b/>
                <w:bCs/>
                <w:color w:val="000000" w:themeColor="text1"/>
                <w:sz w:val="21"/>
                <w:szCs w:val="21"/>
                <w14:textFill>
                  <w14:solidFill>
                    <w14:schemeClr w14:val="tx1"/>
                  </w14:solidFill>
                </w14:textFill>
              </w:rPr>
              <w:t xml:space="preserve">  项目占地情况一览表</w:t>
            </w:r>
          </w:p>
          <w:tbl>
            <w:tblPr>
              <w:tblStyle w:val="16"/>
              <w:tblpPr w:leftFromText="180" w:rightFromText="180" w:vertAnchor="text" w:horzAnchor="page" w:tblpX="171" w:tblpY="59"/>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03"/>
              <w:gridCol w:w="1262"/>
              <w:gridCol w:w="2082"/>
              <w:gridCol w:w="826"/>
              <w:gridCol w:w="2239"/>
            </w:tblGrid>
            <w:tr w14:paraId="6207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413" w:type="pct"/>
                  <w:vAlign w:val="center"/>
                </w:tcPr>
                <w:p w14:paraId="4235EF87">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井号</w:t>
                  </w:r>
                </w:p>
              </w:tc>
              <w:tc>
                <w:tcPr>
                  <w:tcW w:w="673" w:type="pct"/>
                  <w:vAlign w:val="center"/>
                </w:tcPr>
                <w:p w14:paraId="0DD0E0A0">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临时工程</w:t>
                  </w:r>
                </w:p>
              </w:tc>
              <w:tc>
                <w:tcPr>
                  <w:tcW w:w="770" w:type="pct"/>
                  <w:vAlign w:val="center"/>
                </w:tcPr>
                <w:p w14:paraId="539E7D91">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占地面积（m</w:t>
                  </w:r>
                  <w:r>
                    <w:rPr>
                      <w:rFonts w:hint="default" w:ascii="Times New Roman" w:hAnsi="Times New Roman" w:cs="Times New Roman"/>
                      <w:b/>
                      <w:bCs/>
                      <w:color w:val="000000" w:themeColor="text1"/>
                      <w:kern w:val="0"/>
                      <w:sz w:val="21"/>
                      <w:szCs w:val="21"/>
                      <w:vertAlign w:val="superscript"/>
                      <w14:textFill>
                        <w14:solidFill>
                          <w14:schemeClr w14:val="tx1"/>
                        </w14:solidFill>
                      </w14:textFill>
                    </w:rPr>
                    <w:t>2</w:t>
                  </w:r>
                  <w:r>
                    <w:rPr>
                      <w:rFonts w:hint="default" w:ascii="Times New Roman" w:hAnsi="Times New Roman" w:cs="Times New Roman"/>
                      <w:b/>
                      <w:bCs/>
                      <w:color w:val="000000" w:themeColor="text1"/>
                      <w:kern w:val="0"/>
                      <w:sz w:val="21"/>
                      <w:szCs w:val="21"/>
                      <w14:textFill>
                        <w14:solidFill>
                          <w14:schemeClr w14:val="tx1"/>
                        </w14:solidFill>
                      </w14:textFill>
                    </w:rPr>
                    <w:t>）</w:t>
                  </w:r>
                </w:p>
              </w:tc>
              <w:tc>
                <w:tcPr>
                  <w:tcW w:w="1270" w:type="pct"/>
                  <w:vAlign w:val="center"/>
                </w:tcPr>
                <w:p w14:paraId="01FD71BF">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用地类型</w:t>
                  </w:r>
                </w:p>
              </w:tc>
              <w:tc>
                <w:tcPr>
                  <w:tcW w:w="504" w:type="pct"/>
                  <w:vAlign w:val="center"/>
                </w:tcPr>
                <w:p w14:paraId="2F595EC3">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合计（m</w:t>
                  </w:r>
                  <w:r>
                    <w:rPr>
                      <w:rFonts w:hint="default" w:ascii="Times New Roman" w:hAnsi="Times New Roman" w:cs="Times New Roman"/>
                      <w:b/>
                      <w:bCs/>
                      <w:color w:val="000000" w:themeColor="text1"/>
                      <w:kern w:val="0"/>
                      <w:sz w:val="21"/>
                      <w:szCs w:val="21"/>
                      <w:vertAlign w:val="superscript"/>
                      <w14:textFill>
                        <w14:solidFill>
                          <w14:schemeClr w14:val="tx1"/>
                        </w14:solidFill>
                      </w14:textFill>
                    </w:rPr>
                    <w:t>2</w:t>
                  </w:r>
                  <w:r>
                    <w:rPr>
                      <w:rFonts w:hint="default" w:ascii="Times New Roman" w:hAnsi="Times New Roman" w:cs="Times New Roman"/>
                      <w:b/>
                      <w:bCs/>
                      <w:color w:val="000000" w:themeColor="text1"/>
                      <w:kern w:val="0"/>
                      <w:sz w:val="21"/>
                      <w:szCs w:val="21"/>
                      <w14:textFill>
                        <w14:solidFill>
                          <w14:schemeClr w14:val="tx1"/>
                        </w14:solidFill>
                      </w14:textFill>
                    </w:rPr>
                    <w:t>）</w:t>
                  </w:r>
                </w:p>
              </w:tc>
              <w:tc>
                <w:tcPr>
                  <w:tcW w:w="1366" w:type="pct"/>
                  <w:vAlign w:val="center"/>
                </w:tcPr>
                <w:p w14:paraId="0A5CB9FD">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备注</w:t>
                  </w:r>
                </w:p>
              </w:tc>
            </w:tr>
            <w:tr w14:paraId="6485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413" w:type="pct"/>
                  <w:vMerge w:val="restart"/>
                  <w:vAlign w:val="center"/>
                </w:tcPr>
                <w:p w14:paraId="63F0A35F">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陆西1井</w:t>
                  </w:r>
                </w:p>
              </w:tc>
              <w:tc>
                <w:tcPr>
                  <w:tcW w:w="673" w:type="pct"/>
                  <w:vAlign w:val="center"/>
                </w:tcPr>
                <w:p w14:paraId="7C2ED241">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井场</w:t>
                  </w:r>
                </w:p>
              </w:tc>
              <w:tc>
                <w:tcPr>
                  <w:tcW w:w="770" w:type="pct"/>
                  <w:vAlign w:val="center"/>
                </w:tcPr>
                <w:p w14:paraId="51430D1A">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11762.07</w:t>
                  </w:r>
                </w:p>
              </w:tc>
              <w:tc>
                <w:tcPr>
                  <w:tcW w:w="1270" w:type="pct"/>
                  <w:vAlign w:val="center"/>
                </w:tcPr>
                <w:p w14:paraId="1CD85091">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灌木林地</w:t>
                  </w:r>
                </w:p>
              </w:tc>
              <w:tc>
                <w:tcPr>
                  <w:tcW w:w="504" w:type="pct"/>
                  <w:vMerge w:val="restart"/>
                  <w:vAlign w:val="center"/>
                </w:tcPr>
                <w:p w14:paraId="1377AEE3">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32097</w:t>
                  </w:r>
                </w:p>
              </w:tc>
              <w:tc>
                <w:tcPr>
                  <w:tcW w:w="1366" w:type="pct"/>
                  <w:vAlign w:val="center"/>
                </w:tcPr>
                <w:p w14:paraId="0338C452">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长</w:t>
                  </w:r>
                  <w:r>
                    <w:rPr>
                      <w:rFonts w:hint="default" w:ascii="Times New Roman" w:hAnsi="Times New Roman" w:cs="Times New Roman"/>
                      <w:color w:val="000000" w:themeColor="text1"/>
                      <w:kern w:val="0"/>
                      <w:sz w:val="21"/>
                      <w:szCs w:val="21"/>
                      <w:lang w:val="en-US" w:eastAsia="zh-CN"/>
                      <w14:textFill>
                        <w14:solidFill>
                          <w14:schemeClr w14:val="tx1"/>
                        </w14:solidFill>
                      </w14:textFill>
                    </w:rPr>
                    <w:t>127.13</w:t>
                  </w:r>
                  <w:r>
                    <w:rPr>
                      <w:rFonts w:hint="default" w:ascii="Times New Roman" w:hAnsi="Times New Roman" w:cs="Times New Roman"/>
                      <w:color w:val="000000" w:themeColor="text1"/>
                      <w:kern w:val="0"/>
                      <w:sz w:val="21"/>
                      <w:szCs w:val="21"/>
                      <w14:textFill>
                        <w14:solidFill>
                          <w14:schemeClr w14:val="tx1"/>
                        </w14:solidFill>
                      </w14:textFill>
                    </w:rPr>
                    <w:t>m，宽度</w:t>
                  </w:r>
                  <w:r>
                    <w:rPr>
                      <w:rFonts w:hint="default" w:ascii="Times New Roman" w:hAnsi="Times New Roman" w:cs="Times New Roman"/>
                      <w:color w:val="000000" w:themeColor="text1"/>
                      <w:kern w:val="0"/>
                      <w:sz w:val="21"/>
                      <w:szCs w:val="21"/>
                      <w:lang w:val="en-US" w:eastAsia="zh-CN"/>
                      <w14:textFill>
                        <w14:solidFill>
                          <w14:schemeClr w14:val="tx1"/>
                        </w14:solidFill>
                      </w14:textFill>
                    </w:rPr>
                    <w:t>92.52</w:t>
                  </w:r>
                  <w:r>
                    <w:rPr>
                      <w:rFonts w:hint="default" w:ascii="Times New Roman" w:hAnsi="Times New Roman" w:cs="Times New Roman"/>
                      <w:color w:val="000000" w:themeColor="text1"/>
                      <w:kern w:val="0"/>
                      <w:sz w:val="21"/>
                      <w:szCs w:val="21"/>
                      <w14:textFill>
                        <w14:solidFill>
                          <w14:schemeClr w14:val="tx1"/>
                        </w14:solidFill>
                      </w14:textFill>
                    </w:rPr>
                    <w:t>m</w:t>
                  </w:r>
                </w:p>
              </w:tc>
            </w:tr>
            <w:tr w14:paraId="2C5A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413" w:type="pct"/>
                  <w:vMerge w:val="continue"/>
                  <w:vAlign w:val="center"/>
                </w:tcPr>
                <w:p w14:paraId="79DD2965">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673" w:type="pct"/>
                  <w:vAlign w:val="center"/>
                </w:tcPr>
                <w:p w14:paraId="232D6ED2">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生活营地</w:t>
                  </w:r>
                </w:p>
              </w:tc>
              <w:tc>
                <w:tcPr>
                  <w:tcW w:w="770" w:type="pct"/>
                  <w:vAlign w:val="center"/>
                </w:tcPr>
                <w:p w14:paraId="42ACB5C5">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2468.76</w:t>
                  </w:r>
                </w:p>
              </w:tc>
              <w:tc>
                <w:tcPr>
                  <w:tcW w:w="1270" w:type="pct"/>
                  <w:vAlign w:val="center"/>
                </w:tcPr>
                <w:p w14:paraId="50546B63">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灌木林地</w:t>
                  </w:r>
                </w:p>
              </w:tc>
              <w:tc>
                <w:tcPr>
                  <w:tcW w:w="504" w:type="pct"/>
                  <w:vMerge w:val="continue"/>
                  <w:vAlign w:val="center"/>
                </w:tcPr>
                <w:p w14:paraId="13C70CA1">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1366" w:type="pct"/>
                  <w:vAlign w:val="center"/>
                </w:tcPr>
                <w:p w14:paraId="30E2B155">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60.42</w:t>
                  </w:r>
                  <w:r>
                    <w:rPr>
                      <w:rFonts w:hint="default" w:ascii="Times New Roman" w:hAnsi="Times New Roman" w:cs="Times New Roman"/>
                      <w:color w:val="000000" w:themeColor="text1"/>
                      <w:kern w:val="0"/>
                      <w:sz w:val="21"/>
                      <w:szCs w:val="21"/>
                      <w14:textFill>
                        <w14:solidFill>
                          <w14:schemeClr w14:val="tx1"/>
                        </w14:solidFill>
                      </w14:textFill>
                    </w:rPr>
                    <w:t>m×</w:t>
                  </w:r>
                  <w:r>
                    <w:rPr>
                      <w:rFonts w:hint="default" w:ascii="Times New Roman" w:hAnsi="Times New Roman" w:cs="Times New Roman"/>
                      <w:color w:val="000000" w:themeColor="text1"/>
                      <w:kern w:val="0"/>
                      <w:sz w:val="21"/>
                      <w:szCs w:val="21"/>
                      <w:lang w:val="en-US" w:eastAsia="zh-CN"/>
                      <w14:textFill>
                        <w14:solidFill>
                          <w14:schemeClr w14:val="tx1"/>
                        </w14:solidFill>
                      </w14:textFill>
                    </w:rPr>
                    <w:t>40.86</w:t>
                  </w:r>
                  <w:r>
                    <w:rPr>
                      <w:rFonts w:hint="default" w:ascii="Times New Roman" w:hAnsi="Times New Roman" w:cs="Times New Roman"/>
                      <w:color w:val="000000" w:themeColor="text1"/>
                      <w:kern w:val="0"/>
                      <w:sz w:val="21"/>
                      <w:szCs w:val="21"/>
                      <w14:textFill>
                        <w14:solidFill>
                          <w14:schemeClr w14:val="tx1"/>
                        </w14:solidFill>
                      </w14:textFill>
                    </w:rPr>
                    <w:t>m</w:t>
                  </w:r>
                </w:p>
              </w:tc>
            </w:tr>
            <w:tr w14:paraId="539A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413" w:type="pct"/>
                  <w:vMerge w:val="continue"/>
                  <w:vAlign w:val="center"/>
                </w:tcPr>
                <w:p w14:paraId="595A0669">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673" w:type="pct"/>
                  <w:vAlign w:val="center"/>
                </w:tcPr>
                <w:p w14:paraId="1D224E7C">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临时道路</w:t>
                  </w:r>
                </w:p>
              </w:tc>
              <w:tc>
                <w:tcPr>
                  <w:tcW w:w="770" w:type="pct"/>
                  <w:vAlign w:val="center"/>
                </w:tcPr>
                <w:p w14:paraId="3052FE28">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16561.33</w:t>
                  </w:r>
                </w:p>
              </w:tc>
              <w:tc>
                <w:tcPr>
                  <w:tcW w:w="1270" w:type="pct"/>
                  <w:vAlign w:val="center"/>
                </w:tcPr>
                <w:p w14:paraId="48304181">
                  <w:pPr>
                    <w:spacing w:line="240" w:lineRule="auto"/>
                    <w:ind w:firstLine="0" w:firstLineChars="0"/>
                    <w:contextualSpacing/>
                    <w:jc w:val="cente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灌木林地</w:t>
                  </w:r>
                  <w:r>
                    <w:rPr>
                      <w:rFonts w:hint="eastAsia" w:cs="Times New Roman"/>
                      <w:color w:val="000000" w:themeColor="text1"/>
                      <w:kern w:val="0"/>
                      <w:sz w:val="21"/>
                      <w:szCs w:val="21"/>
                      <w:lang w:val="en-US" w:eastAsia="zh-CN"/>
                      <w14:textFill>
                        <w14:solidFill>
                          <w14:schemeClr w14:val="tx1"/>
                        </w14:solidFill>
                      </w14:textFill>
                    </w:rPr>
                    <w:t>（9792.33m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14:textFill>
                        <w14:solidFill>
                          <w14:schemeClr w14:val="tx1"/>
                        </w14:solidFill>
                      </w14:textFill>
                    </w:rPr>
                    <w:t>、其他草地</w:t>
                  </w:r>
                  <w:r>
                    <w:rPr>
                      <w:rFonts w:hint="eastAsia" w:cs="Times New Roman"/>
                      <w:color w:val="000000" w:themeColor="text1"/>
                      <w:kern w:val="0"/>
                      <w:sz w:val="21"/>
                      <w:szCs w:val="21"/>
                      <w:lang w:val="en-US" w:eastAsia="zh-CN"/>
                      <w14:textFill>
                        <w14:solidFill>
                          <w14:schemeClr w14:val="tx1"/>
                        </w14:solidFill>
                      </w14:textFill>
                    </w:rPr>
                    <w:t>（6575m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14:textFill>
                        <w14:solidFill>
                          <w14:schemeClr w14:val="tx1"/>
                        </w14:solidFill>
                      </w14:textFill>
                    </w:rPr>
                    <w:t>、公路用地</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194m</w:t>
                  </w:r>
                  <w:r>
                    <w:rPr>
                      <w:rFonts w:hint="eastAsia"/>
                      <w:color w:val="000000" w:themeColor="text1"/>
                      <w:sz w:val="21"/>
                      <w:szCs w:val="21"/>
                      <w:vertAlign w:val="superscript"/>
                      <w:lang w:val="en-US" w:eastAsia="zh-CN"/>
                      <w14:textFill>
                        <w14:solidFill>
                          <w14:schemeClr w14:val="tx1"/>
                        </w14:solidFill>
                      </w14:textFill>
                    </w:rPr>
                    <w:t>2</w:t>
                  </w:r>
                  <w:r>
                    <w:rPr>
                      <w:rFonts w:hint="eastAsia"/>
                      <w:color w:val="000000" w:themeColor="text1"/>
                      <w:sz w:val="21"/>
                      <w:szCs w:val="21"/>
                      <w:lang w:eastAsia="zh-CN"/>
                      <w14:textFill>
                        <w14:solidFill>
                          <w14:schemeClr w14:val="tx1"/>
                        </w14:solidFill>
                      </w14:textFill>
                    </w:rPr>
                    <w:t>）</w:t>
                  </w:r>
                </w:p>
              </w:tc>
              <w:tc>
                <w:tcPr>
                  <w:tcW w:w="504" w:type="pct"/>
                  <w:vMerge w:val="continue"/>
                  <w:vAlign w:val="center"/>
                </w:tcPr>
                <w:p w14:paraId="0A133EE7">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1366" w:type="pct"/>
                  <w:vAlign w:val="center"/>
                </w:tcPr>
                <w:p w14:paraId="0F7372B2">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长1242.41m，宽13.33m，以保证大型机械的进出</w:t>
                  </w:r>
                </w:p>
              </w:tc>
            </w:tr>
            <w:tr w14:paraId="3CC6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13" w:type="pct"/>
                  <w:vMerge w:val="continue"/>
                  <w:vAlign w:val="center"/>
                </w:tcPr>
                <w:p w14:paraId="4C76717D">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673" w:type="pct"/>
                  <w:vAlign w:val="center"/>
                </w:tcPr>
                <w:p w14:paraId="4C6683BE">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主副放喷管线</w:t>
                  </w:r>
                </w:p>
              </w:tc>
              <w:tc>
                <w:tcPr>
                  <w:tcW w:w="770" w:type="pct"/>
                  <w:vAlign w:val="center"/>
                </w:tcPr>
                <w:p w14:paraId="2B18DFFC">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867.04</w:t>
                  </w:r>
                </w:p>
              </w:tc>
              <w:tc>
                <w:tcPr>
                  <w:tcW w:w="1270" w:type="pct"/>
                  <w:vAlign w:val="center"/>
                </w:tcPr>
                <w:p w14:paraId="23AB9955">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灌木林地</w:t>
                  </w:r>
                </w:p>
              </w:tc>
              <w:tc>
                <w:tcPr>
                  <w:tcW w:w="504" w:type="pct"/>
                  <w:vMerge w:val="continue"/>
                  <w:vAlign w:val="center"/>
                </w:tcPr>
                <w:p w14:paraId="14AD822A">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1366" w:type="pct"/>
                  <w:vAlign w:val="center"/>
                </w:tcPr>
                <w:p w14:paraId="201E7CF6">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左</w:t>
                  </w:r>
                  <w:r>
                    <w:rPr>
                      <w:rFonts w:hint="default" w:ascii="Times New Roman" w:hAnsi="Times New Roman" w:cs="Times New Roman"/>
                      <w:color w:val="000000" w:themeColor="text1"/>
                      <w:kern w:val="0"/>
                      <w:sz w:val="21"/>
                      <w:szCs w:val="21"/>
                      <w14:textFill>
                        <w14:solidFill>
                          <w14:schemeClr w14:val="tx1"/>
                        </w14:solidFill>
                      </w14:textFill>
                    </w:rPr>
                    <w:t>3</w:t>
                  </w:r>
                  <w:r>
                    <w:rPr>
                      <w:rFonts w:hint="default" w:ascii="Times New Roman" w:hAnsi="Times New Roman" w:cs="Times New Roman"/>
                      <w:color w:val="000000" w:themeColor="text1"/>
                      <w:kern w:val="0"/>
                      <w:sz w:val="21"/>
                      <w:szCs w:val="21"/>
                      <w:lang w:val="en-US" w:eastAsia="zh-CN"/>
                      <w14:textFill>
                        <w14:solidFill>
                          <w14:schemeClr w14:val="tx1"/>
                        </w14:solidFill>
                      </w14:textFill>
                    </w:rPr>
                    <w:t>7.74</w:t>
                  </w:r>
                  <w:r>
                    <w:rPr>
                      <w:rFonts w:hint="default" w:ascii="Times New Roman" w:hAnsi="Times New Roman" w:cs="Times New Roman"/>
                      <w:color w:val="000000" w:themeColor="text1"/>
                      <w:kern w:val="0"/>
                      <w:sz w:val="21"/>
                      <w:szCs w:val="21"/>
                      <w14:textFill>
                        <w14:solidFill>
                          <w14:schemeClr w14:val="tx1"/>
                        </w14:solidFill>
                      </w14:textFill>
                    </w:rPr>
                    <w:t>m×</w:t>
                  </w:r>
                  <w:r>
                    <w:rPr>
                      <w:rFonts w:hint="default" w:ascii="Times New Roman" w:hAnsi="Times New Roman" w:cs="Times New Roman"/>
                      <w:color w:val="000000" w:themeColor="text1"/>
                      <w:kern w:val="0"/>
                      <w:sz w:val="21"/>
                      <w:szCs w:val="21"/>
                      <w:lang w:val="en-US" w:eastAsia="zh-CN"/>
                      <w14:textFill>
                        <w14:solidFill>
                          <w14:schemeClr w14:val="tx1"/>
                        </w14:solidFill>
                      </w14:textFill>
                    </w:rPr>
                    <w:t>14.06</w:t>
                  </w:r>
                  <w:r>
                    <w:rPr>
                      <w:rFonts w:hint="default" w:ascii="Times New Roman" w:hAnsi="Times New Roman" w:cs="Times New Roman"/>
                      <w:color w:val="000000" w:themeColor="text1"/>
                      <w:kern w:val="0"/>
                      <w:sz w:val="21"/>
                      <w:szCs w:val="21"/>
                      <w14:textFill>
                        <w14:solidFill>
                          <w14:schemeClr w14:val="tx1"/>
                        </w14:solidFill>
                      </w14:textFill>
                    </w:rPr>
                    <w:t>m</w:t>
                  </w:r>
                  <w:r>
                    <w:rPr>
                      <w:rFonts w:hint="default" w:ascii="Times New Roman" w:hAnsi="Times New Roman" w:cs="Times New Roman"/>
                      <w:color w:val="000000" w:themeColor="text1"/>
                      <w:kern w:val="0"/>
                      <w:sz w:val="21"/>
                      <w:szCs w:val="21"/>
                      <w:lang w:eastAsia="zh-CN"/>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14:textFill>
                        <w14:solidFill>
                          <w14:schemeClr w14:val="tx1"/>
                        </w14:solidFill>
                      </w14:textFill>
                    </w:rPr>
                    <w:t>右：28.68</w:t>
                  </w:r>
                  <w:r>
                    <w:rPr>
                      <w:rFonts w:hint="default" w:ascii="Times New Roman" w:hAnsi="Times New Roman" w:cs="Times New Roman"/>
                      <w:color w:val="000000" w:themeColor="text1"/>
                      <w:kern w:val="0"/>
                      <w:sz w:val="21"/>
                      <w:szCs w:val="21"/>
                      <w14:textFill>
                        <w14:solidFill>
                          <w14:schemeClr w14:val="tx1"/>
                        </w14:solidFill>
                      </w14:textFill>
                    </w:rPr>
                    <w:t>m×</w:t>
                  </w:r>
                  <w:r>
                    <w:rPr>
                      <w:rFonts w:hint="default" w:ascii="Times New Roman" w:hAnsi="Times New Roman" w:cs="Times New Roman"/>
                      <w:color w:val="000000" w:themeColor="text1"/>
                      <w:kern w:val="0"/>
                      <w:sz w:val="21"/>
                      <w:szCs w:val="21"/>
                      <w:lang w:val="en-US" w:eastAsia="zh-CN"/>
                      <w14:textFill>
                        <w14:solidFill>
                          <w14:schemeClr w14:val="tx1"/>
                        </w14:solidFill>
                      </w14:textFill>
                    </w:rPr>
                    <w:t>11.73</w:t>
                  </w:r>
                  <w:r>
                    <w:rPr>
                      <w:rFonts w:hint="default" w:ascii="Times New Roman" w:hAnsi="Times New Roman" w:cs="Times New Roman"/>
                      <w:color w:val="000000" w:themeColor="text1"/>
                      <w:kern w:val="0"/>
                      <w:sz w:val="21"/>
                      <w:szCs w:val="21"/>
                      <w14:textFill>
                        <w14:solidFill>
                          <w14:schemeClr w14:val="tx1"/>
                        </w14:solidFill>
                      </w14:textFill>
                    </w:rPr>
                    <w:t>m</w:t>
                  </w:r>
                </w:p>
              </w:tc>
            </w:tr>
            <w:tr w14:paraId="49BA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13" w:type="pct"/>
                  <w:vMerge w:val="continue"/>
                  <w:vAlign w:val="center"/>
                </w:tcPr>
                <w:p w14:paraId="57450A09">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673" w:type="pct"/>
                  <w:vAlign w:val="center"/>
                </w:tcPr>
                <w:p w14:paraId="7948759A">
                  <w:pPr>
                    <w:spacing w:line="240" w:lineRule="auto"/>
                    <w:ind w:firstLine="0" w:firstLineChars="0"/>
                    <w:contextualSpacing/>
                    <w:jc w:val="cente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其他</w:t>
                  </w:r>
                </w:p>
              </w:tc>
              <w:tc>
                <w:tcPr>
                  <w:tcW w:w="770" w:type="pct"/>
                  <w:vAlign w:val="center"/>
                </w:tcPr>
                <w:p w14:paraId="4CC21C69">
                  <w:pPr>
                    <w:spacing w:line="240" w:lineRule="auto"/>
                    <w:ind w:firstLine="0" w:firstLineChars="0"/>
                    <w:contextualSpacing/>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437.8</w:t>
                  </w:r>
                </w:p>
              </w:tc>
              <w:tc>
                <w:tcPr>
                  <w:tcW w:w="1270" w:type="pct"/>
                  <w:vAlign w:val="center"/>
                </w:tcPr>
                <w:p w14:paraId="07587208">
                  <w:pPr>
                    <w:spacing w:line="240" w:lineRule="auto"/>
                    <w:ind w:firstLine="0" w:firstLineChars="0"/>
                    <w:contextualSpacing/>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灌木林地、其他草地</w:t>
                  </w:r>
                </w:p>
              </w:tc>
              <w:tc>
                <w:tcPr>
                  <w:tcW w:w="504" w:type="pct"/>
                  <w:vMerge w:val="continue"/>
                  <w:vAlign w:val="center"/>
                </w:tcPr>
                <w:p w14:paraId="3937D678">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1366" w:type="pct"/>
                  <w:vAlign w:val="center"/>
                </w:tcPr>
                <w:p w14:paraId="7229A34C">
                  <w:pPr>
                    <w:spacing w:line="240" w:lineRule="auto"/>
                    <w:ind w:firstLine="0" w:firstLineChars="0"/>
                    <w:contextualSpacing/>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井场、道路、生活营地不是完整的矩形，高程不一致导致的面积差</w:t>
                  </w:r>
                </w:p>
              </w:tc>
            </w:tr>
          </w:tbl>
          <w:p w14:paraId="0FAED0A3">
            <w:pPr>
              <w:pStyle w:val="4"/>
              <w:spacing w:line="360" w:lineRule="auto"/>
              <w:ind w:left="0" w:leftChars="0" w:firstLine="0" w:firstLineChars="0"/>
              <w:rPr>
                <w:rFonts w:hint="default" w:ascii="Times New Roman" w:hAnsi="Times New Roman" w:eastAsia="宋体" w:cs="Times New Roman"/>
                <w:b w:val="0"/>
                <w:bCs w:val="0"/>
                <w:color w:val="000000" w:themeColor="text1"/>
                <w:sz w:val="18"/>
                <w:szCs w:val="18"/>
                <w:lang w:val="en-US" w:eastAsia="zh-CN"/>
                <w14:textFill>
                  <w14:solidFill>
                    <w14:schemeClr w14:val="tx1"/>
                  </w14:solidFill>
                </w14:textFill>
              </w:rPr>
            </w:pPr>
            <w:r>
              <w:rPr>
                <w:rFonts w:hint="eastAsia" w:cs="Times New Roman"/>
                <w:b w:val="0"/>
                <w:bCs w:val="0"/>
                <w:color w:val="000000" w:themeColor="text1"/>
                <w:sz w:val="18"/>
                <w:szCs w:val="18"/>
                <w:lang w:val="en-US" w:eastAsia="zh-CN"/>
                <w14:textFill>
                  <w14:solidFill>
                    <w14:schemeClr w14:val="tx1"/>
                  </w14:solidFill>
                </w14:textFill>
              </w:rPr>
              <w:t>注：表中占地面积数据均来源于项目勘界报告。</w:t>
            </w:r>
          </w:p>
          <w:p w14:paraId="6B3DC3F0">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7依托工程</w:t>
            </w:r>
          </w:p>
          <w:p w14:paraId="6CB589A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本项目洗井废水、压裂返排液依托</w:t>
            </w:r>
            <w:r>
              <w:rPr>
                <w:rFonts w:hint="default" w:ascii="Times New Roman" w:hAnsi="Times New Roman" w:cs="Times New Roman"/>
                <w:color w:val="000000" w:themeColor="text1"/>
                <w:lang w:val="en-US"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处理；生活污水依托乌尔禾污水处理厂处理；生活垃圾依托乌尔禾生活垃圾填埋场处理；试油期采出液若量小则采用罐车拉运</w:t>
            </w:r>
            <w:r>
              <w:rPr>
                <w:rFonts w:hint="default" w:ascii="Times New Roman" w:hAnsi="Times New Roman" w:cs="Times New Roman"/>
                <w:color w:val="000000" w:themeColor="text1"/>
                <w:lang w:val="en-US" w:eastAsia="zh-CN"/>
                <w14:textFill>
                  <w14:solidFill>
                    <w14:schemeClr w14:val="tx1"/>
                  </w14:solidFill>
                </w14:textFill>
              </w:rPr>
              <w:t>至石西集中处理站</w:t>
            </w:r>
            <w:r>
              <w:rPr>
                <w:rFonts w:hint="default" w:ascii="Times New Roman" w:hAnsi="Times New Roman" w:cs="Times New Roman"/>
                <w:color w:val="000000" w:themeColor="text1"/>
                <w14:textFill>
                  <w14:solidFill>
                    <w14:schemeClr w14:val="tx1"/>
                  </w14:solidFill>
                </w14:textFill>
              </w:rPr>
              <w:t>采出液处理系统处理，若量大则尽快转为生产井。</w:t>
            </w:r>
          </w:p>
          <w:p w14:paraId="0CAC3C1D">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7.1 </w:t>
            </w:r>
            <w:r>
              <w:rPr>
                <w:rFonts w:hint="default" w:ascii="Times New Roman" w:hAnsi="Times New Roman" w:cs="Times New Roman"/>
                <w:color w:val="000000" w:themeColor="text1"/>
                <w:lang w:val="en-US" w:eastAsia="zh-CN"/>
                <w14:textFill>
                  <w14:solidFill>
                    <w14:schemeClr w14:val="tx1"/>
                  </w14:solidFill>
                </w14:textFill>
              </w:rPr>
              <w:t>石西集中处理站</w:t>
            </w:r>
          </w:p>
          <w:p w14:paraId="0DAFFCE8">
            <w:p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环保手续</w:t>
            </w:r>
          </w:p>
          <w:p w14:paraId="2F2D6082">
            <w:pPr>
              <w:adjustRightInd/>
              <w:snapToGrid/>
              <w:ind w:firstLine="480"/>
              <w:jc w:val="left"/>
              <w:rPr>
                <w:rFonts w:hint="default" w:ascii="Times New Roman" w:hAnsi="Times New Roman" w:cs="Times New Roman"/>
                <w:color w:val="000000" w:themeColor="text1"/>
                <w:kern w:val="0"/>
                <w:lang w:bidi="ar"/>
                <w14:textFill>
                  <w14:solidFill>
                    <w14:schemeClr w14:val="tx1"/>
                  </w14:solidFill>
                </w14:textFill>
              </w:rPr>
            </w:pPr>
            <w:bookmarkStart w:id="5" w:name="_Hlk141543417"/>
            <w:r>
              <w:rPr>
                <w:rFonts w:hint="default" w:ascii="Times New Roman" w:hAnsi="Times New Roman" w:cs="Times New Roman"/>
                <w:color w:val="000000" w:themeColor="text1"/>
                <w:kern w:val="0"/>
                <w:lang w:bidi="ar"/>
                <w14:textFill>
                  <w14:solidFill>
                    <w14:schemeClr w14:val="tx1"/>
                  </w14:solidFill>
                </w14:textFill>
              </w:rPr>
              <w:t>石西集中处理站建设于1998年，是集原油处理、采出水处理、清水处理及注水为一体的集中处理站。石西集中处理站工程包含在《新疆石油管理局石西油田开发建设环境影响报告书》中，于1998年8月4日通过国家环境保护总局环评批复（环发〔1998〕201号），于2005年1月13日通过竣工环境保护验收（环验〔2005〕007号）。</w:t>
            </w:r>
          </w:p>
          <w:p w14:paraId="0D696C46">
            <w:p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（2）石西集中处理站概况</w:t>
            </w:r>
          </w:p>
          <w:bookmarkEnd w:id="5"/>
          <w:p w14:paraId="1E64CC4E">
            <w:pPr>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1）原油处理系统</w:t>
            </w:r>
          </w:p>
          <w:p w14:paraId="4FEDA171">
            <w:pPr>
              <w:ind w:firstLine="48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石西集中处理站于1997年11月建成投产，为二级站场。原油密闭处理规模为70×10</w:t>
            </w:r>
            <w:r>
              <w:rPr>
                <w:rFonts w:hint="default" w:ascii="Times New Roman" w:hAnsi="Times New Roman" w:eastAsia="宋体" w:cs="Times New Roman"/>
                <w:b w:val="0"/>
                <w:bCs w:val="0"/>
                <w:color w:val="000000" w:themeColor="text1"/>
                <w:sz w:val="24"/>
                <w:szCs w:val="24"/>
                <w:vertAlign w:val="superscript"/>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t/a（液量290×10</w:t>
            </w:r>
            <w:r>
              <w:rPr>
                <w:rFonts w:hint="default" w:ascii="Times New Roman" w:hAnsi="Times New Roman" w:eastAsia="宋体" w:cs="Times New Roman"/>
                <w:b w:val="0"/>
                <w:bCs w:val="0"/>
                <w:color w:val="000000" w:themeColor="text1"/>
                <w:sz w:val="24"/>
                <w:szCs w:val="24"/>
                <w:vertAlign w:val="superscript"/>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t/a），目前实际处理量约40×10</w:t>
            </w:r>
            <w:r>
              <w:rPr>
                <w:rFonts w:hint="default" w:ascii="Times New Roman" w:hAnsi="Times New Roman" w:eastAsia="宋体" w:cs="Times New Roman"/>
                <w:b w:val="0"/>
                <w:bCs w:val="0"/>
                <w:color w:val="000000" w:themeColor="text1"/>
                <w:sz w:val="24"/>
                <w:szCs w:val="24"/>
                <w:vertAlign w:val="superscript"/>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t/a，原油稳定规模180×10</w:t>
            </w:r>
            <w:r>
              <w:rPr>
                <w:rFonts w:hint="default" w:ascii="Times New Roman" w:hAnsi="Times New Roman" w:eastAsia="宋体" w:cs="Times New Roman"/>
                <w:b w:val="0"/>
                <w:bCs w:val="0"/>
                <w:color w:val="000000" w:themeColor="text1"/>
                <w:sz w:val="24"/>
                <w:szCs w:val="24"/>
                <w:vertAlign w:val="superscript"/>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a。原油脱水采用“高效聚结游离水脱除器+相变加热炉+高效聚结热化学脱水器”工艺，脱水后的净化原油含水低于0.5%，处理后原油外交油气储运公司。采出水设计规模4000方/天，采用物化处理过滤和电解盐杀菌工艺，处理达标后外输、回注。</w:t>
            </w:r>
          </w:p>
          <w:p w14:paraId="5E3AF0A0">
            <w:pPr>
              <w:ind w:firstLine="480"/>
              <w:rPr>
                <w:rFonts w:hint="default" w:ascii="Times New Roman" w:hAnsi="Times New Roman" w:cs="Times New Roman"/>
                <w:color w:val="000000" w:themeColor="text1"/>
                <w:szCs w:val="20"/>
                <w14:textFill>
                  <w14:solidFill>
                    <w14:schemeClr w14:val="tx1"/>
                  </w14:solidFill>
                </w14:textFill>
              </w:rPr>
            </w:pPr>
            <w:bookmarkStart w:id="6" w:name="_Hlk141783858"/>
            <w:r>
              <w:rPr>
                <w:rFonts w:hint="default" w:ascii="Times New Roman" w:hAnsi="Times New Roman" w:cs="Times New Roman"/>
                <w:color w:val="000000" w:themeColor="text1"/>
                <w:szCs w:val="20"/>
                <w14:textFill>
                  <w14:solidFill>
                    <w14:schemeClr w14:val="tx1"/>
                  </w14:solidFill>
                </w14:textFill>
              </w:rPr>
              <w:t>2）污水处理系统</w:t>
            </w:r>
          </w:p>
          <w:bookmarkEnd w:id="6"/>
          <w:p w14:paraId="734FE8AF">
            <w:pPr>
              <w:widowControl/>
              <w:ind w:firstLine="480"/>
              <w:rPr>
                <w:rFonts w:hint="default" w:ascii="Times New Roman" w:hAnsi="Times New Roman" w:cs="Times New Roman"/>
                <w:color w:val="000000" w:themeColor="text1"/>
                <w:kern w:val="0"/>
                <w:lang w:bidi="ar"/>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原油处理系统分离出的采出水（含油量≤300mg/L，悬浮物≤200mg/L）在进水口加入次氯酸钠杀菌剂进行第一次杀菌，进入2座1000m</w:t>
            </w:r>
            <w:r>
              <w:rPr>
                <w:rFonts w:hint="default" w:ascii="Times New Roman" w:hAnsi="Times New Roman" w:cs="Times New Roman"/>
                <w:color w:val="000000" w:themeColor="text1"/>
                <w:kern w:val="0"/>
                <w:vertAlign w:val="superscript"/>
                <w:lang w:bidi="ar"/>
                <w14:textFill>
                  <w14:solidFill>
                    <w14:schemeClr w14:val="tx1"/>
                  </w14:solidFill>
                </w14:textFill>
              </w:rPr>
              <w:t>3</w:t>
            </w:r>
            <w:r>
              <w:rPr>
                <w:rFonts w:hint="default" w:ascii="Times New Roman" w:hAnsi="Times New Roman" w:cs="Times New Roman"/>
                <w:color w:val="000000" w:themeColor="text1"/>
                <w:kern w:val="0"/>
                <w:lang w:bidi="ar"/>
                <w14:textFill>
                  <w14:solidFill>
                    <w14:schemeClr w14:val="tx1"/>
                  </w14:solidFill>
                </w14:textFill>
              </w:rPr>
              <w:t>调储罐进行水量、水质调节，经初步沉降除去大部分浮油和大颗粒悬浮物，保证调储罐出水悬浮物≤100mg/L、含油≤100mg/L；调储罐出水进反应沉降单元，经过化学反应、絮凝沉降后，出水（含油≤20mg/L、悬浮物≤20mg/L）经双滤料过滤器处理，出口水质指标可达到：含油≤7mg/L、悬浮物≤7mg/L，在双滤料过滤器新增加药口，出水口加入次氯酸钠杀菌剂进行第二次杀菌，处理后的净化水进入注水罐，用于石西油田和石南31井区油藏注水开发。</w:t>
            </w:r>
          </w:p>
          <w:p w14:paraId="7A1AA9B6">
            <w:pPr>
              <w:pStyle w:val="25"/>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（3）排污许可执行情况</w:t>
            </w:r>
          </w:p>
          <w:p w14:paraId="6BED95E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本项目位于石西油田作业区，依托工程取得排污登记回执以及排污许可证获得情况详见表2-1</w:t>
            </w:r>
            <w:r>
              <w:rPr>
                <w:rFonts w:hint="default"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w:t>
            </w:r>
          </w:p>
          <w:p w14:paraId="149C1F87">
            <w:pPr>
              <w:pStyle w:val="30"/>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w:t>
            </w:r>
            <w:r>
              <w:rPr>
                <w:rFonts w:hint="default" w:ascii="Times New Roman" w:hAnsi="Times New Roman" w:cs="Times New Roman"/>
                <w:b/>
                <w:bCs/>
                <w:color w:val="000000" w:themeColor="text1"/>
                <w:sz w:val="21"/>
                <w:szCs w:val="21"/>
                <w:lang w:val="en-US"/>
                <w14:textFill>
                  <w14:solidFill>
                    <w14:schemeClr w14:val="tx1"/>
                  </w14:solidFill>
                </w14:textFill>
              </w:rPr>
              <w:t>2-1</w:t>
            </w:r>
            <w:r>
              <w:rPr>
                <w:rFonts w:hint="default" w:ascii="Times New Roman" w:hAnsi="Times New Roman" w:cs="Times New Roman"/>
                <w:b/>
                <w:bCs/>
                <w:color w:val="000000" w:themeColor="text1"/>
                <w:sz w:val="21"/>
                <w:szCs w:val="21"/>
                <w:lang w:val="en-US" w:eastAsia="zh-CN"/>
                <w14:textFill>
                  <w14:solidFill>
                    <w14:schemeClr w14:val="tx1"/>
                  </w14:solidFill>
                </w14:textFill>
              </w:rPr>
              <w:t>0</w:t>
            </w:r>
            <w:r>
              <w:rPr>
                <w:rFonts w:hint="default" w:ascii="Times New Roman" w:hAnsi="Times New Roman" w:cs="Times New Roman"/>
                <w:b/>
                <w:bCs/>
                <w:color w:val="000000" w:themeColor="text1"/>
                <w:sz w:val="21"/>
                <w:szCs w:val="21"/>
                <w:lang w:val="en-US"/>
                <w14:textFill>
                  <w14:solidFill>
                    <w14:schemeClr w14:val="tx1"/>
                  </w14:solidFill>
                </w14:textFill>
              </w:rPr>
              <w:t xml:space="preserve"> </w:t>
            </w:r>
            <w:r>
              <w:rPr>
                <w:rFonts w:hint="default" w:ascii="Times New Roman" w:hAnsi="Times New Roman" w:cs="Times New Roman"/>
                <w:b/>
                <w:bCs/>
                <w:color w:val="000000" w:themeColor="text1"/>
                <w:sz w:val="21"/>
                <w:szCs w:val="21"/>
                <w14:textFill>
                  <w14:solidFill>
                    <w14:schemeClr w14:val="tx1"/>
                  </w14:solidFill>
                </w14:textFill>
              </w:rPr>
              <w:t xml:space="preserve"> 本项目依托工程排污登记（许可证）一览表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2"/>
              <w:gridCol w:w="2701"/>
              <w:gridCol w:w="2439"/>
            </w:tblGrid>
            <w:tr w14:paraId="3D9E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vAlign w:val="center"/>
                </w:tcPr>
                <w:p w14:paraId="44722D79">
                  <w:pPr>
                    <w:pStyle w:val="13"/>
                    <w:rPr>
                      <w:rFonts w:hint="default" w:ascii="Times New Roman" w:hAnsi="Times New Roman" w:cs="Times New Roman"/>
                      <w:b/>
                      <w:bCs w:val="0"/>
                      <w:color w:val="000000" w:themeColor="text1"/>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t>单位名称</w:t>
                  </w:r>
                </w:p>
              </w:tc>
              <w:tc>
                <w:tcPr>
                  <w:tcW w:w="1648" w:type="pct"/>
                  <w:vAlign w:val="center"/>
                </w:tcPr>
                <w:p w14:paraId="6B4753F8">
                  <w:pPr>
                    <w:pStyle w:val="13"/>
                    <w:rPr>
                      <w:rFonts w:hint="default" w:ascii="Times New Roman" w:hAnsi="Times New Roman" w:cs="Times New Roman"/>
                      <w:b/>
                      <w:bCs w:val="0"/>
                      <w:color w:val="000000" w:themeColor="text1"/>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t>登记回执编号</w:t>
                  </w:r>
                </w:p>
              </w:tc>
              <w:tc>
                <w:tcPr>
                  <w:tcW w:w="1488" w:type="pct"/>
                  <w:vAlign w:val="center"/>
                </w:tcPr>
                <w:p w14:paraId="2A6D4935">
                  <w:pPr>
                    <w:pStyle w:val="13"/>
                    <w:rPr>
                      <w:rFonts w:hint="default" w:ascii="Times New Roman" w:hAnsi="Times New Roman" w:cs="Times New Roman"/>
                      <w:b/>
                      <w:bCs w:val="0"/>
                      <w:color w:val="000000" w:themeColor="text1"/>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t>排污许可证有效期</w:t>
                  </w:r>
                </w:p>
              </w:tc>
            </w:tr>
            <w:tr w14:paraId="756B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pct"/>
                  <w:vAlign w:val="center"/>
                </w:tcPr>
                <w:p w14:paraId="78B0B139">
                  <w:pPr>
                    <w:pStyle w:val="13"/>
                    <w:rPr>
                      <w:rFonts w:hint="default" w:ascii="Times New Roman" w:hAnsi="Times New Roman" w:cs="Times New Roman"/>
                      <w:color w:val="000000" w:themeColor="text1"/>
                      <w14:textFill>
                        <w14:solidFill>
                          <w14:schemeClr w14:val="tx1"/>
                        </w14:solidFill>
                      </w14:textFill>
                    </w:rPr>
                  </w:pPr>
                  <w:bookmarkStart w:id="7" w:name="_Hlk98425806"/>
                  <w:r>
                    <w:rPr>
                      <w:rFonts w:hint="default" w:ascii="Times New Roman" w:hAnsi="Times New Roman" w:cs="Times New Roman"/>
                      <w:color w:val="000000" w:themeColor="text1"/>
                      <w14:textFill>
                        <w14:solidFill>
                          <w14:schemeClr w14:val="tx1"/>
                        </w14:solidFill>
                      </w14:textFill>
                    </w:rPr>
                    <w:t>中国石油新疆油田分公司石西油田作业区（集中处理站）</w:t>
                  </w:r>
                </w:p>
              </w:tc>
              <w:tc>
                <w:tcPr>
                  <w:tcW w:w="1648" w:type="pct"/>
                  <w:vAlign w:val="center"/>
                </w:tcPr>
                <w:p w14:paraId="2D8BC614">
                  <w:pPr>
                    <w:pStyle w:val="1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91650200715597998M051Z</w:t>
                  </w:r>
                </w:p>
              </w:tc>
              <w:tc>
                <w:tcPr>
                  <w:tcW w:w="1488" w:type="pct"/>
                  <w:vAlign w:val="center"/>
                </w:tcPr>
                <w:p w14:paraId="663AB62B">
                  <w:pPr>
                    <w:pStyle w:val="1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2020.9.28至2025.9.27</w:t>
                  </w:r>
                </w:p>
              </w:tc>
            </w:tr>
            <w:bookmarkEnd w:id="7"/>
          </w:tbl>
          <w:p w14:paraId="38F554C9">
            <w:pPr>
              <w:pStyle w:val="25"/>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（4）依托可行性</w:t>
            </w:r>
          </w:p>
          <w:p w14:paraId="4C5D51B8">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石西集中处理站环保手续齐全。石西集中处理站原油处理规模为120×10</w:t>
            </w:r>
            <w:r>
              <w:rPr>
                <w:rFonts w:hint="default" w:ascii="Times New Roman" w:hAnsi="Times New Roman" w:cs="Times New Roman"/>
                <w:color w:val="000000" w:themeColor="text1"/>
                <w:sz w:val="24"/>
                <w:szCs w:val="24"/>
                <w:vertAlign w:val="superscript"/>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t/a，目前实际处理规模为80×10</w:t>
            </w:r>
            <w:r>
              <w:rPr>
                <w:rFonts w:hint="default" w:ascii="Times New Roman" w:hAnsi="Times New Roman" w:cs="Times New Roman"/>
                <w:color w:val="000000" w:themeColor="text1"/>
                <w:sz w:val="24"/>
                <w:szCs w:val="24"/>
                <w:vertAlign w:val="superscript"/>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t/a，剩余40×10</w:t>
            </w:r>
            <w:r>
              <w:rPr>
                <w:rFonts w:hint="default" w:ascii="Times New Roman" w:hAnsi="Times New Roman" w:cs="Times New Roman"/>
                <w:color w:val="000000" w:themeColor="text1"/>
                <w:sz w:val="24"/>
                <w:szCs w:val="24"/>
                <w:vertAlign w:val="superscript"/>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t/a。石西集中处理站采出水处理规模为2600m</w:t>
            </w:r>
            <w:r>
              <w:rPr>
                <w:rFonts w:hint="default" w:ascii="Times New Roman" w:hAnsi="Times New Roman" w:cs="Times New Roman"/>
                <w:color w:val="000000" w:themeColor="text1"/>
                <w:sz w:val="24"/>
                <w:szCs w:val="24"/>
                <w:vertAlign w:val="superscript"/>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/d，目前实际处理规模为400m</w:t>
            </w:r>
            <w:r>
              <w:rPr>
                <w:rFonts w:hint="default" w:ascii="Times New Roman" w:hAnsi="Times New Roman" w:cs="Times New Roman"/>
                <w:color w:val="000000" w:themeColor="text1"/>
                <w:sz w:val="24"/>
                <w:szCs w:val="24"/>
                <w:vertAlign w:val="superscript"/>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/d，剩余废水处理能力2200m</w:t>
            </w:r>
            <w:r>
              <w:rPr>
                <w:rFonts w:hint="default" w:ascii="Times New Roman" w:hAnsi="Times New Roman" w:cs="Times New Roman"/>
                <w:color w:val="000000" w:themeColor="text1"/>
                <w:sz w:val="24"/>
                <w:szCs w:val="24"/>
                <w:vertAlign w:val="superscript"/>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/d。</w:t>
            </w:r>
            <w:r>
              <w:rPr>
                <w:rFonts w:hint="default" w:ascii="Times New Roman" w:hAnsi="Times New Roman" w:cs="Times New Roman"/>
                <w:color w:val="000000" w:themeColor="text1"/>
                <w:sz w:val="24"/>
                <w:szCs w:val="24"/>
                <w:highlight w:val="none"/>
                <w14:textFill>
                  <w14:solidFill>
                    <w14:schemeClr w14:val="tx1"/>
                  </w14:solidFill>
                </w14:textFill>
              </w:rPr>
              <w:t>本项目产生洗井废水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240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24"/>
                <w:highlight w:val="none"/>
                <w14:textFill>
                  <w14:solidFill>
                    <w14:schemeClr w14:val="tx1"/>
                  </w14:solidFill>
                </w14:textFill>
              </w:rPr>
              <w:t>、压裂返排液</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000</w:t>
            </w:r>
            <w:r>
              <w:rPr>
                <w:rFonts w:hint="default" w:ascii="Times New Roman" w:hAnsi="Times New Roman" w:cs="Times New Roman"/>
                <w:color w:val="000000" w:themeColor="text1"/>
                <w:sz w:val="24"/>
                <w:szCs w:val="24"/>
                <w:highlight w:val="none"/>
                <w14:textFill>
                  <w14:solidFill>
                    <w14:schemeClr w14:val="tx1"/>
                  </w14:solidFill>
                </w14:textFill>
              </w:rPr>
              <w:t>m</w:t>
            </w:r>
            <w:r>
              <w:rPr>
                <w:rFonts w:hint="default" w:ascii="Times New Roman" w:hAnsi="Times New Roman" w:cs="Times New Roman"/>
                <w:color w:val="000000" w:themeColor="text1"/>
                <w:sz w:val="24"/>
                <w:szCs w:val="24"/>
                <w:highlight w:val="none"/>
                <w:vertAlign w:val="superscript"/>
                <w14:textFill>
                  <w14:solidFill>
                    <w14:schemeClr w14:val="tx1"/>
                  </w14:solidFill>
                </w14:textFill>
              </w:rPr>
              <w:t>3</w:t>
            </w:r>
            <w:r>
              <w:rPr>
                <w:rFonts w:hint="eastAsia" w:cs="Times New Roman"/>
                <w:color w:val="000000" w:themeColor="text1"/>
                <w:sz w:val="24"/>
                <w:szCs w:val="24"/>
                <w:highlight w:val="none"/>
                <w:vertAlign w:val="baseline"/>
                <w:lang w:eastAsia="zh-CN"/>
                <w14:textFill>
                  <w14:solidFill>
                    <w14:schemeClr w14:val="tx1"/>
                  </w14:solidFill>
                </w14:textFill>
              </w:rPr>
              <w:t>（</w:t>
            </w:r>
            <w:r>
              <w:rPr>
                <w:rFonts w:hint="eastAsia" w:cs="Times New Roman"/>
                <w:color w:val="000000" w:themeColor="text1"/>
                <w:sz w:val="24"/>
                <w:szCs w:val="24"/>
                <w:highlight w:val="none"/>
                <w:vertAlign w:val="baseline"/>
                <w:lang w:val="en-US" w:eastAsia="zh-CN"/>
                <w14:textFill>
                  <w14:solidFill>
                    <w14:schemeClr w14:val="tx1"/>
                  </w14:solidFill>
                </w14:textFill>
              </w:rPr>
              <w:t>22.22m</w:t>
            </w:r>
            <w:r>
              <w:rPr>
                <w:rFonts w:hint="eastAsia" w:cs="Times New Roman"/>
                <w:color w:val="000000" w:themeColor="text1"/>
                <w:sz w:val="24"/>
                <w:szCs w:val="24"/>
                <w:highlight w:val="none"/>
                <w:vertAlign w:val="superscript"/>
                <w:lang w:val="en-US" w:eastAsia="zh-CN"/>
                <w14:textFill>
                  <w14:solidFill>
                    <w14:schemeClr w14:val="tx1"/>
                  </w14:solidFill>
                </w14:textFill>
              </w:rPr>
              <w:t>3</w:t>
            </w:r>
            <w:r>
              <w:rPr>
                <w:rFonts w:hint="eastAsia" w:cs="Times New Roman"/>
                <w:color w:val="000000" w:themeColor="text1"/>
                <w:sz w:val="24"/>
                <w:szCs w:val="24"/>
                <w:highlight w:val="none"/>
                <w:vertAlign w:val="baseline"/>
                <w:lang w:val="en-US" w:eastAsia="zh-CN"/>
                <w14:textFill>
                  <w14:solidFill>
                    <w14:schemeClr w14:val="tx1"/>
                  </w14:solidFill>
                </w14:textFill>
              </w:rPr>
              <w:t>/d</w:t>
            </w:r>
            <w:r>
              <w:rPr>
                <w:rFonts w:hint="eastAsia" w:cs="Times New Roman"/>
                <w:color w:val="000000" w:themeColor="text1"/>
                <w:sz w:val="24"/>
                <w:szCs w:val="24"/>
                <w:highlight w:val="none"/>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由专用罐车拉运至石西集中处理站污水处理系统处理，依托可行。</w:t>
            </w:r>
          </w:p>
          <w:p w14:paraId="23E79D6F">
            <w:pPr>
              <w:pStyle w:val="31"/>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7.2</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乌尔禾污水处理厂</w:t>
            </w:r>
          </w:p>
          <w:p w14:paraId="1AAB05B0">
            <w:p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本项目钻井期钻井队生活污水由罐车收集拉运至乌尔禾污水处理厂处置。</w:t>
            </w:r>
          </w:p>
          <w:p w14:paraId="1542BA19">
            <w:p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（1）环保手续履行情况</w:t>
            </w:r>
          </w:p>
          <w:p w14:paraId="3C24C225">
            <w:p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乌尔禾污水处理厂位于乌尔禾镇东南，距离G217约4km处。2018年3月24日通过原克拉玛依市乌尔禾区环境保护局审批（文号：克乌环函〔2018〕17号）；2019年6月完成自主竣工环境保护验收。</w:t>
            </w:r>
          </w:p>
          <w:p w14:paraId="4202A1E5">
            <w:pPr>
              <w:numPr>
                <w:ilvl w:val="0"/>
                <w:numId w:val="3"/>
              </w:num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基本情况</w:t>
            </w:r>
          </w:p>
          <w:p w14:paraId="214E6628">
            <w:p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乌尔禾污水处理厂占地25600m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，由粗格栅间及提升泵房、细格栅及旋流沉砂池、CASS生化池、污泥脱水间、出水消毒间、办公楼、机修间等组成，设计处理规模为6000m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/d，预留远期6000m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/d扩建位置，处理工艺为粗、细格栅+调节池+提升泵房+沉砂池+CASS+紫外线消毒+出水，出水满足《城镇污水处理厂污染物排放标准》（GB18918-2002）中的一级A标准。</w:t>
            </w:r>
          </w:p>
          <w:p w14:paraId="5CF097F6">
            <w:pPr>
              <w:numPr>
                <w:ilvl w:val="0"/>
                <w:numId w:val="3"/>
              </w:num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依托可行性</w:t>
            </w:r>
          </w:p>
          <w:p w14:paraId="1145092F">
            <w:pPr>
              <w:adjustRightInd/>
              <w:snapToGrid/>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本项目钻井期产生的生活污水采用吸污车拉运至乌尔禾污水处理厂处理。目前乌尔禾污水处理厂实际处理量为</w:t>
            </w:r>
            <w:r>
              <w:rPr>
                <w:rFonts w:hint="default" w:ascii="Times New Roman" w:hAnsi="Times New Roman" w:eastAsia="Times New Roman" w:cs="Times New Roman"/>
                <w:color w:val="000000" w:themeColor="text1"/>
                <w14:textFill>
                  <w14:solidFill>
                    <w14:schemeClr w14:val="tx1"/>
                  </w14:solidFill>
                </w14:textFill>
              </w:rPr>
              <w:t>4000m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eastAsia="Times New Roman" w:cs="Times New Roman"/>
                <w:color w:val="000000" w:themeColor="text1"/>
                <w14:textFill>
                  <w14:solidFill>
                    <w14:schemeClr w14:val="tx1"/>
                  </w14:solidFill>
                </w14:textFill>
              </w:rPr>
              <w:t>/d</w:t>
            </w:r>
            <w:r>
              <w:rPr>
                <w:rFonts w:hint="default" w:ascii="Times New Roman" w:hAnsi="Times New Roman" w:cs="Times New Roman"/>
                <w:color w:val="000000" w:themeColor="text1"/>
                <w14:textFill>
                  <w14:solidFill>
                    <w14:schemeClr w14:val="tx1"/>
                  </w14:solidFill>
                </w14:textFill>
              </w:rPr>
              <w:t>，有</w:t>
            </w:r>
            <w:r>
              <w:rPr>
                <w:rFonts w:hint="default" w:ascii="Times New Roman" w:hAnsi="Times New Roman" w:eastAsia="Times New Roman" w:cs="Times New Roman"/>
                <w:color w:val="000000" w:themeColor="text1"/>
                <w14:textFill>
                  <w14:solidFill>
                    <w14:schemeClr w14:val="tx1"/>
                  </w14:solidFill>
                </w14:textFill>
              </w:rPr>
              <w:t>2000m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eastAsia="Times New Roman" w:cs="Times New Roman"/>
                <w:color w:val="000000" w:themeColor="text1"/>
                <w14:textFill>
                  <w14:solidFill>
                    <w14:schemeClr w14:val="tx1"/>
                  </w14:solidFill>
                </w14:textFill>
              </w:rPr>
              <w:t>/d</w:t>
            </w:r>
            <w:r>
              <w:rPr>
                <w:rFonts w:hint="default" w:ascii="Times New Roman" w:hAnsi="Times New Roman" w:cs="Times New Roman"/>
                <w:color w:val="000000" w:themeColor="text1"/>
                <w14:textFill>
                  <w14:solidFill>
                    <w14:schemeClr w14:val="tx1"/>
                  </w14:solidFill>
                </w14:textFill>
              </w:rPr>
              <w:t>的处理余量，本项目钻井期产生的生活污水为0.56</w:t>
            </w:r>
            <w:r>
              <w:rPr>
                <w:rFonts w:hint="default" w:ascii="Times New Roman" w:hAnsi="Times New Roman" w:eastAsia="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eastAsia="Times New Roman" w:cs="Times New Roman"/>
                <w:color w:val="000000" w:themeColor="text1"/>
                <w14:textFill>
                  <w14:solidFill>
                    <w14:schemeClr w14:val="tx1"/>
                  </w14:solidFill>
                </w14:textFill>
              </w:rPr>
              <w:t>/d</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39.2</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/施工期），污水处理厂的处理余量能够满足本工程。</w:t>
            </w:r>
          </w:p>
          <w:p w14:paraId="3A740D8F">
            <w:pPr>
              <w:pStyle w:val="31"/>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7.3乌尔禾生活垃圾填埋场</w:t>
            </w:r>
          </w:p>
          <w:p w14:paraId="6262506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（1）环保手续履行情况</w:t>
            </w:r>
          </w:p>
          <w:p w14:paraId="5797567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克拉玛依市乌尔禾区生活垃圾处理工程于2016年7月通过原克拉玛依市环境保护局审批，文号“克环保函评价</w:t>
            </w:r>
            <m:oMath>
              <m:r>
                <m:rPr>
                  <m:nor/>
                  <m:sty m:val="p"/>
                </m:rPr>
                <w:rPr>
                  <w:rFonts w:hint="default" w:ascii="Times New Roman" w:hAnsi="Times New Roman" w:cs="Times New Roman"/>
                  <w:b w:val="0"/>
                  <w:i w:val="0"/>
                  <w:color w:val="000000" w:themeColor="text1"/>
                  <w14:textFill>
                    <w14:solidFill>
                      <w14:schemeClr w14:val="tx1"/>
                    </w14:solidFill>
                  </w14:textFill>
                </w:rPr>
                <m:t>〔</m:t>
              </m:r>
            </m:oMath>
            <w:r>
              <w:rPr>
                <w:rFonts w:hint="default" w:ascii="Times New Roman" w:hAnsi="Times New Roman" w:cs="Times New Roman"/>
                <w:color w:val="000000" w:themeColor="text1"/>
                <w14:textFill>
                  <w14:solidFill>
                    <w14:schemeClr w14:val="tx1"/>
                  </w14:solidFill>
                </w14:textFill>
              </w:rPr>
              <w:t>2016〕376号”。2017年11月完成近期和管理区主体工程建设，2019年6月通过环保竣工验收。</w:t>
            </w:r>
          </w:p>
          <w:p w14:paraId="106BB24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（2）基本情况</w:t>
            </w:r>
          </w:p>
          <w:p w14:paraId="51609BC1">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克拉玛依市乌尔禾区生活垃圾处理工程位于克拉玛依乌尔禾区西南方，217国道东侧，卫生填埋场占地面积11.31ha，填埋场设计总库容为77万m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。服务年限为2018年至2030年。近期（2023年）生活垃圾日清运处置87t，累计处理量23.56万t；远期（2030年）生活垃圾日清运处置98t，累计处理量47.64万t。</w:t>
            </w:r>
          </w:p>
          <w:p w14:paraId="524CA70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（3）依托可行性</w:t>
            </w:r>
          </w:p>
          <w:p w14:paraId="2F384798">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目前，乌尔禾生活垃圾填埋场有较多剩余容量，本项目施工期产生的生活垃圾为</w:t>
            </w:r>
            <w:r>
              <w:rPr>
                <w:rFonts w:hint="default" w:ascii="Times New Roman" w:hAnsi="Times New Roman" w:cs="Times New Roman"/>
                <w:color w:val="000000" w:themeColor="text1"/>
                <w:highlight w:val="none"/>
                <w:lang w:val="en-US" w:eastAsia="zh-CN"/>
                <w14:textFill>
                  <w14:solidFill>
                    <w14:schemeClr w14:val="tx1"/>
                  </w14:solidFill>
                </w14:textFill>
              </w:rPr>
              <w:t>1.23</w:t>
            </w:r>
            <w:r>
              <w:rPr>
                <w:rFonts w:hint="default" w:ascii="Times New Roman" w:hAnsi="Times New Roman" w:cs="Times New Roman"/>
                <w:color w:val="000000" w:themeColor="text1"/>
                <w:highlight w:val="none"/>
                <w14:textFill>
                  <w14:solidFill>
                    <w14:schemeClr w14:val="tx1"/>
                  </w14:solidFill>
                </w14:textFill>
              </w:rPr>
              <w:t>t，</w:t>
            </w:r>
            <w:r>
              <w:rPr>
                <w:rFonts w:hint="default" w:ascii="Times New Roman" w:hAnsi="Times New Roman" w:cs="Times New Roman"/>
                <w:color w:val="000000" w:themeColor="text1"/>
                <w14:textFill>
                  <w14:solidFill>
                    <w14:schemeClr w14:val="tx1"/>
                  </w14:solidFill>
                </w14:textFill>
              </w:rPr>
              <w:t>产生量较少，垃圾填埋场的剩余规模可完全满足本工程产生的生活垃圾。</w:t>
            </w:r>
          </w:p>
        </w:tc>
      </w:tr>
      <w:tr w14:paraId="7F1A5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3" w:hRule="atLeast"/>
        </w:trPr>
        <w:tc>
          <w:tcPr>
            <w:tcW w:w="619" w:type="dxa"/>
            <w:vAlign w:val="center"/>
          </w:tcPr>
          <w:p w14:paraId="6D09D2BC">
            <w:pPr>
              <w:ind w:firstLine="0" w:firstLineChars="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总平</w:t>
            </w:r>
            <w:r>
              <w:rPr>
                <w:rFonts w:hint="default" w:ascii="Times New Roman" w:hAnsi="Times New Roman" w:cs="Times New Roman"/>
                <w:color w:val="000000" w:themeColor="text1"/>
                <w:kern w:val="0"/>
                <w14:textFill>
                  <w14:solidFill>
                    <w14:schemeClr w14:val="tx1"/>
                  </w14:solidFill>
                </w14:textFill>
              </w:rPr>
              <w:t>面及</w:t>
            </w:r>
            <w:r>
              <w:rPr>
                <w:rFonts w:hint="default" w:ascii="Times New Roman" w:hAnsi="Times New Roman" w:cs="Times New Roman"/>
                <w:color w:val="000000" w:themeColor="text1"/>
                <w14:textFill>
                  <w14:solidFill>
                    <w14:schemeClr w14:val="tx1"/>
                  </w14:solidFill>
                </w14:textFill>
              </w:rPr>
              <w:t>现场布</w:t>
            </w:r>
            <w:r>
              <w:rPr>
                <w:rFonts w:hint="default" w:ascii="Times New Roman" w:hAnsi="Times New Roman" w:cs="Times New Roman"/>
                <w:color w:val="000000" w:themeColor="text1"/>
                <w:kern w:val="0"/>
                <w14:textFill>
                  <w14:solidFill>
                    <w14:schemeClr w14:val="tx1"/>
                  </w14:solidFill>
                </w14:textFill>
              </w:rPr>
              <w:t>置</w:t>
            </w:r>
          </w:p>
        </w:tc>
        <w:tc>
          <w:tcPr>
            <w:tcW w:w="8418" w:type="dxa"/>
            <w:vAlign w:val="center"/>
          </w:tcPr>
          <w:p w14:paraId="418E3F69">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1钻井井场平面布局</w:t>
            </w:r>
          </w:p>
          <w:p w14:paraId="4F157E1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项目的布置本着结构简单、流程合理的原则进行布局。井场布置有值班房、机房、发电房、罐区、不落地设备区等。</w:t>
            </w:r>
          </w:p>
          <w:p w14:paraId="2B9E2DBC">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2试油井场平面布局</w:t>
            </w:r>
          </w:p>
          <w:p w14:paraId="024EDE7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试油井场布置有值班房、发电房、罐区、不落地设备区、放喷管线等。</w:t>
            </w:r>
          </w:p>
          <w:p w14:paraId="0D49F604">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3防渗设计</w:t>
            </w:r>
          </w:p>
          <w:p w14:paraId="377F7364">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本项目钻井井</w:t>
            </w:r>
            <w:r>
              <w:rPr>
                <w:rFonts w:hint="default" w:ascii="Times New Roman" w:hAnsi="Times New Roman" w:cs="Times New Roman"/>
                <w:color w:val="000000" w:themeColor="text1"/>
                <w:sz w:val="24"/>
                <w:szCs w:val="24"/>
                <w:lang w:val="en-US" w:eastAsia="zh-CN"/>
                <w14:textFill>
                  <w14:solidFill>
                    <w14:schemeClr w14:val="tx1"/>
                  </w14:solidFill>
                </w14:textFill>
              </w:rPr>
              <w:t>口周边、</w:t>
            </w:r>
            <w:r>
              <w:rPr>
                <w:rFonts w:hint="default" w:ascii="Times New Roman" w:hAnsi="Times New Roman" w:cs="Times New Roman"/>
                <w:color w:val="000000" w:themeColor="text1"/>
                <w:sz w:val="24"/>
                <w:szCs w:val="24"/>
                <w14:textFill>
                  <w14:solidFill>
                    <w14:schemeClr w14:val="tx1"/>
                  </w14:solidFill>
                </w14:textFill>
              </w:rPr>
              <w:t>柴油罐区、钻井液不落地系统、岩屑储罐、各类罐体罐基础、生活污水收集池和放喷池采取重点防渗</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材料房、配电房、录井房、地质房等采取一般防渗；其他区域采取简单防渗，采取一般地面硬化</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防渗材料</w:t>
            </w:r>
            <w:r>
              <w:rPr>
                <w:rFonts w:hint="default" w:ascii="Times New Roman" w:hAnsi="Times New Roman" w:cs="Times New Roman"/>
                <w:color w:val="000000" w:themeColor="text1"/>
                <w:sz w:val="24"/>
                <w:szCs w:val="24"/>
                <w14:textFill>
                  <w14:solidFill>
                    <w14:schemeClr w14:val="tx1"/>
                  </w14:solidFill>
                </w14:textFill>
              </w:rPr>
              <w:t>参照《</w:t>
            </w:r>
            <w:r>
              <w:rPr>
                <w:rFonts w:hint="default" w:ascii="Times New Roman" w:hAnsi="Times New Roman" w:cs="Times New Roman"/>
                <w:color w:val="000000" w:themeColor="text1"/>
                <w:sz w:val="24"/>
                <w:szCs w:val="24"/>
                <w:lang w:val="en-US" w:eastAsia="zh-CN"/>
                <w14:textFill>
                  <w14:solidFill>
                    <w14:schemeClr w14:val="tx1"/>
                  </w14:solidFill>
                </w14:textFill>
              </w:rPr>
              <w:t>环境影响评价技术导则 地下水环境</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HJ 610-2016</w:t>
            </w:r>
            <w:r>
              <w:rPr>
                <w:rFonts w:hint="default" w:ascii="Times New Roman" w:hAnsi="Times New Roman" w:cs="Times New Roman"/>
                <w:color w:val="000000" w:themeColor="text1"/>
                <w:sz w:val="24"/>
                <w:szCs w:val="24"/>
                <w14:textFill>
                  <w14:solidFill>
                    <w14:schemeClr w14:val="tx1"/>
                  </w14:solidFill>
                </w14:textFill>
              </w:rPr>
              <w:t>）中相应防渗要求执行</w:t>
            </w:r>
            <w:r>
              <w:rPr>
                <w:rFonts w:hint="default" w:ascii="Times New Roman" w:hAnsi="Times New Roman" w:cs="Times New Roman"/>
                <w:color w:val="000000" w:themeColor="text1"/>
                <w:sz w:val="24"/>
                <w:szCs w:val="24"/>
                <w:lang w:eastAsia="zh-CN"/>
                <w14:textFill>
                  <w14:solidFill>
                    <w14:schemeClr w14:val="tx1"/>
                  </w14:solidFill>
                </w14:textFill>
              </w:rPr>
              <w:t>。</w:t>
            </w:r>
          </w:p>
          <w:p w14:paraId="12B981CB">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4临时工程平面布置</w:t>
            </w:r>
          </w:p>
          <w:p w14:paraId="46B78D0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本项目在每个井场附近设</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处生活营地（占地</w:t>
            </w:r>
            <w:r>
              <w:rPr>
                <w:rFonts w:hint="default" w:ascii="Times New Roman" w:hAnsi="Times New Roman" w:cs="Times New Roman"/>
                <w:color w:val="000000" w:themeColor="text1"/>
                <w:lang w:val="en-US" w:eastAsia="zh-CN"/>
                <w14:textFill>
                  <w14:solidFill>
                    <w14:schemeClr w14:val="tx1"/>
                  </w14:solidFill>
                </w14:textFill>
              </w:rPr>
              <w:t>面积11762.07</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），根据井口位置和周围已建道路情况修建临时道路（</w:t>
            </w:r>
            <w:r>
              <w:rPr>
                <w:rFonts w:hint="default" w:ascii="Times New Roman" w:hAnsi="Times New Roman" w:cs="Times New Roman"/>
                <w:color w:val="000000" w:themeColor="text1"/>
                <w:lang w:val="en-US" w:eastAsia="zh-CN"/>
                <w14:textFill>
                  <w14:solidFill>
                    <w14:schemeClr w14:val="tx1"/>
                  </w14:solidFill>
                </w14:textFill>
              </w:rPr>
              <w:t>1242.41</w:t>
            </w:r>
            <w:r>
              <w:rPr>
                <w:rFonts w:hint="default" w:ascii="Times New Roman" w:hAnsi="Times New Roman" w:cs="Times New Roman"/>
                <w:color w:val="000000" w:themeColor="text1"/>
                <w14:textFill>
                  <w14:solidFill>
                    <w14:schemeClr w14:val="tx1"/>
                  </w14:solidFill>
                </w14:textFill>
              </w:rPr>
              <w:t>m），在井场两侧设主副放喷管线。本项目多余土方用于铺垫井场道路，不设取弃土场。</w:t>
            </w:r>
          </w:p>
          <w:p w14:paraId="03E42F31">
            <w:pPr>
              <w:ind w:firstLine="480"/>
              <w:rPr>
                <w:rFonts w:hint="default" w:ascii="Times New Roman" w:hAnsi="Times New Roman" w:cs="Times New Roman"/>
                <w:color w:val="000000" w:themeColor="text1"/>
                <w14:textFill>
                  <w14:solidFill>
                    <w14:schemeClr w14:val="tx1"/>
                  </w14:solidFill>
                </w14:textFill>
              </w:rPr>
            </w:pPr>
          </w:p>
        </w:tc>
      </w:tr>
      <w:tr w14:paraId="54462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41" w:hRule="atLeast"/>
        </w:trPr>
        <w:tc>
          <w:tcPr>
            <w:tcW w:w="619" w:type="dxa"/>
            <w:vAlign w:val="center"/>
          </w:tcPr>
          <w:p w14:paraId="46536575">
            <w:pPr>
              <w:spacing w:line="240" w:lineRule="auto"/>
              <w:ind w:firstLine="0" w:firstLineChars="0"/>
              <w:jc w:val="center"/>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施工方案</w:t>
            </w:r>
          </w:p>
        </w:tc>
        <w:tc>
          <w:tcPr>
            <w:tcW w:w="8418" w:type="dxa"/>
            <w:vAlign w:val="center"/>
          </w:tcPr>
          <w:p w14:paraId="07F728F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本项目包括：钻前作业、钻井施工、试油作业、钻后工程。</w:t>
            </w:r>
          </w:p>
          <w:p w14:paraId="7AF3F940">
            <w:pPr>
              <w:pStyle w:val="4"/>
              <w:ind w:firstLine="0" w:firstLineChars="0"/>
              <w:rPr>
                <w:rFonts w:hint="default" w:ascii="Times New Roman" w:hAnsi="Times New Roman" w:cs="Times New Roman"/>
                <w:color w:val="000000" w:themeColor="text1"/>
                <w:sz w:val="28"/>
                <w14:textFill>
                  <w14:solidFill>
                    <w14:schemeClr w14:val="tx1"/>
                  </w14:solidFill>
                </w14:textFill>
              </w:rPr>
            </w:pPr>
            <w:r>
              <w:rPr>
                <w:rFonts w:hint="default" w:ascii="Times New Roman" w:hAnsi="Times New Roman" w:cs="Times New Roman"/>
                <w:color w:val="000000" w:themeColor="text1"/>
                <w:sz w:val="28"/>
                <w14:textFill>
                  <w14:solidFill>
                    <w14:schemeClr w14:val="tx1"/>
                  </w14:solidFill>
                </w14:textFill>
              </w:rPr>
              <w:t>1钻前作业</w:t>
            </w:r>
          </w:p>
          <w:p w14:paraId="6A331EC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钻前作业主要包括井场、道路以及生活营地占地清理平整，设备入场等，工艺流程如下：</w:t>
            </w:r>
          </w:p>
          <w:p w14:paraId="7F8C369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（1）钻前整理场地，并保证全套钻井设备达到相关的安装标准。</w:t>
            </w:r>
          </w:p>
          <w:p w14:paraId="39505D7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（2）在钻机安装的过程中，注意保护井口设备。</w:t>
            </w:r>
          </w:p>
          <w:p w14:paraId="5D0237A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（3）要求天车、转盘、井口三点成一条铅垂线，误差小于10mm；确保在施工过程中不偏磨井口套管及井控设备。</w:t>
            </w:r>
          </w:p>
          <w:p w14:paraId="73C3743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（4）设备运转正常，安全装置灵活好用。各种仪器仪表准确灵敏好用。</w:t>
            </w:r>
          </w:p>
          <w:p w14:paraId="1B956CA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（5）钻具在入井前必须用通径规通径。</w:t>
            </w:r>
          </w:p>
          <w:p w14:paraId="4ADEDEE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（6）对所有的下井钻具进行外观检查和超声波探伤，准确丈量钻具，钻具记录上注明内外径、扣型，特殊工具要画草图。</w:t>
            </w:r>
          </w:p>
          <w:p w14:paraId="21E324B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（7）钻前道路以能通重型车为标准修建，修建为简易砂石路。</w:t>
            </w:r>
          </w:p>
          <w:p w14:paraId="4FBE00E8">
            <w:pPr>
              <w:pStyle w:val="4"/>
              <w:ind w:firstLine="0" w:firstLineChars="0"/>
              <w:rPr>
                <w:rFonts w:hint="default" w:ascii="Times New Roman" w:hAnsi="Times New Roman" w:cs="Times New Roman"/>
                <w:color w:val="000000" w:themeColor="text1"/>
                <w:sz w:val="28"/>
                <w14:textFill>
                  <w14:solidFill>
                    <w14:schemeClr w14:val="tx1"/>
                  </w14:solidFill>
                </w14:textFill>
              </w:rPr>
            </w:pPr>
            <w:r>
              <w:rPr>
                <w:rFonts w:hint="default" w:ascii="Times New Roman" w:hAnsi="Times New Roman" w:cs="Times New Roman"/>
                <w:color w:val="000000" w:themeColor="text1"/>
                <w:sz w:val="28"/>
                <w14:textFill>
                  <w14:solidFill>
                    <w14:schemeClr w14:val="tx1"/>
                  </w14:solidFill>
                </w14:textFill>
              </w:rPr>
              <w:t>2钻井施工</w:t>
            </w:r>
          </w:p>
          <w:p w14:paraId="3198C871">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钻井时采用旋转的钻头给所钻的地层一定的压力，使钻头的牙齿嵌入地层，然后旋转钻头，利用旋转钻头的扭矩来切削地层，并用循环的钻井液将钻屑带出井眼，以保证持续钻井。</w:t>
            </w:r>
          </w:p>
          <w:p w14:paraId="6A91968C">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钻井时井筒排出的钻井泥浆及岩屑进入泥浆不落地循环系统，该系统设置振动筛、除砂器、除泥器、离心机四级处理，经四级处理后，岩屑与钻井液完全分离，钻井液返回井筒，水基岩屑交岩屑处置单位处置。</w:t>
            </w:r>
          </w:p>
          <w:p w14:paraId="534D97A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钻井井口产生的钻井泥浆、岩屑混合物经振动筛、除砂器、除泥器、离心机四级实现初步分离，分离出的液相回用于钻井液配制。</w:t>
            </w:r>
          </w:p>
          <w:p w14:paraId="7731242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固井作业：</w:t>
            </w:r>
          </w:p>
          <w:p w14:paraId="58C4C52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固井是在已钻成的井眼内下入套管，然后在套管与井壁之间环空内注入水泥浆将套管和地层固结在一起的工艺过程，可防止复杂情况以保证安全继续钻进下一段井眼或保证顺利开采生产层中的油、气。</w:t>
            </w:r>
          </w:p>
          <w:p w14:paraId="6D660C8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井工程包括下套管和注水泥两个过程。下套管就是在已经钻成的井眼中按规定深度下入一定直径、由某种或几种不同钢级及壁厚的套管组成的套管柱。注水泥就是在地面上将水泥浆通过套管柱注入井眼与套管柱之间的环形空间中的过程。固井的主要目的是封隔疏松的易塌、易漏地层；封隔油、气、水层，防止互相窜漏。固井作业的主要设备有水泥搅拌机、下灰罐车、混合漏斗和其他附属安全防喷设备等。</w:t>
            </w:r>
          </w:p>
          <w:p w14:paraId="154577E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另外，现场施工前根据实际情况要做水泥浆配方及性能复核试验，同时，如果是钻井中井漏严重，则应考虑采用双凝水泥浆体系固井，从而提高固井质量，防止因为井漏事故造成地下水环境污染。</w:t>
            </w:r>
          </w:p>
          <w:p w14:paraId="43088393">
            <w:pPr>
              <w:pStyle w:val="4"/>
              <w:ind w:firstLine="0" w:firstLineChars="0"/>
              <w:rPr>
                <w:rFonts w:hint="default" w:ascii="Times New Roman" w:hAnsi="Times New Roman" w:cs="Times New Roman"/>
                <w:color w:val="000000" w:themeColor="text1"/>
                <w:sz w:val="28"/>
                <w14:textFill>
                  <w14:solidFill>
                    <w14:schemeClr w14:val="tx1"/>
                  </w14:solidFill>
                </w14:textFill>
              </w:rPr>
            </w:pPr>
            <w:r>
              <w:rPr>
                <w:rFonts w:hint="default" w:ascii="Times New Roman" w:hAnsi="Times New Roman" w:cs="Times New Roman"/>
                <w:color w:val="000000" w:themeColor="text1"/>
                <w:sz w:val="28"/>
                <w14:textFill>
                  <w14:solidFill>
                    <w14:schemeClr w14:val="tx1"/>
                  </w14:solidFill>
                </w14:textFill>
              </w:rPr>
              <w:t>3试油作业</w:t>
            </w:r>
          </w:p>
          <w:p w14:paraId="5DE79D3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当钻至井目的层后，对油气应进行试油作业，试油就是利用专用的设备和方法，对通过地震勘察、钻井录井、测井等间接手段初步确定的可能含油（气）层位进行直接的测试，并取得目的层的产能、压力、温度、油气水性质以及地质资料的工艺过程。如钻孔在目的层遇到裂隙发育，则不需进行射孔、酸化、压裂等工作，钻孔在目的层未遇裂隙，则需进行射孔，用射孔枪打开产层，用酸化压裂液清洗裂隙，酸化目的层。</w:t>
            </w:r>
          </w:p>
          <w:p w14:paraId="6362087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作业包括通井（用钻杆或油管带通井规下入井内，清除井壁上附着的固体物质，如钢渣、固井残留水泥等，同时检查套管是否有影响试油工具通过的弯曲等）、洗井（使用泵注设备，利用洗井液，通过井内管柱内外循环，清除套管壁杂物等，每口井洗井）、射孔（利用专用设备和射孔枪，对套管和井壁进行射孔，建立地层与井筒之间的通道）、压裂（用泵车将压裂液挤入目的层，当把目的层压出许多裂缝后，加入支撑剂，如石英砂等，充填进裂缝，提高目的层的渗透能力，每口井进行压裂作业）等操作，洗井废水</w:t>
            </w:r>
            <w:r>
              <w:rPr>
                <w:rFonts w:hint="default" w:ascii="Times New Roman" w:hAnsi="Times New Roman" w:cs="Times New Roman"/>
                <w:color w:val="000000" w:themeColor="text1"/>
                <w:lang w:val="en-US" w:eastAsia="zh-CN"/>
                <w14:textFill>
                  <w14:solidFill>
                    <w14:schemeClr w14:val="tx1"/>
                  </w14:solidFill>
                </w14:textFill>
              </w:rPr>
              <w:t>和</w:t>
            </w:r>
            <w:r>
              <w:rPr>
                <w:rFonts w:hint="default" w:ascii="Times New Roman" w:hAnsi="Times New Roman" w:cs="Times New Roman"/>
                <w:color w:val="000000" w:themeColor="text1"/>
                <w14:textFill>
                  <w14:solidFill>
                    <w14:schemeClr w14:val="tx1"/>
                  </w14:solidFill>
                </w14:textFill>
              </w:rPr>
              <w:t>压裂返排液采用</w:t>
            </w:r>
            <w:r>
              <w:rPr>
                <w:rFonts w:hint="default" w:ascii="Times New Roman" w:hAnsi="Times New Roman" w:cs="Times New Roman"/>
                <w:color w:val="000000" w:themeColor="text1"/>
                <w:lang w:val="en-US" w:eastAsia="zh-CN"/>
                <w14:textFill>
                  <w14:solidFill>
                    <w14:schemeClr w14:val="tx1"/>
                  </w14:solidFill>
                </w14:textFill>
              </w:rPr>
              <w:t>专用</w:t>
            </w:r>
            <w:r>
              <w:rPr>
                <w:rFonts w:hint="default" w:ascii="Times New Roman" w:hAnsi="Times New Roman" w:cs="Times New Roman"/>
                <w:color w:val="000000" w:themeColor="text1"/>
                <w14:textFill>
                  <w14:solidFill>
                    <w14:schemeClr w14:val="tx1"/>
                  </w14:solidFill>
                </w14:textFill>
              </w:rPr>
              <w:t>收集罐收集后送至</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lang w:val="en-US" w:eastAsia="zh-CN"/>
                <w14:textFill>
                  <w14:solidFill>
                    <w14:schemeClr w14:val="tx1"/>
                  </w14:solidFill>
                </w14:textFill>
              </w:rPr>
              <w:t>污水</w:t>
            </w:r>
            <w:r>
              <w:rPr>
                <w:rFonts w:hint="default" w:ascii="Times New Roman" w:hAnsi="Times New Roman" w:cs="Times New Roman"/>
                <w:color w:val="000000" w:themeColor="text1"/>
                <w14:textFill>
                  <w14:solidFill>
                    <w14:schemeClr w14:val="tx1"/>
                  </w14:solidFill>
                </w14:textFill>
              </w:rPr>
              <w:t>处理系统处理。试井前安装井口各种计量设备、油气两相分离设备，采出液临时储罐等。如有油气资源，则产出液经两相分离器分离后，采出液进入临时储罐，拉运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，伴生气由放散管燃烧放散。</w:t>
            </w:r>
          </w:p>
          <w:p w14:paraId="438E1FC7">
            <w:pPr>
              <w:pStyle w:val="4"/>
              <w:ind w:firstLine="0" w:firstLineChars="0"/>
              <w:rPr>
                <w:rFonts w:hint="default" w:ascii="Times New Roman" w:hAnsi="Times New Roman" w:cs="Times New Roman"/>
                <w:color w:val="000000" w:themeColor="text1"/>
                <w:sz w:val="28"/>
                <w14:textFill>
                  <w14:solidFill>
                    <w14:schemeClr w14:val="tx1"/>
                  </w14:solidFill>
                </w14:textFill>
              </w:rPr>
            </w:pPr>
            <w:r>
              <w:rPr>
                <w:rFonts w:hint="default" w:ascii="Times New Roman" w:hAnsi="Times New Roman" w:cs="Times New Roman"/>
                <w:color w:val="000000" w:themeColor="text1"/>
                <w:sz w:val="28"/>
                <w14:textFill>
                  <w14:solidFill>
                    <w14:schemeClr w14:val="tx1"/>
                  </w14:solidFill>
                </w14:textFill>
              </w:rPr>
              <w:t>4钻后工程</w:t>
            </w:r>
          </w:p>
          <w:p w14:paraId="75DE9AC7">
            <w:pPr>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测试完井后。要换装井口装置，有油时井口需换装采油树，其余设施将拆除、搬迁，钻井液材料全部进行回收，井场无遗留</w:t>
            </w:r>
            <w:r>
              <w:rPr>
                <w:rFonts w:hint="eastAsia" w:cs="Times New Roman"/>
                <w:color w:val="000000" w:themeColor="text1"/>
                <w:lang w:eastAsia="zh-CN"/>
                <w14:textFill>
                  <w14:solidFill>
                    <w14:schemeClr w14:val="tx1"/>
                  </w14:solidFill>
                </w14:textFill>
              </w:rPr>
              <w:t>，对</w:t>
            </w:r>
            <w:r>
              <w:rPr>
                <w:rFonts w:hint="default" w:ascii="Times New Roman" w:hAnsi="Times New Roman" w:cs="Times New Roman"/>
                <w:color w:val="000000" w:themeColor="text1"/>
                <w14:textFill>
                  <w14:solidFill>
                    <w14:schemeClr w14:val="tx1"/>
                  </w14:solidFill>
                </w14:textFill>
              </w:rPr>
              <w:t>钻井过程中产生的各类废物进行清理，并进行产能建设工程的环境影响评价，若该井无开采价值，则将井口用水泥封固，并对临时占地进行恢复。</w:t>
            </w:r>
          </w:p>
        </w:tc>
      </w:tr>
      <w:tr w14:paraId="37535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19" w:type="dxa"/>
            <w:vAlign w:val="center"/>
          </w:tcPr>
          <w:p w14:paraId="3FFD8A5C">
            <w:pPr>
              <w:ind w:firstLine="0" w:firstLineChars="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其他</w:t>
            </w:r>
          </w:p>
        </w:tc>
        <w:tc>
          <w:tcPr>
            <w:tcW w:w="8418" w:type="dxa"/>
            <w:vAlign w:val="center"/>
          </w:tcPr>
          <w:p w14:paraId="6CF33D32">
            <w:pPr>
              <w:ind w:firstLine="48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无</w:t>
            </w:r>
          </w:p>
        </w:tc>
      </w:tr>
    </w:tbl>
    <w:p w14:paraId="6AC45940">
      <w:pPr>
        <w:pStyle w:val="15"/>
        <w:ind w:firstLine="48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仿宋_GB2312" w:cs="Times New Roman"/>
          <w:b/>
          <w:bCs/>
          <w:color w:val="000000" w:themeColor="text1"/>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14:textFill>
            <w14:solidFill>
              <w14:schemeClr w14:val="tx1"/>
            </w14:solidFill>
          </w14:textFill>
        </w:rPr>
        <w:t>三、生态环境现状、保护目标及评价标准</w:t>
      </w:r>
    </w:p>
    <w:tbl>
      <w:tblPr>
        <w:tblStyle w:val="16"/>
        <w:tblW w:w="91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8252"/>
      </w:tblGrid>
      <w:tr w14:paraId="5D1DD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6" w:type="dxa"/>
            <w:vAlign w:val="center"/>
          </w:tcPr>
          <w:p w14:paraId="7D0D9087">
            <w:pPr>
              <w:ind w:firstLine="0" w:firstLineChars="0"/>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生态环境现状</w:t>
            </w:r>
          </w:p>
        </w:tc>
        <w:tc>
          <w:tcPr>
            <w:tcW w:w="8252" w:type="dxa"/>
            <w:vAlign w:val="center"/>
          </w:tcPr>
          <w:p w14:paraId="1578F518">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bookmarkStart w:id="8" w:name="_Toc11891"/>
            <w:r>
              <w:rPr>
                <w:rFonts w:hint="default" w:ascii="Times New Roman" w:hAnsi="Times New Roman" w:cs="Times New Roman"/>
                <w:color w:val="000000" w:themeColor="text1"/>
                <w:sz w:val="28"/>
                <w:szCs w:val="28"/>
                <w14:textFill>
                  <w14:solidFill>
                    <w14:schemeClr w14:val="tx1"/>
                  </w14:solidFill>
                </w14:textFill>
              </w:rPr>
              <w:t>1生态环境现状调查与评价</w:t>
            </w:r>
            <w:bookmarkEnd w:id="8"/>
          </w:p>
          <w:p w14:paraId="4475A062">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1.1生态系统调查与评价</w:t>
            </w:r>
          </w:p>
          <w:p w14:paraId="21AA1EA7">
            <w:pPr>
              <w:adjustRightInd/>
              <w:snapToGrid/>
              <w:ind w:firstLine="480"/>
              <w:outlineLvl w:val="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（1）生态功能区划</w:t>
            </w:r>
          </w:p>
          <w:p w14:paraId="027D4160">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新疆生态功能区划》，项目区域属于Ⅱ准噶尔盆地温带干旱荒漠与绿洲生态功能区—Ⅱ3准噶尔盆地中部固定、半固定沙漠生态亚区—23古尔班通古特沙漠化敏感及植被保护生态功能区。工程所在区生态功能区的主要生态服务功能、生态敏感因子、主要生态环境问题和主要保护目标见表3-1。</w:t>
            </w:r>
          </w:p>
          <w:p w14:paraId="1A41C483">
            <w:pPr>
              <w:pStyle w:val="21"/>
              <w:spacing w:line="360" w:lineRule="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表3-1  项目所属生态功能区具体情况</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1487"/>
              <w:gridCol w:w="5636"/>
            </w:tblGrid>
            <w:tr w14:paraId="33B2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3" w:type="pct"/>
                  <w:vMerge w:val="restart"/>
                  <w:tcBorders>
                    <w:top w:val="single" w:color="auto" w:sz="4" w:space="0"/>
                    <w:left w:val="single" w:color="auto" w:sz="4" w:space="0"/>
                    <w:bottom w:val="single" w:color="auto" w:sz="4" w:space="0"/>
                    <w:right w:val="single" w:color="auto" w:sz="4" w:space="0"/>
                  </w:tcBorders>
                  <w:vAlign w:val="center"/>
                </w:tcPr>
                <w:p w14:paraId="681C97C0">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生态功能分区单元</w:t>
                  </w:r>
                </w:p>
              </w:tc>
              <w:tc>
                <w:tcPr>
                  <w:tcW w:w="925" w:type="pct"/>
                  <w:tcBorders>
                    <w:top w:val="single" w:color="auto" w:sz="4" w:space="0"/>
                    <w:left w:val="single" w:color="auto" w:sz="4" w:space="0"/>
                    <w:bottom w:val="single" w:color="auto" w:sz="4" w:space="0"/>
                    <w:right w:val="single" w:color="auto" w:sz="4" w:space="0"/>
                  </w:tcBorders>
                  <w:vAlign w:val="center"/>
                </w:tcPr>
                <w:p w14:paraId="2BF6A081">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生态区</w:t>
                  </w:r>
                </w:p>
              </w:tc>
              <w:tc>
                <w:tcPr>
                  <w:tcW w:w="3510" w:type="pct"/>
                  <w:tcBorders>
                    <w:top w:val="single" w:color="auto" w:sz="4" w:space="0"/>
                    <w:left w:val="single" w:color="auto" w:sz="4" w:space="0"/>
                    <w:bottom w:val="single" w:color="auto" w:sz="4" w:space="0"/>
                    <w:right w:val="single" w:color="auto" w:sz="4" w:space="0"/>
                  </w:tcBorders>
                  <w:vAlign w:val="center"/>
                </w:tcPr>
                <w:p w14:paraId="2F784317">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Ⅱ准噶尔盆地温带干旱荒漠与绿洲生态功能区</w:t>
                  </w:r>
                </w:p>
              </w:tc>
            </w:tr>
            <w:tr w14:paraId="05F6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7" w:type="dxa"/>
                  <w:vMerge w:val="continue"/>
                  <w:tcBorders>
                    <w:top w:val="single" w:color="auto" w:sz="4" w:space="0"/>
                    <w:left w:val="single" w:color="auto" w:sz="4" w:space="0"/>
                    <w:bottom w:val="single" w:color="auto" w:sz="4" w:space="0"/>
                    <w:right w:val="single" w:color="auto" w:sz="4" w:space="0"/>
                  </w:tcBorders>
                  <w:vAlign w:val="center"/>
                </w:tcPr>
                <w:p w14:paraId="650F1F26">
                  <w:pPr>
                    <w:widowControl/>
                    <w:ind w:firstLine="420"/>
                    <w:jc w:val="left"/>
                    <w:rPr>
                      <w:rFonts w:hint="default" w:ascii="Times New Roman" w:hAnsi="Times New Roman" w:cs="Times New Roman"/>
                      <w:bCs/>
                      <w:color w:val="000000" w:themeColor="text1"/>
                      <w:sz w:val="21"/>
                      <w:szCs w:val="28"/>
                      <w14:textFill>
                        <w14:solidFill>
                          <w14:schemeClr w14:val="tx1"/>
                        </w14:solidFill>
                      </w14:textFill>
                    </w:rPr>
                  </w:pPr>
                </w:p>
              </w:tc>
              <w:tc>
                <w:tcPr>
                  <w:tcW w:w="925" w:type="pct"/>
                  <w:tcBorders>
                    <w:top w:val="single" w:color="auto" w:sz="4" w:space="0"/>
                    <w:left w:val="single" w:color="auto" w:sz="4" w:space="0"/>
                    <w:bottom w:val="single" w:color="auto" w:sz="4" w:space="0"/>
                    <w:right w:val="single" w:color="auto" w:sz="4" w:space="0"/>
                  </w:tcBorders>
                  <w:vAlign w:val="center"/>
                </w:tcPr>
                <w:p w14:paraId="102AD5B1">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生态亚区</w:t>
                  </w:r>
                </w:p>
              </w:tc>
              <w:tc>
                <w:tcPr>
                  <w:tcW w:w="3510" w:type="pct"/>
                  <w:tcBorders>
                    <w:top w:val="single" w:color="auto" w:sz="4" w:space="0"/>
                    <w:left w:val="single" w:color="auto" w:sz="4" w:space="0"/>
                    <w:bottom w:val="single" w:color="auto" w:sz="4" w:space="0"/>
                    <w:right w:val="single" w:color="auto" w:sz="4" w:space="0"/>
                  </w:tcBorders>
                  <w:vAlign w:val="center"/>
                </w:tcPr>
                <w:p w14:paraId="56549575">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Ⅱ</w:t>
                  </w:r>
                  <w:r>
                    <w:rPr>
                      <w:rFonts w:hint="default" w:ascii="Times New Roman" w:hAnsi="Times New Roman" w:cs="Times New Roman"/>
                      <w:color w:val="000000" w:themeColor="text1"/>
                      <w:vertAlign w:val="sub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准噶尔盆地中部固定、半固定沙漠生态亚区</w:t>
                  </w:r>
                </w:p>
              </w:tc>
            </w:tr>
            <w:tr w14:paraId="113E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7" w:type="dxa"/>
                  <w:vMerge w:val="continue"/>
                  <w:tcBorders>
                    <w:top w:val="single" w:color="auto" w:sz="4" w:space="0"/>
                    <w:left w:val="single" w:color="auto" w:sz="4" w:space="0"/>
                    <w:bottom w:val="single" w:color="auto" w:sz="4" w:space="0"/>
                    <w:right w:val="single" w:color="auto" w:sz="4" w:space="0"/>
                  </w:tcBorders>
                  <w:vAlign w:val="center"/>
                </w:tcPr>
                <w:p w14:paraId="5C789FE2">
                  <w:pPr>
                    <w:widowControl/>
                    <w:ind w:firstLine="420"/>
                    <w:jc w:val="left"/>
                    <w:rPr>
                      <w:rFonts w:hint="default" w:ascii="Times New Roman" w:hAnsi="Times New Roman" w:cs="Times New Roman"/>
                      <w:bCs/>
                      <w:color w:val="000000" w:themeColor="text1"/>
                      <w:sz w:val="21"/>
                      <w:szCs w:val="28"/>
                      <w14:textFill>
                        <w14:solidFill>
                          <w14:schemeClr w14:val="tx1"/>
                        </w14:solidFill>
                      </w14:textFill>
                    </w:rPr>
                  </w:pPr>
                </w:p>
              </w:tc>
              <w:tc>
                <w:tcPr>
                  <w:tcW w:w="925" w:type="pct"/>
                  <w:tcBorders>
                    <w:top w:val="single" w:color="auto" w:sz="4" w:space="0"/>
                    <w:left w:val="single" w:color="auto" w:sz="4" w:space="0"/>
                    <w:bottom w:val="single" w:color="auto" w:sz="4" w:space="0"/>
                    <w:right w:val="single" w:color="auto" w:sz="4" w:space="0"/>
                  </w:tcBorders>
                  <w:vAlign w:val="center"/>
                </w:tcPr>
                <w:p w14:paraId="1A9A7B18">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生态功能区</w:t>
                  </w:r>
                </w:p>
              </w:tc>
              <w:tc>
                <w:tcPr>
                  <w:tcW w:w="3510" w:type="pct"/>
                  <w:tcBorders>
                    <w:top w:val="single" w:color="auto" w:sz="4" w:space="0"/>
                    <w:left w:val="single" w:color="auto" w:sz="4" w:space="0"/>
                    <w:bottom w:val="single" w:color="auto" w:sz="4" w:space="0"/>
                    <w:right w:val="single" w:color="auto" w:sz="4" w:space="0"/>
                  </w:tcBorders>
                  <w:vAlign w:val="center"/>
                </w:tcPr>
                <w:p w14:paraId="337100F7">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23．古尔班通古特沙漠化敏感及植被保护生态功能区</w:t>
                  </w:r>
                </w:p>
              </w:tc>
            </w:tr>
            <w:tr w14:paraId="4243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9" w:type="pct"/>
                  <w:gridSpan w:val="2"/>
                  <w:tcBorders>
                    <w:top w:val="single" w:color="auto" w:sz="4" w:space="0"/>
                    <w:left w:val="single" w:color="auto" w:sz="4" w:space="0"/>
                    <w:bottom w:val="single" w:color="auto" w:sz="4" w:space="0"/>
                    <w:right w:val="single" w:color="auto" w:sz="4" w:space="0"/>
                  </w:tcBorders>
                  <w:vAlign w:val="center"/>
                </w:tcPr>
                <w:p w14:paraId="32798AB7">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隶属行政区</w:t>
                  </w:r>
                </w:p>
              </w:tc>
              <w:tc>
                <w:tcPr>
                  <w:tcW w:w="3510" w:type="pct"/>
                  <w:tcBorders>
                    <w:top w:val="single" w:color="auto" w:sz="4" w:space="0"/>
                    <w:left w:val="single" w:color="auto" w:sz="4" w:space="0"/>
                    <w:bottom w:val="single" w:color="auto" w:sz="4" w:space="0"/>
                    <w:right w:val="single" w:color="auto" w:sz="4" w:space="0"/>
                  </w:tcBorders>
                  <w:vAlign w:val="center"/>
                </w:tcPr>
                <w:p w14:paraId="7BCB5330">
                  <w:pPr>
                    <w:pStyle w:val="23"/>
                    <w:rPr>
                      <w:rFonts w:hint="default" w:ascii="Times New Roman" w:hAnsi="Times New Roman" w:cs="Times New Roman"/>
                      <w:color w:val="000000" w:themeColor="text1"/>
                      <w:kern w:val="2"/>
                      <w14:textFill>
                        <w14:solidFill>
                          <w14:schemeClr w14:val="tx1"/>
                        </w14:solidFill>
                      </w14:textFill>
                    </w:rPr>
                  </w:pPr>
                  <w:r>
                    <w:rPr>
                      <w:rFonts w:hint="eastAsia" w:cs="Times New Roman"/>
                      <w:color w:val="000000" w:themeColor="text1"/>
                      <w:lang w:eastAsia="zh-CN"/>
                      <w14:textFill>
                        <w14:solidFill>
                          <w14:schemeClr w14:val="tx1"/>
                        </w14:solidFill>
                      </w14:textFill>
                    </w:rPr>
                    <w:t>和布克赛尔蒙古自治县</w:t>
                  </w:r>
                  <w:r>
                    <w:rPr>
                      <w:rFonts w:hint="default" w:ascii="Times New Roman" w:hAnsi="Times New Roman" w:cs="Times New Roman"/>
                      <w:color w:val="000000" w:themeColor="text1"/>
                      <w14:textFill>
                        <w14:solidFill>
                          <w14:schemeClr w14:val="tx1"/>
                        </w14:solidFill>
                      </w14:textFill>
                    </w:rPr>
                    <w:t>、福海县、沙湾县、玛纳斯县、呼图壁县、昌吉市、米泉区、阜康市、吉木萨尔县、奇台县、木垒县</w:t>
                  </w:r>
                </w:p>
              </w:tc>
            </w:tr>
            <w:tr w14:paraId="1E70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9" w:type="pct"/>
                  <w:gridSpan w:val="2"/>
                  <w:tcBorders>
                    <w:top w:val="single" w:color="auto" w:sz="4" w:space="0"/>
                    <w:left w:val="single" w:color="auto" w:sz="4" w:space="0"/>
                    <w:bottom w:val="single" w:color="auto" w:sz="4" w:space="0"/>
                    <w:right w:val="single" w:color="auto" w:sz="4" w:space="0"/>
                  </w:tcBorders>
                  <w:vAlign w:val="center"/>
                </w:tcPr>
                <w:p w14:paraId="2A2B5A17">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主要生态服务功能</w:t>
                  </w:r>
                </w:p>
              </w:tc>
              <w:tc>
                <w:tcPr>
                  <w:tcW w:w="3510" w:type="pct"/>
                  <w:tcBorders>
                    <w:top w:val="single" w:color="auto" w:sz="4" w:space="0"/>
                    <w:left w:val="single" w:color="auto" w:sz="4" w:space="0"/>
                    <w:bottom w:val="single" w:color="auto" w:sz="4" w:space="0"/>
                    <w:right w:val="single" w:color="auto" w:sz="4" w:space="0"/>
                  </w:tcBorders>
                  <w:vAlign w:val="center"/>
                </w:tcPr>
                <w:p w14:paraId="5C2BFC05">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沙漠化控制、生物多样性维护</w:t>
                  </w:r>
                </w:p>
              </w:tc>
            </w:tr>
            <w:tr w14:paraId="628C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9" w:type="pct"/>
                  <w:gridSpan w:val="2"/>
                  <w:tcBorders>
                    <w:top w:val="single" w:color="auto" w:sz="4" w:space="0"/>
                    <w:left w:val="single" w:color="auto" w:sz="4" w:space="0"/>
                    <w:bottom w:val="single" w:color="auto" w:sz="4" w:space="0"/>
                    <w:right w:val="single" w:color="auto" w:sz="4" w:space="0"/>
                  </w:tcBorders>
                  <w:vAlign w:val="center"/>
                </w:tcPr>
                <w:p w14:paraId="525E0D4D">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主要生态环境问题</w:t>
                  </w:r>
                </w:p>
              </w:tc>
              <w:tc>
                <w:tcPr>
                  <w:tcW w:w="3510" w:type="pct"/>
                  <w:tcBorders>
                    <w:top w:val="single" w:color="auto" w:sz="4" w:space="0"/>
                    <w:left w:val="single" w:color="auto" w:sz="4" w:space="0"/>
                    <w:bottom w:val="single" w:color="auto" w:sz="4" w:space="0"/>
                    <w:right w:val="single" w:color="auto" w:sz="4" w:space="0"/>
                  </w:tcBorders>
                  <w:vAlign w:val="center"/>
                </w:tcPr>
                <w:p w14:paraId="7D312CB1">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人为干扰范围扩大、工程建设引起沙漠植被破坏、鼠害严重、植被退化、沙漠化构成对南缘绿洲的威胁</w:t>
                  </w:r>
                </w:p>
              </w:tc>
            </w:tr>
            <w:tr w14:paraId="73C3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9" w:type="pct"/>
                  <w:gridSpan w:val="2"/>
                  <w:tcBorders>
                    <w:top w:val="single" w:color="auto" w:sz="4" w:space="0"/>
                    <w:left w:val="single" w:color="auto" w:sz="4" w:space="0"/>
                    <w:bottom w:val="single" w:color="auto" w:sz="4" w:space="0"/>
                    <w:right w:val="single" w:color="auto" w:sz="4" w:space="0"/>
                  </w:tcBorders>
                  <w:vAlign w:val="center"/>
                </w:tcPr>
                <w:p w14:paraId="45296D28">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生态敏感因子敏感程度</w:t>
                  </w:r>
                </w:p>
              </w:tc>
              <w:tc>
                <w:tcPr>
                  <w:tcW w:w="3510" w:type="pct"/>
                  <w:tcBorders>
                    <w:top w:val="single" w:color="auto" w:sz="4" w:space="0"/>
                    <w:left w:val="single" w:color="auto" w:sz="4" w:space="0"/>
                    <w:bottom w:val="single" w:color="auto" w:sz="4" w:space="0"/>
                    <w:right w:val="single" w:color="auto" w:sz="4" w:space="0"/>
                  </w:tcBorders>
                  <w:vAlign w:val="center"/>
                </w:tcPr>
                <w:p w14:paraId="614D7664">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生物多样性及其生境高度敏感，土地沙漠化极度敏感，土壤侵蚀高度敏感、土壤盐渍化轻度敏感</w:t>
                  </w:r>
                </w:p>
              </w:tc>
            </w:tr>
            <w:tr w14:paraId="38A3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9" w:type="pct"/>
                  <w:gridSpan w:val="2"/>
                  <w:tcBorders>
                    <w:top w:val="single" w:color="auto" w:sz="4" w:space="0"/>
                    <w:left w:val="single" w:color="auto" w:sz="4" w:space="0"/>
                    <w:bottom w:val="single" w:color="auto" w:sz="4" w:space="0"/>
                    <w:right w:val="single" w:color="auto" w:sz="4" w:space="0"/>
                  </w:tcBorders>
                  <w:vAlign w:val="center"/>
                </w:tcPr>
                <w:p w14:paraId="35A46A24">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主要保护目标</w:t>
                  </w:r>
                </w:p>
              </w:tc>
              <w:tc>
                <w:tcPr>
                  <w:tcW w:w="3510" w:type="pct"/>
                  <w:tcBorders>
                    <w:top w:val="single" w:color="auto" w:sz="4" w:space="0"/>
                    <w:left w:val="single" w:color="auto" w:sz="4" w:space="0"/>
                    <w:bottom w:val="single" w:color="auto" w:sz="4" w:space="0"/>
                    <w:right w:val="single" w:color="auto" w:sz="4" w:space="0"/>
                  </w:tcBorders>
                  <w:vAlign w:val="center"/>
                </w:tcPr>
                <w:p w14:paraId="7F88A80A">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保护沙漠植被、防止沙丘活化</w:t>
                  </w:r>
                </w:p>
              </w:tc>
            </w:tr>
            <w:tr w14:paraId="236D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9" w:type="pct"/>
                  <w:gridSpan w:val="2"/>
                  <w:tcBorders>
                    <w:top w:val="single" w:color="auto" w:sz="4" w:space="0"/>
                    <w:left w:val="single" w:color="auto" w:sz="4" w:space="0"/>
                    <w:bottom w:val="single" w:color="auto" w:sz="4" w:space="0"/>
                    <w:right w:val="single" w:color="auto" w:sz="4" w:space="0"/>
                  </w:tcBorders>
                  <w:vAlign w:val="center"/>
                </w:tcPr>
                <w:p w14:paraId="71A530D5">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主要保护措施</w:t>
                  </w:r>
                </w:p>
              </w:tc>
              <w:tc>
                <w:tcPr>
                  <w:tcW w:w="3510" w:type="pct"/>
                  <w:tcBorders>
                    <w:top w:val="single" w:color="auto" w:sz="4" w:space="0"/>
                    <w:left w:val="single" w:color="auto" w:sz="4" w:space="0"/>
                    <w:bottom w:val="single" w:color="auto" w:sz="4" w:space="0"/>
                    <w:right w:val="single" w:color="auto" w:sz="4" w:space="0"/>
                  </w:tcBorders>
                  <w:vAlign w:val="center"/>
                </w:tcPr>
                <w:p w14:paraId="694F549C">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对沙漠边缘流动沙丘、活化沙地进行封沙育林、退耕还林（草），禁止憔采和放牧，禁止开荒</w:t>
                  </w:r>
                </w:p>
              </w:tc>
            </w:tr>
            <w:tr w14:paraId="5B41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9" w:type="pct"/>
                  <w:gridSpan w:val="2"/>
                  <w:tcBorders>
                    <w:top w:val="single" w:color="auto" w:sz="4" w:space="0"/>
                    <w:left w:val="single" w:color="auto" w:sz="4" w:space="0"/>
                    <w:bottom w:val="single" w:color="auto" w:sz="4" w:space="0"/>
                    <w:right w:val="single" w:color="auto" w:sz="4" w:space="0"/>
                  </w:tcBorders>
                  <w:vAlign w:val="center"/>
                </w:tcPr>
                <w:p w14:paraId="495CBDC6">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适宜发展方向</w:t>
                  </w:r>
                </w:p>
              </w:tc>
              <w:tc>
                <w:tcPr>
                  <w:tcW w:w="3510" w:type="pct"/>
                  <w:tcBorders>
                    <w:top w:val="single" w:color="auto" w:sz="4" w:space="0"/>
                    <w:left w:val="single" w:color="auto" w:sz="4" w:space="0"/>
                    <w:bottom w:val="single" w:color="auto" w:sz="4" w:space="0"/>
                    <w:right w:val="single" w:color="auto" w:sz="4" w:space="0"/>
                  </w:tcBorders>
                  <w:vAlign w:val="center"/>
                </w:tcPr>
                <w:p w14:paraId="05E91E70">
                  <w:pPr>
                    <w:pStyle w:val="23"/>
                    <w:rPr>
                      <w:rFonts w:hint="default" w:ascii="Times New Roman" w:hAnsi="Times New Roman" w:cs="Times New Roman"/>
                      <w:color w:val="000000" w:themeColor="text1"/>
                      <w:kern w:val="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维护固定、半固定沙漠景观与植被，治理活化沙丘，遏制蔓延</w:t>
                  </w:r>
                </w:p>
              </w:tc>
            </w:tr>
          </w:tbl>
          <w:p w14:paraId="77768A62">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本项目建设不占用基本农田、基本草原，临时占地结束后恢复原始地貌，控制施工范围保护区域荒漠植被，保护区域土壤环境质量，符合生态功能区划。</w:t>
            </w:r>
          </w:p>
          <w:p w14:paraId="19A7C13F">
            <w:pPr>
              <w:pStyle w:val="4"/>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val="0"/>
                <w:color w:val="000000" w:themeColor="text1"/>
                <w:kern w:val="0"/>
                <w:szCs w:val="24"/>
                <w14:textFill>
                  <w14:solidFill>
                    <w14:schemeClr w14:val="tx1"/>
                  </w14:solidFill>
                </w14:textFill>
              </w:rPr>
              <w:t>（2）新疆维吾尔自治区主体功能区规划</w:t>
            </w:r>
          </w:p>
          <w:p w14:paraId="62262A21">
            <w:pPr>
              <w:widowControl/>
              <w:ind w:firstLine="480"/>
              <w:rPr>
                <w:rFonts w:hint="default" w:ascii="Times New Roman" w:hAnsi="Times New Roman" w:cs="Times New Roman"/>
                <w:color w:val="000000" w:themeColor="text1"/>
                <w:kern w:val="0"/>
                <w:lang w:bidi="ar"/>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根据《新疆维吾尔自治区主体功能区规划》，将新疆分为以下主体功能区：按开发方式，分为优化开发区域、重点开发区域、限制开发区域和禁止开发区域四类；按开发内容，分为城市化地区、农产品主产区和重点生态功能区三类；按层级，分为国家和省级两个层面。新疆重点开发区包括国家级重点开发区域和自治区级重点开发区域。和布克赛尔蒙古自治县属于自治区级重点</w:t>
            </w:r>
            <w:r>
              <w:rPr>
                <w:rFonts w:hint="default" w:ascii="Times New Roman" w:hAnsi="Times New Roman" w:cs="Times New Roman"/>
                <w:color w:val="000000" w:themeColor="text1"/>
                <w:kern w:val="0"/>
                <w:lang w:val="en-US" w:eastAsia="zh-CN" w:bidi="ar"/>
                <w14:textFill>
                  <w14:solidFill>
                    <w14:schemeClr w14:val="tx1"/>
                  </w14:solidFill>
                </w14:textFill>
              </w:rPr>
              <w:t>生态功能区</w:t>
            </w:r>
            <w:r>
              <w:rPr>
                <w:rFonts w:hint="default" w:ascii="Times New Roman" w:hAnsi="Times New Roman" w:cs="Times New Roman"/>
                <w:color w:val="000000" w:themeColor="text1"/>
                <w:kern w:val="0"/>
                <w:lang w:bidi="ar"/>
                <w14:textFill>
                  <w14:solidFill>
                    <w14:schemeClr w14:val="tx1"/>
                  </w14:solidFill>
                </w14:textFill>
              </w:rPr>
              <w:t>。针对为数众多的自治区级重点生态功能区的县、市，考虑到新疆绿洲经济的特点，即很大的行政范围内，仅有绿洲区域内的一小部分为人口与工业的主要承载区，经济发展相对活跃，对周边的乡镇起到一定带动作用，因此，将这类县的城关镇或市的城区以及某些重要工业园作为自治区级重点开发区域。</w:t>
            </w:r>
          </w:p>
          <w:p w14:paraId="5E5E06E5">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本项目属于石油勘探项目，位于和布克赛尔蒙古自治县境内，属于自治区级重点</w:t>
            </w:r>
            <w:r>
              <w:rPr>
                <w:rFonts w:hint="default" w:ascii="Times New Roman" w:hAnsi="Times New Roman" w:cs="Times New Roman"/>
                <w:color w:val="000000" w:themeColor="text1"/>
                <w:kern w:val="0"/>
                <w:lang w:val="en-US" w:eastAsia="zh-CN" w:bidi="ar"/>
                <w14:textFill>
                  <w14:solidFill>
                    <w14:schemeClr w14:val="tx1"/>
                  </w14:solidFill>
                </w14:textFill>
              </w:rPr>
              <w:t>生态功能区</w:t>
            </w:r>
            <w:r>
              <w:rPr>
                <w:rFonts w:hint="default" w:ascii="Times New Roman" w:hAnsi="Times New Roman" w:cs="Times New Roman"/>
                <w:color w:val="000000" w:themeColor="text1"/>
                <w:kern w:val="0"/>
                <w:lang w:bidi="ar"/>
                <w14:textFill>
                  <w14:solidFill>
                    <w14:schemeClr w14:val="tx1"/>
                  </w14:solidFill>
                </w14:textFill>
              </w:rPr>
              <w:t>，项目建设与《新疆维吾尔自治区主体功能区规划》相符合。</w:t>
            </w:r>
          </w:p>
          <w:p w14:paraId="700551DE">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1.2植被调查</w:t>
            </w:r>
          </w:p>
          <w:p w14:paraId="563F2DBC">
            <w:pPr>
              <w:ind w:firstLine="480"/>
              <w:rPr>
                <w:rFonts w:hint="default" w:ascii="Times New Roman" w:hAnsi="Times New Roman" w:cs="Times New Roman"/>
                <w:bCs/>
                <w:color w:val="000000" w:themeColor="text1"/>
                <w:highlight w:val="yellow"/>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根据现场调查和查阅相关资料，评价区主要植被类型为荒漠植被，按中国植被自然地理区划划分，项目所在区域属新疆荒漠区—北疆荒漠亚区—准噶尔荒漠省—准噶尔荒漠亚省—古尔班通古特州。由于单一的地貌类型及严酷的气候特征，该区域内植被类型少而单一。根据现场调查及查阅相关资料，项目评价区域内建群种为白皮沙拐枣和羽毛三芒草，植被覆盖度10%-15%左右。</w:t>
            </w:r>
          </w:p>
          <w:p w14:paraId="50CA6521">
            <w:pPr>
              <w:ind w:firstLine="480"/>
              <w:rPr>
                <w:rFonts w:hint="default" w:ascii="Times New Roman" w:hAnsi="Times New Roman" w:cs="Times New Roman"/>
                <w:bCs/>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白皮沙拐枣属于沙丘间低地常见灌木，羽毛三芒草属禾本科多年生草本植物，二者均分布于评价区北部风沙土地带，地势较平坦且开阔，常同红柳混生，群落中植株一般高约0.5m～1m，最高可达1.5m～2m，群落覆盖度在10%左右。伴生种多为一年生多汁盐生类植物，如盐生草、散枝梯翅蓬、叉毛蓬等。</w:t>
            </w:r>
          </w:p>
          <w:p w14:paraId="55D31289">
            <w:pPr>
              <w:pStyle w:val="4"/>
              <w:ind w:firstLine="480" w:firstLineChars="200"/>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根据《国家重点保护野生植物名录》（2021年）、《新疆国家重点保护野生植物名录》（2022年）、《新疆维吾尔自治区重点保护野生植物名录》（2024年），项目区无国家及自治区级重点保护野生植物。</w:t>
            </w:r>
          </w:p>
          <w:p w14:paraId="751457A8">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1.3野生动物现状调查与评价</w:t>
            </w:r>
          </w:p>
          <w:p w14:paraId="2B3AFC8E">
            <w:pPr>
              <w:ind w:firstLine="480"/>
              <w:rPr>
                <w:rFonts w:hint="default" w:ascii="Times New Roman" w:hAnsi="Times New Roman" w:cs="Times New Roman"/>
                <w:bCs/>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按中国动物地理区划的分级标准，项目区属古北界、中亚亚界、蒙新区、西部荒漠亚区、准噶尔盆地小区。项目所在地区内分布的主要野生脊椎动物16种，其中爬行类3种、鸟类11种、哺乳类4种。</w:t>
            </w:r>
          </w:p>
          <w:p w14:paraId="623E9B7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由于项目区周边油田较多，人为活动频繁，项目现状调查和走访中，未发现大型野生动物，其中爬行类的蜥蜴和哺乳类的部分啮齿动物是评价区的主要建群种动物。</w:t>
            </w:r>
          </w:p>
          <w:p w14:paraId="218151B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根据《国家重点保护野生动物名录》（2021）及《新疆维吾尔自治区重点保护野生动物名录（修订）》（新政发〔2022〕75号），项目区域内未发现国家重点保护野生动物及其生境。</w:t>
            </w:r>
          </w:p>
          <w:p w14:paraId="5266912D">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1.4土壤现状调查与评价</w:t>
            </w:r>
          </w:p>
          <w:p w14:paraId="5AEC6968">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项目区主要土壤类型为风沙土。风沙土主要处于温带半干旱、干旱、极端干旱的草原、荒漠草原及荒漠地带。气温变化大，年温差和日温差悬殊，常年多风，风期长，风力大，是风沙土形成的基本动力。风沙土是在风沙性母质上发育起来的，质地较粗，物理性粘粒很少，因风蚀风积交替作用，使土壤发育处于不断的复幼状况下，植被稀疏，生物作用微弱，使有机物质积累很少，成土过程十分微弱，只在土壤表层0.5cm～1cm有微弱的分化，有机质含量明显高于下层。这是由于古尔班通古特沙漠冬季有稳定的积雪，在春季积雪融化后，沙土层中便得到一定量的水分补给，在4～5月间，土壤含水率可达20～30g/kg，为短命和类短命植物生长提供了生存条件，地表植被覆盖度可达40%～60%，到7～8月处于休眠状态。正是这些短命和类短命植物生长和循环过程，使沙土层地表形成了微弱的有机质积累，其它土壤理化性状无明显差异，剖面层次分化不明显。</w:t>
            </w:r>
          </w:p>
          <w:p w14:paraId="55AA686A">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1.5土地利用现状调查与评价</w:t>
            </w:r>
          </w:p>
          <w:p w14:paraId="33A33F36">
            <w:pPr>
              <w:ind w:firstLine="48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kern w:val="0"/>
                <w:lang w:bidi="ar"/>
                <w14:textFill>
                  <w14:solidFill>
                    <w14:schemeClr w14:val="tx1"/>
                  </w14:solidFill>
                </w14:textFill>
              </w:rPr>
              <w:t>根据</w:t>
            </w:r>
            <w:r>
              <w:rPr>
                <w:rFonts w:hint="default" w:ascii="Times New Roman" w:hAnsi="Times New Roman" w:cs="Times New Roman"/>
                <w:color w:val="000000" w:themeColor="text1"/>
                <w:kern w:val="0"/>
                <w:lang w:val="en-US" w:eastAsia="zh-CN" w:bidi="ar"/>
                <w14:textFill>
                  <w14:solidFill>
                    <w14:schemeClr w14:val="tx1"/>
                  </w14:solidFill>
                </w14:textFill>
              </w:rPr>
              <w:t>本项目的勘界结果，</w:t>
            </w:r>
            <w:r>
              <w:rPr>
                <w:rFonts w:hint="default" w:ascii="Times New Roman" w:hAnsi="Times New Roman" w:cs="Times New Roman"/>
                <w:color w:val="000000" w:themeColor="text1"/>
                <w:kern w:val="0"/>
                <w:lang w:bidi="ar"/>
                <w14:textFill>
                  <w14:solidFill>
                    <w14:schemeClr w14:val="tx1"/>
                  </w14:solidFill>
                </w14:textFill>
              </w:rPr>
              <w:t>并参照《土地利用现状分类》（GB/T 21010-2017），以确定本项目区域的土地利用类型。本项目所在区域土地利用类型为</w:t>
            </w:r>
            <w:r>
              <w:rPr>
                <w:rFonts w:hint="default" w:ascii="Times New Roman" w:hAnsi="Times New Roman" w:cs="Times New Roman"/>
                <w:color w:val="000000" w:themeColor="text1"/>
                <w:kern w:val="0"/>
                <w:lang w:val="en-US" w:eastAsia="zh-CN" w:bidi="ar"/>
                <w14:textFill>
                  <w14:solidFill>
                    <w14:schemeClr w14:val="tx1"/>
                  </w14:solidFill>
                </w14:textFill>
              </w:rPr>
              <w:t>灌木林地、其他草地和公路用地</w:t>
            </w:r>
            <w:r>
              <w:rPr>
                <w:rFonts w:hint="default" w:ascii="Times New Roman" w:hAnsi="Times New Roman" w:cs="Times New Roman"/>
                <w:color w:val="000000" w:themeColor="text1"/>
                <w:kern w:val="0"/>
                <w:lang w:bidi="ar"/>
                <w14:textFill>
                  <w14:solidFill>
                    <w14:schemeClr w14:val="tx1"/>
                  </w14:solidFill>
                </w14:textFill>
              </w:rPr>
              <w:t>，</w:t>
            </w:r>
            <w:r>
              <w:rPr>
                <w:rFonts w:hint="default" w:ascii="Times New Roman" w:hAnsi="Times New Roman" w:eastAsia="瀹嬩綋" w:cs="Times New Roman"/>
                <w:color w:val="000000" w:themeColor="text1"/>
                <w:kern w:val="0"/>
                <w:lang w:bidi="ar"/>
                <w14:textFill>
                  <w14:solidFill>
                    <w14:schemeClr w14:val="tx1"/>
                  </w14:solidFill>
                </w14:textFill>
              </w:rPr>
              <w:t>土地现状以自然状态为主，呈典型的干旱荒漠</w:t>
            </w:r>
            <w:r>
              <w:rPr>
                <w:rFonts w:hint="default" w:ascii="Times New Roman" w:hAnsi="Times New Roman" w:cs="Times New Roman"/>
                <w:color w:val="000000" w:themeColor="text1"/>
                <w:kern w:val="0"/>
                <w:lang w:bidi="ar"/>
                <w14:textFill>
                  <w14:solidFill>
                    <w14:schemeClr w14:val="tx1"/>
                  </w14:solidFill>
                </w14:textFill>
              </w:rPr>
              <w:t>。</w:t>
            </w:r>
          </w:p>
          <w:p w14:paraId="6B772791">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1.6水土流失现状调查与评价</w:t>
            </w:r>
          </w:p>
          <w:p w14:paraId="63745BC0">
            <w:pPr>
              <w:pStyle w:val="33"/>
              <w:keepNext w:val="0"/>
              <w:keepLines w:val="0"/>
              <w:pageBreakBefore w:val="0"/>
              <w:kinsoku/>
              <w:wordWrap/>
              <w:overflowPunct/>
              <w:topLinePunct w:val="0"/>
              <w:bidi w:val="0"/>
              <w:spacing w:after="0" w:line="360" w:lineRule="auto"/>
              <w:ind w:firstLine="480" w:firstLineChars="200"/>
              <w:jc w:val="left"/>
              <w:textAlignment w:val="auto"/>
              <w:rPr>
                <w:rFonts w:hint="default" w:ascii="Times New Roman" w:hAnsi="Times New Roman" w:eastAsia="宋体" w:cs="Times New Roman"/>
                <w:b w:val="0"/>
                <w:bCs/>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本项目位于塔城地区和布克赛尔蒙古自治县，根据新水水保〔2019〕</w:t>
            </w:r>
            <w:r>
              <w:rPr>
                <w:rStyle w:val="20"/>
                <w:rFonts w:hint="default" w:ascii="Times New Roman" w:hAnsi="Times New Roman" w:eastAsia="宋体" w:cs="Times New Roman"/>
                <w:b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val="0"/>
                <w:bCs/>
                <w:color w:val="000000" w:themeColor="text1"/>
                <w:sz w:val="24"/>
                <w:szCs w:val="24"/>
                <w14:textFill>
                  <w14:solidFill>
                    <w14:schemeClr w14:val="tx1"/>
                  </w14:solidFill>
                </w14:textFill>
              </w:rPr>
              <w:t>号</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文件</w:t>
            </w:r>
            <w:r>
              <w:rPr>
                <w:rFonts w:hint="default" w:ascii="Times New Roman" w:hAnsi="Times New Roman" w:eastAsia="宋体" w:cs="Times New Roman"/>
                <w:b w:val="0"/>
                <w:bCs/>
                <w:color w:val="000000" w:themeColor="text1"/>
                <w:sz w:val="24"/>
                <w:szCs w:val="24"/>
                <w14:textFill>
                  <w14:solidFill>
                    <w14:schemeClr w14:val="tx1"/>
                  </w14:solidFill>
                </w14:textFill>
              </w:rPr>
              <w:t>，新疆共划分了2个自治区级重点预防区，4个自治区级重点治理区。本项目位于塔城地区和布克赛尔蒙古自治县，属于天山北坡诸小河流域重点治理区。结合项目区地理位置、地形地貌和气候环境特点，确定项目区水土流失类型主要为风力侵蚀。</w:t>
            </w:r>
          </w:p>
          <w:p w14:paraId="0B0DFC7F">
            <w:pPr>
              <w:pStyle w:val="34"/>
              <w:keepNext w:val="0"/>
              <w:keepLines w:val="0"/>
              <w:pageBreakBefore w:val="0"/>
              <w:kinsoku/>
              <w:wordWrap/>
              <w:overflowPunct/>
              <w:topLinePunct w:val="0"/>
              <w:bidi w:val="0"/>
              <w:spacing w:line="360" w:lineRule="auto"/>
              <w:ind w:firstLine="480" w:firstLineChars="200"/>
              <w:jc w:val="left"/>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根据2022年全疆水土流失动态监测数据公报，塔城地区水土流失面积61683.19km</w:t>
            </w:r>
            <w:r>
              <w:rPr>
                <w:rFonts w:hint="default" w:ascii="Times New Roman" w:hAnsi="Times New Roman" w:cs="Times New Roman"/>
                <w:b w:val="0"/>
                <w:bCs w:val="0"/>
                <w:color w:val="000000" w:themeColor="text1"/>
                <w:vertAlign w:val="superscript"/>
                <w14:textFill>
                  <w14:solidFill>
                    <w14:schemeClr w14:val="tx1"/>
                  </w14:solidFill>
                </w14:textFill>
              </w:rPr>
              <w:t>2</w:t>
            </w:r>
            <w:r>
              <w:rPr>
                <w:rFonts w:hint="default" w:ascii="Times New Roman" w:hAnsi="Times New Roman" w:cs="Times New Roman"/>
                <w:b w:val="0"/>
                <w:bCs w:val="0"/>
                <w:color w:val="000000" w:themeColor="text1"/>
                <w14:textFill>
                  <w14:solidFill>
                    <w14:schemeClr w14:val="tx1"/>
                  </w14:solidFill>
                </w14:textFill>
              </w:rPr>
              <w:t>，其中风力侵蚀面积为57186.6km</w:t>
            </w:r>
            <w:r>
              <w:rPr>
                <w:rFonts w:hint="default" w:ascii="Times New Roman" w:hAnsi="Times New Roman" w:cs="Times New Roman"/>
                <w:b w:val="0"/>
                <w:bCs w:val="0"/>
                <w:color w:val="000000" w:themeColor="text1"/>
                <w:vertAlign w:val="superscript"/>
                <w14:textFill>
                  <w14:solidFill>
                    <w14:schemeClr w14:val="tx1"/>
                  </w14:solidFill>
                </w14:textFill>
              </w:rPr>
              <w:t>2</w:t>
            </w:r>
            <w:r>
              <w:rPr>
                <w:rFonts w:hint="default" w:ascii="Times New Roman" w:hAnsi="Times New Roman" w:cs="Times New Roman"/>
                <w:b w:val="0"/>
                <w:bCs w:val="0"/>
                <w:color w:val="000000" w:themeColor="text1"/>
                <w14:textFill>
                  <w14:solidFill>
                    <w14:schemeClr w14:val="tx1"/>
                  </w14:solidFill>
                </w14:textFill>
              </w:rPr>
              <w:t>，占水土流失面积的92.71%；水力侵蚀面积为4496.59km</w:t>
            </w:r>
            <w:r>
              <w:rPr>
                <w:rFonts w:hint="default" w:ascii="Times New Roman" w:hAnsi="Times New Roman" w:cs="Times New Roman"/>
                <w:b w:val="0"/>
                <w:bCs w:val="0"/>
                <w:color w:val="000000" w:themeColor="text1"/>
                <w:vertAlign w:val="superscript"/>
                <w14:textFill>
                  <w14:solidFill>
                    <w14:schemeClr w14:val="tx1"/>
                  </w14:solidFill>
                </w14:textFill>
              </w:rPr>
              <w:t>2</w:t>
            </w:r>
            <w:r>
              <w:rPr>
                <w:rFonts w:hint="default" w:ascii="Times New Roman" w:hAnsi="Times New Roman" w:cs="Times New Roman"/>
                <w:b w:val="0"/>
                <w:bCs w:val="0"/>
                <w:color w:val="000000" w:themeColor="text1"/>
                <w14:textFill>
                  <w14:solidFill>
                    <w14:schemeClr w14:val="tx1"/>
                  </w14:solidFill>
                </w14:textFill>
              </w:rPr>
              <w:t>，占水土流失面积的7.29%。本项目区属于风力侵蚀区域。</w:t>
            </w:r>
          </w:p>
          <w:p w14:paraId="44ECD67C">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1.7沙化土地调查与评价</w:t>
            </w:r>
          </w:p>
          <w:p w14:paraId="7FA5AFE3">
            <w:pPr>
              <w:ind w:firstLine="460"/>
              <w:textAlignment w:val="center"/>
              <w:rPr>
                <w:rFonts w:hint="default" w:ascii="Times New Roman" w:hAnsi="Times New Roman" w:cs="Times New Roman"/>
                <w:color w:val="000000" w:themeColor="text1"/>
                <w:highlight w:val="yellow"/>
                <w14:textFill>
                  <w14:solidFill>
                    <w14:schemeClr w14:val="tx1"/>
                  </w14:solidFill>
                </w14:textFill>
              </w:rPr>
            </w:pPr>
            <w:r>
              <w:rPr>
                <w:rFonts w:hint="default" w:ascii="Times New Roman" w:hAnsi="Times New Roman" w:cs="Times New Roman"/>
                <w:color w:val="000000" w:themeColor="text1"/>
                <w:spacing w:val="-5"/>
                <w:kern w:val="0"/>
                <w14:textFill>
                  <w14:solidFill>
                    <w14:schemeClr w14:val="tx1"/>
                  </w14:solidFill>
                </w14:textFill>
              </w:rPr>
              <w:t>本项目位于</w:t>
            </w:r>
            <w:r>
              <w:rPr>
                <w:rFonts w:hint="default" w:ascii="Times New Roman" w:hAnsi="Times New Roman" w:cs="Times New Roman"/>
                <w:color w:val="000000" w:themeColor="text1"/>
                <w14:textFill>
                  <w14:solidFill>
                    <w14:schemeClr w14:val="tx1"/>
                  </w14:solidFill>
                </w14:textFill>
              </w:rPr>
              <w:t>塔城地区和布克赛尔蒙古自治县</w:t>
            </w:r>
            <w:r>
              <w:rPr>
                <w:rFonts w:hint="default" w:ascii="Times New Roman" w:hAnsi="Times New Roman" w:cs="Times New Roman"/>
                <w:color w:val="000000" w:themeColor="text1"/>
                <w:spacing w:val="-5"/>
                <w:kern w:val="0"/>
                <w14:textFill>
                  <w14:solidFill>
                    <w14:schemeClr w14:val="tx1"/>
                  </w14:solidFill>
                </w14:textFill>
              </w:rPr>
              <w:t>，</w:t>
            </w:r>
            <w:r>
              <w:rPr>
                <w:rFonts w:hint="default" w:ascii="Times New Roman" w:hAnsi="Times New Roman" w:cs="Times New Roman"/>
                <w:color w:val="000000" w:themeColor="text1"/>
                <w:spacing w:val="-5"/>
                <w:kern w:val="0"/>
                <w:lang w:val="zh-CN"/>
                <w14:textFill>
                  <w14:solidFill>
                    <w14:schemeClr w14:val="tx1"/>
                  </w14:solidFill>
                </w14:textFill>
              </w:rPr>
              <w:t>根据《新疆第</w:t>
            </w:r>
            <w:r>
              <w:rPr>
                <w:rFonts w:hint="default" w:ascii="Times New Roman" w:hAnsi="Times New Roman" w:cs="Times New Roman"/>
                <w:color w:val="000000" w:themeColor="text1"/>
                <w:spacing w:val="-5"/>
                <w:kern w:val="0"/>
                <w14:textFill>
                  <w14:solidFill>
                    <w14:schemeClr w14:val="tx1"/>
                  </w14:solidFill>
                </w14:textFill>
              </w:rPr>
              <w:t>六</w:t>
            </w:r>
            <w:r>
              <w:rPr>
                <w:rFonts w:hint="default" w:ascii="Times New Roman" w:hAnsi="Times New Roman" w:cs="Times New Roman"/>
                <w:color w:val="000000" w:themeColor="text1"/>
                <w:spacing w:val="-5"/>
                <w:kern w:val="0"/>
                <w:lang w:val="zh-CN"/>
                <w14:textFill>
                  <w14:solidFill>
                    <w14:schemeClr w14:val="tx1"/>
                  </w14:solidFill>
                </w14:textFill>
              </w:rPr>
              <w:t>次沙化土地监测报告》，</w:t>
            </w:r>
            <w:r>
              <w:rPr>
                <w:rFonts w:hint="default" w:ascii="Times New Roman" w:hAnsi="Times New Roman" w:cs="Times New Roman"/>
                <w:color w:val="000000" w:themeColor="text1"/>
                <w:spacing w:val="-5"/>
                <w:kern w:val="0"/>
                <w14:textFill>
                  <w14:solidFill>
                    <w14:schemeClr w14:val="tx1"/>
                  </w14:solidFill>
                </w14:textFill>
              </w:rPr>
              <w:t>本项目所在地沙化土地类型属于半固定沙地。</w:t>
            </w:r>
          </w:p>
          <w:p w14:paraId="3A01B28A">
            <w:pPr>
              <w:keepNext w:val="0"/>
              <w:keepLines w:val="0"/>
              <w:pageBreakBefore w:val="0"/>
              <w:tabs>
                <w:tab w:val="center" w:pos="4041"/>
              </w:tabs>
              <w:kinsoku/>
              <w:wordWrap/>
              <w:overflowPunct/>
              <w:topLinePunct w:val="0"/>
              <w:autoSpaceDE/>
              <w:autoSpaceDN/>
              <w:bidi w:val="0"/>
              <w:adjustRightInd/>
              <w:snapToGrid/>
              <w:ind w:firstLine="480"/>
              <w:textAlignment w:val="auto"/>
              <w:outlineLvl w:val="2"/>
              <w:rPr>
                <w:rFonts w:hint="default" w:ascii="Times New Roman" w:hAnsi="Times New Roman" w:cs="Times New Roman"/>
                <w:bCs/>
                <w:snapToGrid w:val="0"/>
                <w:color w:val="000000" w:themeColor="text1"/>
                <w:kern w:val="0"/>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和布克赛尔蒙古自治县</w:t>
            </w:r>
            <w:r>
              <w:rPr>
                <w:rFonts w:hint="default" w:ascii="Times New Roman" w:hAnsi="Times New Roman" w:cs="Times New Roman"/>
                <w:color w:val="000000" w:themeColor="text1"/>
                <w:spacing w:val="-5"/>
                <w:kern w:val="0"/>
                <w14:textFill>
                  <w14:solidFill>
                    <w14:schemeClr w14:val="tx1"/>
                  </w14:solidFill>
                </w14:textFill>
              </w:rPr>
              <w:t>沙化土地总面积2878705.6273公顷，其中半固定沙地（丘）面积184656.27公顷，固定沙地（丘）面积659768.09公顷，沙化耕地面积11120.74公顷，风蚀残丘（劣地）面积64045.76公顷，戈壁面积1097370.8791公顷，具有明显沙化趋势的土地面积18881.4公顷，其他土地类型面积842862.4882公顷。</w:t>
            </w:r>
          </w:p>
          <w:p w14:paraId="3254B94B">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2区域环境质量现状</w:t>
            </w:r>
          </w:p>
          <w:p w14:paraId="7CFDB6A8">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2.1环境空气质量现状调查与评价</w:t>
            </w:r>
          </w:p>
          <w:p w14:paraId="63E4C064">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根据《环境影响评价技术导则 大气环境》（HJ2.2-2018）的有关规定，对项目所在区域环境空气质量中的6项基本污染物进行评价，本次区域环境质量现状监测数据选取环境空气质量模拟技术支持服务系统中塔城地区202</w:t>
            </w:r>
            <w:r>
              <w:rPr>
                <w:rFonts w:hint="default"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年的监测数据，监测结果及评价见表3-2。</w:t>
            </w:r>
          </w:p>
          <w:p w14:paraId="5F07D90D">
            <w:pPr>
              <w:pStyle w:val="21"/>
              <w:spacing w:line="360" w:lineRule="auto"/>
              <w:rPr>
                <w:rFonts w:hint="default" w:ascii="Times New Roman" w:hAnsi="Times New Roman" w:eastAsia="宋体" w:cs="Times New Roman"/>
                <w:b/>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4"/>
                <w:lang w:val="en-US" w:eastAsia="zh-CN" w:bidi="ar-SA"/>
                <w14:textFill>
                  <w14:solidFill>
                    <w14:schemeClr w14:val="tx1"/>
                  </w14:solidFill>
                </w14:textFill>
              </w:rPr>
              <w:t>表3-2  2025年塔城地区基本污染物监测结果表（单位：μg/m</w:t>
            </w:r>
            <w:r>
              <w:rPr>
                <w:rFonts w:hint="default" w:ascii="Times New Roman" w:hAnsi="Times New Roman" w:eastAsia="宋体" w:cs="Times New Roman"/>
                <w:b/>
                <w:color w:val="000000" w:themeColor="text1"/>
                <w:kern w:val="2"/>
                <w:sz w:val="21"/>
                <w:szCs w:val="24"/>
                <w:vertAlign w:val="superscript"/>
                <w:lang w:val="en-US" w:eastAsia="zh-CN" w:bidi="ar-SA"/>
                <w14:textFill>
                  <w14:solidFill>
                    <w14:schemeClr w14:val="tx1"/>
                  </w14:solidFill>
                </w14:textFill>
              </w:rPr>
              <w:t>3</w:t>
            </w:r>
            <w:r>
              <w:rPr>
                <w:rFonts w:hint="default" w:ascii="Times New Roman" w:hAnsi="Times New Roman" w:eastAsia="宋体" w:cs="Times New Roman"/>
                <w:b/>
                <w:color w:val="000000" w:themeColor="text1"/>
                <w:kern w:val="2"/>
                <w:sz w:val="21"/>
                <w:szCs w:val="24"/>
                <w:lang w:val="en-US" w:eastAsia="zh-CN" w:bidi="ar-SA"/>
                <w14:textFill>
                  <w14:solidFill>
                    <w14:schemeClr w14:val="tx1"/>
                  </w14:solidFill>
                </w14:textFill>
              </w:rPr>
              <w:t>）</w:t>
            </w:r>
          </w:p>
          <w:tbl>
            <w:tblPr>
              <w:tblStyle w:val="16"/>
              <w:tblW w:w="8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674"/>
              <w:gridCol w:w="735"/>
              <w:gridCol w:w="1136"/>
              <w:gridCol w:w="1120"/>
              <w:gridCol w:w="888"/>
              <w:gridCol w:w="1110"/>
            </w:tblGrid>
            <w:tr w14:paraId="42F1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348" w:type="dxa"/>
                  <w:noWrap w:val="0"/>
                  <w:vAlign w:val="center"/>
                </w:tcPr>
                <w:p w14:paraId="0AEF96C6">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项目</w:t>
                  </w:r>
                </w:p>
              </w:tc>
              <w:tc>
                <w:tcPr>
                  <w:tcW w:w="1674" w:type="dxa"/>
                  <w:noWrap w:val="0"/>
                  <w:vAlign w:val="center"/>
                </w:tcPr>
                <w:p w14:paraId="5781E538">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平均时段</w:t>
                  </w:r>
                </w:p>
              </w:tc>
              <w:tc>
                <w:tcPr>
                  <w:tcW w:w="735" w:type="dxa"/>
                  <w:noWrap w:val="0"/>
                  <w:vAlign w:val="center"/>
                </w:tcPr>
                <w:p w14:paraId="688ACE0B">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现状浓度</w:t>
                  </w:r>
                </w:p>
              </w:tc>
              <w:tc>
                <w:tcPr>
                  <w:tcW w:w="1136" w:type="dxa"/>
                  <w:noWrap w:val="0"/>
                  <w:vAlign w:val="center"/>
                </w:tcPr>
                <w:p w14:paraId="7D3F913D">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lang w:val="en-US" w:eastAsia="zh-CN"/>
                      <w14:textFill>
                        <w14:solidFill>
                          <w14:schemeClr w14:val="tx1"/>
                        </w14:solidFill>
                      </w14:textFill>
                    </w:rPr>
                    <w:t>过渡阶段二级浓度限值</w:t>
                  </w:r>
                </w:p>
              </w:tc>
              <w:tc>
                <w:tcPr>
                  <w:tcW w:w="1120" w:type="dxa"/>
                  <w:noWrap w:val="0"/>
                  <w:vAlign w:val="center"/>
                </w:tcPr>
                <w:p w14:paraId="7F71581D">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占标率（%）</w:t>
                  </w:r>
                </w:p>
              </w:tc>
              <w:tc>
                <w:tcPr>
                  <w:tcW w:w="888" w:type="dxa"/>
                  <w:noWrap w:val="0"/>
                  <w:vAlign w:val="center"/>
                </w:tcPr>
                <w:p w14:paraId="0983F933">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超标</w:t>
                  </w:r>
                </w:p>
                <w:p w14:paraId="02E53EA7">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倍数</w:t>
                  </w:r>
                </w:p>
              </w:tc>
              <w:tc>
                <w:tcPr>
                  <w:tcW w:w="1110" w:type="dxa"/>
                  <w:noWrap w:val="0"/>
                  <w:vAlign w:val="center"/>
                </w:tcPr>
                <w:p w14:paraId="5075D435">
                  <w:pPr>
                    <w:pStyle w:val="34"/>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达标情况</w:t>
                  </w:r>
                </w:p>
              </w:tc>
            </w:tr>
            <w:tr w14:paraId="4333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348" w:type="dxa"/>
                  <w:noWrap w:val="0"/>
                  <w:vAlign w:val="center"/>
                </w:tcPr>
                <w:p w14:paraId="3E60FDE4">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SO</w:t>
                  </w:r>
                  <w:r>
                    <w:rPr>
                      <w:rFonts w:hint="default" w:ascii="Times New Roman" w:hAnsi="Times New Roman" w:cs="Times New Roman"/>
                      <w:b w:val="0"/>
                      <w:color w:val="000000" w:themeColor="text1"/>
                      <w:sz w:val="21"/>
                      <w:szCs w:val="21"/>
                      <w:vertAlign w:val="subscript"/>
                      <w14:textFill>
                        <w14:solidFill>
                          <w14:schemeClr w14:val="tx1"/>
                        </w14:solidFill>
                      </w14:textFill>
                    </w:rPr>
                    <w:t>2</w:t>
                  </w:r>
                </w:p>
              </w:tc>
              <w:tc>
                <w:tcPr>
                  <w:tcW w:w="1674" w:type="dxa"/>
                  <w:noWrap w:val="0"/>
                  <w:vAlign w:val="center"/>
                </w:tcPr>
                <w:p w14:paraId="18B33184">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年平均</w:t>
                  </w:r>
                </w:p>
              </w:tc>
              <w:tc>
                <w:tcPr>
                  <w:tcW w:w="735" w:type="dxa"/>
                  <w:noWrap w:val="0"/>
                  <w:vAlign w:val="center"/>
                </w:tcPr>
                <w:p w14:paraId="00D7F9DD">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4</w:t>
                  </w:r>
                </w:p>
              </w:tc>
              <w:tc>
                <w:tcPr>
                  <w:tcW w:w="1136" w:type="dxa"/>
                  <w:noWrap w:val="0"/>
                  <w:vAlign w:val="center"/>
                </w:tcPr>
                <w:p w14:paraId="7FD37A9F">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60</w:t>
                  </w:r>
                </w:p>
              </w:tc>
              <w:tc>
                <w:tcPr>
                  <w:tcW w:w="1120" w:type="dxa"/>
                  <w:noWrap w:val="0"/>
                  <w:vAlign w:val="center"/>
                </w:tcPr>
                <w:p w14:paraId="0A90F134">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6.67</w:t>
                  </w:r>
                </w:p>
              </w:tc>
              <w:tc>
                <w:tcPr>
                  <w:tcW w:w="888" w:type="dxa"/>
                  <w:noWrap w:val="0"/>
                  <w:vAlign w:val="center"/>
                </w:tcPr>
                <w:p w14:paraId="582A59F9">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5C0E5DA3">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达标</w:t>
                  </w:r>
                </w:p>
              </w:tc>
            </w:tr>
            <w:tr w14:paraId="43F2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348" w:type="dxa"/>
                  <w:noWrap w:val="0"/>
                  <w:vAlign w:val="center"/>
                </w:tcPr>
                <w:p w14:paraId="2C014B6E">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NO</w:t>
                  </w:r>
                  <w:r>
                    <w:rPr>
                      <w:rFonts w:hint="default" w:ascii="Times New Roman" w:hAnsi="Times New Roman" w:cs="Times New Roman"/>
                      <w:b w:val="0"/>
                      <w:color w:val="000000" w:themeColor="text1"/>
                      <w:sz w:val="21"/>
                      <w:szCs w:val="21"/>
                      <w:vertAlign w:val="subscript"/>
                      <w14:textFill>
                        <w14:solidFill>
                          <w14:schemeClr w14:val="tx1"/>
                        </w14:solidFill>
                      </w14:textFill>
                    </w:rPr>
                    <w:t>2</w:t>
                  </w:r>
                </w:p>
              </w:tc>
              <w:tc>
                <w:tcPr>
                  <w:tcW w:w="1674" w:type="dxa"/>
                  <w:noWrap w:val="0"/>
                  <w:vAlign w:val="center"/>
                </w:tcPr>
                <w:p w14:paraId="533C07C7">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年平均</w:t>
                  </w:r>
                </w:p>
              </w:tc>
              <w:tc>
                <w:tcPr>
                  <w:tcW w:w="735" w:type="dxa"/>
                  <w:noWrap w:val="0"/>
                  <w:vAlign w:val="center"/>
                </w:tcPr>
                <w:p w14:paraId="6337EAA7">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9</w:t>
                  </w:r>
                </w:p>
              </w:tc>
              <w:tc>
                <w:tcPr>
                  <w:tcW w:w="1136" w:type="dxa"/>
                  <w:noWrap w:val="0"/>
                  <w:vAlign w:val="center"/>
                </w:tcPr>
                <w:p w14:paraId="7B8C35FD">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40</w:t>
                  </w:r>
                </w:p>
              </w:tc>
              <w:tc>
                <w:tcPr>
                  <w:tcW w:w="1120" w:type="dxa"/>
                  <w:noWrap w:val="0"/>
                  <w:vAlign w:val="center"/>
                </w:tcPr>
                <w:p w14:paraId="1D230118">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22.5</w:t>
                  </w:r>
                </w:p>
              </w:tc>
              <w:tc>
                <w:tcPr>
                  <w:tcW w:w="888" w:type="dxa"/>
                  <w:noWrap w:val="0"/>
                  <w:vAlign w:val="center"/>
                </w:tcPr>
                <w:p w14:paraId="5E39B12E">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59F4AA1F">
                  <w:pPr>
                    <w:pStyle w:val="34"/>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达标</w:t>
                  </w:r>
                </w:p>
              </w:tc>
            </w:tr>
            <w:tr w14:paraId="7069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348" w:type="dxa"/>
                  <w:noWrap w:val="0"/>
                  <w:vAlign w:val="center"/>
                </w:tcPr>
                <w:p w14:paraId="27C0D585">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PM</w:t>
                  </w:r>
                  <w:r>
                    <w:rPr>
                      <w:rFonts w:hint="default" w:ascii="Times New Roman" w:hAnsi="Times New Roman" w:cs="Times New Roman"/>
                      <w:b w:val="0"/>
                      <w:color w:val="000000" w:themeColor="text1"/>
                      <w:sz w:val="21"/>
                      <w:szCs w:val="21"/>
                      <w:vertAlign w:val="subscript"/>
                      <w14:textFill>
                        <w14:solidFill>
                          <w14:schemeClr w14:val="tx1"/>
                        </w14:solidFill>
                      </w14:textFill>
                    </w:rPr>
                    <w:t>10</w:t>
                  </w:r>
                </w:p>
              </w:tc>
              <w:tc>
                <w:tcPr>
                  <w:tcW w:w="1674" w:type="dxa"/>
                  <w:noWrap w:val="0"/>
                  <w:vAlign w:val="center"/>
                </w:tcPr>
                <w:p w14:paraId="6D14B9BB">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年平均</w:t>
                  </w:r>
                </w:p>
              </w:tc>
              <w:tc>
                <w:tcPr>
                  <w:tcW w:w="735" w:type="dxa"/>
                  <w:noWrap w:val="0"/>
                  <w:vAlign w:val="center"/>
                </w:tcPr>
                <w:p w14:paraId="0377C8AB">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26</w:t>
                  </w:r>
                </w:p>
              </w:tc>
              <w:tc>
                <w:tcPr>
                  <w:tcW w:w="1136" w:type="dxa"/>
                  <w:noWrap w:val="0"/>
                  <w:vAlign w:val="center"/>
                </w:tcPr>
                <w:p w14:paraId="1E2F7B88">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60</w:t>
                  </w:r>
                </w:p>
              </w:tc>
              <w:tc>
                <w:tcPr>
                  <w:tcW w:w="1120" w:type="dxa"/>
                  <w:noWrap w:val="0"/>
                  <w:vAlign w:val="center"/>
                </w:tcPr>
                <w:p w14:paraId="4E970A27">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43.33</w:t>
                  </w:r>
                </w:p>
              </w:tc>
              <w:tc>
                <w:tcPr>
                  <w:tcW w:w="888" w:type="dxa"/>
                  <w:noWrap w:val="0"/>
                  <w:vAlign w:val="center"/>
                </w:tcPr>
                <w:p w14:paraId="6B9ABAF4">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3E2CAAB6">
                  <w:pPr>
                    <w:pStyle w:val="34"/>
                    <w:rPr>
                      <w:rFonts w:hint="default" w:ascii="Times New Roman" w:hAnsi="Times New Roman" w:eastAsia="宋体" w:cs="Times New Roman"/>
                      <w:b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达标</w:t>
                  </w:r>
                </w:p>
              </w:tc>
            </w:tr>
            <w:tr w14:paraId="26F1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348" w:type="dxa"/>
                  <w:noWrap w:val="0"/>
                  <w:vAlign w:val="center"/>
                </w:tcPr>
                <w:p w14:paraId="7BA449B9">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PM</w:t>
                  </w:r>
                  <w:r>
                    <w:rPr>
                      <w:rFonts w:hint="default" w:ascii="Times New Roman" w:hAnsi="Times New Roman" w:cs="Times New Roman"/>
                      <w:b w:val="0"/>
                      <w:color w:val="000000" w:themeColor="text1"/>
                      <w:sz w:val="21"/>
                      <w:szCs w:val="21"/>
                      <w:vertAlign w:val="subscript"/>
                      <w:lang w:val="en-US" w:eastAsia="zh-CN"/>
                      <w14:textFill>
                        <w14:solidFill>
                          <w14:schemeClr w14:val="tx1"/>
                        </w14:solidFill>
                      </w14:textFill>
                    </w:rPr>
                    <w:t>2.5</w:t>
                  </w:r>
                </w:p>
              </w:tc>
              <w:tc>
                <w:tcPr>
                  <w:tcW w:w="1674" w:type="dxa"/>
                  <w:noWrap w:val="0"/>
                  <w:vAlign w:val="center"/>
                </w:tcPr>
                <w:p w14:paraId="6F296523">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年平均</w:t>
                  </w:r>
                </w:p>
              </w:tc>
              <w:tc>
                <w:tcPr>
                  <w:tcW w:w="735" w:type="dxa"/>
                  <w:noWrap w:val="0"/>
                  <w:vAlign w:val="center"/>
                </w:tcPr>
                <w:p w14:paraId="1447ED2F">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10</w:t>
                  </w:r>
                </w:p>
              </w:tc>
              <w:tc>
                <w:tcPr>
                  <w:tcW w:w="1136" w:type="dxa"/>
                  <w:noWrap w:val="0"/>
                  <w:vAlign w:val="center"/>
                </w:tcPr>
                <w:p w14:paraId="1D426659">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30</w:t>
                  </w:r>
                </w:p>
              </w:tc>
              <w:tc>
                <w:tcPr>
                  <w:tcW w:w="1120" w:type="dxa"/>
                  <w:noWrap w:val="0"/>
                  <w:vAlign w:val="center"/>
                </w:tcPr>
                <w:p w14:paraId="00855289">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33.33</w:t>
                  </w:r>
                </w:p>
              </w:tc>
              <w:tc>
                <w:tcPr>
                  <w:tcW w:w="888" w:type="dxa"/>
                  <w:noWrap w:val="0"/>
                  <w:vAlign w:val="center"/>
                </w:tcPr>
                <w:p w14:paraId="4EC920E8">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031073F7">
                  <w:pPr>
                    <w:pStyle w:val="34"/>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达标</w:t>
                  </w:r>
                </w:p>
              </w:tc>
            </w:tr>
            <w:tr w14:paraId="1AC1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348" w:type="dxa"/>
                  <w:vMerge w:val="restart"/>
                  <w:noWrap w:val="0"/>
                  <w:vAlign w:val="center"/>
                </w:tcPr>
                <w:p w14:paraId="40C2DBFC">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CO（mg/m</w:t>
                  </w:r>
                  <w:r>
                    <w:rPr>
                      <w:rFonts w:hint="default" w:ascii="Times New Roman" w:hAnsi="Times New Roman" w:cs="Times New Roman"/>
                      <w:b w:val="0"/>
                      <w:color w:val="000000" w:themeColor="text1"/>
                      <w:sz w:val="21"/>
                      <w:szCs w:val="21"/>
                      <w:vertAlign w:val="superscript"/>
                      <w14:textFill>
                        <w14:solidFill>
                          <w14:schemeClr w14:val="tx1"/>
                        </w14:solidFill>
                      </w14:textFill>
                    </w:rPr>
                    <w:t>3</w:t>
                  </w:r>
                  <w:r>
                    <w:rPr>
                      <w:rFonts w:hint="default" w:ascii="Times New Roman" w:hAnsi="Times New Roman" w:cs="Times New Roman"/>
                      <w:b w:val="0"/>
                      <w:color w:val="000000" w:themeColor="text1"/>
                      <w:sz w:val="21"/>
                      <w:szCs w:val="21"/>
                      <w14:textFill>
                        <w14:solidFill>
                          <w14:schemeClr w14:val="tx1"/>
                        </w14:solidFill>
                      </w14:textFill>
                    </w:rPr>
                    <w:t>）</w:t>
                  </w:r>
                </w:p>
              </w:tc>
              <w:tc>
                <w:tcPr>
                  <w:tcW w:w="1674" w:type="dxa"/>
                  <w:noWrap w:val="0"/>
                  <w:vAlign w:val="center"/>
                </w:tcPr>
                <w:p w14:paraId="258605F0">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日平均</w:t>
                  </w:r>
                </w:p>
              </w:tc>
              <w:tc>
                <w:tcPr>
                  <w:tcW w:w="735" w:type="dxa"/>
                  <w:noWrap w:val="0"/>
                  <w:vAlign w:val="center"/>
                </w:tcPr>
                <w:p w14:paraId="59DD2601">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0.7</w:t>
                  </w:r>
                </w:p>
              </w:tc>
              <w:tc>
                <w:tcPr>
                  <w:tcW w:w="1136" w:type="dxa"/>
                  <w:noWrap w:val="0"/>
                  <w:vAlign w:val="center"/>
                </w:tcPr>
                <w:p w14:paraId="21CD7BCB">
                  <w:pPr>
                    <w:pStyle w:val="34"/>
                    <w:rPr>
                      <w:rFonts w:hint="default" w:ascii="Times New Roman" w:hAnsi="Times New Roman" w:eastAsia="宋体" w:cs="Times New Roman"/>
                      <w:b w:val="0"/>
                      <w:color w:val="000000" w:themeColor="text1"/>
                      <w:sz w:val="21"/>
                      <w:szCs w:val="21"/>
                      <w:lang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4</w:t>
                  </w:r>
                </w:p>
              </w:tc>
              <w:tc>
                <w:tcPr>
                  <w:tcW w:w="1120" w:type="dxa"/>
                  <w:noWrap w:val="0"/>
                  <w:vAlign w:val="center"/>
                </w:tcPr>
                <w:p w14:paraId="3442063D">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17.5</w:t>
                  </w:r>
                </w:p>
              </w:tc>
              <w:tc>
                <w:tcPr>
                  <w:tcW w:w="888" w:type="dxa"/>
                  <w:noWrap w:val="0"/>
                  <w:vAlign w:val="center"/>
                </w:tcPr>
                <w:p w14:paraId="7E594D2D">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7491CC71">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达标</w:t>
                  </w:r>
                </w:p>
              </w:tc>
            </w:tr>
            <w:tr w14:paraId="5F95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348" w:type="dxa"/>
                  <w:vMerge w:val="continue"/>
                  <w:noWrap w:val="0"/>
                  <w:vAlign w:val="center"/>
                </w:tcPr>
                <w:p w14:paraId="4585026E">
                  <w:pPr>
                    <w:pStyle w:val="34"/>
                    <w:rPr>
                      <w:rFonts w:hint="default" w:ascii="Times New Roman" w:hAnsi="Times New Roman" w:cs="Times New Roman"/>
                      <w:b w:val="0"/>
                      <w:color w:val="000000" w:themeColor="text1"/>
                      <w:sz w:val="21"/>
                      <w:szCs w:val="21"/>
                      <w14:textFill>
                        <w14:solidFill>
                          <w14:schemeClr w14:val="tx1"/>
                        </w14:solidFill>
                      </w14:textFill>
                    </w:rPr>
                  </w:pPr>
                </w:p>
              </w:tc>
              <w:tc>
                <w:tcPr>
                  <w:tcW w:w="1674" w:type="dxa"/>
                  <w:noWrap w:val="0"/>
                  <w:vAlign w:val="center"/>
                </w:tcPr>
                <w:p w14:paraId="584F9497">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1小时平均</w:t>
                  </w:r>
                </w:p>
              </w:tc>
              <w:tc>
                <w:tcPr>
                  <w:tcW w:w="735" w:type="dxa"/>
                  <w:noWrap w:val="0"/>
                  <w:vAlign w:val="center"/>
                </w:tcPr>
                <w:p w14:paraId="0E9257A7">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w:t>
                  </w:r>
                </w:p>
              </w:tc>
              <w:tc>
                <w:tcPr>
                  <w:tcW w:w="1136" w:type="dxa"/>
                  <w:noWrap w:val="0"/>
                  <w:vAlign w:val="center"/>
                </w:tcPr>
                <w:p w14:paraId="7B3960C6">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10</w:t>
                  </w:r>
                </w:p>
              </w:tc>
              <w:tc>
                <w:tcPr>
                  <w:tcW w:w="1120" w:type="dxa"/>
                  <w:noWrap w:val="0"/>
                  <w:vAlign w:val="center"/>
                </w:tcPr>
                <w:p w14:paraId="3FA49FE1">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w:t>
                  </w:r>
                </w:p>
              </w:tc>
              <w:tc>
                <w:tcPr>
                  <w:tcW w:w="888" w:type="dxa"/>
                  <w:noWrap w:val="0"/>
                  <w:vAlign w:val="center"/>
                </w:tcPr>
                <w:p w14:paraId="4E8B337B">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2FD8B717">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w:t>
                  </w:r>
                </w:p>
              </w:tc>
            </w:tr>
            <w:tr w14:paraId="390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348" w:type="dxa"/>
                  <w:vMerge w:val="restart"/>
                  <w:noWrap w:val="0"/>
                  <w:vAlign w:val="center"/>
                </w:tcPr>
                <w:p w14:paraId="6599A658">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O</w:t>
                  </w:r>
                  <w:r>
                    <w:rPr>
                      <w:rFonts w:hint="default" w:ascii="Times New Roman" w:hAnsi="Times New Roman" w:cs="Times New Roman"/>
                      <w:b w:val="0"/>
                      <w:color w:val="000000" w:themeColor="text1"/>
                      <w:sz w:val="21"/>
                      <w:szCs w:val="21"/>
                      <w:vertAlign w:val="subscript"/>
                      <w14:textFill>
                        <w14:solidFill>
                          <w14:schemeClr w14:val="tx1"/>
                        </w14:solidFill>
                      </w14:textFill>
                    </w:rPr>
                    <w:t>3</w:t>
                  </w:r>
                </w:p>
              </w:tc>
              <w:tc>
                <w:tcPr>
                  <w:tcW w:w="1674" w:type="dxa"/>
                  <w:noWrap w:val="0"/>
                  <w:vAlign w:val="center"/>
                </w:tcPr>
                <w:p w14:paraId="7E5BD19E">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1小时平均</w:t>
                  </w:r>
                </w:p>
              </w:tc>
              <w:tc>
                <w:tcPr>
                  <w:tcW w:w="735" w:type="dxa"/>
                  <w:noWrap w:val="0"/>
                  <w:vAlign w:val="center"/>
                </w:tcPr>
                <w:p w14:paraId="0CFFBBC8">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36" w:type="dxa"/>
                  <w:noWrap w:val="0"/>
                  <w:vAlign w:val="center"/>
                </w:tcPr>
                <w:p w14:paraId="61683FCB">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200</w:t>
                  </w:r>
                </w:p>
              </w:tc>
              <w:tc>
                <w:tcPr>
                  <w:tcW w:w="1120" w:type="dxa"/>
                  <w:noWrap w:val="0"/>
                  <w:vAlign w:val="center"/>
                </w:tcPr>
                <w:p w14:paraId="02E5FD5F">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w:t>
                  </w:r>
                </w:p>
              </w:tc>
              <w:tc>
                <w:tcPr>
                  <w:tcW w:w="888" w:type="dxa"/>
                  <w:noWrap w:val="0"/>
                  <w:vAlign w:val="center"/>
                </w:tcPr>
                <w:p w14:paraId="3E304C65">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1C376541">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w:t>
                  </w:r>
                </w:p>
              </w:tc>
            </w:tr>
            <w:tr w14:paraId="0298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348" w:type="dxa"/>
                  <w:vMerge w:val="continue"/>
                  <w:noWrap w:val="0"/>
                  <w:vAlign w:val="center"/>
                </w:tcPr>
                <w:p w14:paraId="1B8E4EA4">
                  <w:pPr>
                    <w:pStyle w:val="34"/>
                    <w:rPr>
                      <w:rFonts w:hint="default" w:ascii="Times New Roman" w:hAnsi="Times New Roman" w:cs="Times New Roman"/>
                      <w:b w:val="0"/>
                      <w:color w:val="000000" w:themeColor="text1"/>
                      <w:sz w:val="21"/>
                      <w:szCs w:val="21"/>
                      <w14:textFill>
                        <w14:solidFill>
                          <w14:schemeClr w14:val="tx1"/>
                        </w14:solidFill>
                      </w14:textFill>
                    </w:rPr>
                  </w:pPr>
                </w:p>
              </w:tc>
              <w:tc>
                <w:tcPr>
                  <w:tcW w:w="1674" w:type="dxa"/>
                  <w:noWrap w:val="0"/>
                  <w:vAlign w:val="center"/>
                </w:tcPr>
                <w:p w14:paraId="7142D617">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日最大8小时平均</w:t>
                  </w:r>
                </w:p>
              </w:tc>
              <w:tc>
                <w:tcPr>
                  <w:tcW w:w="735" w:type="dxa"/>
                  <w:noWrap w:val="0"/>
                  <w:vAlign w:val="center"/>
                </w:tcPr>
                <w:p w14:paraId="3143C1B0">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109</w:t>
                  </w:r>
                </w:p>
              </w:tc>
              <w:tc>
                <w:tcPr>
                  <w:tcW w:w="1136" w:type="dxa"/>
                  <w:noWrap w:val="0"/>
                  <w:vAlign w:val="center"/>
                </w:tcPr>
                <w:p w14:paraId="27E950FF">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160</w:t>
                  </w:r>
                </w:p>
              </w:tc>
              <w:tc>
                <w:tcPr>
                  <w:tcW w:w="1120" w:type="dxa"/>
                  <w:noWrap w:val="0"/>
                  <w:vAlign w:val="center"/>
                </w:tcPr>
                <w:p w14:paraId="68F9AF8E">
                  <w:pPr>
                    <w:pStyle w:val="34"/>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68.13</w:t>
                  </w:r>
                </w:p>
              </w:tc>
              <w:tc>
                <w:tcPr>
                  <w:tcW w:w="888" w:type="dxa"/>
                  <w:noWrap w:val="0"/>
                  <w:vAlign w:val="center"/>
                </w:tcPr>
                <w:p w14:paraId="716E33A6">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w:t>
                  </w:r>
                </w:p>
              </w:tc>
              <w:tc>
                <w:tcPr>
                  <w:tcW w:w="1110" w:type="dxa"/>
                  <w:noWrap w:val="0"/>
                  <w:vAlign w:val="center"/>
                </w:tcPr>
                <w:p w14:paraId="5BD90D96">
                  <w:pPr>
                    <w:pStyle w:val="34"/>
                    <w:rPr>
                      <w:rFonts w:hint="default" w:ascii="Times New Roman" w:hAnsi="Times New Roman" w:cs="Times New Roman"/>
                      <w:b w:val="0"/>
                      <w:color w:val="000000" w:themeColor="text1"/>
                      <w:sz w:val="21"/>
                      <w:szCs w:val="21"/>
                      <w14:textFill>
                        <w14:solidFill>
                          <w14:schemeClr w14:val="tx1"/>
                        </w14:solidFill>
                      </w14:textFill>
                    </w:rPr>
                  </w:pPr>
                  <w:r>
                    <w:rPr>
                      <w:rFonts w:hint="default" w:ascii="Times New Roman" w:hAnsi="Times New Roman" w:cs="Times New Roman"/>
                      <w:b w:val="0"/>
                      <w:color w:val="000000" w:themeColor="text1"/>
                      <w:sz w:val="21"/>
                      <w:szCs w:val="21"/>
                      <w14:textFill>
                        <w14:solidFill>
                          <w14:schemeClr w14:val="tx1"/>
                        </w14:solidFill>
                      </w14:textFill>
                    </w:rPr>
                    <w:t>达标</w:t>
                  </w:r>
                </w:p>
              </w:tc>
            </w:tr>
          </w:tbl>
          <w:p w14:paraId="0048CF8C">
            <w:pPr>
              <w:widowControl/>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塔城地区202</w:t>
            </w:r>
            <w:r>
              <w:rPr>
                <w:rFonts w:hint="default" w:ascii="Times New Roman" w:hAnsi="Times New Roman" w:cs="Times New Roman"/>
                <w:color w:val="000000" w:themeColor="text1"/>
                <w:lang w:val="en-US" w:eastAsia="zh-CN"/>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年SO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、NO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2.5</w:t>
            </w:r>
            <w:r>
              <w:rPr>
                <w:rFonts w:hint="default" w:ascii="Times New Roman" w:hAnsi="Times New Roman" w:cs="Times New Roman"/>
                <w:color w:val="000000" w:themeColor="text1"/>
                <w14:textFill>
                  <w14:solidFill>
                    <w14:schemeClr w14:val="tx1"/>
                  </w14:solidFill>
                </w14:textFill>
              </w:rPr>
              <w:t>年均浓度分别为4µg/m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9</w:t>
            </w:r>
            <w:r>
              <w:rPr>
                <w:rFonts w:hint="default" w:ascii="Times New Roman" w:hAnsi="Times New Roman" w:cs="Times New Roman"/>
                <w:color w:val="000000" w:themeColor="text1"/>
                <w14:textFill>
                  <w14:solidFill>
                    <w14:schemeClr w14:val="tx1"/>
                  </w14:solidFill>
                </w14:textFill>
              </w:rPr>
              <w:t>µg/m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26</w:t>
            </w:r>
            <w:r>
              <w:rPr>
                <w:rFonts w:hint="default" w:ascii="Times New Roman" w:hAnsi="Times New Roman" w:cs="Times New Roman"/>
                <w:color w:val="000000" w:themeColor="text1"/>
                <w14:textFill>
                  <w14:solidFill>
                    <w14:schemeClr w14:val="tx1"/>
                  </w14:solidFill>
                </w14:textFill>
              </w:rPr>
              <w:t>µg/m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µg/m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；CO 24小时平均第95百分位数为0.</w:t>
            </w:r>
            <w:r>
              <w:rPr>
                <w:rFonts w:hint="default" w:ascii="Times New Roman" w:hAnsi="Times New Roman" w:cs="Times New Roman"/>
                <w:color w:val="000000" w:themeColor="text1"/>
                <w:lang w:val="en-US" w:eastAsia="zh-CN"/>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mg/m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，O</w:t>
            </w:r>
            <w:r>
              <w:rPr>
                <w:rFonts w:hint="default" w:ascii="Times New Roman" w:hAnsi="Times New Roman" w:cs="Times New Roman"/>
                <w:color w:val="000000" w:themeColor="text1"/>
                <w:vertAlign w:val="sub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日最大8小时平均第90百分位数为1</w:t>
            </w:r>
            <w:r>
              <w:rPr>
                <w:rFonts w:hint="default" w:ascii="Times New Roman" w:hAnsi="Times New Roman" w:cs="Times New Roman"/>
                <w:color w:val="000000" w:themeColor="text1"/>
                <w:lang w:val="en-US" w:eastAsia="zh-CN"/>
                <w14:textFill>
                  <w14:solidFill>
                    <w14:schemeClr w14:val="tx1"/>
                  </w14:solidFill>
                </w14:textFill>
              </w:rPr>
              <w:t>09</w:t>
            </w:r>
            <w:r>
              <w:rPr>
                <w:rFonts w:hint="default" w:ascii="Times New Roman" w:hAnsi="Times New Roman" w:cs="Times New Roman"/>
                <w:color w:val="000000" w:themeColor="text1"/>
                <w14:textFill>
                  <w14:solidFill>
                    <w14:schemeClr w14:val="tx1"/>
                  </w14:solidFill>
                </w14:textFill>
              </w:rPr>
              <w:t>µg/m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；各污染物平均浓度均优于</w:t>
            </w:r>
            <w:r>
              <w:rPr>
                <w:rFonts w:hint="default" w:ascii="Times New Roman" w:hAnsi="Times New Roman" w:cs="Times New Roman"/>
                <w:b w:val="0"/>
                <w:bCs/>
                <w:color w:val="000000" w:themeColor="text1"/>
                <w:kern w:val="0"/>
                <w:sz w:val="24"/>
                <w:lang w:val="zh-CN"/>
                <w14:textFill>
                  <w14:solidFill>
                    <w14:schemeClr w14:val="tx1"/>
                  </w14:solidFill>
                </w14:textFill>
              </w:rPr>
              <w:t>《环境空气质量标准》（GB3095-20</w:t>
            </w:r>
            <w:r>
              <w:rPr>
                <w:rFonts w:hint="default" w:ascii="Times New Roman" w:hAnsi="Times New Roman" w:cs="Times New Roman"/>
                <w:b w:val="0"/>
                <w:bCs/>
                <w:color w:val="000000" w:themeColor="text1"/>
                <w:kern w:val="0"/>
                <w:sz w:val="24"/>
                <w14:textFill>
                  <w14:solidFill>
                    <w14:schemeClr w14:val="tx1"/>
                  </w14:solidFill>
                </w14:textFill>
              </w:rPr>
              <w:t>26</w:t>
            </w:r>
            <w:r>
              <w:rPr>
                <w:rFonts w:hint="default" w:ascii="Times New Roman" w:hAnsi="Times New Roman" w:cs="Times New Roman"/>
                <w:b w:val="0"/>
                <w:bCs/>
                <w:color w:val="000000" w:themeColor="text1"/>
                <w:kern w:val="0"/>
                <w:sz w:val="24"/>
                <w:lang w:val="zh-CN"/>
                <w14:textFill>
                  <w14:solidFill>
                    <w14:schemeClr w14:val="tx1"/>
                  </w14:solidFill>
                </w14:textFill>
              </w:rPr>
              <w:t>）</w:t>
            </w:r>
            <w:r>
              <w:rPr>
                <w:rFonts w:hint="default" w:ascii="Times New Roman" w:hAnsi="Times New Roman" w:cs="Times New Roman"/>
                <w:b w:val="0"/>
                <w:bCs/>
                <w:color w:val="000000" w:themeColor="text1"/>
                <w:kern w:val="0"/>
                <w:sz w:val="24"/>
                <w14:textFill>
                  <w14:solidFill>
                    <w14:schemeClr w14:val="tx1"/>
                  </w14:solidFill>
                </w14:textFill>
              </w:rPr>
              <w:t>表1</w:t>
            </w:r>
            <w:r>
              <w:rPr>
                <w:rFonts w:hint="default" w:ascii="Times New Roman" w:hAnsi="Times New Roman" w:cs="Times New Roman"/>
                <w:b w:val="0"/>
                <w:bCs/>
                <w:color w:val="000000" w:themeColor="text1"/>
                <w:kern w:val="0"/>
                <w:sz w:val="24"/>
                <w:lang w:val="zh-CN"/>
                <w14:textFill>
                  <w14:solidFill>
                    <w14:schemeClr w14:val="tx1"/>
                  </w14:solidFill>
                </w14:textFill>
              </w:rPr>
              <w:t>中</w:t>
            </w:r>
            <w:r>
              <w:rPr>
                <w:rFonts w:hint="default" w:ascii="Times New Roman" w:hAnsi="Times New Roman" w:cs="Times New Roman"/>
                <w:b w:val="0"/>
                <w:bCs/>
                <w:color w:val="000000" w:themeColor="text1"/>
                <w:kern w:val="0"/>
                <w:sz w:val="24"/>
                <w14:textFill>
                  <w14:solidFill>
                    <w14:schemeClr w14:val="tx1"/>
                  </w14:solidFill>
                </w14:textFill>
              </w:rPr>
              <w:t>过渡阶段</w:t>
            </w:r>
            <w:r>
              <w:rPr>
                <w:rFonts w:hint="default" w:ascii="Times New Roman" w:hAnsi="Times New Roman" w:cs="Times New Roman"/>
                <w:b w:val="0"/>
                <w:bCs/>
                <w:color w:val="000000" w:themeColor="text1"/>
                <w:kern w:val="0"/>
                <w:sz w:val="24"/>
                <w:lang w:val="zh-CN"/>
                <w14:textFill>
                  <w14:solidFill>
                    <w14:schemeClr w14:val="tx1"/>
                  </w14:solidFill>
                </w14:textFill>
              </w:rPr>
              <w:t>二级标准</w:t>
            </w:r>
            <w:r>
              <w:rPr>
                <w:rFonts w:hint="default" w:ascii="Times New Roman" w:hAnsi="Times New Roman" w:cs="Times New Roman"/>
                <w:b w:val="0"/>
                <w:bCs/>
                <w:color w:val="000000" w:themeColor="text1"/>
                <w:kern w:val="0"/>
                <w:sz w:val="24"/>
                <w14:textFill>
                  <w14:solidFill>
                    <w14:schemeClr w14:val="tx1"/>
                  </w14:solidFill>
                </w14:textFill>
              </w:rPr>
              <w:t>浓度</w:t>
            </w:r>
            <w:r>
              <w:rPr>
                <w:rFonts w:hint="default" w:ascii="Times New Roman" w:hAnsi="Times New Roman" w:cs="Times New Roman"/>
                <w:b w:val="0"/>
                <w:bCs/>
                <w:color w:val="000000" w:themeColor="text1"/>
                <w:kern w:val="0"/>
                <w:sz w:val="24"/>
                <w:lang w:val="zh-CN"/>
                <w14:textFill>
                  <w14:solidFill>
                    <w14:schemeClr w14:val="tx1"/>
                  </w14:solidFill>
                </w14:textFill>
              </w:rPr>
              <w:t>限值</w:t>
            </w:r>
            <w:r>
              <w:rPr>
                <w:rFonts w:hint="default" w:ascii="Times New Roman" w:hAnsi="Times New Roman" w:cs="Times New Roman"/>
                <w:color w:val="000000" w:themeColor="text1"/>
                <w14:textFill>
                  <w14:solidFill>
                    <w14:schemeClr w14:val="tx1"/>
                  </w14:solidFill>
                </w14:textFill>
              </w:rPr>
              <w:t>，项目所在区为达标区。</w:t>
            </w:r>
          </w:p>
          <w:p w14:paraId="44D93D19">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2.2水环境质量现状</w:t>
            </w:r>
          </w:p>
          <w:p w14:paraId="61C0BC80">
            <w:pPr>
              <w:pStyle w:val="25"/>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本项目钻井期间钻井废水循环利用，生活污水拉运至</w:t>
            </w:r>
            <w:r>
              <w:rPr>
                <w:rFonts w:hint="default" w:ascii="Times New Roman" w:hAnsi="Times New Roman" w:cs="Times New Roman"/>
                <w:color w:val="000000" w:themeColor="text1"/>
                <w:sz w:val="24"/>
                <w:szCs w:val="24"/>
                <w:lang w:val="en-US" w:eastAsia="zh-CN"/>
                <w14:textFill>
                  <w14:solidFill>
                    <w14:schemeClr w14:val="tx1"/>
                  </w14:solidFill>
                </w14:textFill>
              </w:rPr>
              <w:t>乌尔禾</w:t>
            </w:r>
            <w:r>
              <w:rPr>
                <w:rFonts w:hint="default" w:ascii="Times New Roman" w:hAnsi="Times New Roman" w:cs="Times New Roman"/>
                <w:color w:val="000000" w:themeColor="text1"/>
                <w:sz w:val="24"/>
                <w:szCs w:val="24"/>
                <w14:textFill>
                  <w14:solidFill>
                    <w14:schemeClr w14:val="tx1"/>
                  </w14:solidFill>
                </w14:textFill>
              </w:rPr>
              <w:t>区生活污水处理站处理，本项目区周边3km范围内无常年天然地表水体分布，与地表水体无水力联系，本次未对地表水环境进行现状评价。</w:t>
            </w:r>
          </w:p>
          <w:p w14:paraId="394EBF54">
            <w:pPr>
              <w:pStyle w:val="25"/>
              <w:adjustRightInd/>
              <w:snapToGrid/>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根据《环境影响评价技术导则 地下水环境》（HJ610-2016）中4.1 一般性原则要求：“根据建设项目对地下水环境影响的程度，结合《建设项目环境影响评价分类管理名录》，将建设项目分为四类（地下水导则 附录A）。Ⅰ类、Ⅱ类、Ⅲ类建设项目的地下水环境影响评价应执行本标准，Ⅳ类建设项目不开展地下水环境影响评价。”本项目属于矿产资源勘查活动，地下水环境影响评价项目类别为Ⅳ类，故项目不开展地下水监测。</w:t>
            </w:r>
          </w:p>
          <w:p w14:paraId="6B4D6E2D">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2.3声环境质量现状</w:t>
            </w:r>
          </w:p>
          <w:p w14:paraId="28C69C89">
            <w:pPr>
              <w:pStyle w:val="25"/>
              <w:rPr>
                <w:rFonts w:hint="default" w:ascii="Times New Roman" w:hAnsi="Times New Roman" w:cs="Times New Roman"/>
                <w:snapToGrid w:val="0"/>
                <w:color w:val="000000" w:themeColor="text1"/>
                <w14:textFill>
                  <w14:solidFill>
                    <w14:schemeClr w14:val="tx1"/>
                  </w14:solidFill>
                </w14:textFill>
              </w:rPr>
            </w:pPr>
            <w:bookmarkStart w:id="9" w:name="OLE_LINK65"/>
            <w:bookmarkStart w:id="10" w:name="OLE_LINK64"/>
            <w:r>
              <w:rPr>
                <w:rFonts w:hint="default" w:ascii="Times New Roman" w:hAnsi="Times New Roman" w:cs="Times New Roman"/>
                <w:color w:val="000000" w:themeColor="text1"/>
                <w:sz w:val="24"/>
                <w:szCs w:val="24"/>
                <w14:textFill>
                  <w14:solidFill>
                    <w14:schemeClr w14:val="tx1"/>
                  </w14:solidFill>
                </w14:textFill>
              </w:rPr>
              <w:t>根据《建设项目环境影响报告表编制技术指南（污染影响类）》（试行），本项目周边50m范围内不存在声环境保护目标，无需监测声环境保护目标质量现状。</w:t>
            </w:r>
          </w:p>
          <w:p w14:paraId="409E07A3">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2.4土壤环境质量评价</w:t>
            </w:r>
          </w:p>
          <w:bookmarkEnd w:id="9"/>
          <w:bookmarkEnd w:id="10"/>
          <w:p w14:paraId="4365C722">
            <w:pPr>
              <w:pStyle w:val="25"/>
              <w:adjustRightInd/>
              <w:snapToGrid/>
              <w:rPr>
                <w:rFonts w:hint="default" w:ascii="Times New Roman" w:hAnsi="Times New Roman" w:cs="Times New Roman"/>
                <w:color w:val="000000" w:themeColor="text1"/>
                <w14:textFill>
                  <w14:solidFill>
                    <w14:schemeClr w14:val="tx1"/>
                  </w14:solidFill>
                </w14:textFill>
              </w:rPr>
            </w:pPr>
            <w:bookmarkStart w:id="11" w:name="_Hlk47367778"/>
            <w:r>
              <w:rPr>
                <w:rFonts w:hint="default" w:ascii="Times New Roman" w:hAnsi="Times New Roman" w:cs="Times New Roman"/>
                <w:color w:val="000000" w:themeColor="text1"/>
                <w:sz w:val="24"/>
                <w:szCs w:val="24"/>
                <w14:textFill>
                  <w14:solidFill>
                    <w14:schemeClr w14:val="tx1"/>
                  </w14:solidFill>
                </w14:textFill>
              </w:rPr>
              <w:t>根据《环境影响评价技术导则 土壤环境（试行）》（HJ964-2018）附表A.1 土壤环境影响评价项目类别中无矿产资源地质勘查行业，本工程为109 矿产资源地质勘查（含勘探活动和油气资源勘探），“行业类别”属于“其他行业”，土壤环境影响评价项目类别为IV类，不需要进行土壤环境影响评价，仅进行简要的定性分析。</w:t>
            </w:r>
            <w:bookmarkEnd w:id="11"/>
          </w:p>
        </w:tc>
      </w:tr>
      <w:tr w14:paraId="0CEF6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936" w:type="dxa"/>
            <w:vAlign w:val="center"/>
          </w:tcPr>
          <w:p w14:paraId="3A536CCD">
            <w:pPr>
              <w:spacing w:line="240" w:lineRule="auto"/>
              <w:ind w:firstLine="0" w:firstLineChars="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与项目有关的原有环境污染和生态破坏问题</w:t>
            </w:r>
          </w:p>
        </w:tc>
        <w:tc>
          <w:tcPr>
            <w:tcW w:w="8252" w:type="dxa"/>
            <w:vAlign w:val="center"/>
          </w:tcPr>
          <w:p w14:paraId="60112481">
            <w:pPr>
              <w:ind w:firstLine="480"/>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本项目为前期勘探工程，属于新建项目，不存在原有环境问题。</w:t>
            </w:r>
          </w:p>
        </w:tc>
      </w:tr>
      <w:tr w14:paraId="68E97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936" w:type="dxa"/>
            <w:vAlign w:val="center"/>
          </w:tcPr>
          <w:p w14:paraId="2596FC3D">
            <w:pPr>
              <w:ind w:firstLine="0" w:firstLineChars="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生态环境保护目标</w:t>
            </w:r>
          </w:p>
        </w:tc>
        <w:tc>
          <w:tcPr>
            <w:tcW w:w="8252" w:type="dxa"/>
          </w:tcPr>
          <w:p w14:paraId="6BDADB1A">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1环境保护目标</w:t>
            </w:r>
          </w:p>
          <w:p w14:paraId="33F806F4">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参照《环境影响评价技术导则 大气环境》（HJ2.2-2018）、《环境影响评价技术导则 声环境》（HJ2.4-2021）、《环境影响评价技术导则 土壤环境</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试行</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》（HJ964-2018）、《环境影响评价技术导则 生态影响》（HJ19-2022）、《环境影响评价技术导则 地表水环境》（HJ2.3-2018）、《环境影响评价技术导则 地下水环境》（HJ610-2016）、《建设项目环境风险评价技术导则》（HJ169-2018）、</w:t>
            </w:r>
            <w:bookmarkStart w:id="12" w:name="_Hlk167566341"/>
            <w:r>
              <w:rPr>
                <w:rFonts w:hint="default" w:ascii="Times New Roman" w:hAnsi="Times New Roman" w:cs="Times New Roman"/>
                <w:color w:val="000000" w:themeColor="text1"/>
                <w14:textFill>
                  <w14:solidFill>
                    <w14:schemeClr w14:val="tx1"/>
                  </w14:solidFill>
                </w14:textFill>
              </w:rPr>
              <w:t>《环境影响评价技术导则</w:t>
            </w:r>
            <w:r>
              <w:rPr>
                <w:rFonts w:hint="eastAsia"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陆地石油天然气开发建设项目》（HJ349-2023）等相关导则要求，本项目大气环境、地表水环境、地下水环境、土壤环境、环境风险均不设评价范围，生态评价范围为井场和生活营地周围50m范围、临时道路两侧外延300m；声环境评价范围为井场外延200m的范围，</w:t>
            </w:r>
            <w:bookmarkEnd w:id="12"/>
            <w:r>
              <w:rPr>
                <w:rFonts w:hint="default" w:ascii="Times New Roman" w:hAnsi="Times New Roman" w:cs="Times New Roman"/>
                <w:color w:val="000000" w:themeColor="text1"/>
                <w14:textFill>
                  <w14:solidFill>
                    <w14:schemeClr w14:val="tx1"/>
                  </w14:solidFill>
                </w14:textFill>
              </w:rPr>
              <w:t>根据现场调查，本项目井场周边为</w:t>
            </w:r>
            <w:r>
              <w:rPr>
                <w:rFonts w:hint="default" w:ascii="Times New Roman" w:hAnsi="Times New Roman" w:cs="Times New Roman"/>
                <w:color w:val="000000" w:themeColor="text1"/>
                <w:lang w:eastAsia="zh-CN"/>
                <w14:textFill>
                  <w14:solidFill>
                    <w14:schemeClr w14:val="tx1"/>
                  </w14:solidFill>
                </w14:textFill>
              </w:rPr>
              <w:t>其他草地</w:t>
            </w:r>
            <w:r>
              <w:rPr>
                <w:rFonts w:hint="default" w:ascii="Times New Roman" w:hAnsi="Times New Roman" w:cs="Times New Roman"/>
                <w:color w:val="000000" w:themeColor="text1"/>
                <w14:textFill>
                  <w14:solidFill>
                    <w14:schemeClr w14:val="tx1"/>
                  </w14:solidFill>
                </w14:textFill>
              </w:rPr>
              <w:t>，周边300m范围内无自然保护区、风景名胜区、居住区、文化区、人群较集中的区域，无地下水集中式饮用水水源和热水、矿泉水、温泉等特殊地下水资源；周边200m范围内无声环境保护目标；本项目环境保护目标具体情况见表3-3。</w:t>
            </w:r>
          </w:p>
          <w:p w14:paraId="4D2F93C2">
            <w:pPr>
              <w:pStyle w:val="21"/>
              <w:spacing w:line="360" w:lineRule="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表3-3  主要环境敏感目标一览表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1374"/>
              <w:gridCol w:w="1461"/>
              <w:gridCol w:w="4356"/>
            </w:tblGrid>
            <w:tr w14:paraId="5328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Align w:val="center"/>
                </w:tcPr>
                <w:p w14:paraId="35446081">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要素</w:t>
                  </w:r>
                </w:p>
              </w:tc>
              <w:tc>
                <w:tcPr>
                  <w:tcW w:w="856" w:type="pct"/>
                  <w:vAlign w:val="center"/>
                </w:tcPr>
                <w:p w14:paraId="1B370557">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环境保护</w:t>
                  </w:r>
                </w:p>
                <w:p w14:paraId="28D4913B">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目标</w:t>
                  </w:r>
                </w:p>
              </w:tc>
              <w:tc>
                <w:tcPr>
                  <w:tcW w:w="910" w:type="pct"/>
                  <w:vAlign w:val="center"/>
                </w:tcPr>
                <w:p w14:paraId="7DD447DE">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与项目区的关系</w:t>
                  </w:r>
                </w:p>
              </w:tc>
              <w:tc>
                <w:tcPr>
                  <w:tcW w:w="2714" w:type="pct"/>
                  <w:vAlign w:val="center"/>
                </w:tcPr>
                <w:p w14:paraId="53D5FBC5">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保护要求</w:t>
                  </w:r>
                </w:p>
              </w:tc>
            </w:tr>
            <w:tr w14:paraId="2B8A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9" w:type="pct"/>
                  <w:vAlign w:val="center"/>
                </w:tcPr>
                <w:p w14:paraId="568CF636">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大气环境</w:t>
                  </w:r>
                </w:p>
              </w:tc>
              <w:tc>
                <w:tcPr>
                  <w:tcW w:w="856" w:type="pct"/>
                  <w:vAlign w:val="center"/>
                </w:tcPr>
                <w:p w14:paraId="78CE4E67">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项目区大气</w:t>
                  </w:r>
                </w:p>
              </w:tc>
              <w:tc>
                <w:tcPr>
                  <w:tcW w:w="910" w:type="pct"/>
                  <w:vAlign w:val="center"/>
                </w:tcPr>
                <w:p w14:paraId="1DA2CEF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井场区</w:t>
                  </w:r>
                </w:p>
              </w:tc>
              <w:tc>
                <w:tcPr>
                  <w:tcW w:w="2714" w:type="pct"/>
                  <w:vAlign w:val="center"/>
                </w:tcPr>
                <w:p w14:paraId="09EB864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《环境空气质量标准》（GB3095-2026）过渡阶段二级标准</w:t>
                  </w:r>
                </w:p>
              </w:tc>
            </w:tr>
            <w:tr w14:paraId="7070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restart"/>
                  <w:vAlign w:val="center"/>
                </w:tcPr>
                <w:p w14:paraId="070F790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生态环境</w:t>
                  </w:r>
                </w:p>
              </w:tc>
              <w:tc>
                <w:tcPr>
                  <w:tcW w:w="856" w:type="pct"/>
                  <w:vAlign w:val="center"/>
                </w:tcPr>
                <w:p w14:paraId="77A3C7A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水土流失重点治理区</w:t>
                  </w:r>
                </w:p>
              </w:tc>
              <w:tc>
                <w:tcPr>
                  <w:tcW w:w="910" w:type="pct"/>
                  <w:vMerge w:val="restart"/>
                  <w:vAlign w:val="center"/>
                </w:tcPr>
                <w:p w14:paraId="612E5882">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井场占地</w:t>
                  </w:r>
                </w:p>
              </w:tc>
              <w:tc>
                <w:tcPr>
                  <w:tcW w:w="2714" w:type="pct"/>
                  <w:vAlign w:val="center"/>
                </w:tcPr>
                <w:p w14:paraId="4A06582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保护项目区域荒漠生态系统完整性和稳定性，保护土壤环境质量，做好植被恢复与水土保持工作，使项目区现有生态环境不因本项目的建设受到破坏</w:t>
                  </w:r>
                </w:p>
              </w:tc>
            </w:tr>
            <w:tr w14:paraId="462E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14:paraId="3110D40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856" w:type="pct"/>
                  <w:vAlign w:val="center"/>
                </w:tcPr>
                <w:p w14:paraId="6DA3630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植被</w:t>
                  </w:r>
                </w:p>
              </w:tc>
              <w:tc>
                <w:tcPr>
                  <w:tcW w:w="910" w:type="pct"/>
                  <w:vMerge w:val="continue"/>
                  <w:vAlign w:val="center"/>
                </w:tcPr>
                <w:p w14:paraId="301A730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2714" w:type="pct"/>
                  <w:vAlign w:val="center"/>
                </w:tcPr>
                <w:p w14:paraId="01BCE1C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落实工程占地周边生态环境保护措施，施工结束后逐渐恢复到自然状态</w:t>
                  </w:r>
                </w:p>
              </w:tc>
            </w:tr>
            <w:tr w14:paraId="5E16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vMerge w:val="continue"/>
                  <w:vAlign w:val="center"/>
                </w:tcPr>
                <w:p w14:paraId="0B6D8EC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856" w:type="pct"/>
                  <w:vAlign w:val="center"/>
                </w:tcPr>
                <w:p w14:paraId="050BC81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动物</w:t>
                  </w:r>
                </w:p>
              </w:tc>
              <w:tc>
                <w:tcPr>
                  <w:tcW w:w="910" w:type="pct"/>
                  <w:vMerge w:val="continue"/>
                  <w:vAlign w:val="center"/>
                </w:tcPr>
                <w:p w14:paraId="30087CC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2714" w:type="pct"/>
                  <w:vAlign w:val="center"/>
                </w:tcPr>
                <w:p w14:paraId="50A8281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保护生境不被破坏，禁止捕杀野生动物</w:t>
                  </w:r>
                </w:p>
              </w:tc>
            </w:tr>
            <w:tr w14:paraId="5E93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19" w:type="pct"/>
                  <w:vAlign w:val="center"/>
                </w:tcPr>
                <w:p w14:paraId="16C1323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水环境</w:t>
                  </w:r>
                </w:p>
              </w:tc>
              <w:tc>
                <w:tcPr>
                  <w:tcW w:w="856" w:type="pct"/>
                  <w:vAlign w:val="center"/>
                </w:tcPr>
                <w:p w14:paraId="0CB0733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地下水</w:t>
                  </w:r>
                </w:p>
              </w:tc>
              <w:tc>
                <w:tcPr>
                  <w:tcW w:w="910" w:type="pct"/>
                  <w:vAlign w:val="center"/>
                </w:tcPr>
                <w:p w14:paraId="684031B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井场</w:t>
                  </w:r>
                </w:p>
              </w:tc>
              <w:tc>
                <w:tcPr>
                  <w:tcW w:w="2714" w:type="pct"/>
                  <w:vAlign w:val="center"/>
                </w:tcPr>
                <w:p w14:paraId="01C0DAB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确保地下水不受污染</w:t>
                  </w:r>
                </w:p>
              </w:tc>
            </w:tr>
          </w:tbl>
          <w:p w14:paraId="6A592BE7">
            <w:pPr>
              <w:pStyle w:val="4"/>
              <w:ind w:firstLine="0" w:firstLineChars="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2保护要求</w:t>
            </w:r>
          </w:p>
          <w:p w14:paraId="26B3F960">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（1）保护项目所在区域的空气质量，保持现有空气质量级别，不因本项目的建设降低环境空气质量；</w:t>
            </w:r>
          </w:p>
          <w:p w14:paraId="524C27F9">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（2）保护项目所在区域地下水质量保持在现有水平，不受本项目所排废水的影响；</w:t>
            </w:r>
          </w:p>
          <w:p w14:paraId="4CA4AAEE">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（3）保护项目区声环境质量现状，符合《声环境质量标准》（GB3096-2008）的2类声环境功能限值；</w:t>
            </w:r>
          </w:p>
          <w:p w14:paraId="018101DE">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（4）生态环境保护目标：本项目需保护项目区生态环境，使项目的建成不对项目区土壤、植被产生不利影响，保护天然牧草地不因本项目建设产生不利影响；</w:t>
            </w:r>
          </w:p>
          <w:p w14:paraId="163102A2">
            <w:pPr>
              <w:pStyle w:val="25"/>
              <w:jc w:val="both"/>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（5）土壤环境质量可按</w:t>
            </w:r>
            <w:r>
              <w:rPr>
                <w:rFonts w:hint="default" w:ascii="Times New Roman" w:hAnsi="Times New Roman" w:cs="Times New Roman"/>
                <w:color w:val="000000" w:themeColor="text1"/>
                <w:sz w:val="24"/>
                <w:szCs w:val="24"/>
                <w14:textFill>
                  <w14:solidFill>
                    <w14:schemeClr w14:val="tx1"/>
                  </w14:solidFill>
                </w14:textFill>
              </w:rPr>
              <w:t>《土壤环境质量 建设用地土壤污染风险管控标准（试行）》（GB36600-2018）</w:t>
            </w:r>
            <w:r>
              <w:rPr>
                <w:rFonts w:hint="default" w:ascii="Times New Roman" w:hAnsi="Times New Roman" w:cs="Times New Roman"/>
                <w:color w:val="000000" w:themeColor="text1"/>
                <w:kern w:val="0"/>
                <w:sz w:val="24"/>
                <w:szCs w:val="24"/>
                <w14:textFill>
                  <w14:solidFill>
                    <w14:schemeClr w14:val="tx1"/>
                  </w14:solidFill>
                </w14:textFill>
              </w:rPr>
              <w:t>控制。</w:t>
            </w:r>
          </w:p>
        </w:tc>
      </w:tr>
      <w:tr w14:paraId="645E01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936" w:type="dxa"/>
            <w:vAlign w:val="center"/>
          </w:tcPr>
          <w:p w14:paraId="054536B6">
            <w:pPr>
              <w:ind w:firstLine="0" w:firstLineChars="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评价标准</w:t>
            </w:r>
          </w:p>
        </w:tc>
        <w:tc>
          <w:tcPr>
            <w:tcW w:w="8252" w:type="dxa"/>
            <w:vAlign w:val="center"/>
          </w:tcPr>
          <w:p w14:paraId="6FB95B93">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1环境质量标准</w:t>
            </w:r>
          </w:p>
          <w:p w14:paraId="3C0080DF">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（1）大气环境：</w:t>
            </w:r>
            <w:r>
              <w:rPr>
                <w:rFonts w:hint="default" w:ascii="Times New Roman" w:hAnsi="Times New Roman" w:cs="Times New Roman"/>
                <w:color w:val="000000" w:themeColor="text1"/>
                <w:sz w:val="24"/>
                <w14:textFill>
                  <w14:solidFill>
                    <w14:schemeClr w14:val="tx1"/>
                  </w14:solidFill>
                </w14:textFill>
              </w:rPr>
              <w:t>《环境空气质量标准》（GB3095-20</w:t>
            </w:r>
            <w:r>
              <w:rPr>
                <w:rFonts w:hint="default" w:ascii="Times New Roman" w:hAnsi="Times New Roman" w:cs="Times New Roman"/>
                <w:color w:val="000000" w:themeColor="text1"/>
                <w:sz w:val="24"/>
                <w:lang w:val="en-US" w:eastAsia="zh-CN"/>
                <w14:textFill>
                  <w14:solidFill>
                    <w14:schemeClr w14:val="tx1"/>
                  </w14:solidFill>
                </w14:textFill>
              </w:rPr>
              <w:t>26</w:t>
            </w:r>
            <w:r>
              <w:rPr>
                <w:rFonts w:hint="default" w:ascii="Times New Roman" w:hAnsi="Times New Roman" w:cs="Times New Roman"/>
                <w:color w:val="000000" w:themeColor="text1"/>
                <w:sz w:val="24"/>
                <w14:textFill>
                  <w14:solidFill>
                    <w14:schemeClr w14:val="tx1"/>
                  </w14:solidFill>
                </w14:textFill>
              </w:rPr>
              <w:t>）中</w:t>
            </w:r>
            <w:r>
              <w:rPr>
                <w:rFonts w:hint="default" w:ascii="Times New Roman" w:hAnsi="Times New Roman" w:cs="Times New Roman"/>
                <w:color w:val="000000" w:themeColor="text1"/>
                <w:sz w:val="24"/>
                <w:lang w:val="en-US" w:eastAsia="zh-CN"/>
                <w14:textFill>
                  <w14:solidFill>
                    <w14:schemeClr w14:val="tx1"/>
                  </w14:solidFill>
                </w14:textFill>
              </w:rPr>
              <w:t>过渡阶段</w:t>
            </w:r>
            <w:r>
              <w:rPr>
                <w:rFonts w:hint="default" w:ascii="Times New Roman" w:hAnsi="Times New Roman" w:cs="Times New Roman"/>
                <w:color w:val="000000" w:themeColor="text1"/>
                <w:sz w:val="24"/>
                <w14:textFill>
                  <w14:solidFill>
                    <w14:schemeClr w14:val="tx1"/>
                  </w14:solidFill>
                </w14:textFill>
              </w:rPr>
              <w:t>二级标准</w:t>
            </w:r>
            <w:r>
              <w:rPr>
                <w:rFonts w:hint="default" w:ascii="Times New Roman" w:hAnsi="Times New Roman" w:cs="Times New Roman"/>
                <w:color w:val="000000" w:themeColor="text1"/>
                <w14:textFill>
                  <w14:solidFill>
                    <w14:schemeClr w14:val="tx1"/>
                  </w14:solidFill>
                </w14:textFill>
              </w:rPr>
              <w:t>；</w:t>
            </w:r>
          </w:p>
          <w:p w14:paraId="1FE0A35E">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（2）声环境：《声环境质量标准》（GB3096-2008）的2类标准限值；</w:t>
            </w:r>
          </w:p>
          <w:p w14:paraId="3E9380DE">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（3）土壤环境：《土壤环境质量 建设用地土壤污染风险管控标准（试行）》</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"https://www.mee.gov.cn/ywgz/fgbz/bz/bzwb/trhj/201807/W020190626596188930731.pdf"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（GB36600-2018）</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表1中第二类用地筛选值要求；</w:t>
            </w:r>
          </w:p>
          <w:p w14:paraId="41609547">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（4）地下水环境：《地下水质量标准》（GB/T14848-2017）中的Ⅲ类标准。</w:t>
            </w:r>
          </w:p>
          <w:p w14:paraId="515E6726">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2污染物排放标准</w:t>
            </w:r>
          </w:p>
          <w:p w14:paraId="0D7E0945">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（1）《大气污染物综合排放标准》（GB16297-1996）表2的颗粒物无组织排放限值；</w:t>
            </w:r>
          </w:p>
          <w:p w14:paraId="5AB71545">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）试油期无组织废气执行《陆上石油天然气开采工业大气污染物排放标准》（GB39728-2020）要求；</w:t>
            </w:r>
          </w:p>
          <w:p w14:paraId="413EBC52">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）生产废水执行《碎屑岩油藏注水水质指标技术要求及分析方法》（SY/T5329-2022）表1推荐水质主要控制指标要求；</w:t>
            </w:r>
          </w:p>
          <w:p w14:paraId="702FDDE7">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）施工期施工噪声执行《建筑施工噪声排放标准》（GB12523-2025）中表1排放限值（昼间70dB，夜间55dB）；</w:t>
            </w:r>
          </w:p>
          <w:p w14:paraId="78517C99">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）一般固体废物执行《一般工业固体废物贮存和填埋污染控制标准》（GB18599-2020）标准要求；</w:t>
            </w:r>
          </w:p>
          <w:p w14:paraId="1E3F8450">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）含油污泥执行《陆上石油天然气开采含油污泥处理处置及污染控制技术规范》（SY/T7300-2016）标准要求；</w:t>
            </w:r>
          </w:p>
          <w:p w14:paraId="70B8CE8D">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）危险废物执行《危险废物贮存污染控制标准》（GB18597-2023）标准要求；</w:t>
            </w:r>
          </w:p>
          <w:p w14:paraId="619A43F4">
            <w:pPr>
              <w:pStyle w:val="25"/>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t>）钻井固体废物执行《油气田钻井固体废物综合利用污染控制要求》（DB65/T 3997-2017）标准要求。</w:t>
            </w:r>
          </w:p>
        </w:tc>
      </w:tr>
      <w:tr w14:paraId="23D02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36" w:type="dxa"/>
            <w:vAlign w:val="center"/>
          </w:tcPr>
          <w:p w14:paraId="5102CBC4">
            <w:pPr>
              <w:ind w:firstLine="0" w:firstLineChars="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其他</w:t>
            </w:r>
          </w:p>
        </w:tc>
        <w:tc>
          <w:tcPr>
            <w:tcW w:w="8252" w:type="dxa"/>
            <w:vAlign w:val="center"/>
          </w:tcPr>
          <w:p w14:paraId="7FECFA77">
            <w:pPr>
              <w:ind w:firstLine="48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无</w:t>
            </w:r>
          </w:p>
        </w:tc>
      </w:tr>
    </w:tbl>
    <w:p w14:paraId="2E6FD12D">
      <w:pPr>
        <w:pStyle w:val="15"/>
        <w:spacing w:before="0" w:beforeAutospacing="0" w:after="0" w:afterAutospacing="0" w:line="14" w:lineRule="auto"/>
        <w:jc w:val="center"/>
        <w:rPr>
          <w:rFonts w:hint="default" w:ascii="Times New Roman" w:hAnsi="Times New Roman" w:eastAsia="黑体" w:cs="Times New Roman"/>
          <w:snapToGrid w:val="0"/>
          <w:color w:val="000000" w:themeColor="text1"/>
          <w:kern w:val="2"/>
          <w:sz w:val="36"/>
          <w:szCs w:val="36"/>
          <w14:textFill>
            <w14:solidFill>
              <w14:schemeClr w14:val="tx1"/>
            </w14:solidFill>
          </w14:textFill>
        </w:rPr>
      </w:pPr>
    </w:p>
    <w:p w14:paraId="71207EAA">
      <w:pPr>
        <w:pStyle w:val="15"/>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kern w:val="2"/>
          <w:sz w:val="36"/>
          <w:szCs w:val="36"/>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14:textFill>
            <w14:solidFill>
              <w14:schemeClr w14:val="tx1"/>
            </w14:solidFill>
          </w14:textFill>
        </w:rPr>
        <w:t>四、生态环境影响分析</w:t>
      </w:r>
    </w:p>
    <w:tbl>
      <w:tblPr>
        <w:tblStyle w:val="16"/>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363"/>
      </w:tblGrid>
      <w:tr w14:paraId="280636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879" w:type="dxa"/>
            <w:tcMar>
              <w:left w:w="28" w:type="dxa"/>
              <w:right w:w="28" w:type="dxa"/>
            </w:tcMar>
            <w:vAlign w:val="center"/>
          </w:tcPr>
          <w:p w14:paraId="1AC33BF9">
            <w:pPr>
              <w:pStyle w:val="15"/>
              <w:spacing w:before="0" w:beforeAutospacing="0" w:after="0" w:afterAutospacing="0"/>
              <w:ind w:firstLine="0" w:firstLineChars="0"/>
              <w:jc w:val="both"/>
              <w:rPr>
                <w:rFonts w:hint="default" w:ascii="Times New Roman" w:hAnsi="Times New Roman" w:cs="Times New Roman"/>
                <w:bCs/>
                <w:color w:val="000000" w:themeColor="text1"/>
                <w:kern w:val="2"/>
                <w14:textFill>
                  <w14:solidFill>
                    <w14:schemeClr w14:val="tx1"/>
                  </w14:solidFill>
                </w14:textFill>
              </w:rPr>
            </w:pPr>
            <w:bookmarkStart w:id="13" w:name="_Hlk49796138"/>
            <w:r>
              <w:rPr>
                <w:rFonts w:hint="default" w:ascii="Times New Roman" w:hAnsi="Times New Roman" w:cs="Times New Roman"/>
                <w:bCs/>
                <w:color w:val="000000" w:themeColor="text1"/>
                <w:spacing w:val="10"/>
                <w:kern w:val="2"/>
                <w14:textFill>
                  <w14:solidFill>
                    <w14:schemeClr w14:val="tx1"/>
                  </w14:solidFill>
                </w14:textFill>
              </w:rPr>
              <w:t>施工期生态环境影响分析</w:t>
            </w:r>
            <w:bookmarkEnd w:id="13"/>
          </w:p>
        </w:tc>
        <w:tc>
          <w:tcPr>
            <w:tcW w:w="8363" w:type="dxa"/>
          </w:tcPr>
          <w:p w14:paraId="7BE69B4F">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施工期主要污染环节和因素：</w:t>
            </w:r>
          </w:p>
          <w:p w14:paraId="028EDFB4">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本项目对环境的污染主要存在于钻井期、试油期三废排放。</w:t>
            </w:r>
          </w:p>
          <w:p w14:paraId="4F4CC8F6">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本项目污染源按作业持续时间分为临时性污染源、连续性污染源和间歇性污染源三大类，主要污染物为：钻井岩屑等，见表4-1。</w:t>
            </w:r>
          </w:p>
          <w:p w14:paraId="178481F2">
            <w:pPr>
              <w:pStyle w:val="21"/>
              <w:spacing w:line="36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表4-1  本项目主要环境影响因素</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292"/>
              <w:gridCol w:w="2610"/>
              <w:gridCol w:w="3308"/>
            </w:tblGrid>
            <w:tr w14:paraId="2E71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tcBorders>
                    <w:top w:val="single" w:color="auto" w:sz="4" w:space="0"/>
                    <w:left w:val="single" w:color="auto" w:sz="4" w:space="0"/>
                    <w:bottom w:val="single" w:color="auto" w:sz="4" w:space="0"/>
                    <w:right w:val="single" w:color="auto" w:sz="4" w:space="0"/>
                    <w:tl2br w:val="nil"/>
                    <w:tr2bl w:val="nil"/>
                  </w:tcBorders>
                  <w:vAlign w:val="center"/>
                </w:tcPr>
                <w:p w14:paraId="72529D76">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阶段</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6594591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污染物</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10FAD1EE">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产污环节</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74431FD7">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污染因子</w:t>
                  </w:r>
                </w:p>
              </w:tc>
            </w:tr>
            <w:tr w14:paraId="351B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1D32FD2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钻井期</w:t>
                  </w:r>
                </w:p>
              </w:tc>
              <w:tc>
                <w:tcPr>
                  <w:tcW w:w="794"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4C8BE62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6C82EF8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柴油机和柴油发电机</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269BCF5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、NOx、总烃、PM</w:t>
                  </w:r>
                  <w:r>
                    <w:rPr>
                      <w:rFonts w:hint="default" w:ascii="Times New Roman" w:hAnsi="Times New Roman" w:cs="Times New Roman"/>
                      <w:color w:val="000000" w:themeColor="text1"/>
                      <w:vertAlign w:val="subscript"/>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2.5</w:t>
                  </w:r>
                </w:p>
              </w:tc>
            </w:tr>
            <w:tr w14:paraId="5BB1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C43126E">
                  <w:pPr>
                    <w:pStyle w:val="23"/>
                    <w:rPr>
                      <w:rFonts w:hint="default" w:ascii="Times New Roman" w:hAnsi="Times New Roman" w:cs="Times New Roman"/>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3E699D7">
                  <w:pPr>
                    <w:pStyle w:val="23"/>
                    <w:rPr>
                      <w:rFonts w:hint="default" w:ascii="Times New Roman" w:hAnsi="Times New Roman" w:cs="Times New Roman"/>
                      <w:color w:val="000000" w:themeColor="text1"/>
                      <w14:textFill>
                        <w14:solidFill>
                          <w14:schemeClr w14:val="tx1"/>
                        </w14:solidFill>
                      </w14:textFill>
                    </w:rPr>
                  </w:pP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62A1ADF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施工扬尘</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4E9878F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TSP</w:t>
                  </w:r>
                </w:p>
              </w:tc>
            </w:tr>
            <w:tr w14:paraId="6FFA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5A9227FF">
                  <w:pPr>
                    <w:pStyle w:val="23"/>
                    <w:rPr>
                      <w:rFonts w:hint="default" w:ascii="Times New Roman" w:hAnsi="Times New Roman" w:cs="Times New Roman"/>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3328258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废水</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516111E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生活营地生活污水</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13D1A9E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COD、SS、氨氮、BOD</w:t>
                  </w:r>
                  <w:r>
                    <w:rPr>
                      <w:rFonts w:hint="default" w:ascii="Times New Roman" w:hAnsi="Times New Roman" w:cs="Times New Roman"/>
                      <w:color w:val="000000" w:themeColor="text1"/>
                      <w:vertAlign w:val="subscript"/>
                      <w14:textFill>
                        <w14:solidFill>
                          <w14:schemeClr w14:val="tx1"/>
                        </w14:solidFill>
                      </w14:textFill>
                    </w:rPr>
                    <w:t>5</w:t>
                  </w:r>
                </w:p>
              </w:tc>
            </w:tr>
            <w:tr w14:paraId="5F99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6A80C4E">
                  <w:pPr>
                    <w:pStyle w:val="23"/>
                    <w:rPr>
                      <w:rFonts w:hint="default" w:ascii="Times New Roman" w:hAnsi="Times New Roman" w:cs="Times New Roman"/>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22EFE96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噪声</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4322D1F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动力设备、施工作业</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255FB06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等效连续A声级</w:t>
                  </w:r>
                </w:p>
              </w:tc>
            </w:tr>
            <w:tr w14:paraId="07D6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ADD6CF3">
                  <w:pPr>
                    <w:pStyle w:val="23"/>
                    <w:rPr>
                      <w:rFonts w:hint="default" w:ascii="Times New Roman" w:hAnsi="Times New Roman" w:cs="Times New Roman"/>
                      <w:color w:val="000000" w:themeColor="text1"/>
                      <w14:textFill>
                        <w14:solidFill>
                          <w14:schemeClr w14:val="tx1"/>
                        </w14:solidFill>
                      </w14:textFill>
                    </w:rPr>
                  </w:pPr>
                </w:p>
              </w:tc>
              <w:tc>
                <w:tcPr>
                  <w:tcW w:w="794"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14F1346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固体废物</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7688543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钻井井场</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6EE7B3C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水基岩屑、机械设备废油、废弃防渗膜</w:t>
                  </w:r>
                </w:p>
              </w:tc>
            </w:tr>
            <w:tr w14:paraId="08EF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37343136">
                  <w:pPr>
                    <w:pStyle w:val="23"/>
                    <w:rPr>
                      <w:rFonts w:hint="default" w:ascii="Times New Roman" w:hAnsi="Times New Roman" w:cs="Times New Roman"/>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8A600EB">
                  <w:pPr>
                    <w:pStyle w:val="23"/>
                    <w:rPr>
                      <w:rFonts w:hint="default" w:ascii="Times New Roman" w:hAnsi="Times New Roman" w:cs="Times New Roman"/>
                      <w:color w:val="000000" w:themeColor="text1"/>
                      <w14:textFill>
                        <w14:solidFill>
                          <w14:schemeClr w14:val="tx1"/>
                        </w14:solidFill>
                      </w14:textFill>
                    </w:rPr>
                  </w:pP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394F2CD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生活营地</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775D6E6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w:t>
                  </w:r>
                </w:p>
              </w:tc>
            </w:tr>
            <w:tr w14:paraId="47BB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472ECA8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试油期</w:t>
                  </w:r>
                </w:p>
              </w:tc>
              <w:tc>
                <w:tcPr>
                  <w:tcW w:w="794" w:type="pct"/>
                  <w:vMerge w:val="restart"/>
                  <w:tcBorders>
                    <w:top w:val="single" w:color="auto" w:sz="4" w:space="0"/>
                    <w:left w:val="single" w:color="auto" w:sz="4" w:space="0"/>
                    <w:bottom w:val="single" w:color="auto" w:sz="4" w:space="0"/>
                    <w:right w:val="single" w:color="auto" w:sz="4" w:space="0"/>
                    <w:tl2br w:val="nil"/>
                    <w:tr2bl w:val="nil"/>
                  </w:tcBorders>
                  <w:vAlign w:val="center"/>
                </w:tcPr>
                <w:p w14:paraId="3A7872A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32DE752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伴生气燃烧放空</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115C620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、NOx、烟尘</w:t>
                  </w:r>
                </w:p>
              </w:tc>
            </w:tr>
            <w:tr w14:paraId="58A4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19D4982">
                  <w:pPr>
                    <w:pStyle w:val="23"/>
                    <w:rPr>
                      <w:rFonts w:hint="default" w:ascii="Times New Roman" w:hAnsi="Times New Roman" w:cs="Times New Roman"/>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53FA85FD">
                  <w:pPr>
                    <w:pStyle w:val="23"/>
                    <w:rPr>
                      <w:rFonts w:hint="default" w:ascii="Times New Roman" w:hAnsi="Times New Roman" w:cs="Times New Roman"/>
                      <w:color w:val="000000" w:themeColor="text1"/>
                      <w14:textFill>
                        <w14:solidFill>
                          <w14:schemeClr w14:val="tx1"/>
                        </w14:solidFill>
                      </w14:textFill>
                    </w:rPr>
                  </w:pP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181CF0B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柴油发电机</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7E3E680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、NOx、总烃、PM</w:t>
                  </w:r>
                  <w:r>
                    <w:rPr>
                      <w:rFonts w:hint="default" w:ascii="Times New Roman" w:hAnsi="Times New Roman" w:cs="Times New Roman"/>
                      <w:color w:val="000000" w:themeColor="text1"/>
                      <w:vertAlign w:val="subscript"/>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2.5</w:t>
                  </w:r>
                </w:p>
              </w:tc>
            </w:tr>
            <w:tr w14:paraId="2A90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43F2751F">
                  <w:pPr>
                    <w:pStyle w:val="23"/>
                    <w:rPr>
                      <w:rFonts w:hint="default" w:ascii="Times New Roman" w:hAnsi="Times New Roman" w:cs="Times New Roman"/>
                      <w:color w:val="000000" w:themeColor="text1"/>
                      <w14:textFill>
                        <w14:solidFill>
                          <w14:schemeClr w14:val="tx1"/>
                        </w14:solidFill>
                      </w14:textFill>
                    </w:rPr>
                  </w:pPr>
                </w:p>
              </w:tc>
              <w:tc>
                <w:tcPr>
                  <w:tcW w:w="794"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6DF6F66D">
                  <w:pPr>
                    <w:pStyle w:val="23"/>
                    <w:rPr>
                      <w:rFonts w:hint="default" w:ascii="Times New Roman" w:hAnsi="Times New Roman" w:cs="Times New Roman"/>
                      <w:color w:val="000000" w:themeColor="text1"/>
                      <w14:textFill>
                        <w14:solidFill>
                          <w14:schemeClr w14:val="tx1"/>
                        </w14:solidFill>
                      </w14:textFill>
                    </w:rPr>
                  </w:pP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7C9223B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临时储罐</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08272E7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总烃</w:t>
                  </w:r>
                </w:p>
              </w:tc>
            </w:tr>
            <w:tr w14:paraId="29AE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26EAC4E4">
                  <w:pPr>
                    <w:pStyle w:val="23"/>
                    <w:rPr>
                      <w:rFonts w:hint="default" w:ascii="Times New Roman" w:hAnsi="Times New Roman" w:cs="Times New Roman"/>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0155DF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废水</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7FEDF3C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试油期废水（洗井废水、废压裂返排液）</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4FD4DAD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SS、石油类</w:t>
                  </w:r>
                </w:p>
              </w:tc>
            </w:tr>
            <w:tr w14:paraId="71D9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5DAD9EEE">
                  <w:pPr>
                    <w:pStyle w:val="23"/>
                    <w:rPr>
                      <w:rFonts w:hint="default" w:ascii="Times New Roman" w:hAnsi="Times New Roman" w:cs="Times New Roman"/>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09475B1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噪声</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6E20E21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动力设备、试油</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2906F60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试油机械噪声</w:t>
                  </w:r>
                </w:p>
              </w:tc>
            </w:tr>
            <w:tr w14:paraId="4129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14:paraId="7C036676">
                  <w:pPr>
                    <w:pStyle w:val="23"/>
                    <w:rPr>
                      <w:rFonts w:hint="default" w:ascii="Times New Roman" w:hAnsi="Times New Roman" w:cs="Times New Roman"/>
                      <w:color w:val="000000" w:themeColor="text1"/>
                      <w14:textFill>
                        <w14:solidFill>
                          <w14:schemeClr w14:val="tx1"/>
                        </w14:solidFill>
                      </w14:textFill>
                    </w:rPr>
                  </w:pP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3248EEF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固废</w:t>
                  </w:r>
                </w:p>
              </w:tc>
              <w:tc>
                <w:tcPr>
                  <w:tcW w:w="1604" w:type="pct"/>
                  <w:tcBorders>
                    <w:top w:val="single" w:color="auto" w:sz="4" w:space="0"/>
                    <w:left w:val="single" w:color="auto" w:sz="4" w:space="0"/>
                    <w:bottom w:val="single" w:color="auto" w:sz="4" w:space="0"/>
                    <w:right w:val="single" w:color="auto" w:sz="4" w:space="0"/>
                    <w:tl2br w:val="nil"/>
                    <w:tr2bl w:val="nil"/>
                  </w:tcBorders>
                  <w:vAlign w:val="center"/>
                </w:tcPr>
                <w:p w14:paraId="3B7DDDD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试油期</w:t>
                  </w:r>
                </w:p>
              </w:tc>
              <w:tc>
                <w:tcPr>
                  <w:tcW w:w="2033" w:type="pct"/>
                  <w:tcBorders>
                    <w:top w:val="single" w:color="auto" w:sz="4" w:space="0"/>
                    <w:left w:val="single" w:color="auto" w:sz="4" w:space="0"/>
                    <w:bottom w:val="single" w:color="auto" w:sz="4" w:space="0"/>
                    <w:right w:val="single" w:color="auto" w:sz="4" w:space="0"/>
                    <w:tl2br w:val="nil"/>
                    <w:tr2bl w:val="nil"/>
                  </w:tcBorders>
                  <w:vAlign w:val="center"/>
                </w:tcPr>
                <w:p w14:paraId="02407DF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废弃防渗膜</w:t>
                  </w:r>
                </w:p>
              </w:tc>
            </w:tr>
          </w:tbl>
          <w:p w14:paraId="01771640">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bookmarkStart w:id="14" w:name="_Hlk27231092"/>
            <w:bookmarkStart w:id="15" w:name="_Hlk2526104"/>
            <w:r>
              <w:rPr>
                <w:rFonts w:hint="default" w:ascii="Times New Roman" w:hAnsi="Times New Roman" w:cs="Times New Roman"/>
                <w:color w:val="000000" w:themeColor="text1"/>
                <w:sz w:val="28"/>
                <w:szCs w:val="28"/>
                <w14:textFill>
                  <w14:solidFill>
                    <w14:schemeClr w14:val="tx1"/>
                  </w14:solidFill>
                </w14:textFill>
              </w:rPr>
              <w:t>1生态环境影响分析</w:t>
            </w:r>
          </w:p>
          <w:p w14:paraId="1A1805EA">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1.1生态环境影响因素及类型</w:t>
            </w:r>
          </w:p>
          <w:p w14:paraId="6C063FC2">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本项目井场、道路及施工营地施工过程中不可避免地会对周围生态环境造成不同程度的污染和破坏。</w:t>
            </w:r>
          </w:p>
          <w:p w14:paraId="49CC123D">
            <w:pPr>
              <w:pStyle w:val="25"/>
              <w:rPr>
                <w:rFonts w:hint="default" w:ascii="Times New Roman" w:hAnsi="Times New Roman" w:cs="Times New Roman"/>
                <w:color w:val="000000" w:themeColor="text1"/>
                <w:sz w:val="24"/>
                <w:szCs w:val="24"/>
                <w14:textFill>
                  <w14:solidFill>
                    <w14:schemeClr w14:val="tx1"/>
                  </w14:solidFill>
                </w14:textFill>
              </w:rPr>
            </w:pPr>
            <w:bookmarkStart w:id="16" w:name="_Hlk44523827"/>
            <w:bookmarkEnd w:id="16"/>
            <w:r>
              <w:rPr>
                <w:rFonts w:hint="default" w:ascii="Times New Roman" w:hAnsi="Times New Roman" w:cs="Times New Roman"/>
                <w:color w:val="000000" w:themeColor="text1"/>
                <w:sz w:val="24"/>
                <w:szCs w:val="24"/>
                <w14:textFill>
                  <w14:solidFill>
                    <w14:schemeClr w14:val="tx1"/>
                  </w14:solidFill>
                </w14:textFill>
              </w:rPr>
              <w:t>（1）生态环境影响类型</w:t>
            </w:r>
          </w:p>
          <w:p w14:paraId="34EB21CD">
            <w:pPr>
              <w:overflowPunct w:val="0"/>
              <w:adjustRightInd/>
              <w:ind w:firstLine="480"/>
              <w:rPr>
                <w:rFonts w:hint="default" w:ascii="Times New Roman" w:hAnsi="Times New Roman" w:cs="Times New Roman"/>
                <w:color w:val="000000" w:themeColor="text1"/>
                <w:sz w:val="24"/>
                <w:szCs w:val="24"/>
                <w14:textFill>
                  <w14:solidFill>
                    <w14:schemeClr w14:val="tx1"/>
                  </w14:solidFill>
                </w14:textFill>
              </w:rPr>
            </w:pPr>
            <w:bookmarkStart w:id="17" w:name="_Hlk67930575"/>
            <w:r>
              <w:rPr>
                <w:rFonts w:hint="default" w:ascii="Times New Roman" w:hAnsi="Times New Roman" w:cs="Times New Roman"/>
                <w:color w:val="000000" w:themeColor="text1"/>
                <w:sz w:val="24"/>
                <w:szCs w:val="24"/>
                <w14:textFill>
                  <w14:solidFill>
                    <w14:schemeClr w14:val="tx1"/>
                  </w14:solidFill>
                </w14:textFill>
              </w:rPr>
              <w:t>①占地对地表土壤、植被影响</w:t>
            </w:r>
          </w:p>
          <w:p w14:paraId="229715E9">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井场、道路、施工营地施工占地范围内土壤翻出、植被清除，将破坏地表原有稳定砾石层，加剧风蚀，改变原有生态系统结构和功能，属暂时性影响。</w:t>
            </w:r>
            <w:bookmarkEnd w:id="17"/>
            <w:r>
              <w:rPr>
                <w:rFonts w:hint="default" w:ascii="Times New Roman" w:hAnsi="Times New Roman" w:cs="Times New Roman"/>
                <w:color w:val="000000" w:themeColor="text1"/>
                <w:sz w:val="24"/>
                <w:szCs w:val="24"/>
                <w14:textFill>
                  <w14:solidFill>
                    <w14:schemeClr w14:val="tx1"/>
                  </w14:solidFill>
                </w14:textFill>
              </w:rPr>
              <w:t>施工完成后，临时性占地和影响将消除，使被破坏的生态环境逐步恢复。封井前井场将会在原来连续分布的生态环境中形成生态斑点，产生地表温度、水分等物理异常，以及干扰地面植被和野生动物繁殖、迁移和栖息，长久影响生态环境的类型和结构。</w:t>
            </w:r>
          </w:p>
          <w:p w14:paraId="283C83A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②污染物排放对生态环境的影响</w:t>
            </w:r>
          </w:p>
          <w:p w14:paraId="235C3D38">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主要污染源集中在钻井工程，其污染源分布广、排放源强小，污染因子简单，具有影响的全方位性、综合性的特点，其对生态环境影响的途径和程度取决于水环境、空气环境、声环境被污染的程度和固废的产生量及处置方式。</w:t>
            </w:r>
          </w:p>
          <w:p w14:paraId="3700D243">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（2）生态环境影响因素</w:t>
            </w:r>
          </w:p>
          <w:p w14:paraId="0EADC338">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环境影响因素识别实际上是对主体的识别，包括主要工程和辅助工程。对于本项目来讲，主要从钻井工程分析环境影响因素。</w:t>
            </w:r>
          </w:p>
          <w:p w14:paraId="3E0060BC">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井场的平整会产生土方的扰动；钻井过程中废物的排放、钻井机械的运输等施工活动均可对地表原生结构造成破坏，对生态环境带来不利影响。在井场选址过程中，应尽量选择动土作业量小的地段，场地平整所产生的土方随地势进行处置，尽可能填入低洼地带；采用钻井泥浆不落地技术；井场材料整齐堆放，严格管理，不得随地洒落，全部回收外运；施工机械划定运行线路，不得随意开行便道，以减少对地表原生结构的破坏。各种措施的采用，可有效减轻钻井过程对生态环境的影响。</w:t>
            </w:r>
          </w:p>
          <w:p w14:paraId="178947EF">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生态环境影响因素见表4-2。</w:t>
            </w:r>
          </w:p>
          <w:p w14:paraId="6F458FAB">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bookmarkStart w:id="18" w:name="_Hlk47519731"/>
            <w:bookmarkEnd w:id="18"/>
            <w:r>
              <w:rPr>
                <w:rFonts w:hint="default" w:ascii="Times New Roman" w:hAnsi="Times New Roman" w:cs="Times New Roman"/>
                <w:color w:val="000000" w:themeColor="text1"/>
                <w:sz w:val="21"/>
                <w:szCs w:val="21"/>
                <w14:textFill>
                  <w14:solidFill>
                    <w14:schemeClr w14:val="tx1"/>
                  </w14:solidFill>
                </w14:textFill>
              </w:rPr>
              <w:t>表4-2  生态环境影响因素</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4"/>
              <w:gridCol w:w="6273"/>
            </w:tblGrid>
            <w:tr w14:paraId="7099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6BFB1D0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工程活动</w:t>
                  </w:r>
                </w:p>
              </w:tc>
              <w:tc>
                <w:tcPr>
                  <w:tcW w:w="6831" w:type="dxa"/>
                  <w:tcBorders>
                    <w:top w:val="single" w:color="auto" w:sz="4" w:space="0"/>
                    <w:left w:val="nil"/>
                    <w:bottom w:val="single" w:color="auto" w:sz="4" w:space="0"/>
                    <w:right w:val="single" w:color="auto" w:sz="4" w:space="0"/>
                  </w:tcBorders>
                  <w:vAlign w:val="center"/>
                </w:tcPr>
                <w:p w14:paraId="54D0A164">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主要影响</w:t>
                  </w:r>
                </w:p>
              </w:tc>
            </w:tr>
            <w:tr w14:paraId="7242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3995E22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钻井工程</w:t>
                  </w:r>
                </w:p>
              </w:tc>
              <w:tc>
                <w:tcPr>
                  <w:tcW w:w="6831" w:type="dxa"/>
                  <w:tcBorders>
                    <w:top w:val="single" w:color="auto" w:sz="4" w:space="0"/>
                    <w:left w:val="nil"/>
                    <w:bottom w:val="single" w:color="auto" w:sz="4" w:space="0"/>
                    <w:right w:val="single" w:color="auto" w:sz="4" w:space="0"/>
                  </w:tcBorders>
                </w:tcPr>
                <w:p w14:paraId="1E82170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1、对井场及周围植被的破坏影响；</w:t>
                  </w:r>
                </w:p>
                <w:p w14:paraId="0708A80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2、对井场土壤产生的不利影响。</w:t>
                  </w:r>
                </w:p>
              </w:tc>
            </w:tr>
            <w:tr w14:paraId="6B70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0E3BA6A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施工营地修建</w:t>
                  </w:r>
                </w:p>
              </w:tc>
              <w:tc>
                <w:tcPr>
                  <w:tcW w:w="6831" w:type="dxa"/>
                  <w:tcBorders>
                    <w:top w:val="single" w:color="auto" w:sz="4" w:space="0"/>
                    <w:left w:val="nil"/>
                    <w:bottom w:val="single" w:color="auto" w:sz="4" w:space="0"/>
                    <w:right w:val="single" w:color="auto" w:sz="4" w:space="0"/>
                  </w:tcBorders>
                </w:tcPr>
                <w:p w14:paraId="1C8A7F2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3、对施工营地及周围植被的破坏影响。</w:t>
                  </w:r>
                </w:p>
                <w:p w14:paraId="0A22246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4、对施工营地土壤产生的不利影响。</w:t>
                  </w:r>
                </w:p>
              </w:tc>
            </w:tr>
            <w:tr w14:paraId="73B9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2015" w:type="dxa"/>
                  <w:tcBorders>
                    <w:top w:val="single" w:color="auto" w:sz="4" w:space="0"/>
                    <w:left w:val="single" w:color="auto" w:sz="4" w:space="0"/>
                    <w:bottom w:val="single" w:color="auto" w:sz="4" w:space="0"/>
                    <w:right w:val="single" w:color="auto" w:sz="4" w:space="0"/>
                  </w:tcBorders>
                  <w:vAlign w:val="center"/>
                </w:tcPr>
                <w:p w14:paraId="1065B5C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井场道路修建</w:t>
                  </w:r>
                </w:p>
              </w:tc>
              <w:tc>
                <w:tcPr>
                  <w:tcW w:w="6831" w:type="dxa"/>
                  <w:tcBorders>
                    <w:top w:val="single" w:color="auto" w:sz="4" w:space="0"/>
                    <w:left w:val="nil"/>
                    <w:bottom w:val="single" w:color="auto" w:sz="4" w:space="0"/>
                    <w:right w:val="single" w:color="auto" w:sz="4" w:space="0"/>
                  </w:tcBorders>
                </w:tcPr>
                <w:p w14:paraId="277AA9F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5、施工过程对道路两侧植被和土壤产生不利影响。</w:t>
                  </w:r>
                </w:p>
                <w:p w14:paraId="78E78F4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6、道路施工对干河床的影响。</w:t>
                  </w:r>
                </w:p>
              </w:tc>
            </w:tr>
          </w:tbl>
          <w:p w14:paraId="0FC68CB8">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1.2植被的影响分析</w:t>
            </w:r>
          </w:p>
          <w:p w14:paraId="2242077B">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本项目钻井工程是造成植被破坏的主要原因。</w:t>
            </w:r>
          </w:p>
          <w:p w14:paraId="66B239CC">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（1）工程占地对植被的影响</w:t>
            </w:r>
          </w:p>
          <w:p w14:paraId="3E940DD6">
            <w:pPr>
              <w:pStyle w:val="25"/>
              <w:jc w:val="both"/>
              <w:rPr>
                <w:rFonts w:hint="default" w:ascii="Times New Roman" w:hAnsi="Times New Roman" w:cs="Times New Roman"/>
                <w:color w:val="000000" w:themeColor="text1"/>
                <w:sz w:val="24"/>
                <w:szCs w:val="24"/>
                <w14:textFill>
                  <w14:solidFill>
                    <w14:schemeClr w14:val="tx1"/>
                  </w14:solidFill>
                </w14:textFill>
              </w:rPr>
            </w:pPr>
            <w:bookmarkStart w:id="19" w:name="_Hlk43446974"/>
            <w:bookmarkEnd w:id="19"/>
            <w:r>
              <w:rPr>
                <w:rFonts w:hint="default" w:ascii="Times New Roman" w:hAnsi="Times New Roman" w:cs="Times New Roman"/>
                <w:color w:val="000000" w:themeColor="text1"/>
                <w:sz w:val="24"/>
                <w:szCs w:val="24"/>
                <w14:textFill>
                  <w14:solidFill>
                    <w14:schemeClr w14:val="tx1"/>
                  </w14:solidFill>
                </w14:textFill>
              </w:rPr>
              <w:t>钻井过程中的占地包括井场、入场道路及施工营地占地，对植被的影响主要表现在施工期，主要影响形式是对土地的占用以及施工阶段清场过程中对地表植被的清理及施工过程中的碾压。</w:t>
            </w:r>
          </w:p>
          <w:p w14:paraId="653720AC">
            <w:pPr>
              <w:pStyle w:val="25"/>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在井场、道路及施工营地施工过程中土地被扰动，地表植被基本被毁。施工结束后重新回到原来的自然状态，但地表植被及地表结构却发生了变化。地表保护层被破坏后，其稳定性下降，防止水土流失的能力也随之下降。</w:t>
            </w:r>
            <w:bookmarkStart w:id="20" w:name="_Hlk43447011"/>
            <w:bookmarkEnd w:id="20"/>
          </w:p>
          <w:p w14:paraId="56840870">
            <w:pPr>
              <w:pStyle w:val="25"/>
              <w:rPr>
                <w:rFonts w:hint="default" w:ascii="Times New Roman" w:hAnsi="Times New Roman" w:cs="Times New Roman"/>
                <w:color w:val="000000" w:themeColor="text1"/>
                <w:sz w:val="24"/>
                <w:szCs w:val="24"/>
                <w14:textFill>
                  <w14:solidFill>
                    <w14:schemeClr w14:val="tx1"/>
                  </w14:solidFill>
                </w14:textFill>
              </w:rPr>
            </w:pPr>
            <w:bookmarkStart w:id="21" w:name="_Hlk48504594"/>
            <w:bookmarkEnd w:id="21"/>
            <w:r>
              <w:rPr>
                <w:rFonts w:hint="default" w:ascii="Times New Roman" w:hAnsi="Times New Roman" w:cs="Times New Roman"/>
                <w:color w:val="000000" w:themeColor="text1"/>
                <w:sz w:val="24"/>
                <w:szCs w:val="24"/>
                <w14:textFill>
                  <w14:solidFill>
                    <w14:schemeClr w14:val="tx1"/>
                  </w14:solidFill>
                </w14:textFill>
              </w:rPr>
              <w:t>（2）道路修建对植被的影响</w:t>
            </w:r>
          </w:p>
          <w:p w14:paraId="1B1C6AE7">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本项目建设过程中需修建油区简易道路</w:t>
            </w:r>
            <w:r>
              <w:rPr>
                <w:rFonts w:hint="default" w:ascii="Times New Roman" w:hAnsi="Times New Roman" w:cs="Times New Roman"/>
                <w:color w:val="000000" w:themeColor="text1"/>
                <w:sz w:val="24"/>
                <w:szCs w:val="24"/>
                <w:lang w:val="en-US" w:eastAsia="zh-CN"/>
                <w14:textFill>
                  <w14:solidFill>
                    <w14:schemeClr w14:val="tx1"/>
                  </w14:solidFill>
                </w14:textFill>
              </w:rPr>
              <w:t>1242.41</w:t>
            </w:r>
            <w:r>
              <w:rPr>
                <w:rFonts w:hint="default" w:ascii="Times New Roman" w:hAnsi="Times New Roman" w:cs="Times New Roman"/>
                <w:color w:val="000000" w:themeColor="text1"/>
                <w:sz w:val="24"/>
                <w:szCs w:val="24"/>
                <w14:textFill>
                  <w14:solidFill>
                    <w14:schemeClr w14:val="tx1"/>
                  </w14:solidFill>
                </w14:textFill>
              </w:rPr>
              <w:t>m。在道路修建过程中，除了路基占用原有土地外，主要影响的是道路两侧的植被。施工完成后，由于区域内有冬季降雪，在融雪季节道路两侧有积水产生，有利于道路两侧植被的自然恢复。</w:t>
            </w:r>
          </w:p>
          <w:p w14:paraId="6A692222">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（3）人类活动对植被的影响</w:t>
            </w:r>
          </w:p>
          <w:p w14:paraId="428F4F68">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施工过程对植被的影响主要表现在人类和机械对植物的碾压和砍伐，使原生植被生境发生较大变化。区域单位面积上人口密度的增加将导致工程开发范围内及边缘区域地表土壤被践踏、自然植被减少。但评价区植被分布不均匀，覆盖度较低，因此，人类活动对该区域天然植被产生的不良影响非常有限。</w:t>
            </w:r>
          </w:p>
          <w:p w14:paraId="2B806DA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（4）突发性事故对植被的影响</w:t>
            </w:r>
          </w:p>
          <w:p w14:paraId="34D5144E">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施工过程中对生态环境造成严重破坏的主要事故类型为原油和含油污水泄漏，其产生的污染物排放均会对评价范围内的植被造成不同程度的影响，影响程度与发生事故时泄漏的油量及是否发生火灾有很大关系。植被体上附着的原油越多，植物死亡率就越高，而且草本植被比乔、灌木更敏感，更易受到致命的影响。如果发生火灾，则植被的地上部分会完全被毁，但如果土壤环境未被破坏，第二年植被将会重新生长。</w:t>
            </w:r>
          </w:p>
          <w:p w14:paraId="4F924771">
            <w:pPr>
              <w:pStyle w:val="2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交通事故通常发生在道路两旁，发生的概率及影响范围均极小，仅对路边很小范围的植被产生严重污染。相对于整个开发区域而言，事故均发生于一个较小的范围内，且可通过对原油的及时清理而减轻其影响，不会对整个区域植被产生明显不利影响。</w:t>
            </w:r>
          </w:p>
          <w:p w14:paraId="20124404">
            <w:pPr>
              <w:pStyle w:val="4"/>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1.3对野生动物影响分析</w:t>
            </w:r>
          </w:p>
          <w:p w14:paraId="6293F697">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施工对野生动物的生存环境、分布范围和种群数量的影响主要分为直接影响和间接影响两个方面。直接影响主要表现为建设项目的占地，使野生动物的原始生存环境被破坏或改变；间接影响主要表现为由于植被的减少或污染破坏而引起野生动物食物来源的减少。</w:t>
            </w:r>
          </w:p>
          <w:p w14:paraId="4DD6E0E9">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（1）施工期对野生动物的影响</w:t>
            </w:r>
          </w:p>
          <w:p w14:paraId="0569B96C">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井场建设、钻井过程中，由于机械设备的轰鸣惊扰，人群活动的增加，鸟类和哺乳类动物将远离施工现场，使区域内单位面积上的动物种群数量下降，但此类影响对爬行类和小型啮齿类动物的干扰不大。一些伴人型鸟类如麻雀、乌鸦等，一般在离作业区30m以外活动，待无噪声干扰时较常见于人类生活区附近。因此，随着钻井、试油各个过程的变化，该区域内野生动物的种类和数量将发生一定的变化，原有的戈壁荒漠型鸟类和哺乳类将逐渐避开人类活动的干扰迁至其他区域，而常见的伴人型野生动物种类有所增加。施工完成后，施工人员撤离作业区域，区域内的人为活动逐步减少，野生动物将逐步回归原有生境。</w:t>
            </w:r>
          </w:p>
          <w:p w14:paraId="0039A158">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（2）事故对野生动物的影响</w:t>
            </w:r>
          </w:p>
          <w:p w14:paraId="267DEC6E">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发生事故时常常导致原油及天然气的泄出和渗漏，从而可能影响工程区域内的野生脊椎动物的生存环境。事故类型的不同，对野生动物的影响范围和程度也有所不同。当发生井喷事故时，井场周围200m-500m范围以内的各种小型脊椎动物会因躲避不及造成死亡，局部区域可能影响到的只是一些啮齿类动物、爬行动物和小型鸟类，对大中型动物，特别是对保护动物不会造成影响。如果发生火灾事故，由于生态环境及空气环境的变化，短时间内会使事故周围动物的分布数量下降。</w:t>
            </w:r>
          </w:p>
          <w:p w14:paraId="081388C8">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（3）对野生动物生境的影响</w:t>
            </w:r>
          </w:p>
          <w:p w14:paraId="12885236">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区域内各种野生动物经过长期的适应已形成较稳定的取食、饮水、栖息活动范围和分布，施工占地将使原有野生动物的分布、栖息活动范围受到压缩。人为活动的干扰使得区域上空活动的鸟类相对于未干扰时有所减少，而使得局部地段二、三级营养结构中的爬行类（啮齿类）和昆虫类数量有所增加或活动频度增大。这些占地影响对地面活动的野生动物种类产生隔离作用，使原分布区内的种类向外扩散，而钻井作业结束后，随着人类活动和占地的减少，原有生境将逐步恢复，野生动物对新环境适应后其活动和分布范围亦将恢复。</w:t>
            </w:r>
          </w:p>
          <w:p w14:paraId="0BD9BAB4">
            <w:pPr>
              <w:pStyle w:val="4"/>
              <w:ind w:firstLine="0" w:firstLineChars="0"/>
              <w:rPr>
                <w:rFonts w:hint="default" w:ascii="Times New Roman" w:hAnsi="Times New Roman" w:cs="Times New Roman"/>
                <w:color w:val="000000" w:themeColor="text1"/>
                <w:sz w:val="24"/>
                <w:szCs w:val="24"/>
                <w14:textFill>
                  <w14:solidFill>
                    <w14:schemeClr w14:val="tx1"/>
                  </w14:solidFill>
                </w14:textFill>
              </w:rPr>
            </w:pPr>
            <w:bookmarkStart w:id="22" w:name="_Hlk48510044"/>
            <w:bookmarkEnd w:id="22"/>
            <w:r>
              <w:rPr>
                <w:rFonts w:hint="default" w:ascii="Times New Roman" w:hAnsi="Times New Roman" w:cs="Times New Roman"/>
                <w:color w:val="000000" w:themeColor="text1"/>
                <w:sz w:val="24"/>
                <w:szCs w:val="24"/>
                <w14:textFill>
                  <w14:solidFill>
                    <w14:schemeClr w14:val="tx1"/>
                  </w14:solidFill>
                </w14:textFill>
              </w:rPr>
              <w:t>1.4对土壤的影响分析</w:t>
            </w:r>
          </w:p>
          <w:p w14:paraId="5F53A77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本项目属于“矿产资源地质勘查（含勘探活动和油气资源勘探）”，根据《环境影响评价技术导则土壤环境（试行）》（HJ 964-2018）附录A，本项目为Ⅳ类项目，可不开展土壤环境影响评价，本次环评仅作简单分析。</w:t>
            </w:r>
          </w:p>
          <w:p w14:paraId="50E80A05">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（1）工程占地影响分析</w:t>
            </w:r>
          </w:p>
          <w:p w14:paraId="4DABFDF0">
            <w:pPr>
              <w:pStyle w:val="25"/>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本项目占地主要为井场、施工营地及临时道路，施工期扰动总面积达</w:t>
            </w:r>
            <w:r>
              <w:rPr>
                <w:rFonts w:hint="eastAsia" w:ascii="Times New Roman" w:hAnsi="Times New Roman" w:cs="Times New Roman"/>
                <w:color w:val="000000" w:themeColor="text1"/>
                <w:sz w:val="24"/>
                <w:szCs w:val="24"/>
                <w:lang w:val="en-US" w:eastAsia="zh-CN"/>
                <w14:textFill>
                  <w14:solidFill>
                    <w14:schemeClr w14:val="tx1"/>
                  </w14:solidFill>
                </w14:textFill>
              </w:rPr>
              <w:t>32097</w:t>
            </w:r>
            <w:r>
              <w:rPr>
                <w:rFonts w:hint="default" w:ascii="Times New Roman" w:hAnsi="Times New Roman" w:cs="Times New Roman"/>
                <w:color w:val="000000" w:themeColor="text1"/>
                <w:sz w:val="24"/>
                <w:szCs w:val="24"/>
                <w14:textFill>
                  <w14:solidFill>
                    <w14:schemeClr w14:val="tx1"/>
                  </w14:solidFill>
                </w14:textFill>
              </w:rPr>
              <w:t>m</w:t>
            </w:r>
            <w:r>
              <w:rPr>
                <w:rFonts w:hint="default" w:ascii="Times New Roman" w:hAnsi="Times New Roman" w:cs="Times New Roman"/>
                <w:color w:val="000000" w:themeColor="text1"/>
                <w:sz w:val="24"/>
                <w:szCs w:val="24"/>
                <w:vertAlign w:val="superscript"/>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，均为临时占地。最主要的危害是破坏了地表结构，增加了土壤风蚀量和沙漠化的可能性。</w:t>
            </w:r>
          </w:p>
          <w:p w14:paraId="5C6B67E5">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在进行井场施工时，将对作业范围内的土壤表层进行干扰和破坏，土壤表层结构（包括紧实度）、肥力将受到影响，土壤易受到侵蚀。</w:t>
            </w:r>
          </w:p>
          <w:p w14:paraId="15E5B77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当施工结束后，人为活动的范围缩小，将使受到破坏的地表逐渐得到恢复，风蚀和荒漠化影响将随着天然植被的恢复逐渐得到控制。</w:t>
            </w:r>
          </w:p>
          <w:p w14:paraId="7E87F3BB">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（2）固体废物对土壤环境的影响</w:t>
            </w:r>
          </w:p>
          <w:p w14:paraId="0D22B64E">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在钻井过程中会产生钻井岩屑，本项目采用泥浆不落地技术，可以有效减缓钻井岩屑对土壤的影响范围和程度。</w:t>
            </w:r>
          </w:p>
          <w:p w14:paraId="16955784">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（3）事故状态下对土壤环境的影响</w:t>
            </w:r>
          </w:p>
          <w:p w14:paraId="7A4F5878">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井喷是油田开发过程中的意外事故，钻井和试油中均可能发生井喷。一次井喷可抛洒大量的天然气和原油，其中的轻组分挥发，而重组分油对土壤有一定的影响。井喷会造成大量原油覆盖在土壤表层，使土壤表层的土壤透气性下降，理化性状发生变化，对影响范围内的土壤表层造成严重的污染。</w:t>
            </w:r>
          </w:p>
          <w:p w14:paraId="561AB863">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井喷持续时间越长，对土壤造成的污染越严重。但根据已有的相关资料，井喷事故主要影响事故区域内的表层土壤。</w:t>
            </w:r>
          </w:p>
          <w:p w14:paraId="614C5FFC">
            <w:pPr>
              <w:pStyle w:val="5"/>
              <w:ind w:firstLine="0" w:firstLineChars="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1.5对</w:t>
            </w:r>
            <w:r>
              <w:rPr>
                <w:rFonts w:hint="default" w:ascii="Times New Roman" w:hAnsi="Times New Roman" w:cs="Times New Roman"/>
                <w:color w:val="000000" w:themeColor="text1"/>
                <w:sz w:val="24"/>
                <w:szCs w:val="24"/>
                <w:lang w:val="en-US" w:eastAsia="zh-CN"/>
                <w14:textFill>
                  <w14:solidFill>
                    <w14:schemeClr w14:val="tx1"/>
                  </w14:solidFill>
                </w14:textFill>
              </w:rPr>
              <w:t>其他</w:t>
            </w:r>
            <w:r>
              <w:rPr>
                <w:rFonts w:hint="default" w:ascii="Times New Roman" w:hAnsi="Times New Roman" w:cs="Times New Roman"/>
                <w:color w:val="000000" w:themeColor="text1"/>
                <w:sz w:val="24"/>
                <w:szCs w:val="24"/>
                <w14:textFill>
                  <w14:solidFill>
                    <w14:schemeClr w14:val="tx1"/>
                  </w14:solidFill>
                </w14:textFill>
              </w:rPr>
              <w:t>草地的影响分析</w:t>
            </w:r>
          </w:p>
          <w:p w14:paraId="74ABB08A">
            <w:pPr>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w:t>
            </w:r>
            <w:r>
              <w:rPr>
                <w:rFonts w:hint="default" w:ascii="Times New Roman" w:hAnsi="Times New Roman" w:cs="Times New Roman"/>
                <w:color w:val="000000" w:themeColor="text1"/>
                <w:sz w:val="24"/>
                <w:szCs w:val="24"/>
                <w:lang w:val="en-US" w:eastAsia="zh-CN"/>
                <w14:textFill>
                  <w14:solidFill>
                    <w14:schemeClr w14:val="tx1"/>
                  </w14:solidFill>
                </w14:textFill>
              </w:rPr>
              <w:t>临时道路占用其他</w:t>
            </w:r>
            <w:r>
              <w:rPr>
                <w:rFonts w:hint="default" w:ascii="Times New Roman" w:hAnsi="Times New Roman" w:cs="Times New Roman"/>
                <w:color w:val="000000" w:themeColor="text1"/>
                <w:sz w:val="24"/>
                <w:szCs w:val="24"/>
                <w14:textFill>
                  <w14:solidFill>
                    <w14:schemeClr w14:val="tx1"/>
                  </w14:solidFill>
                </w14:textFill>
              </w:rPr>
              <w:t>草地，未占用基本草原，开发过程中石油对农作物的污染途径主要有两种：一是落地油污染土壤，改变其结构和性状，使生长其上的植物间接受到影响；二是钻井及生产过程中不慎将原油溅落在天然牧草地上，影响其生理功能，使植物生长发育受阻，严重时导致植物的死亡。</w:t>
            </w:r>
          </w:p>
          <w:p w14:paraId="29F02B89">
            <w:pPr>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本评价要求施工单位物料运输和施工范围严格控制在规定范围内，禁止破坏周边天然牧草地，禁止将施工机械及车辆开进天然牧草地。采取严格管理措施后，本项目对周围天然牧草地影响较小。</w:t>
            </w:r>
          </w:p>
          <w:p w14:paraId="2C87743E">
            <w:pPr>
              <w:pStyle w:val="5"/>
              <w:ind w:firstLine="0" w:firstLineChars="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1.6对</w:t>
            </w:r>
            <w:r>
              <w:rPr>
                <w:rFonts w:hint="default" w:ascii="Times New Roman" w:hAnsi="Times New Roman" w:cs="Times New Roman"/>
                <w:color w:val="000000" w:themeColor="text1"/>
                <w:sz w:val="24"/>
                <w:szCs w:val="24"/>
                <w:lang w:val="en-US" w:eastAsia="zh-CN"/>
                <w14:textFill>
                  <w14:solidFill>
                    <w14:schemeClr w14:val="tx1"/>
                  </w14:solidFill>
                </w14:textFill>
              </w:rPr>
              <w:t>灌木林地</w:t>
            </w:r>
            <w:r>
              <w:rPr>
                <w:rFonts w:hint="default" w:ascii="Times New Roman" w:hAnsi="Times New Roman" w:cs="Times New Roman"/>
                <w:color w:val="000000" w:themeColor="text1"/>
                <w:sz w:val="24"/>
                <w:szCs w:val="24"/>
                <w14:textFill>
                  <w14:solidFill>
                    <w14:schemeClr w14:val="tx1"/>
                  </w14:solidFill>
                </w14:textFill>
              </w:rPr>
              <w:t>的影响分析</w:t>
            </w:r>
          </w:p>
          <w:p w14:paraId="26542EF8">
            <w:pPr>
              <w:pStyle w:val="1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firstLine="4"/>
              <w:jc w:val="left"/>
              <w:textAlignment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本项目</w:t>
            </w:r>
            <w:r>
              <w:rPr>
                <w:rFonts w:hint="default" w:ascii="Times New Roman" w:hAnsi="Times New Roman" w:eastAsia="宋体" w:cs="Times New Roman"/>
                <w:color w:val="000000" w:themeColor="text1"/>
                <w:spacing w:val="0"/>
                <w:position w:val="0"/>
                <w:sz w:val="24"/>
                <w:szCs w:val="24"/>
                <w:lang w:val="en-US" w:eastAsia="zh-CN"/>
                <w14:textFill>
                  <w14:solidFill>
                    <w14:schemeClr w14:val="tx1"/>
                  </w14:solidFill>
                </w14:textFill>
              </w:rPr>
              <w:t>井场、生活营地及部分临时道路占用</w:t>
            </w:r>
            <w:r>
              <w:rPr>
                <w:rFonts w:hint="default" w:ascii="Times New Roman" w:hAnsi="Times New Roman" w:eastAsia="宋体" w:cs="Times New Roman"/>
                <w:color w:val="000000" w:themeColor="text1"/>
                <w:spacing w:val="0"/>
                <w:position w:val="0"/>
                <w:sz w:val="24"/>
                <w:szCs w:val="24"/>
                <w14:textFill>
                  <w14:solidFill>
                    <w14:schemeClr w14:val="tx1"/>
                  </w14:solidFill>
                </w14:textFill>
              </w:rPr>
              <w:t>灌木林地，未占用公益林，开发过程中石油对植物的污染途径主要有两种：一是事故状态下的泄漏的原油污染土壤，改变其结构和性状，使生长其上的植物间接的受到影响；二是钻井及生产过程中不慎将原油溅落在灌木林地上，影响其生理功能，使植物生长发育受阻，严重时导致植物的死亡</w:t>
            </w:r>
            <w:r>
              <w:rPr>
                <w:rFonts w:hint="default" w:ascii="Times New Roman" w:hAnsi="Times New Roman" w:eastAsia="宋体" w:cs="Times New Roman"/>
                <w:color w:val="000000" w:themeColor="text1"/>
                <w:spacing w:val="0"/>
                <w:position w:val="0"/>
                <w:sz w:val="24"/>
                <w:szCs w:val="24"/>
                <w:lang w:eastAsia="zh-CN"/>
                <w14:textFill>
                  <w14:solidFill>
                    <w14:schemeClr w14:val="tx1"/>
                  </w14:solidFill>
                </w14:textFill>
              </w:rPr>
              <w:t>。</w:t>
            </w:r>
          </w:p>
          <w:p w14:paraId="1A56CDFE">
            <w:pPr>
              <w:pStyle w:val="5"/>
              <w:ind w:firstLine="0" w:firstLineChars="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1.7沙化和水土流失影响分析</w:t>
            </w:r>
          </w:p>
          <w:p w14:paraId="516F5941">
            <w:pPr>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项目区钻井工程实施中，会使施工带范围内的土体结构遭到破坏，其范围内的植被也会受到严重破坏甚至被彻底清除，沙化和水土流失加剧，主要表现为：</w:t>
            </w:r>
          </w:p>
          <w:p w14:paraId="58911A8F">
            <w:pPr>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（1）土壤粗粒化</w:t>
            </w:r>
          </w:p>
          <w:p w14:paraId="20113D91">
            <w:pPr>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在土壤沙化过程中，当风力作用地表产生风蚀时，便产生风蚀作用，细粒物质被带走，粗粒物质大部分原地保留下来，从而使土壤颗粒变粗，将未沙化的原始土壤和“就地起沙”形成的风沙土颗粒粒级加以比较，沙化后的风沙土较之原始土壤粗砂和细砂粒显著增加，而粉砂和粘粒粒级减少。</w:t>
            </w:r>
          </w:p>
          <w:p w14:paraId="23FAB022">
            <w:pPr>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（2）土壤贫瘠及含盐量变化</w:t>
            </w:r>
          </w:p>
          <w:p w14:paraId="79E5B6DD">
            <w:pPr>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沙化引起土壤贫瘠化的原因，一是积累土壤有机质的表层被风吹蚀；二是在风沙化发展过程中，土壤干旱并在高温影响下，有机物质矿化加强，使原来积累的有机物大量分解；三是土壤粗粒化结果。从未沙化原始土壤与沙化地段土壤肥力对比看，土壤有机质和全氮含量随沙漠化增加有所降低，特别是土壤有机质随沙化强度的变化十分明显。磷素和钾素随沙化程度增加，含量无明显差异。土壤中的易溶性盐分是随土壤水分发生移动的，并随着土壤水分蒸发而在地表聚积。由于沙土毛管上升高度低，因此，通过毛管上升水流到达地表而产生的积盐很微弱，另外在土壤受到风蚀沙化时，表土层的盐分有的被吹蚀，有的和含盐轻的底土层发生混合，因而也降低了风沙土壤的盐分含量，据邻近油田的调查结果表明，随沙化增强，盐分含量降低。</w:t>
            </w:r>
          </w:p>
          <w:p w14:paraId="3071FD24">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2施工期废气影响分析</w:t>
            </w:r>
          </w:p>
          <w:p w14:paraId="5C31B4D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本项目施工期废气主要来源于钻井期的柴油机组燃烧废气、施工扬尘、机械排放废气和运输车辆尾气，试油期的柴油机组燃烧废气、伴生气燃烧废气、临时储罐废气和采出液装卸废气。</w:t>
            </w:r>
          </w:p>
          <w:p w14:paraId="3DA9B78D">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（1）柴油机组燃烧废气</w:t>
            </w:r>
          </w:p>
          <w:p w14:paraId="26814ABD">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本项目钻井期及试油期柴油耗量见表4-3。</w:t>
            </w:r>
          </w:p>
          <w:p w14:paraId="3C3DD82A">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表4-3  钻井期和油气测试期消耗柴油量</w:t>
            </w:r>
          </w:p>
          <w:tbl>
            <w:tblPr>
              <w:tblStyle w:val="16"/>
              <w:tblW w:w="4949" w:type="pct"/>
              <w:tblInd w:w="0" w:type="dxa"/>
              <w:tblLayout w:type="fixed"/>
              <w:tblCellMar>
                <w:top w:w="0" w:type="dxa"/>
                <w:left w:w="108" w:type="dxa"/>
                <w:bottom w:w="0" w:type="dxa"/>
                <w:right w:w="108" w:type="dxa"/>
              </w:tblCellMar>
            </w:tblPr>
            <w:tblGrid>
              <w:gridCol w:w="1525"/>
              <w:gridCol w:w="2215"/>
              <w:gridCol w:w="2012"/>
              <w:gridCol w:w="2312"/>
            </w:tblGrid>
            <w:tr w14:paraId="75FA2E31">
              <w:tblPrEx>
                <w:tblCellMar>
                  <w:top w:w="0" w:type="dxa"/>
                  <w:left w:w="108" w:type="dxa"/>
                  <w:bottom w:w="0" w:type="dxa"/>
                  <w:right w:w="108" w:type="dxa"/>
                </w:tblCellMar>
              </w:tblPrEx>
              <w:trPr>
                <w:trHeight w:val="155"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1414377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阶段</w:t>
                  </w:r>
                </w:p>
              </w:tc>
              <w:tc>
                <w:tcPr>
                  <w:tcW w:w="1373" w:type="pct"/>
                  <w:tcBorders>
                    <w:top w:val="single" w:color="auto" w:sz="4" w:space="0"/>
                    <w:left w:val="single" w:color="auto" w:sz="4" w:space="0"/>
                    <w:bottom w:val="single" w:color="auto" w:sz="4" w:space="0"/>
                    <w:right w:val="single" w:color="auto" w:sz="4" w:space="0"/>
                  </w:tcBorders>
                  <w:noWrap/>
                  <w:vAlign w:val="center"/>
                </w:tcPr>
                <w:p w14:paraId="42A48DA5">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周期（d）</w:t>
                  </w:r>
                </w:p>
              </w:tc>
              <w:tc>
                <w:tcPr>
                  <w:tcW w:w="1247" w:type="pct"/>
                  <w:tcBorders>
                    <w:top w:val="single" w:color="auto" w:sz="4" w:space="0"/>
                    <w:left w:val="single" w:color="auto" w:sz="4" w:space="0"/>
                    <w:bottom w:val="single" w:color="auto" w:sz="4" w:space="0"/>
                    <w:right w:val="single" w:color="auto" w:sz="4" w:space="0"/>
                  </w:tcBorders>
                  <w:noWrap/>
                  <w:vAlign w:val="center"/>
                </w:tcPr>
                <w:p w14:paraId="5444573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柴油用量（t/d）</w:t>
                  </w:r>
                </w:p>
              </w:tc>
              <w:tc>
                <w:tcPr>
                  <w:tcW w:w="1433" w:type="pct"/>
                  <w:tcBorders>
                    <w:top w:val="single" w:color="000000" w:sz="4" w:space="0"/>
                    <w:left w:val="single" w:color="auto" w:sz="4" w:space="0"/>
                    <w:right w:val="single" w:color="auto" w:sz="4" w:space="0"/>
                  </w:tcBorders>
                  <w:noWrap/>
                  <w:vAlign w:val="center"/>
                </w:tcPr>
                <w:p w14:paraId="5ACB32F6">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柴油消耗总量（t）</w:t>
                  </w:r>
                </w:p>
              </w:tc>
            </w:tr>
            <w:tr w14:paraId="321D29DE">
              <w:tblPrEx>
                <w:tblCellMar>
                  <w:top w:w="0" w:type="dxa"/>
                  <w:left w:w="108" w:type="dxa"/>
                  <w:bottom w:w="0" w:type="dxa"/>
                  <w:right w:w="108" w:type="dxa"/>
                </w:tblCellMar>
              </w:tblPrEx>
              <w:trPr>
                <w:trHeight w:val="300"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400E23B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钻井期</w:t>
                  </w:r>
                </w:p>
              </w:tc>
              <w:tc>
                <w:tcPr>
                  <w:tcW w:w="1373" w:type="pct"/>
                  <w:tcBorders>
                    <w:top w:val="single" w:color="auto" w:sz="4" w:space="0"/>
                    <w:left w:val="single" w:color="auto" w:sz="4" w:space="0"/>
                    <w:bottom w:val="single" w:color="auto" w:sz="4" w:space="0"/>
                    <w:right w:val="single" w:color="auto" w:sz="4" w:space="0"/>
                  </w:tcBorders>
                  <w:noWrap/>
                  <w:vAlign w:val="center"/>
                </w:tcPr>
                <w:p w14:paraId="64F8E98E">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70</w:t>
                  </w:r>
                </w:p>
              </w:tc>
              <w:tc>
                <w:tcPr>
                  <w:tcW w:w="1247" w:type="pct"/>
                  <w:tcBorders>
                    <w:top w:val="single" w:color="auto" w:sz="4" w:space="0"/>
                    <w:left w:val="single" w:color="auto" w:sz="4" w:space="0"/>
                    <w:bottom w:val="single" w:color="auto" w:sz="4" w:space="0"/>
                    <w:right w:val="single" w:color="auto" w:sz="4" w:space="0"/>
                  </w:tcBorders>
                  <w:noWrap/>
                  <w:vAlign w:val="center"/>
                </w:tcPr>
                <w:p w14:paraId="515C86AC">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2.0</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45E56927">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140</w:t>
                  </w:r>
                </w:p>
              </w:tc>
            </w:tr>
            <w:tr w14:paraId="02EA100A">
              <w:tblPrEx>
                <w:tblCellMar>
                  <w:top w:w="0" w:type="dxa"/>
                  <w:left w:w="108" w:type="dxa"/>
                  <w:bottom w:w="0" w:type="dxa"/>
                  <w:right w:w="108" w:type="dxa"/>
                </w:tblCellMar>
              </w:tblPrEx>
              <w:trPr>
                <w:trHeight w:val="300" w:hRule="atLeast"/>
              </w:trPr>
              <w:tc>
                <w:tcPr>
                  <w:tcW w:w="946" w:type="pct"/>
                  <w:tcBorders>
                    <w:top w:val="single" w:color="auto" w:sz="4" w:space="0"/>
                    <w:left w:val="single" w:color="auto" w:sz="4" w:space="0"/>
                    <w:bottom w:val="single" w:color="auto" w:sz="4" w:space="0"/>
                    <w:right w:val="single" w:color="auto" w:sz="4" w:space="0"/>
                  </w:tcBorders>
                  <w:noWrap/>
                  <w:vAlign w:val="center"/>
                </w:tcPr>
                <w:p w14:paraId="0675867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试油期</w:t>
                  </w:r>
                </w:p>
              </w:tc>
              <w:tc>
                <w:tcPr>
                  <w:tcW w:w="1373" w:type="pct"/>
                  <w:tcBorders>
                    <w:top w:val="single" w:color="auto" w:sz="4" w:space="0"/>
                    <w:left w:val="single" w:color="auto" w:sz="4" w:space="0"/>
                    <w:bottom w:val="single" w:color="auto" w:sz="4" w:space="0"/>
                    <w:right w:val="single" w:color="auto" w:sz="4" w:space="0"/>
                  </w:tcBorders>
                  <w:noWrap/>
                  <w:vAlign w:val="center"/>
                </w:tcPr>
                <w:p w14:paraId="208C45D6">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90</w:t>
                  </w:r>
                </w:p>
              </w:tc>
              <w:tc>
                <w:tcPr>
                  <w:tcW w:w="1247" w:type="pct"/>
                  <w:tcBorders>
                    <w:top w:val="single" w:color="auto" w:sz="4" w:space="0"/>
                    <w:left w:val="single" w:color="auto" w:sz="4" w:space="0"/>
                    <w:bottom w:val="single" w:color="auto" w:sz="4" w:space="0"/>
                    <w:right w:val="single" w:color="auto" w:sz="4" w:space="0"/>
                  </w:tcBorders>
                  <w:noWrap/>
                  <w:vAlign w:val="center"/>
                </w:tcPr>
                <w:p w14:paraId="7193C5A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0.16</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130E7138">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14.4</w:t>
                  </w:r>
                </w:p>
              </w:tc>
            </w:tr>
            <w:tr w14:paraId="244D615A">
              <w:tblPrEx>
                <w:tblCellMar>
                  <w:top w:w="0" w:type="dxa"/>
                  <w:left w:w="108" w:type="dxa"/>
                  <w:bottom w:w="0" w:type="dxa"/>
                  <w:right w:w="108" w:type="dxa"/>
                </w:tblCellMar>
              </w:tblPrEx>
              <w:trPr>
                <w:trHeight w:val="300" w:hRule="atLeast"/>
              </w:trPr>
              <w:tc>
                <w:tcPr>
                  <w:tcW w:w="3566" w:type="pct"/>
                  <w:gridSpan w:val="3"/>
                  <w:tcBorders>
                    <w:top w:val="single" w:color="auto" w:sz="4" w:space="0"/>
                    <w:left w:val="single" w:color="auto" w:sz="4" w:space="0"/>
                    <w:bottom w:val="single" w:color="auto" w:sz="4" w:space="0"/>
                    <w:right w:val="single" w:color="auto" w:sz="4" w:space="0"/>
                  </w:tcBorders>
                  <w:noWrap/>
                  <w:vAlign w:val="center"/>
                </w:tcPr>
                <w:p w14:paraId="6BC0F84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总计</w:t>
                  </w:r>
                </w:p>
              </w:tc>
              <w:tc>
                <w:tcPr>
                  <w:tcW w:w="1433" w:type="pct"/>
                  <w:tcBorders>
                    <w:top w:val="single" w:color="000000" w:sz="4" w:space="0"/>
                    <w:left w:val="single" w:color="auto" w:sz="4" w:space="0"/>
                    <w:bottom w:val="single" w:color="000000" w:sz="4" w:space="0"/>
                    <w:right w:val="single" w:color="auto" w:sz="4" w:space="0"/>
                  </w:tcBorders>
                  <w:noWrap/>
                  <w:vAlign w:val="center"/>
                </w:tcPr>
                <w:p w14:paraId="6F71B87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154</w:t>
                  </w:r>
                  <w:r>
                    <w:rPr>
                      <w:rFonts w:hint="default" w:ascii="Times New Roman" w:hAnsi="Times New Roman" w:cs="Times New Roman"/>
                      <w:color w:val="000000" w:themeColor="text1"/>
                      <w14:textFill>
                        <w14:solidFill>
                          <w14:schemeClr w14:val="tx1"/>
                        </w14:solidFill>
                      </w14:textFill>
                    </w:rPr>
                    <w:t>.4</w:t>
                  </w:r>
                </w:p>
              </w:tc>
            </w:tr>
          </w:tbl>
          <w:p w14:paraId="2B8A441F">
            <w:pPr>
              <w:pStyle w:val="25"/>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根据《非道路移动污染源排放清单编制技术指南》，柴油机污染物排放系数和柴油机组燃烧废气中各污染物产生情况见表4-4。</w:t>
            </w:r>
          </w:p>
          <w:p w14:paraId="4CF37EE7">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表4-4  柴油机污染物排放量</w:t>
            </w:r>
          </w:p>
          <w:tbl>
            <w:tblPr>
              <w:tblStyle w:val="16"/>
              <w:tblW w:w="4955" w:type="pct"/>
              <w:tblInd w:w="0" w:type="dxa"/>
              <w:tblLayout w:type="fixed"/>
              <w:tblCellMar>
                <w:top w:w="0" w:type="dxa"/>
                <w:left w:w="108" w:type="dxa"/>
                <w:bottom w:w="0" w:type="dxa"/>
                <w:right w:w="108" w:type="dxa"/>
              </w:tblCellMar>
            </w:tblPr>
            <w:tblGrid>
              <w:gridCol w:w="1531"/>
              <w:gridCol w:w="2256"/>
              <w:gridCol w:w="1985"/>
              <w:gridCol w:w="2302"/>
            </w:tblGrid>
            <w:tr w14:paraId="5C1515E5">
              <w:tblPrEx>
                <w:tblCellMar>
                  <w:top w:w="0" w:type="dxa"/>
                  <w:left w:w="108" w:type="dxa"/>
                  <w:bottom w:w="0" w:type="dxa"/>
                  <w:right w:w="108" w:type="dxa"/>
                </w:tblCellMar>
              </w:tblPrEx>
              <w:trPr>
                <w:trHeight w:val="270" w:hRule="atLeast"/>
              </w:trPr>
              <w:tc>
                <w:tcPr>
                  <w:tcW w:w="948" w:type="pct"/>
                  <w:tcBorders>
                    <w:top w:val="single" w:color="auto" w:sz="4" w:space="0"/>
                    <w:left w:val="single" w:color="auto" w:sz="0" w:space="0"/>
                    <w:bottom w:val="single" w:color="auto" w:sz="4" w:space="0"/>
                    <w:right w:val="single" w:color="auto" w:sz="4" w:space="0"/>
                  </w:tcBorders>
                  <w:noWrap/>
                  <w:vAlign w:val="center"/>
                </w:tcPr>
                <w:p w14:paraId="64782FE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污染物</w:t>
                  </w:r>
                </w:p>
              </w:tc>
              <w:tc>
                <w:tcPr>
                  <w:tcW w:w="1397" w:type="pct"/>
                  <w:tcBorders>
                    <w:top w:val="single" w:color="auto" w:sz="4" w:space="0"/>
                    <w:left w:val="single" w:color="auto" w:sz="4" w:space="0"/>
                    <w:bottom w:val="single" w:color="auto" w:sz="4" w:space="0"/>
                    <w:right w:val="single" w:color="auto" w:sz="4" w:space="0"/>
                  </w:tcBorders>
                  <w:noWrap/>
                  <w:vAlign w:val="center"/>
                </w:tcPr>
                <w:p w14:paraId="5CACAC02">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排污系数kg/t</w:t>
                  </w:r>
                </w:p>
              </w:tc>
              <w:tc>
                <w:tcPr>
                  <w:tcW w:w="1229" w:type="pct"/>
                  <w:tcBorders>
                    <w:top w:val="single" w:color="auto" w:sz="4" w:space="0"/>
                    <w:left w:val="single" w:color="auto" w:sz="4" w:space="0"/>
                    <w:bottom w:val="single" w:color="auto" w:sz="4" w:space="0"/>
                    <w:right w:val="single" w:color="auto" w:sz="4" w:space="0"/>
                  </w:tcBorders>
                  <w:noWrap/>
                  <w:vAlign w:val="center"/>
                </w:tcPr>
                <w:p w14:paraId="4347799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柴油用量（t）</w:t>
                  </w:r>
                </w:p>
              </w:tc>
              <w:tc>
                <w:tcPr>
                  <w:tcW w:w="1425" w:type="pct"/>
                  <w:tcBorders>
                    <w:top w:val="single" w:color="auto" w:sz="4" w:space="0"/>
                    <w:left w:val="single" w:color="auto" w:sz="4" w:space="0"/>
                    <w:bottom w:val="single" w:color="auto" w:sz="4" w:space="0"/>
                    <w:right w:val="single" w:color="auto" w:sz="4" w:space="0"/>
                  </w:tcBorders>
                  <w:noWrap/>
                  <w:vAlign w:val="center"/>
                </w:tcPr>
                <w:p w14:paraId="7D89EE5A">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排放量（t）</w:t>
                  </w:r>
                </w:p>
              </w:tc>
            </w:tr>
            <w:tr w14:paraId="32541B2B">
              <w:tblPrEx>
                <w:tblCellMar>
                  <w:top w:w="0" w:type="dxa"/>
                  <w:left w:w="108" w:type="dxa"/>
                  <w:bottom w:w="0" w:type="dxa"/>
                  <w:right w:w="108" w:type="dxa"/>
                </w:tblCellMar>
              </w:tblPrEx>
              <w:trPr>
                <w:trHeight w:val="273"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1931330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CO</w:t>
                  </w:r>
                </w:p>
              </w:tc>
              <w:tc>
                <w:tcPr>
                  <w:tcW w:w="1397" w:type="pct"/>
                  <w:tcBorders>
                    <w:top w:val="single" w:color="auto" w:sz="4" w:space="0"/>
                    <w:left w:val="single" w:color="auto" w:sz="4" w:space="0"/>
                    <w:bottom w:val="single" w:color="auto" w:sz="4" w:space="0"/>
                    <w:right w:val="single" w:color="auto" w:sz="4" w:space="0"/>
                  </w:tcBorders>
                  <w:noWrap/>
                  <w:vAlign w:val="center"/>
                </w:tcPr>
                <w:p w14:paraId="1D205AB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10.722</w:t>
                  </w:r>
                </w:p>
              </w:tc>
              <w:tc>
                <w:tcPr>
                  <w:tcW w:w="1229" w:type="pct"/>
                  <w:vMerge w:val="restart"/>
                  <w:tcBorders>
                    <w:top w:val="single" w:color="auto" w:sz="4" w:space="0"/>
                    <w:left w:val="single" w:color="auto" w:sz="4" w:space="0"/>
                    <w:right w:val="single" w:color="auto" w:sz="4" w:space="0"/>
                  </w:tcBorders>
                  <w:noWrap/>
                  <w:vAlign w:val="center"/>
                </w:tcPr>
                <w:p w14:paraId="3DFF9BB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154</w:t>
                  </w:r>
                  <w:r>
                    <w:rPr>
                      <w:rFonts w:hint="default" w:ascii="Times New Roman" w:hAnsi="Times New Roman" w:cs="Times New Roman"/>
                      <w:color w:val="000000" w:themeColor="text1"/>
                      <w14:textFill>
                        <w14:solidFill>
                          <w14:schemeClr w14:val="tx1"/>
                        </w14:solidFill>
                      </w14:textFill>
                    </w:rPr>
                    <w:t>.4</w:t>
                  </w:r>
                </w:p>
              </w:tc>
              <w:tc>
                <w:tcPr>
                  <w:tcW w:w="1425" w:type="pct"/>
                  <w:tcBorders>
                    <w:top w:val="single" w:color="auto" w:sz="4" w:space="0"/>
                    <w:left w:val="single" w:color="auto" w:sz="4" w:space="0"/>
                    <w:bottom w:val="single" w:color="auto" w:sz="4" w:space="0"/>
                    <w:right w:val="single" w:color="auto" w:sz="4" w:space="0"/>
                  </w:tcBorders>
                  <w:noWrap/>
                  <w:vAlign w:val="center"/>
                </w:tcPr>
                <w:p w14:paraId="2F0DF2B0">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1.66</w:t>
                  </w:r>
                </w:p>
              </w:tc>
            </w:tr>
            <w:tr w14:paraId="7FE8EC53">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3346CD1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NOx</w:t>
                  </w:r>
                </w:p>
              </w:tc>
              <w:tc>
                <w:tcPr>
                  <w:tcW w:w="1397" w:type="pct"/>
                  <w:tcBorders>
                    <w:top w:val="single" w:color="auto" w:sz="4" w:space="0"/>
                    <w:left w:val="single" w:color="auto" w:sz="4" w:space="0"/>
                    <w:bottom w:val="single" w:color="auto" w:sz="4" w:space="0"/>
                    <w:right w:val="single" w:color="auto" w:sz="4" w:space="0"/>
                  </w:tcBorders>
                  <w:noWrap/>
                  <w:vAlign w:val="center"/>
                </w:tcPr>
                <w:p w14:paraId="250CA76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32.792</w:t>
                  </w:r>
                </w:p>
              </w:tc>
              <w:tc>
                <w:tcPr>
                  <w:tcW w:w="1229" w:type="pct"/>
                  <w:vMerge w:val="continue"/>
                  <w:tcBorders>
                    <w:left w:val="single" w:color="auto" w:sz="4" w:space="0"/>
                    <w:right w:val="single" w:color="auto" w:sz="4" w:space="0"/>
                  </w:tcBorders>
                  <w:noWrap/>
                  <w:vAlign w:val="center"/>
                </w:tcPr>
                <w:p w14:paraId="32453CEB">
                  <w:pPr>
                    <w:pStyle w:val="23"/>
                    <w:rPr>
                      <w:rFonts w:hint="default" w:ascii="Times New Roman" w:hAnsi="Times New Roman" w:cs="Times New Roman"/>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716BF6E2">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5.06</w:t>
                  </w:r>
                </w:p>
              </w:tc>
            </w:tr>
            <w:tr w14:paraId="1E55CB7D">
              <w:tblPrEx>
                <w:tblCellMar>
                  <w:top w:w="0" w:type="dxa"/>
                  <w:left w:w="108" w:type="dxa"/>
                  <w:bottom w:w="0" w:type="dxa"/>
                  <w:right w:w="108" w:type="dxa"/>
                </w:tblCellMar>
              </w:tblPrEx>
              <w:trPr>
                <w:trHeight w:val="300"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7A45D2A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THC</w:t>
                  </w:r>
                </w:p>
              </w:tc>
              <w:tc>
                <w:tcPr>
                  <w:tcW w:w="1397" w:type="pct"/>
                  <w:tcBorders>
                    <w:top w:val="single" w:color="auto" w:sz="4" w:space="0"/>
                    <w:left w:val="single" w:color="auto" w:sz="4" w:space="0"/>
                    <w:bottom w:val="single" w:color="auto" w:sz="4" w:space="0"/>
                    <w:right w:val="single" w:color="auto" w:sz="4" w:space="0"/>
                  </w:tcBorders>
                  <w:noWrap/>
                  <w:vAlign w:val="center"/>
                </w:tcPr>
                <w:p w14:paraId="3AE4E8F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3.385</w:t>
                  </w:r>
                </w:p>
              </w:tc>
              <w:tc>
                <w:tcPr>
                  <w:tcW w:w="1229" w:type="pct"/>
                  <w:vMerge w:val="continue"/>
                  <w:tcBorders>
                    <w:left w:val="single" w:color="auto" w:sz="4" w:space="0"/>
                    <w:right w:val="single" w:color="auto" w:sz="4" w:space="0"/>
                  </w:tcBorders>
                  <w:noWrap/>
                  <w:vAlign w:val="center"/>
                </w:tcPr>
                <w:p w14:paraId="7EA0DF4C">
                  <w:pPr>
                    <w:pStyle w:val="23"/>
                    <w:rPr>
                      <w:rFonts w:hint="default" w:ascii="Times New Roman" w:hAnsi="Times New Roman" w:cs="Times New Roman"/>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426AD995">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0.52</w:t>
                  </w:r>
                </w:p>
              </w:tc>
            </w:tr>
            <w:tr w14:paraId="098F2C9B">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4158C87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SO</w:t>
                  </w:r>
                  <w:r>
                    <w:rPr>
                      <w:rFonts w:hint="default" w:ascii="Times New Roman" w:hAnsi="Times New Roman" w:cs="Times New Roman"/>
                      <w:color w:val="000000" w:themeColor="text1"/>
                      <w:vertAlign w:val="subscript"/>
                      <w14:textFill>
                        <w14:solidFill>
                          <w14:schemeClr w14:val="tx1"/>
                        </w14:solidFill>
                      </w14:textFill>
                    </w:rPr>
                    <w:t>2</w:t>
                  </w:r>
                </w:p>
              </w:tc>
              <w:tc>
                <w:tcPr>
                  <w:tcW w:w="1397" w:type="pct"/>
                  <w:tcBorders>
                    <w:top w:val="single" w:color="auto" w:sz="4" w:space="0"/>
                    <w:left w:val="single" w:color="auto" w:sz="4" w:space="0"/>
                    <w:bottom w:val="single" w:color="auto" w:sz="4" w:space="0"/>
                    <w:right w:val="single" w:color="auto" w:sz="4" w:space="0"/>
                  </w:tcBorders>
                  <w:noWrap/>
                  <w:vAlign w:val="center"/>
                </w:tcPr>
                <w:p w14:paraId="06E7BB5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0.02</w:t>
                  </w:r>
                </w:p>
              </w:tc>
              <w:tc>
                <w:tcPr>
                  <w:tcW w:w="1229" w:type="pct"/>
                  <w:vMerge w:val="continue"/>
                  <w:tcBorders>
                    <w:left w:val="single" w:color="auto" w:sz="4" w:space="0"/>
                    <w:right w:val="single" w:color="auto" w:sz="4" w:space="0"/>
                  </w:tcBorders>
                  <w:noWrap/>
                  <w:vAlign w:val="center"/>
                </w:tcPr>
                <w:p w14:paraId="43D843B4">
                  <w:pPr>
                    <w:pStyle w:val="23"/>
                    <w:rPr>
                      <w:rFonts w:hint="default" w:ascii="Times New Roman" w:hAnsi="Times New Roman" w:cs="Times New Roman"/>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60FAE8EE">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0.00</w:t>
                  </w:r>
                  <w:r>
                    <w:rPr>
                      <w:rFonts w:hint="default" w:ascii="Times New Roman" w:hAnsi="Times New Roman" w:cs="Times New Roman"/>
                      <w:color w:val="000000" w:themeColor="text1"/>
                      <w:lang w:val="en-US" w:eastAsia="zh-CN"/>
                      <w14:textFill>
                        <w14:solidFill>
                          <w14:schemeClr w14:val="tx1"/>
                        </w14:solidFill>
                      </w14:textFill>
                    </w:rPr>
                    <w:t>31</w:t>
                  </w:r>
                </w:p>
              </w:tc>
            </w:tr>
            <w:tr w14:paraId="0C2B8E39">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0FB9674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10</w:t>
                  </w:r>
                </w:p>
              </w:tc>
              <w:tc>
                <w:tcPr>
                  <w:tcW w:w="1397" w:type="pct"/>
                  <w:tcBorders>
                    <w:top w:val="single" w:color="auto" w:sz="4" w:space="0"/>
                    <w:left w:val="single" w:color="auto" w:sz="4" w:space="0"/>
                    <w:bottom w:val="single" w:color="auto" w:sz="4" w:space="0"/>
                    <w:right w:val="single" w:color="auto" w:sz="4" w:space="0"/>
                  </w:tcBorders>
                  <w:noWrap/>
                  <w:vAlign w:val="center"/>
                </w:tcPr>
                <w:p w14:paraId="281724C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2.09</w:t>
                  </w:r>
                </w:p>
              </w:tc>
              <w:tc>
                <w:tcPr>
                  <w:tcW w:w="1229" w:type="pct"/>
                  <w:vMerge w:val="continue"/>
                  <w:tcBorders>
                    <w:left w:val="single" w:color="auto" w:sz="4" w:space="0"/>
                    <w:right w:val="single" w:color="auto" w:sz="4" w:space="0"/>
                  </w:tcBorders>
                  <w:noWrap/>
                  <w:vAlign w:val="center"/>
                </w:tcPr>
                <w:p w14:paraId="7C3B6B2E">
                  <w:pPr>
                    <w:pStyle w:val="23"/>
                    <w:rPr>
                      <w:rFonts w:hint="default" w:ascii="Times New Roman" w:hAnsi="Times New Roman" w:cs="Times New Roman"/>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2FE6BBC6">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0.32</w:t>
                  </w:r>
                </w:p>
              </w:tc>
            </w:tr>
            <w:tr w14:paraId="1D533FCC">
              <w:tblPrEx>
                <w:tblCellMar>
                  <w:top w:w="0" w:type="dxa"/>
                  <w:left w:w="108" w:type="dxa"/>
                  <w:bottom w:w="0" w:type="dxa"/>
                  <w:right w:w="108" w:type="dxa"/>
                </w:tblCellMar>
              </w:tblPrEx>
              <w:trPr>
                <w:trHeight w:val="375" w:hRule="atLeast"/>
              </w:trPr>
              <w:tc>
                <w:tcPr>
                  <w:tcW w:w="948" w:type="pct"/>
                  <w:tcBorders>
                    <w:top w:val="single" w:color="auto" w:sz="4" w:space="0"/>
                    <w:left w:val="single" w:color="auto" w:sz="4" w:space="0"/>
                    <w:bottom w:val="single" w:color="auto" w:sz="4" w:space="0"/>
                    <w:right w:val="single" w:color="auto" w:sz="4" w:space="0"/>
                  </w:tcBorders>
                  <w:noWrap/>
                  <w:vAlign w:val="center"/>
                </w:tcPr>
                <w:p w14:paraId="31932DF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cs="Times New Roman"/>
                      <w:color w:val="000000" w:themeColor="text1"/>
                      <w:vertAlign w:val="subscript"/>
                      <w14:textFill>
                        <w14:solidFill>
                          <w14:schemeClr w14:val="tx1"/>
                        </w14:solidFill>
                      </w14:textFill>
                    </w:rPr>
                    <w:t>2.5</w:t>
                  </w:r>
                </w:p>
              </w:tc>
              <w:tc>
                <w:tcPr>
                  <w:tcW w:w="1397" w:type="pct"/>
                  <w:tcBorders>
                    <w:top w:val="single" w:color="auto" w:sz="4" w:space="0"/>
                    <w:left w:val="single" w:color="auto" w:sz="4" w:space="0"/>
                    <w:bottom w:val="single" w:color="auto" w:sz="4" w:space="0"/>
                    <w:right w:val="single" w:color="auto" w:sz="4" w:space="0"/>
                  </w:tcBorders>
                  <w:noWrap/>
                  <w:vAlign w:val="center"/>
                </w:tcPr>
                <w:p w14:paraId="65D98F7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2.09</w:t>
                  </w:r>
                </w:p>
              </w:tc>
              <w:tc>
                <w:tcPr>
                  <w:tcW w:w="1229" w:type="pct"/>
                  <w:vMerge w:val="continue"/>
                  <w:tcBorders>
                    <w:left w:val="single" w:color="auto" w:sz="4" w:space="0"/>
                    <w:bottom w:val="single" w:color="auto" w:sz="4" w:space="0"/>
                    <w:right w:val="single" w:color="auto" w:sz="4" w:space="0"/>
                  </w:tcBorders>
                  <w:noWrap/>
                  <w:vAlign w:val="center"/>
                </w:tcPr>
                <w:p w14:paraId="2CE59934">
                  <w:pPr>
                    <w:pStyle w:val="23"/>
                    <w:rPr>
                      <w:rFonts w:hint="default" w:ascii="Times New Roman" w:hAnsi="Times New Roman" w:cs="Times New Roman"/>
                      <w:color w:val="000000" w:themeColor="text1"/>
                      <w14:textFill>
                        <w14:solidFill>
                          <w14:schemeClr w14:val="tx1"/>
                        </w14:solidFill>
                      </w14:textFill>
                    </w:rPr>
                  </w:pPr>
                </w:p>
              </w:tc>
              <w:tc>
                <w:tcPr>
                  <w:tcW w:w="1425" w:type="pct"/>
                  <w:tcBorders>
                    <w:top w:val="single" w:color="auto" w:sz="4" w:space="0"/>
                    <w:left w:val="single" w:color="auto" w:sz="4" w:space="0"/>
                    <w:bottom w:val="single" w:color="auto" w:sz="4" w:space="0"/>
                    <w:right w:val="single" w:color="auto" w:sz="4" w:space="0"/>
                  </w:tcBorders>
                  <w:noWrap/>
                  <w:vAlign w:val="center"/>
                </w:tcPr>
                <w:p w14:paraId="61D45DEF">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0.32</w:t>
                  </w:r>
                </w:p>
              </w:tc>
            </w:tr>
          </w:tbl>
          <w:p w14:paraId="307860A7">
            <w:pPr>
              <w:pStyle w:val="25"/>
              <w:ind w:left="0" w:leftChars="0" w:firstLine="0" w:firstLineChars="0"/>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注：据《车用柴油》（GB19147-2016）表3要求，车用柴油中硫的含量≤10mg/kg，燃烧1t柴油产生的SO</w:t>
            </w:r>
            <w:r>
              <w:rPr>
                <w:rFonts w:hint="default" w:ascii="Times New Roman" w:hAnsi="Times New Roman" w:cs="Times New Roman"/>
                <w:color w:val="000000" w:themeColor="text1"/>
                <w:sz w:val="18"/>
                <w:szCs w:val="18"/>
                <w:vertAlign w:val="subscript"/>
                <w14:textFill>
                  <w14:solidFill>
                    <w14:schemeClr w14:val="tx1"/>
                  </w14:solidFill>
                </w14:textFill>
              </w:rPr>
              <w:t>2</w:t>
            </w:r>
            <w:r>
              <w:rPr>
                <w:rFonts w:hint="default" w:ascii="Times New Roman" w:hAnsi="Times New Roman" w:cs="Times New Roman"/>
                <w:color w:val="000000" w:themeColor="text1"/>
                <w:sz w:val="18"/>
                <w:szCs w:val="18"/>
                <w14:textFill>
                  <w14:solidFill>
                    <w14:schemeClr w14:val="tx1"/>
                  </w14:solidFill>
                </w14:textFill>
              </w:rPr>
              <w:t>为0.02kg。</w:t>
            </w:r>
          </w:p>
          <w:p w14:paraId="3005DD2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环评要求钻井期和试油期间对柴油机、柴油发电机等设备进行维护，并且采用高品质的柴油、添加柴油助燃剂等措施，在很大程度上可降低柴油燃烧污染物的排放，减轻对大气环境的影响。钻井期间排放的大气污染物将随钻井工程的结束而消失。</w:t>
            </w:r>
          </w:p>
          <w:p w14:paraId="6F94EFB8">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（2）扬尘</w:t>
            </w:r>
          </w:p>
          <w:p w14:paraId="56425F52">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期进场道路修建、施工营地及井场场地平整、运输车辆行驶均会产生扬尘，施工扬尘造成大气中TSP值增高。在施工场地实施每天洒水抑尘作业1次，大风天气增加洒水次数。采用洒水降尘措施，其扬尘造成的污染距离可缩小到20m～50m范围，对周围环境影响较小。从影响时间、范围和程度来看，通过洒水降尘等措施后，钻井施工扬尘对周围大气环境质量影响是有限的。</w:t>
            </w:r>
          </w:p>
          <w:p w14:paraId="40B8F1D4">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（3）燃油机械废气和运输车辆尾气</w:t>
            </w:r>
          </w:p>
          <w:p w14:paraId="07B80D3F">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各类机械设备均使用符合国家标准的燃料，且施工期短暂、周边无居民区、地域空旷，大气扩散条件良好，加上施工期废气排放时段较为集中，属于阶段性排放源，随着施工的结束而停止排放，燃油机械废气和运输车辆尾气对周围大气环境影响不大。</w:t>
            </w:r>
          </w:p>
          <w:p w14:paraId="6F6A68F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（4）伴生气燃烧废气</w:t>
            </w:r>
          </w:p>
          <w:p w14:paraId="553EB217">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钻井和试油过程中可能会出现油层伴生气排出地面的情况。伴生气通过气液分离器进行分离，并经排气管线燃放。由于勘探前油藏情况未明，伴生气产生量无法确定，伴生气放空燃烧属短期排放且产生量较少，因此，本评价不对伴生气燃烧排放的NO</w:t>
            </w:r>
            <w:r>
              <w:rPr>
                <w:rFonts w:hint="default" w:ascii="Times New Roman" w:hAnsi="Times New Roman" w:cs="Times New Roman"/>
                <w:color w:val="000000" w:themeColor="text1"/>
                <w:sz w:val="24"/>
                <w:szCs w:val="24"/>
                <w:vertAlign w:val="subscript"/>
                <w14:textFill>
                  <w14:solidFill>
                    <w14:schemeClr w14:val="tx1"/>
                  </w14:solidFill>
                </w14:textFill>
              </w:rPr>
              <w:t>x</w:t>
            </w:r>
            <w:r>
              <w:rPr>
                <w:rFonts w:hint="default" w:ascii="Times New Roman" w:hAnsi="Times New Roman" w:cs="Times New Roman"/>
                <w:color w:val="000000" w:themeColor="text1"/>
                <w:sz w:val="24"/>
                <w:szCs w:val="24"/>
                <w14:textFill>
                  <w14:solidFill>
                    <w14:schemeClr w14:val="tx1"/>
                  </w14:solidFill>
                </w14:textFill>
              </w:rPr>
              <w:t>和颗粒物进行量化分析。</w:t>
            </w:r>
          </w:p>
          <w:p w14:paraId="42809C53">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邻井组分检测结果，伴生气主要成分为甲烷，基本不含硫，燃烧后排放污染物主要为NOx和颗粒物，伴生气燃烧废气排放集中在试油期，施工期产生的污染是暂时性的，随着试油的结束而停止排放，因此，伴生气燃烧废气排放对周围环境影响较小。</w:t>
            </w:r>
          </w:p>
          <w:p w14:paraId="071CB6DF">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（5）临时储罐和采出液装载过程无组织排放废气</w:t>
            </w:r>
          </w:p>
          <w:p w14:paraId="67B5BD4D">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本项目试油期若采出采出液则进行交井，将油井转交给采油厂，</w:t>
            </w:r>
            <w:r>
              <w:rPr>
                <w:rFonts w:hint="default" w:ascii="Times New Roman" w:hAnsi="Times New Roman" w:cs="Times New Roman"/>
                <w:color w:val="000000" w:themeColor="text1"/>
                <w:sz w:val="24"/>
                <w:szCs w:val="24"/>
                <w14:textFill>
                  <w14:solidFill>
                    <w14:schemeClr w14:val="tx1"/>
                  </w14:solidFill>
                </w14:textFill>
              </w:rPr>
              <w:t>试油期采出液暂存于井场4个20m</w:t>
            </w:r>
            <w:r>
              <w:rPr>
                <w:rFonts w:hint="default" w:ascii="Times New Roman" w:hAnsi="Times New Roman" w:cs="Times New Roman"/>
                <w:color w:val="000000" w:themeColor="text1"/>
                <w:sz w:val="24"/>
                <w:szCs w:val="24"/>
                <w:vertAlign w:val="superscript"/>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采出液临时储罐中，由罐车拉运</w:t>
            </w:r>
            <w:r>
              <w:rPr>
                <w:rFonts w:hint="default" w:ascii="Times New Roman" w:hAnsi="Times New Roman" w:cs="Times New Roman"/>
                <w:color w:val="000000" w:themeColor="text1"/>
                <w:sz w:val="24"/>
                <w:szCs w:val="24"/>
                <w:lang w:eastAsia="zh-CN"/>
                <w14:textFill>
                  <w14:solidFill>
                    <w14:schemeClr w14:val="tx1"/>
                  </w14:solidFill>
                </w14:textFill>
              </w:rPr>
              <w:t>石西集中处理站</w:t>
            </w:r>
            <w:r>
              <w:rPr>
                <w:rFonts w:hint="default" w:ascii="Times New Roman" w:hAnsi="Times New Roman" w:cs="Times New Roman"/>
                <w:color w:val="000000" w:themeColor="text1"/>
                <w:sz w:val="24"/>
                <w:szCs w:val="24"/>
                <w14:textFill>
                  <w14:solidFill>
                    <w14:schemeClr w14:val="tx1"/>
                  </w14:solidFill>
                </w14:textFill>
              </w:rPr>
              <w:t>处理，采出液装车过程中会产生VOCs，根据《石化行业VOC</w:t>
            </w:r>
            <w:r>
              <w:rPr>
                <w:rFonts w:hint="default" w:ascii="Times New Roman" w:hAnsi="Times New Roman" w:cs="Times New Roman"/>
                <w:color w:val="000000" w:themeColor="text1"/>
                <w:sz w:val="24"/>
                <w:szCs w:val="24"/>
                <w:vertAlign w:val="subscript"/>
                <w14:textFill>
                  <w14:solidFill>
                    <w14:schemeClr w14:val="tx1"/>
                  </w14:solidFill>
                </w14:textFill>
              </w:rPr>
              <w:t>S</w:t>
            </w:r>
            <w:r>
              <w:rPr>
                <w:rFonts w:hint="default" w:ascii="Times New Roman" w:hAnsi="Times New Roman" w:cs="Times New Roman"/>
                <w:color w:val="000000" w:themeColor="text1"/>
                <w:sz w:val="24"/>
                <w:szCs w:val="24"/>
                <w14:textFill>
                  <w14:solidFill>
                    <w14:schemeClr w14:val="tx1"/>
                  </w14:solidFill>
                </w14:textFill>
              </w:rPr>
              <w:t>污染源排查工作指南》，装载过程VOCs排放量与物料年周转量、装载温度、装载物料的真实蒸气压等因素有关。由于试油过程具有很大的不确定性，无法确定试油阶段产能情况，因此本评价仅对装载过程产生的VOCs进行定性分析，不进行定量计算。本环评要求建设单位在试油阶段采出液装载应符合《陆上石油天然气开采工业大气污染物排放标准》（GB39728-2020）要求，采用底部装载或顶部浸没式装载方式，采用顶部浸没式装载的，出口管口距离罐底部高度应小于200mm。采出液装载仅在试油期进行，随试油期结束而终止。</w:t>
            </w:r>
          </w:p>
          <w:p w14:paraId="4B1F4113">
            <w:pPr>
              <w:pStyle w:val="9"/>
              <w:spacing w:after="0"/>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（6）柴油卸车及储存无组织废气</w:t>
            </w:r>
          </w:p>
          <w:p w14:paraId="091044F5">
            <w:pPr>
              <w:widowControl/>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钻井期井场设有柴油罐（20m</w:t>
            </w:r>
            <w:r>
              <w:rPr>
                <w:rFonts w:hint="default" w:ascii="Times New Roman" w:hAnsi="Times New Roman" w:cs="Times New Roman"/>
                <w:color w:val="000000" w:themeColor="text1"/>
                <w:kern w:val="0"/>
                <w:vertAlign w:val="superscript"/>
                <w14:textFill>
                  <w14:solidFill>
                    <w14:schemeClr w14:val="tx1"/>
                  </w14:solidFill>
                </w14:textFill>
              </w:rPr>
              <w:t>3</w:t>
            </w:r>
            <w:r>
              <w:rPr>
                <w:rFonts w:hint="default" w:ascii="Times New Roman" w:hAnsi="Times New Roman" w:cs="Times New Roman"/>
                <w:color w:val="000000" w:themeColor="text1"/>
                <w:kern w:val="0"/>
                <w14:textFill>
                  <w14:solidFill>
                    <w14:schemeClr w14:val="tx1"/>
                  </w14:solidFill>
                </w14:textFill>
              </w:rPr>
              <w:t>），试油期设置</w:t>
            </w:r>
            <w:r>
              <w:rPr>
                <w:rFonts w:hint="default" w:ascii="Times New Roman" w:hAnsi="Times New Roman" w:cs="Times New Roman"/>
                <w:color w:val="000000" w:themeColor="text1"/>
                <w14:textFill>
                  <w14:solidFill>
                    <w14:schemeClr w14:val="tx1"/>
                  </w14:solidFill>
                </w14:textFill>
              </w:rPr>
              <w:t>1个5m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的柴油储罐，</w:t>
            </w:r>
            <w:r>
              <w:rPr>
                <w:rFonts w:hint="default" w:ascii="Times New Roman" w:hAnsi="Times New Roman" w:cs="Times New Roman"/>
                <w:color w:val="000000" w:themeColor="text1"/>
                <w:kern w:val="0"/>
                <w14:textFill>
                  <w14:solidFill>
                    <w14:schemeClr w14:val="tx1"/>
                  </w14:solidFill>
                </w14:textFill>
              </w:rPr>
              <w:t>均为固定顶罐，外购柴油由罐车拉运至井场后暂存于储罐内，最大贮存量约21t。</w:t>
            </w:r>
            <w:r>
              <w:rPr>
                <w:rFonts w:hint="default" w:ascii="Times New Roman" w:hAnsi="Times New Roman" w:cs="Times New Roman"/>
                <w:color w:val="000000" w:themeColor="text1"/>
                <w:kern w:val="0"/>
                <w:szCs w:val="20"/>
                <w14:textFill>
                  <w14:solidFill>
                    <w14:schemeClr w14:val="tx1"/>
                  </w14:solidFill>
                </w14:textFill>
              </w:rPr>
              <w:t>柴油卸车及临时贮存时会产生一定的无组织挥发性废气，由于柴油周转量较小，真实蒸气压较低，挥发性低，由柴油卸车及储罐临时储存产生的挥发性废气量较小，不会对周围大气环境产生明显不利影响。对比新疆油田其他类似钻井井场，井场场界外非甲烷总烃的浓度低于《陆上石油天然气开采工业大气污染物排放标准》（GB39728-2020）周界外无组织排放浓度限值4.0mg/m</w:t>
            </w:r>
            <w:r>
              <w:rPr>
                <w:rFonts w:hint="default" w:ascii="Times New Roman" w:hAnsi="Times New Roman" w:cs="Times New Roman"/>
                <w:color w:val="000000" w:themeColor="text1"/>
                <w:kern w:val="0"/>
                <w:szCs w:val="20"/>
                <w:vertAlign w:val="superscript"/>
                <w14:textFill>
                  <w14:solidFill>
                    <w14:schemeClr w14:val="tx1"/>
                  </w14:solidFill>
                </w14:textFill>
              </w:rPr>
              <w:t>3</w:t>
            </w:r>
            <w:r>
              <w:rPr>
                <w:rFonts w:hint="default" w:ascii="Times New Roman" w:hAnsi="Times New Roman" w:cs="Times New Roman"/>
                <w:color w:val="000000" w:themeColor="text1"/>
                <w:kern w:val="0"/>
                <w:szCs w:val="20"/>
                <w14:textFill>
                  <w14:solidFill>
                    <w14:schemeClr w14:val="tx1"/>
                  </w14:solidFill>
                </w14:textFill>
              </w:rPr>
              <w:t>的要求</w:t>
            </w:r>
            <w:r>
              <w:rPr>
                <w:rFonts w:hint="default" w:ascii="Times New Roman" w:hAnsi="Times New Roman" w:cs="Times New Roman"/>
                <w:color w:val="000000" w:themeColor="text1"/>
                <w:kern w:val="0"/>
                <w14:textFill>
                  <w14:solidFill>
                    <w14:schemeClr w14:val="tx1"/>
                  </w14:solidFill>
                </w14:textFill>
              </w:rPr>
              <w:t>。</w:t>
            </w:r>
          </w:p>
          <w:p w14:paraId="08781D1E">
            <w:pPr>
              <w:widowControl/>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w:t>
            </w:r>
            <w:r>
              <w:rPr>
                <w:rFonts w:hint="default" w:ascii="Times New Roman" w:hAnsi="Times New Roman" w:cs="Times New Roman"/>
                <w:color w:val="000000" w:themeColor="text1"/>
                <w:kern w:val="0"/>
                <w:lang w:val="en-US" w:eastAsia="zh-CN"/>
                <w14:textFill>
                  <w14:solidFill>
                    <w14:schemeClr w14:val="tx1"/>
                  </w14:solidFill>
                </w14:textFill>
              </w:rPr>
              <w:t>7</w:t>
            </w:r>
            <w:r>
              <w:rPr>
                <w:rFonts w:hint="default" w:ascii="Times New Roman" w:hAnsi="Times New Roman" w:cs="Times New Roman"/>
                <w:color w:val="000000" w:themeColor="text1"/>
                <w:kern w:val="0"/>
                <w14:textFill>
                  <w14:solidFill>
                    <w14:schemeClr w14:val="tx1"/>
                  </w14:solidFill>
                </w14:textFill>
              </w:rPr>
              <w:t>）水基钻井岩屑暂存扬尘</w:t>
            </w:r>
          </w:p>
          <w:p w14:paraId="0301B5AF">
            <w:pPr>
              <w:pStyle w:val="9"/>
              <w:spacing w:after="0"/>
              <w:ind w:firstLine="480"/>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水基钻井岩屑暂存于岩屑罐中，暂存过程中会产生少量的扬尘，不落地系统分离出的水基钻井岩屑含水率较高且产生后及时清运，由水基钻井岩屑临时暂存产生的扬尘量很少，不会对周围大气环境产生不利影响。</w:t>
            </w:r>
          </w:p>
          <w:p w14:paraId="05FD974A">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综上所述，施工期间产生的废气对大气环境影响不大。</w:t>
            </w:r>
          </w:p>
          <w:p w14:paraId="192B839D">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3施工期废水影响分析</w:t>
            </w:r>
          </w:p>
          <w:p w14:paraId="605F0F21">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本项目在钻井施工过程中采用“钻井泥浆不落地技术”，分离出的液相循环使用，钻井废水循环使用。本项目施工期废水主要来源于钻井期施工人员的生活污水和试油期废水（洗井废水和压裂返排液）。</w:t>
            </w:r>
          </w:p>
          <w:p w14:paraId="14E7660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（1）洗井废水</w:t>
            </w:r>
          </w:p>
          <w:p w14:paraId="4F977B2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本项目试油期间需要进行洗井作业，洗井废水产生量按照洗井用水量</w:t>
            </w:r>
            <w:r>
              <w:rPr>
                <w:rFonts w:hint="default" w:ascii="Times New Roman" w:hAnsi="Times New Roman" w:cs="Times New Roman"/>
                <w:color w:val="000000" w:themeColor="text1"/>
                <w:sz w:val="24"/>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00m</w:t>
            </w:r>
            <w:r>
              <w:rPr>
                <w:rFonts w:hint="default" w:ascii="Times New Roman" w:hAnsi="Times New Roman" w:cs="Times New Roman"/>
                <w:color w:val="000000" w:themeColor="text1"/>
                <w:sz w:val="24"/>
                <w:vertAlign w:val="super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的80%计算，</w:t>
            </w:r>
            <w:r>
              <w:rPr>
                <w:rFonts w:hint="default" w:ascii="Times New Roman" w:hAnsi="Times New Roman" w:cs="Times New Roman"/>
                <w:color w:val="000000" w:themeColor="text1"/>
                <w:sz w:val="24"/>
                <w:lang w:val="en-US" w:eastAsia="zh-CN"/>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口井洗井废水总计约</w:t>
            </w:r>
            <w:r>
              <w:rPr>
                <w:rFonts w:hint="default" w:ascii="Times New Roman" w:hAnsi="Times New Roman" w:cs="Times New Roman"/>
                <w:color w:val="000000" w:themeColor="text1"/>
                <w:sz w:val="24"/>
                <w:lang w:val="en-US" w:eastAsia="zh-CN"/>
                <w14:textFill>
                  <w14:solidFill>
                    <w14:schemeClr w14:val="tx1"/>
                  </w14:solidFill>
                </w14:textFill>
              </w:rPr>
              <w:t>24</w:t>
            </w:r>
            <w:r>
              <w:rPr>
                <w:rFonts w:hint="default" w:ascii="Times New Roman" w:hAnsi="Times New Roman" w:cs="Times New Roman"/>
                <w:color w:val="000000" w:themeColor="text1"/>
                <w:sz w:val="24"/>
                <w14:textFill>
                  <w14:solidFill>
                    <w14:schemeClr w14:val="tx1"/>
                  </w14:solidFill>
                </w14:textFill>
              </w:rPr>
              <w:t>0m</w:t>
            </w:r>
            <w:r>
              <w:rPr>
                <w:rFonts w:hint="default" w:ascii="Times New Roman" w:hAnsi="Times New Roman" w:cs="Times New Roman"/>
                <w:color w:val="000000" w:themeColor="text1"/>
                <w:sz w:val="24"/>
                <w:vertAlign w:val="super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，洗井作业时间为10d，洗井废水量为</w:t>
            </w:r>
            <w:r>
              <w:rPr>
                <w:rFonts w:hint="default" w:ascii="Times New Roman" w:hAnsi="Times New Roman" w:cs="Times New Roman"/>
                <w:color w:val="000000" w:themeColor="text1"/>
                <w:sz w:val="24"/>
                <w:lang w:val="en-US" w:eastAsia="zh-CN"/>
                <w14:textFill>
                  <w14:solidFill>
                    <w14:schemeClr w14:val="tx1"/>
                  </w14:solidFill>
                </w14:textFill>
              </w:rPr>
              <w:t>24</w:t>
            </w:r>
            <w:r>
              <w:rPr>
                <w:rFonts w:hint="default" w:ascii="Times New Roman" w:hAnsi="Times New Roman" w:cs="Times New Roman"/>
                <w:color w:val="000000" w:themeColor="text1"/>
                <w:sz w:val="24"/>
                <w14:textFill>
                  <w14:solidFill>
                    <w14:schemeClr w14:val="tx1"/>
                  </w14:solidFill>
                </w14:textFill>
              </w:rPr>
              <w:t>0m</w:t>
            </w:r>
            <w:r>
              <w:rPr>
                <w:rFonts w:hint="default" w:ascii="Times New Roman" w:hAnsi="Times New Roman" w:cs="Times New Roman"/>
                <w:color w:val="000000" w:themeColor="text1"/>
                <w:sz w:val="24"/>
                <w:vertAlign w:val="super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/d参考同地区洗井废水污染物浓度调查，COD浓度50～7900mg/L，石油类浓度25～2500mg/L，SS浓度50～1060mg/L。</w:t>
            </w:r>
            <w:r>
              <w:rPr>
                <w:rFonts w:hint="default" w:ascii="Times New Roman" w:hAnsi="Times New Roman" w:cs="Times New Roman"/>
                <w:color w:val="000000" w:themeColor="text1"/>
                <w14:textFill>
                  <w14:solidFill>
                    <w14:schemeClr w14:val="tx1"/>
                  </w14:solidFill>
                </w14:textFill>
              </w:rPr>
              <w:t>井场设专用储罐，洗井废水严禁直接外排，该废水全部回收，采用收集罐收集后送至</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采出水处理系统处理。</w:t>
            </w:r>
          </w:p>
          <w:p w14:paraId="02EB462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（2）压裂返排液</w:t>
            </w:r>
          </w:p>
          <w:p w14:paraId="64CEE4E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本项目新井完钻后须进行压裂作业，根据建设方提供的数据，项目油井为低渗透油井，压裂返排液</w:t>
            </w:r>
            <w:r>
              <w:rPr>
                <w:rFonts w:hint="default" w:ascii="Times New Roman" w:hAnsi="Times New Roman" w:cs="Times New Roman"/>
                <w:color w:val="000000" w:themeColor="text1"/>
                <w:lang w:val="en-US" w:eastAsia="zh-CN"/>
                <w14:textFill>
                  <w14:solidFill>
                    <w14:schemeClr w14:val="tx1"/>
                  </w14:solidFill>
                </w14:textFill>
              </w:rPr>
              <w:t>陆西1</w:t>
            </w:r>
            <w:r>
              <w:rPr>
                <w:rFonts w:hint="default" w:ascii="Times New Roman" w:hAnsi="Times New Roman" w:cs="Times New Roman"/>
                <w:color w:val="000000" w:themeColor="text1"/>
                <w14:textFill>
                  <w14:solidFill>
                    <w14:schemeClr w14:val="tx1"/>
                  </w14:solidFill>
                </w14:textFill>
              </w:rPr>
              <w:t>井</w:t>
            </w: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000m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。参考同地区压裂返排液污染物浓度调查，COD浓度1000mg/L～5000mg/L，石油类浓度200mg/L～500mg/L。压裂返排液进入罐车拉运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压裂返排液处理装置，处理达到《碎屑岩油藏注水水质指标技术要求及分析方法》（SY/T5329-2022）中标准后回注油藏。</w:t>
            </w:r>
          </w:p>
          <w:p w14:paraId="234B2F8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（3）生活污水</w:t>
            </w:r>
          </w:p>
          <w:p w14:paraId="779CEBB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本项目施工人员35人，按每人每天用水20L计算，钻井期</w:t>
            </w:r>
            <w:r>
              <w:rPr>
                <w:rFonts w:hint="default" w:ascii="Times New Roman" w:hAnsi="Times New Roman" w:cs="Times New Roman"/>
                <w:color w:val="000000" w:themeColor="text1"/>
                <w:lang w:val="en-US" w:eastAsia="zh-CN"/>
                <w14:textFill>
                  <w14:solidFill>
                    <w14:schemeClr w14:val="tx1"/>
                  </w14:solidFill>
                </w14:textFill>
              </w:rPr>
              <w:t>70</w:t>
            </w:r>
            <w:r>
              <w:rPr>
                <w:rFonts w:hint="default" w:ascii="Times New Roman" w:hAnsi="Times New Roman" w:cs="Times New Roman"/>
                <w:color w:val="000000" w:themeColor="text1"/>
                <w14:textFill>
                  <w14:solidFill>
                    <w14:schemeClr w14:val="tx1"/>
                  </w14:solidFill>
                </w14:textFill>
              </w:rPr>
              <w:t>天，生活用水</w:t>
            </w:r>
            <w:r>
              <w:rPr>
                <w:rFonts w:hint="default" w:ascii="Times New Roman" w:hAnsi="Times New Roman" w:cs="Times New Roman"/>
                <w:color w:val="000000" w:themeColor="text1"/>
                <w:lang w:val="en-US" w:eastAsia="zh-CN"/>
                <w14:textFill>
                  <w14:solidFill>
                    <w14:schemeClr w14:val="tx1"/>
                  </w14:solidFill>
                </w14:textFill>
              </w:rPr>
              <w:t>49</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。生活污水产生量为用水量的80%，预计生活污水产生量为</w:t>
            </w:r>
            <w:r>
              <w:rPr>
                <w:rFonts w:hint="default" w:ascii="Times New Roman" w:hAnsi="Times New Roman" w:cs="Times New Roman"/>
                <w:color w:val="000000" w:themeColor="text1"/>
                <w:lang w:val="en-US" w:eastAsia="zh-CN"/>
                <w14:textFill>
                  <w14:solidFill>
                    <w14:schemeClr w14:val="tx1"/>
                  </w14:solidFill>
                </w14:textFill>
              </w:rPr>
              <w:t>39.2</w:t>
            </w:r>
            <w:r>
              <w:rPr>
                <w:rFonts w:hint="default" w:ascii="Times New Roman" w:hAnsi="Times New Roman" w:cs="Times New Roman"/>
                <w:color w:val="000000" w:themeColor="text1"/>
                <w14:textFill>
                  <w14:solidFill>
                    <w14:schemeClr w14:val="tx1"/>
                  </w14:solidFill>
                </w14:textFill>
              </w:rPr>
              <w:t>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。试油期设2人值班，不在井区食宿。</w:t>
            </w:r>
          </w:p>
          <w:p w14:paraId="3118BA5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钻井生活污水水质与居民生活污水相近似，其中COD产生浓度350mg/L，产生量0.0</w:t>
            </w:r>
            <w:r>
              <w:rPr>
                <w:rFonts w:hint="default" w:ascii="Times New Roman" w:hAnsi="Times New Roman" w:cs="Times New Roman"/>
                <w:color w:val="000000" w:themeColor="text1"/>
                <w:lang w:val="en-US" w:eastAsia="zh-CN"/>
                <w14:textFill>
                  <w14:solidFill>
                    <w14:schemeClr w14:val="tx1"/>
                  </w14:solidFill>
                </w14:textFill>
              </w:rPr>
              <w:t>14</w:t>
            </w:r>
            <w:r>
              <w:rPr>
                <w:rFonts w:hint="default" w:ascii="Times New Roman" w:hAnsi="Times New Roman" w:cs="Times New Roman"/>
                <w:color w:val="000000" w:themeColor="text1"/>
                <w14:textFill>
                  <w14:solidFill>
                    <w14:schemeClr w14:val="tx1"/>
                  </w14:solidFill>
                </w14:textFill>
              </w:rPr>
              <w:t>t；BOD</w:t>
            </w:r>
            <w:r>
              <w:rPr>
                <w:rFonts w:hint="default" w:ascii="Times New Roman" w:hAnsi="Times New Roman" w:cs="Times New Roman"/>
                <w:color w:val="000000" w:themeColor="text1"/>
                <w:vertAlign w:val="subscript"/>
                <w14:textFill>
                  <w14:solidFill>
                    <w14:schemeClr w14:val="tx1"/>
                  </w14:solidFill>
                </w14:textFill>
              </w:rPr>
              <w:t>5</w:t>
            </w:r>
            <w:r>
              <w:rPr>
                <w:rFonts w:hint="default" w:ascii="Times New Roman" w:hAnsi="Times New Roman" w:cs="Times New Roman"/>
                <w:color w:val="000000" w:themeColor="text1"/>
                <w14:textFill>
                  <w14:solidFill>
                    <w14:schemeClr w14:val="tx1"/>
                  </w14:solidFill>
                </w14:textFill>
              </w:rPr>
              <w:t>产生浓度300mg/L，产生量0.0</w:t>
            </w:r>
            <w:r>
              <w:rPr>
                <w:rFonts w:hint="default" w:ascii="Times New Roman" w:hAnsi="Times New Roman" w:cs="Times New Roman"/>
                <w:color w:val="000000" w:themeColor="text1"/>
                <w:lang w:val="en-US" w:eastAsia="zh-CN"/>
                <w14:textFill>
                  <w14:solidFill>
                    <w14:schemeClr w14:val="tx1"/>
                  </w14:solidFill>
                </w14:textFill>
              </w:rPr>
              <w:t>12</w:t>
            </w:r>
            <w:r>
              <w:rPr>
                <w:rFonts w:hint="default" w:ascii="Times New Roman" w:hAnsi="Times New Roman" w:cs="Times New Roman"/>
                <w:color w:val="000000" w:themeColor="text1"/>
                <w14:textFill>
                  <w14:solidFill>
                    <w14:schemeClr w14:val="tx1"/>
                  </w14:solidFill>
                </w14:textFill>
              </w:rPr>
              <w:t>t；SS产生浓度200mg/L，产生量0.0</w:t>
            </w:r>
            <w:r>
              <w:rPr>
                <w:rFonts w:hint="default" w:ascii="Times New Roman" w:hAnsi="Times New Roman" w:cs="Times New Roman"/>
                <w:color w:val="000000" w:themeColor="text1"/>
                <w:lang w:val="en-US" w:eastAsia="zh-CN"/>
                <w14:textFill>
                  <w14:solidFill>
                    <w14:schemeClr w14:val="tx1"/>
                  </w14:solidFill>
                </w14:textFill>
              </w:rPr>
              <w:t>078</w:t>
            </w:r>
            <w:r>
              <w:rPr>
                <w:rFonts w:hint="default" w:ascii="Times New Roman" w:hAnsi="Times New Roman" w:cs="Times New Roman"/>
                <w:color w:val="000000" w:themeColor="text1"/>
                <w14:textFill>
                  <w14:solidFill>
                    <w14:schemeClr w14:val="tx1"/>
                  </w14:solidFill>
                </w14:textFill>
              </w:rPr>
              <w:t>t；NH</w:t>
            </w:r>
            <w:r>
              <w:rPr>
                <w:rFonts w:hint="default" w:ascii="Times New Roman" w:hAnsi="Times New Roman" w:cs="Times New Roman"/>
                <w:color w:val="000000" w:themeColor="text1"/>
                <w:vertAlign w:val="sub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-N产生浓度30mg/L，产生量0.00</w:t>
            </w:r>
            <w:r>
              <w:rPr>
                <w:rFonts w:hint="default" w:ascii="Times New Roman" w:hAnsi="Times New Roman" w:cs="Times New Roman"/>
                <w:color w:val="000000" w:themeColor="text1"/>
                <w:lang w:val="en-US" w:eastAsia="zh-CN"/>
                <w14:textFill>
                  <w14:solidFill>
                    <w14:schemeClr w14:val="tx1"/>
                  </w14:solidFill>
                </w14:textFill>
              </w:rPr>
              <w:t>12</w:t>
            </w:r>
            <w:r>
              <w:rPr>
                <w:rFonts w:hint="default" w:ascii="Times New Roman" w:hAnsi="Times New Roman" w:cs="Times New Roman"/>
                <w:color w:val="000000" w:themeColor="text1"/>
                <w14:textFill>
                  <w14:solidFill>
                    <w14:schemeClr w14:val="tx1"/>
                  </w14:solidFill>
                </w14:textFill>
              </w:rPr>
              <w:t>t。</w:t>
            </w:r>
          </w:p>
          <w:p w14:paraId="73B4FF51">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本项目生活污水排入防渗收集池，清运至乌尔禾污水处理厂处理。</w:t>
            </w:r>
          </w:p>
          <w:p w14:paraId="453CA6F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本项目废水合规处理，不会对区域水环境产生不利影响。</w:t>
            </w:r>
          </w:p>
          <w:p w14:paraId="0C1D24B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本项目施工期各类废水污染物统计情况见表4-5。</w:t>
            </w:r>
          </w:p>
          <w:p w14:paraId="543DD5B2">
            <w:pPr>
              <w:pStyle w:val="32"/>
              <w:spacing w:line="360" w:lineRule="auto"/>
              <w:rPr>
                <w:rFonts w:hint="default" w:ascii="Times New Roman" w:hAnsi="Times New Roman" w:cs="Times New Roman"/>
                <w:color w:val="000000" w:themeColor="text1"/>
                <w14:textFill>
                  <w14:solidFill>
                    <w14:schemeClr w14:val="tx1"/>
                  </w14:solidFill>
                </w14:textFill>
              </w:rPr>
            </w:pPr>
            <w:bookmarkStart w:id="23" w:name="_Ref490401896"/>
            <w:r>
              <w:rPr>
                <w:rFonts w:hint="default" w:ascii="Times New Roman" w:hAnsi="Times New Roman" w:cs="Times New Roman"/>
                <w:color w:val="000000" w:themeColor="text1"/>
                <w14:textFill>
                  <w14:solidFill>
                    <w14:schemeClr w14:val="tx1"/>
                  </w14:solidFill>
                </w14:textFill>
              </w:rPr>
              <w:t>表</w:t>
            </w:r>
            <w:bookmarkEnd w:id="23"/>
            <w:r>
              <w:rPr>
                <w:rFonts w:hint="default" w:ascii="Times New Roman" w:hAnsi="Times New Roman" w:cs="Times New Roman"/>
                <w:color w:val="000000" w:themeColor="text1"/>
                <w14:textFill>
                  <w14:solidFill>
                    <w14:schemeClr w14:val="tx1"/>
                  </w14:solidFill>
                </w14:textFill>
              </w:rPr>
              <w:t>4-5  项目废水污染物产生量及去向</w:t>
            </w:r>
          </w:p>
          <w:tbl>
            <w:tblPr>
              <w:tblStyle w:val="16"/>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76"/>
              <w:gridCol w:w="1016"/>
              <w:gridCol w:w="5216"/>
            </w:tblGrid>
            <w:tr w14:paraId="1EB3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0596C6E7">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1376" w:type="dxa"/>
                  <w:tcBorders>
                    <w:top w:val="single" w:color="auto" w:sz="4" w:space="0"/>
                    <w:left w:val="single" w:color="auto" w:sz="4" w:space="0"/>
                    <w:bottom w:val="single" w:color="auto" w:sz="4" w:space="0"/>
                    <w:right w:val="single" w:color="auto" w:sz="4" w:space="0"/>
                    <w:tl2br w:val="nil"/>
                    <w:tr2bl w:val="nil"/>
                  </w:tcBorders>
                  <w:vAlign w:val="center"/>
                </w:tcPr>
                <w:p w14:paraId="796ACC0B">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污染源</w:t>
                  </w:r>
                </w:p>
              </w:tc>
              <w:tc>
                <w:tcPr>
                  <w:tcW w:w="1016" w:type="dxa"/>
                  <w:tcBorders>
                    <w:top w:val="single" w:color="auto" w:sz="4" w:space="0"/>
                    <w:left w:val="single" w:color="auto" w:sz="4" w:space="0"/>
                    <w:bottom w:val="single" w:color="auto" w:sz="4" w:space="0"/>
                    <w:right w:val="single" w:color="auto" w:sz="4" w:space="0"/>
                    <w:tl2br w:val="nil"/>
                    <w:tr2bl w:val="nil"/>
                  </w:tcBorders>
                  <w:vAlign w:val="center"/>
                </w:tcPr>
                <w:p w14:paraId="4DB98E38">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产生量</w:t>
                  </w:r>
                </w:p>
              </w:tc>
              <w:tc>
                <w:tcPr>
                  <w:tcW w:w="5216" w:type="dxa"/>
                  <w:tcBorders>
                    <w:top w:val="single" w:color="auto" w:sz="4" w:space="0"/>
                    <w:left w:val="single" w:color="auto" w:sz="4" w:space="0"/>
                    <w:bottom w:val="single" w:color="auto" w:sz="4" w:space="0"/>
                    <w:right w:val="single" w:color="auto" w:sz="4" w:space="0"/>
                    <w:tl2br w:val="nil"/>
                    <w:tr2bl w:val="nil"/>
                  </w:tcBorders>
                  <w:vAlign w:val="center"/>
                </w:tcPr>
                <w:p w14:paraId="1125D0E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处理去向</w:t>
                  </w:r>
                </w:p>
              </w:tc>
            </w:tr>
            <w:tr w14:paraId="7F9B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52337C9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1376" w:type="dxa"/>
                  <w:tcBorders>
                    <w:top w:val="single" w:color="auto" w:sz="4" w:space="0"/>
                    <w:left w:val="single" w:color="auto" w:sz="4" w:space="0"/>
                    <w:bottom w:val="single" w:color="auto" w:sz="4" w:space="0"/>
                    <w:right w:val="single" w:color="auto" w:sz="4" w:space="0"/>
                    <w:tl2br w:val="nil"/>
                    <w:tr2bl w:val="nil"/>
                  </w:tcBorders>
                  <w:vAlign w:val="center"/>
                </w:tcPr>
                <w:p w14:paraId="1FCA8F6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洗井废水</w:t>
                  </w:r>
                </w:p>
              </w:tc>
              <w:tc>
                <w:tcPr>
                  <w:tcW w:w="1016" w:type="dxa"/>
                  <w:tcBorders>
                    <w:top w:val="single" w:color="auto" w:sz="4" w:space="0"/>
                    <w:left w:val="single" w:color="auto" w:sz="4" w:space="0"/>
                    <w:bottom w:val="single" w:color="auto" w:sz="4" w:space="0"/>
                    <w:right w:val="single" w:color="auto" w:sz="4" w:space="0"/>
                    <w:tl2br w:val="nil"/>
                    <w:tr2bl w:val="nil"/>
                  </w:tcBorders>
                  <w:vAlign w:val="center"/>
                </w:tcPr>
                <w:p w14:paraId="760A24B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t>0m</w:t>
                  </w:r>
                  <w:r>
                    <w:rPr>
                      <w:rFonts w:hint="default" w:ascii="Times New Roman" w:hAnsi="Times New Roman" w:cs="Times New Roman"/>
                      <w:color w:val="000000" w:themeColor="text1"/>
                      <w:vertAlign w:val="superscript"/>
                      <w14:textFill>
                        <w14:solidFill>
                          <w14:schemeClr w14:val="tx1"/>
                        </w14:solidFill>
                      </w14:textFill>
                    </w:rPr>
                    <w:t>3</w:t>
                  </w:r>
                </w:p>
              </w:tc>
              <w:tc>
                <w:tcPr>
                  <w:tcW w:w="5216" w:type="dxa"/>
                  <w:tcBorders>
                    <w:top w:val="single" w:color="auto" w:sz="4" w:space="0"/>
                    <w:left w:val="single" w:color="auto" w:sz="4" w:space="0"/>
                    <w:bottom w:val="single" w:color="auto" w:sz="4" w:space="0"/>
                    <w:right w:val="single" w:color="auto" w:sz="4" w:space="0"/>
                    <w:tl2br w:val="nil"/>
                    <w:tr2bl w:val="nil"/>
                  </w:tcBorders>
                  <w:vAlign w:val="center"/>
                </w:tcPr>
                <w:p w14:paraId="22FEEA8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洗井废水全部回收，采用专用废液收集罐收集后运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的污水处理系统处理达标后回注油藏</w:t>
                  </w:r>
                </w:p>
              </w:tc>
            </w:tr>
            <w:tr w14:paraId="3F3C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7F40320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1376" w:type="dxa"/>
                  <w:tcBorders>
                    <w:top w:val="single" w:color="auto" w:sz="4" w:space="0"/>
                    <w:left w:val="single" w:color="auto" w:sz="4" w:space="0"/>
                    <w:bottom w:val="single" w:color="auto" w:sz="4" w:space="0"/>
                    <w:right w:val="single" w:color="auto" w:sz="4" w:space="0"/>
                    <w:tl2br w:val="nil"/>
                    <w:tr2bl w:val="nil"/>
                  </w:tcBorders>
                  <w:vAlign w:val="center"/>
                </w:tcPr>
                <w:p w14:paraId="6EF7D7D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w:t>
                  </w:r>
                </w:p>
              </w:tc>
              <w:tc>
                <w:tcPr>
                  <w:tcW w:w="1016" w:type="dxa"/>
                  <w:tcBorders>
                    <w:top w:val="single" w:color="auto" w:sz="4" w:space="0"/>
                    <w:left w:val="single" w:color="auto" w:sz="4" w:space="0"/>
                    <w:bottom w:val="single" w:color="auto" w:sz="4" w:space="0"/>
                    <w:right w:val="single" w:color="auto" w:sz="4" w:space="0"/>
                    <w:tl2br w:val="nil"/>
                    <w:tr2bl w:val="nil"/>
                  </w:tcBorders>
                  <w:vAlign w:val="center"/>
                </w:tcPr>
                <w:p w14:paraId="3D10031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39.</w:t>
                  </w:r>
                  <w:r>
                    <w:rPr>
                      <w:rFonts w:hint="default" w:ascii="Times New Roman" w:hAnsi="Times New Roman" w:cs="Times New Roman"/>
                      <w:color w:val="000000" w:themeColor="text1"/>
                      <w14:textFill>
                        <w14:solidFill>
                          <w14:schemeClr w14:val="tx1"/>
                        </w14:solidFill>
                      </w14:textFill>
                    </w:rPr>
                    <w:t>2m</w:t>
                  </w:r>
                  <w:r>
                    <w:rPr>
                      <w:rFonts w:hint="default" w:ascii="Times New Roman" w:hAnsi="Times New Roman" w:cs="Times New Roman"/>
                      <w:color w:val="000000" w:themeColor="text1"/>
                      <w:vertAlign w:val="superscript"/>
                      <w14:textFill>
                        <w14:solidFill>
                          <w14:schemeClr w14:val="tx1"/>
                        </w14:solidFill>
                      </w14:textFill>
                    </w:rPr>
                    <w:t>3</w:t>
                  </w:r>
                </w:p>
              </w:tc>
              <w:tc>
                <w:tcPr>
                  <w:tcW w:w="5216" w:type="dxa"/>
                  <w:tcBorders>
                    <w:top w:val="single" w:color="auto" w:sz="4" w:space="0"/>
                    <w:left w:val="single" w:color="auto" w:sz="4" w:space="0"/>
                    <w:bottom w:val="single" w:color="auto" w:sz="4" w:space="0"/>
                    <w:right w:val="single" w:color="auto" w:sz="4" w:space="0"/>
                    <w:tl2br w:val="nil"/>
                    <w:tr2bl w:val="nil"/>
                  </w:tcBorders>
                  <w:vAlign w:val="center"/>
                </w:tcPr>
                <w:p w14:paraId="475B501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生活污水排入防渗收集池，施工期清运至乌尔禾污水处理厂处理</w:t>
                  </w:r>
                </w:p>
              </w:tc>
            </w:tr>
            <w:tr w14:paraId="73D1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649" w:type="dxa"/>
                  <w:tcBorders>
                    <w:top w:val="single" w:color="auto" w:sz="4" w:space="0"/>
                    <w:left w:val="single" w:color="auto" w:sz="4" w:space="0"/>
                    <w:bottom w:val="single" w:color="auto" w:sz="4" w:space="0"/>
                    <w:right w:val="single" w:color="auto" w:sz="4" w:space="0"/>
                    <w:tl2br w:val="nil"/>
                    <w:tr2bl w:val="nil"/>
                  </w:tcBorders>
                  <w:vAlign w:val="center"/>
                </w:tcPr>
                <w:p w14:paraId="278601F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1376" w:type="dxa"/>
                  <w:tcBorders>
                    <w:top w:val="single" w:color="auto" w:sz="4" w:space="0"/>
                    <w:left w:val="single" w:color="auto" w:sz="4" w:space="0"/>
                    <w:bottom w:val="single" w:color="auto" w:sz="4" w:space="0"/>
                    <w:right w:val="single" w:color="auto" w:sz="4" w:space="0"/>
                    <w:tl2br w:val="nil"/>
                    <w:tr2bl w:val="nil"/>
                  </w:tcBorders>
                  <w:vAlign w:val="center"/>
                </w:tcPr>
                <w:p w14:paraId="70346DB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压裂返排液</w:t>
                  </w:r>
                </w:p>
              </w:tc>
              <w:tc>
                <w:tcPr>
                  <w:tcW w:w="1016" w:type="dxa"/>
                  <w:tcBorders>
                    <w:top w:val="single" w:color="auto" w:sz="4" w:space="0"/>
                    <w:left w:val="single" w:color="auto" w:sz="4" w:space="0"/>
                    <w:bottom w:val="single" w:color="auto" w:sz="4" w:space="0"/>
                    <w:right w:val="single" w:color="auto" w:sz="4" w:space="0"/>
                    <w:tl2br w:val="nil"/>
                    <w:tr2bl w:val="nil"/>
                  </w:tcBorders>
                  <w:vAlign w:val="center"/>
                </w:tcPr>
                <w:p w14:paraId="6D913DFE">
                  <w:pPr>
                    <w:pStyle w:val="23"/>
                    <w:rPr>
                      <w:rFonts w:hint="default" w:ascii="Times New Roman" w:hAnsi="Times New Roman" w:cs="Times New Roman"/>
                      <w:color w:val="000000" w:themeColor="text1"/>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000m</w:t>
                  </w:r>
                  <w:r>
                    <w:rPr>
                      <w:rFonts w:hint="default" w:ascii="Times New Roman" w:hAnsi="Times New Roman" w:cs="Times New Roman"/>
                      <w:color w:val="000000" w:themeColor="text1"/>
                      <w:vertAlign w:val="superscript"/>
                      <w14:textFill>
                        <w14:solidFill>
                          <w14:schemeClr w14:val="tx1"/>
                        </w14:solidFill>
                      </w14:textFill>
                    </w:rPr>
                    <w:t>3</w:t>
                  </w:r>
                </w:p>
              </w:tc>
              <w:tc>
                <w:tcPr>
                  <w:tcW w:w="5216" w:type="dxa"/>
                  <w:tcBorders>
                    <w:top w:val="single" w:color="auto" w:sz="4" w:space="0"/>
                    <w:left w:val="single" w:color="auto" w:sz="4" w:space="0"/>
                    <w:bottom w:val="single" w:color="auto" w:sz="4" w:space="0"/>
                    <w:right w:val="single" w:color="auto" w:sz="4" w:space="0"/>
                    <w:tl2br w:val="nil"/>
                    <w:tr2bl w:val="nil"/>
                  </w:tcBorders>
                  <w:vAlign w:val="center"/>
                </w:tcPr>
                <w:p w14:paraId="4BDD8A8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压裂返排液进入罐车拉运</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压裂返排液处理装置，处理达到《碎屑岩油藏注水水质指标技术要求及分析方法》（SY/T5329-2022）中标准后回注油藏</w:t>
                  </w:r>
                </w:p>
              </w:tc>
            </w:tr>
            <w:bookmarkEnd w:id="14"/>
          </w:tbl>
          <w:p w14:paraId="6EF30BD2">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3施工期及试油期噪声影响分析</w:t>
            </w:r>
          </w:p>
          <w:p w14:paraId="6749D395">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钻井期的噪声主要来源于钻井设备、泥浆泵、振动筛等连续性噪声，噪声源强在85~100dB(A)。试油期的噪声主要来源于柴油发电机、柴油动力机。主要噪声源强及特性见表4-6。</w:t>
            </w:r>
          </w:p>
          <w:p w14:paraId="77EE5839">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表4-6  钻井和试油期主要噪声源强特性单位：dB(A)</w:t>
            </w:r>
          </w:p>
          <w:tbl>
            <w:tblPr>
              <w:tblStyle w:val="1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
            <w:tblGrid>
              <w:gridCol w:w="752"/>
              <w:gridCol w:w="1435"/>
              <w:gridCol w:w="857"/>
              <w:gridCol w:w="990"/>
              <w:gridCol w:w="824"/>
              <w:gridCol w:w="1112"/>
              <w:gridCol w:w="1183"/>
              <w:gridCol w:w="984"/>
            </w:tblGrid>
            <w:tr w14:paraId="03364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2" w:type="pct"/>
                  <w:tcBorders>
                    <w:top w:val="single" w:color="auto" w:sz="4" w:space="0"/>
                    <w:left w:val="single" w:color="auto" w:sz="4" w:space="0"/>
                    <w:bottom w:val="single" w:color="auto" w:sz="4" w:space="0"/>
                    <w:right w:val="single" w:color="auto" w:sz="4" w:space="0"/>
                  </w:tcBorders>
                  <w:vAlign w:val="center"/>
                </w:tcPr>
                <w:p w14:paraId="308413E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时段</w:t>
                  </w:r>
                </w:p>
              </w:tc>
              <w:tc>
                <w:tcPr>
                  <w:tcW w:w="881" w:type="pct"/>
                  <w:tcBorders>
                    <w:top w:val="single" w:color="auto" w:sz="4" w:space="0"/>
                    <w:left w:val="single" w:color="auto" w:sz="4" w:space="0"/>
                    <w:bottom w:val="single" w:color="auto" w:sz="4" w:space="0"/>
                    <w:right w:val="single" w:color="auto" w:sz="4" w:space="0"/>
                  </w:tcBorders>
                  <w:vAlign w:val="center"/>
                </w:tcPr>
                <w:p w14:paraId="11EE3C5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噪声设备</w:t>
                  </w:r>
                </w:p>
              </w:tc>
              <w:tc>
                <w:tcPr>
                  <w:tcW w:w="526" w:type="pct"/>
                  <w:tcBorders>
                    <w:top w:val="single" w:color="auto" w:sz="4" w:space="0"/>
                    <w:left w:val="single" w:color="auto" w:sz="4" w:space="0"/>
                    <w:bottom w:val="single" w:color="auto" w:sz="4" w:space="0"/>
                    <w:right w:val="single" w:color="auto" w:sz="4" w:space="0"/>
                  </w:tcBorders>
                  <w:vAlign w:val="center"/>
                </w:tcPr>
                <w:p w14:paraId="2EDA2CB6">
                  <w:pPr>
                    <w:pStyle w:val="23"/>
                    <w:rPr>
                      <w:rFonts w:hint="default" w:ascii="Times New Roman" w:hAnsi="Times New Roman" w:cs="Times New Roman"/>
                      <w:b/>
                      <w:bCs/>
                      <w:color w:val="000000" w:themeColor="text1"/>
                      <w:lang w:val="en-US"/>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数量</w:t>
                  </w:r>
                  <w:r>
                    <w:rPr>
                      <w:rFonts w:hint="eastAsia" w:cs="Times New Roman"/>
                      <w:b/>
                      <w:bCs/>
                      <w:color w:val="000000" w:themeColor="text1"/>
                      <w:lang w:val="en-US" w:eastAsia="zh-CN"/>
                      <w14:textFill>
                        <w14:solidFill>
                          <w14:schemeClr w14:val="tx1"/>
                        </w14:solidFill>
                      </w14:textFill>
                    </w:rPr>
                    <w:t>/台</w:t>
                  </w:r>
                </w:p>
              </w:tc>
              <w:tc>
                <w:tcPr>
                  <w:tcW w:w="608" w:type="pct"/>
                  <w:tcBorders>
                    <w:top w:val="single" w:color="auto" w:sz="4" w:space="0"/>
                    <w:left w:val="single" w:color="auto" w:sz="4" w:space="0"/>
                    <w:bottom w:val="single" w:color="auto" w:sz="4" w:space="0"/>
                    <w:right w:val="single" w:color="auto" w:sz="4" w:space="0"/>
                  </w:tcBorders>
                  <w:vAlign w:val="center"/>
                </w:tcPr>
                <w:p w14:paraId="44011758">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单台源强</w:t>
                  </w:r>
                </w:p>
              </w:tc>
              <w:tc>
                <w:tcPr>
                  <w:tcW w:w="506" w:type="pct"/>
                  <w:tcBorders>
                    <w:top w:val="single" w:color="auto" w:sz="4" w:space="0"/>
                    <w:left w:val="single" w:color="auto" w:sz="4" w:space="0"/>
                    <w:bottom w:val="single" w:color="auto" w:sz="4" w:space="0"/>
                    <w:right w:val="single" w:color="auto" w:sz="4" w:space="0"/>
                  </w:tcBorders>
                  <w:vAlign w:val="center"/>
                </w:tcPr>
                <w:p w14:paraId="27CBC52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距声源</w:t>
                  </w:r>
                </w:p>
              </w:tc>
              <w:tc>
                <w:tcPr>
                  <w:tcW w:w="683" w:type="pct"/>
                  <w:tcBorders>
                    <w:top w:val="single" w:color="auto" w:sz="4" w:space="0"/>
                    <w:left w:val="single" w:color="auto" w:sz="4" w:space="0"/>
                    <w:bottom w:val="single" w:color="auto" w:sz="4" w:space="0"/>
                    <w:right w:val="single" w:color="auto" w:sz="4" w:space="0"/>
                  </w:tcBorders>
                  <w:vAlign w:val="center"/>
                </w:tcPr>
                <w:p w14:paraId="17D22756">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噪声特性</w:t>
                  </w:r>
                </w:p>
              </w:tc>
              <w:tc>
                <w:tcPr>
                  <w:tcW w:w="726" w:type="pct"/>
                  <w:tcBorders>
                    <w:top w:val="single" w:color="auto" w:sz="4" w:space="0"/>
                    <w:left w:val="single" w:color="auto" w:sz="4" w:space="0"/>
                    <w:bottom w:val="single" w:color="auto" w:sz="4" w:space="0"/>
                    <w:right w:val="single" w:color="auto" w:sz="4" w:space="0"/>
                  </w:tcBorders>
                  <w:vAlign w:val="center"/>
                </w:tcPr>
                <w:p w14:paraId="2EC1F8A5">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排放时间</w:t>
                  </w:r>
                </w:p>
              </w:tc>
              <w:tc>
                <w:tcPr>
                  <w:tcW w:w="604" w:type="pct"/>
                  <w:tcBorders>
                    <w:top w:val="single" w:color="auto" w:sz="4" w:space="0"/>
                    <w:left w:val="single" w:color="auto" w:sz="4" w:space="0"/>
                    <w:bottom w:val="single" w:color="auto" w:sz="4" w:space="0"/>
                    <w:right w:val="single" w:color="auto" w:sz="4" w:space="0"/>
                  </w:tcBorders>
                  <w:vAlign w:val="center"/>
                </w:tcPr>
                <w:p w14:paraId="579AF85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声源种类</w:t>
                  </w:r>
                </w:p>
              </w:tc>
            </w:tr>
            <w:tr w14:paraId="1F426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2" w:type="pct"/>
                  <w:vMerge w:val="restart"/>
                  <w:tcBorders>
                    <w:top w:val="single" w:color="auto" w:sz="4" w:space="0"/>
                    <w:left w:val="single" w:color="auto" w:sz="4" w:space="0"/>
                    <w:right w:val="single" w:color="auto" w:sz="4" w:space="0"/>
                  </w:tcBorders>
                  <w:vAlign w:val="center"/>
                </w:tcPr>
                <w:p w14:paraId="1F8EFC3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w:t>
                  </w:r>
                </w:p>
                <w:p w14:paraId="4CBFCB4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期</w:t>
                  </w:r>
                </w:p>
              </w:tc>
              <w:tc>
                <w:tcPr>
                  <w:tcW w:w="881" w:type="pct"/>
                  <w:tcBorders>
                    <w:top w:val="single" w:color="auto" w:sz="4" w:space="0"/>
                    <w:left w:val="single" w:color="auto" w:sz="4" w:space="0"/>
                    <w:bottom w:val="single" w:color="auto" w:sz="4" w:space="0"/>
                    <w:right w:val="single" w:color="auto" w:sz="4" w:space="0"/>
                  </w:tcBorders>
                  <w:vAlign w:val="center"/>
                </w:tcPr>
                <w:p w14:paraId="18BE2A0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钻井设备</w:t>
                  </w:r>
                </w:p>
              </w:tc>
              <w:tc>
                <w:tcPr>
                  <w:tcW w:w="526" w:type="pct"/>
                  <w:tcBorders>
                    <w:top w:val="single" w:color="auto" w:sz="4" w:space="0"/>
                    <w:left w:val="single" w:color="auto" w:sz="4" w:space="0"/>
                    <w:bottom w:val="single" w:color="auto" w:sz="4" w:space="0"/>
                    <w:right w:val="single" w:color="auto" w:sz="4" w:space="0"/>
                  </w:tcBorders>
                  <w:vAlign w:val="center"/>
                </w:tcPr>
                <w:p w14:paraId="6C994DC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608" w:type="pct"/>
                  <w:tcBorders>
                    <w:top w:val="single" w:color="auto" w:sz="4" w:space="0"/>
                    <w:left w:val="single" w:color="auto" w:sz="4" w:space="0"/>
                    <w:bottom w:val="single" w:color="auto" w:sz="4" w:space="0"/>
                    <w:right w:val="single" w:color="auto" w:sz="4" w:space="0"/>
                  </w:tcBorders>
                  <w:vAlign w:val="center"/>
                </w:tcPr>
                <w:p w14:paraId="5FC6ACF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w:t>
                  </w:r>
                </w:p>
              </w:tc>
              <w:tc>
                <w:tcPr>
                  <w:tcW w:w="506" w:type="pct"/>
                  <w:tcBorders>
                    <w:top w:val="single" w:color="auto" w:sz="4" w:space="0"/>
                    <w:left w:val="single" w:color="auto" w:sz="4" w:space="0"/>
                    <w:bottom w:val="single" w:color="auto" w:sz="4" w:space="0"/>
                    <w:right w:val="single" w:color="auto" w:sz="4" w:space="0"/>
                  </w:tcBorders>
                  <w:vAlign w:val="center"/>
                </w:tcPr>
                <w:p w14:paraId="2ED02C3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1m</w:t>
                  </w:r>
                </w:p>
              </w:tc>
              <w:tc>
                <w:tcPr>
                  <w:tcW w:w="683" w:type="pct"/>
                  <w:tcBorders>
                    <w:top w:val="single" w:color="auto" w:sz="4" w:space="0"/>
                    <w:left w:val="single" w:color="auto" w:sz="4" w:space="0"/>
                    <w:bottom w:val="single" w:color="auto" w:sz="4" w:space="0"/>
                    <w:right w:val="single" w:color="auto" w:sz="4" w:space="0"/>
                  </w:tcBorders>
                  <w:vAlign w:val="center"/>
                </w:tcPr>
                <w:p w14:paraId="73A607C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w:t>
                  </w:r>
                </w:p>
              </w:tc>
              <w:tc>
                <w:tcPr>
                  <w:tcW w:w="726" w:type="pct"/>
                  <w:tcBorders>
                    <w:top w:val="single" w:color="auto" w:sz="4" w:space="0"/>
                    <w:left w:val="single" w:color="auto" w:sz="4" w:space="0"/>
                    <w:bottom w:val="single" w:color="auto" w:sz="4" w:space="0"/>
                    <w:right w:val="single" w:color="auto" w:sz="4" w:space="0"/>
                  </w:tcBorders>
                  <w:vAlign w:val="center"/>
                </w:tcPr>
                <w:p w14:paraId="158D2CB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昼夜连续</w:t>
                  </w:r>
                </w:p>
              </w:tc>
              <w:tc>
                <w:tcPr>
                  <w:tcW w:w="604" w:type="pct"/>
                  <w:tcBorders>
                    <w:top w:val="single" w:color="auto" w:sz="4" w:space="0"/>
                    <w:left w:val="single" w:color="auto" w:sz="4" w:space="0"/>
                    <w:bottom w:val="single" w:color="auto" w:sz="4" w:space="0"/>
                    <w:right w:val="single" w:color="auto" w:sz="4" w:space="0"/>
                  </w:tcBorders>
                  <w:vAlign w:val="center"/>
                </w:tcPr>
                <w:p w14:paraId="6763EC0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固定声源</w:t>
                  </w:r>
                </w:p>
              </w:tc>
            </w:tr>
            <w:tr w14:paraId="4D103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2" w:type="pct"/>
                  <w:vMerge w:val="continue"/>
                  <w:tcBorders>
                    <w:left w:val="single" w:color="auto" w:sz="4" w:space="0"/>
                    <w:right w:val="single" w:color="auto" w:sz="4" w:space="0"/>
                  </w:tcBorders>
                  <w:vAlign w:val="center"/>
                </w:tcPr>
                <w:p w14:paraId="7F1ED6FC">
                  <w:pPr>
                    <w:pStyle w:val="23"/>
                    <w:rPr>
                      <w:rFonts w:hint="default" w:ascii="Times New Roman" w:hAnsi="Times New Roman" w:cs="Times New Roman"/>
                      <w:color w:val="000000" w:themeColor="text1"/>
                      <w14:textFill>
                        <w14:solidFill>
                          <w14:schemeClr w14:val="tx1"/>
                        </w14:solidFill>
                      </w14:textFill>
                    </w:rPr>
                  </w:pPr>
                </w:p>
              </w:tc>
              <w:tc>
                <w:tcPr>
                  <w:tcW w:w="881" w:type="pct"/>
                  <w:tcBorders>
                    <w:top w:val="single" w:color="auto" w:sz="4" w:space="0"/>
                    <w:left w:val="single" w:color="auto" w:sz="4" w:space="0"/>
                    <w:right w:val="single" w:color="auto" w:sz="4" w:space="0"/>
                  </w:tcBorders>
                  <w:vAlign w:val="center"/>
                </w:tcPr>
                <w:p w14:paraId="7305301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泥浆泵</w:t>
                  </w:r>
                </w:p>
              </w:tc>
              <w:tc>
                <w:tcPr>
                  <w:tcW w:w="526" w:type="pct"/>
                  <w:tcBorders>
                    <w:top w:val="single" w:color="auto" w:sz="4" w:space="0"/>
                    <w:left w:val="single" w:color="auto" w:sz="4" w:space="0"/>
                    <w:right w:val="single" w:color="auto" w:sz="4" w:space="0"/>
                  </w:tcBorders>
                  <w:vAlign w:val="center"/>
                </w:tcPr>
                <w:p w14:paraId="0AAE8F6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608" w:type="pct"/>
                  <w:tcBorders>
                    <w:top w:val="single" w:color="auto" w:sz="4" w:space="0"/>
                    <w:left w:val="single" w:color="auto" w:sz="4" w:space="0"/>
                    <w:right w:val="single" w:color="auto" w:sz="4" w:space="0"/>
                  </w:tcBorders>
                  <w:vAlign w:val="center"/>
                </w:tcPr>
                <w:p w14:paraId="28BD289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w:t>
                  </w:r>
                </w:p>
              </w:tc>
              <w:tc>
                <w:tcPr>
                  <w:tcW w:w="506" w:type="pct"/>
                  <w:tcBorders>
                    <w:top w:val="single" w:color="auto" w:sz="4" w:space="0"/>
                    <w:left w:val="single" w:color="auto" w:sz="4" w:space="0"/>
                    <w:right w:val="single" w:color="auto" w:sz="4" w:space="0"/>
                  </w:tcBorders>
                  <w:vAlign w:val="center"/>
                </w:tcPr>
                <w:p w14:paraId="66C369B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4FD01D1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60FB0FB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07CDDCF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固定声源</w:t>
                  </w:r>
                </w:p>
              </w:tc>
            </w:tr>
            <w:tr w14:paraId="0968B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2" w:type="pct"/>
                  <w:vMerge w:val="continue"/>
                  <w:tcBorders>
                    <w:left w:val="single" w:color="auto" w:sz="4" w:space="0"/>
                    <w:bottom w:val="single" w:color="auto" w:sz="4" w:space="0"/>
                    <w:right w:val="single" w:color="auto" w:sz="4" w:space="0"/>
                  </w:tcBorders>
                  <w:vAlign w:val="center"/>
                </w:tcPr>
                <w:p w14:paraId="3586C3BA">
                  <w:pPr>
                    <w:pStyle w:val="23"/>
                    <w:rPr>
                      <w:rFonts w:hint="default" w:ascii="Times New Roman" w:hAnsi="Times New Roman" w:cs="Times New Roman"/>
                      <w:color w:val="000000" w:themeColor="text1"/>
                      <w14:textFill>
                        <w14:solidFill>
                          <w14:schemeClr w14:val="tx1"/>
                        </w14:solidFill>
                      </w14:textFill>
                    </w:rPr>
                  </w:pPr>
                </w:p>
              </w:tc>
              <w:tc>
                <w:tcPr>
                  <w:tcW w:w="881" w:type="pct"/>
                  <w:tcBorders>
                    <w:top w:val="single" w:color="auto" w:sz="4" w:space="0"/>
                    <w:left w:val="single" w:color="auto" w:sz="4" w:space="0"/>
                    <w:bottom w:val="single" w:color="auto" w:sz="4" w:space="0"/>
                    <w:right w:val="single" w:color="auto" w:sz="4" w:space="0"/>
                  </w:tcBorders>
                  <w:vAlign w:val="center"/>
                </w:tcPr>
                <w:p w14:paraId="2DB942A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振动筛</w:t>
                  </w:r>
                </w:p>
              </w:tc>
              <w:tc>
                <w:tcPr>
                  <w:tcW w:w="526" w:type="pct"/>
                  <w:tcBorders>
                    <w:top w:val="single" w:color="auto" w:sz="4" w:space="0"/>
                    <w:left w:val="single" w:color="auto" w:sz="4" w:space="0"/>
                    <w:right w:val="single" w:color="auto" w:sz="4" w:space="0"/>
                  </w:tcBorders>
                  <w:vAlign w:val="center"/>
                </w:tcPr>
                <w:p w14:paraId="5D6AA61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608" w:type="pct"/>
                  <w:tcBorders>
                    <w:top w:val="single" w:color="auto" w:sz="4" w:space="0"/>
                    <w:left w:val="single" w:color="auto" w:sz="4" w:space="0"/>
                    <w:right w:val="single" w:color="auto" w:sz="4" w:space="0"/>
                  </w:tcBorders>
                  <w:vAlign w:val="center"/>
                </w:tcPr>
                <w:p w14:paraId="3687FE7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100</w:t>
                  </w:r>
                </w:p>
              </w:tc>
              <w:tc>
                <w:tcPr>
                  <w:tcW w:w="506" w:type="pct"/>
                  <w:tcBorders>
                    <w:top w:val="single" w:color="auto" w:sz="4" w:space="0"/>
                    <w:left w:val="single" w:color="auto" w:sz="4" w:space="0"/>
                    <w:right w:val="single" w:color="auto" w:sz="4" w:space="0"/>
                  </w:tcBorders>
                  <w:vAlign w:val="center"/>
                </w:tcPr>
                <w:p w14:paraId="2EB2D7C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7442E2C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46133B3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2EE9B44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固定声源</w:t>
                  </w:r>
                </w:p>
              </w:tc>
            </w:tr>
            <w:tr w14:paraId="58222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2" w:type="pct"/>
                  <w:vMerge w:val="restart"/>
                  <w:tcBorders>
                    <w:top w:val="single" w:color="auto" w:sz="4" w:space="0"/>
                    <w:left w:val="single" w:color="auto" w:sz="4" w:space="0"/>
                    <w:right w:val="single" w:color="auto" w:sz="4" w:space="0"/>
                  </w:tcBorders>
                  <w:vAlign w:val="center"/>
                </w:tcPr>
                <w:p w14:paraId="6BB07F8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钻井期、试油期</w:t>
                  </w:r>
                </w:p>
              </w:tc>
              <w:tc>
                <w:tcPr>
                  <w:tcW w:w="881" w:type="pct"/>
                  <w:tcBorders>
                    <w:top w:val="single" w:color="auto" w:sz="4" w:space="0"/>
                    <w:left w:val="single" w:color="auto" w:sz="4" w:space="0"/>
                    <w:right w:val="single" w:color="auto" w:sz="4" w:space="0"/>
                  </w:tcBorders>
                  <w:vAlign w:val="center"/>
                </w:tcPr>
                <w:p w14:paraId="6A15769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柴油发电机</w:t>
                  </w:r>
                </w:p>
              </w:tc>
              <w:tc>
                <w:tcPr>
                  <w:tcW w:w="526" w:type="pct"/>
                  <w:tcBorders>
                    <w:top w:val="single" w:color="auto" w:sz="4" w:space="0"/>
                    <w:left w:val="single" w:color="auto" w:sz="4" w:space="0"/>
                    <w:right w:val="single" w:color="auto" w:sz="4" w:space="0"/>
                  </w:tcBorders>
                  <w:vAlign w:val="center"/>
                </w:tcPr>
                <w:p w14:paraId="1B7B6C6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608" w:type="pct"/>
                  <w:tcBorders>
                    <w:top w:val="single" w:color="auto" w:sz="4" w:space="0"/>
                    <w:left w:val="single" w:color="auto" w:sz="4" w:space="0"/>
                    <w:right w:val="single" w:color="auto" w:sz="4" w:space="0"/>
                  </w:tcBorders>
                  <w:vAlign w:val="center"/>
                </w:tcPr>
                <w:p w14:paraId="45C7CB0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85</w:t>
                  </w:r>
                </w:p>
              </w:tc>
              <w:tc>
                <w:tcPr>
                  <w:tcW w:w="506" w:type="pct"/>
                  <w:tcBorders>
                    <w:top w:val="single" w:color="auto" w:sz="4" w:space="0"/>
                    <w:left w:val="single" w:color="auto" w:sz="4" w:space="0"/>
                    <w:right w:val="single" w:color="auto" w:sz="4" w:space="0"/>
                  </w:tcBorders>
                  <w:vAlign w:val="center"/>
                </w:tcPr>
                <w:p w14:paraId="1A2FA7A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1m</w:t>
                  </w:r>
                </w:p>
              </w:tc>
              <w:tc>
                <w:tcPr>
                  <w:tcW w:w="683" w:type="pct"/>
                  <w:tcBorders>
                    <w:top w:val="single" w:color="auto" w:sz="4" w:space="0"/>
                    <w:left w:val="single" w:color="auto" w:sz="4" w:space="0"/>
                    <w:right w:val="single" w:color="auto" w:sz="4" w:space="0"/>
                  </w:tcBorders>
                  <w:vAlign w:val="center"/>
                </w:tcPr>
                <w:p w14:paraId="080F639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w:t>
                  </w:r>
                </w:p>
              </w:tc>
              <w:tc>
                <w:tcPr>
                  <w:tcW w:w="726" w:type="pct"/>
                  <w:tcBorders>
                    <w:top w:val="single" w:color="auto" w:sz="4" w:space="0"/>
                    <w:left w:val="single" w:color="auto" w:sz="4" w:space="0"/>
                    <w:right w:val="single" w:color="auto" w:sz="4" w:space="0"/>
                  </w:tcBorders>
                  <w:vAlign w:val="center"/>
                </w:tcPr>
                <w:p w14:paraId="0E4662D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昼夜连续</w:t>
                  </w:r>
                </w:p>
              </w:tc>
              <w:tc>
                <w:tcPr>
                  <w:tcW w:w="604" w:type="pct"/>
                  <w:tcBorders>
                    <w:top w:val="single" w:color="auto" w:sz="4" w:space="0"/>
                    <w:left w:val="single" w:color="auto" w:sz="4" w:space="0"/>
                    <w:right w:val="single" w:color="auto" w:sz="4" w:space="0"/>
                  </w:tcBorders>
                  <w:vAlign w:val="center"/>
                </w:tcPr>
                <w:p w14:paraId="5EF567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固定声源</w:t>
                  </w:r>
                </w:p>
              </w:tc>
            </w:tr>
            <w:tr w14:paraId="170648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40" w:hRule="atLeast"/>
                <w:jc w:val="center"/>
              </w:trPr>
              <w:tc>
                <w:tcPr>
                  <w:tcW w:w="462" w:type="pct"/>
                  <w:vMerge w:val="continue"/>
                  <w:tcBorders>
                    <w:left w:val="single" w:color="auto" w:sz="4" w:space="0"/>
                    <w:right w:val="single" w:color="auto" w:sz="4" w:space="0"/>
                  </w:tcBorders>
                  <w:vAlign w:val="center"/>
                </w:tcPr>
                <w:p w14:paraId="15A8CE7E">
                  <w:pPr>
                    <w:pStyle w:val="23"/>
                    <w:rPr>
                      <w:rFonts w:hint="default" w:ascii="Times New Roman" w:hAnsi="Times New Roman" w:cs="Times New Roman"/>
                      <w:color w:val="000000" w:themeColor="text1"/>
                      <w14:textFill>
                        <w14:solidFill>
                          <w14:schemeClr w14:val="tx1"/>
                        </w14:solidFill>
                      </w14:textFill>
                    </w:rPr>
                  </w:pPr>
                </w:p>
              </w:tc>
              <w:tc>
                <w:tcPr>
                  <w:tcW w:w="881" w:type="pct"/>
                  <w:tcBorders>
                    <w:top w:val="single" w:color="auto" w:sz="4" w:space="0"/>
                    <w:left w:val="single" w:color="auto" w:sz="4" w:space="0"/>
                    <w:bottom w:val="single" w:color="auto" w:sz="4" w:space="0"/>
                    <w:right w:val="single" w:color="auto" w:sz="4" w:space="0"/>
                  </w:tcBorders>
                  <w:vAlign w:val="center"/>
                </w:tcPr>
                <w:p w14:paraId="241D3D8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柴油动力机</w:t>
                  </w:r>
                </w:p>
              </w:tc>
              <w:tc>
                <w:tcPr>
                  <w:tcW w:w="526" w:type="pct"/>
                  <w:tcBorders>
                    <w:top w:val="single" w:color="auto" w:sz="4" w:space="0"/>
                    <w:left w:val="single" w:color="auto" w:sz="4" w:space="0"/>
                    <w:bottom w:val="single" w:color="auto" w:sz="4" w:space="0"/>
                    <w:right w:val="single" w:color="auto" w:sz="4" w:space="0"/>
                  </w:tcBorders>
                  <w:vAlign w:val="center"/>
                </w:tcPr>
                <w:p w14:paraId="54C305C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608" w:type="pct"/>
                  <w:tcBorders>
                    <w:top w:val="single" w:color="auto" w:sz="4" w:space="0"/>
                    <w:left w:val="single" w:color="auto" w:sz="4" w:space="0"/>
                    <w:bottom w:val="single" w:color="auto" w:sz="4" w:space="0"/>
                    <w:right w:val="single" w:color="auto" w:sz="4" w:space="0"/>
                  </w:tcBorders>
                  <w:vAlign w:val="center"/>
                </w:tcPr>
                <w:p w14:paraId="66CDCCB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95</w:t>
                  </w:r>
                </w:p>
              </w:tc>
              <w:tc>
                <w:tcPr>
                  <w:tcW w:w="506" w:type="pct"/>
                  <w:tcBorders>
                    <w:top w:val="single" w:color="auto" w:sz="4" w:space="0"/>
                    <w:left w:val="single" w:color="auto" w:sz="4" w:space="0"/>
                    <w:bottom w:val="single" w:color="auto" w:sz="4" w:space="0"/>
                    <w:right w:val="single" w:color="auto" w:sz="4" w:space="0"/>
                  </w:tcBorders>
                  <w:vAlign w:val="center"/>
                </w:tcPr>
                <w:p w14:paraId="5F62C94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1m</w:t>
                  </w:r>
                </w:p>
              </w:tc>
              <w:tc>
                <w:tcPr>
                  <w:tcW w:w="683" w:type="pct"/>
                  <w:tcBorders>
                    <w:top w:val="single" w:color="auto" w:sz="4" w:space="0"/>
                    <w:left w:val="single" w:color="auto" w:sz="4" w:space="0"/>
                    <w:bottom w:val="single" w:color="auto" w:sz="4" w:space="0"/>
                    <w:right w:val="single" w:color="auto" w:sz="4" w:space="0"/>
                  </w:tcBorders>
                  <w:vAlign w:val="center"/>
                </w:tcPr>
                <w:p w14:paraId="2166B22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w:t>
                  </w:r>
                </w:p>
              </w:tc>
              <w:tc>
                <w:tcPr>
                  <w:tcW w:w="726" w:type="pct"/>
                  <w:tcBorders>
                    <w:top w:val="single" w:color="auto" w:sz="4" w:space="0"/>
                    <w:left w:val="single" w:color="auto" w:sz="4" w:space="0"/>
                    <w:bottom w:val="single" w:color="auto" w:sz="4" w:space="0"/>
                    <w:right w:val="single" w:color="auto" w:sz="4" w:space="0"/>
                  </w:tcBorders>
                  <w:vAlign w:val="center"/>
                </w:tcPr>
                <w:p w14:paraId="1B19F76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昼夜连续</w:t>
                  </w:r>
                </w:p>
              </w:tc>
              <w:tc>
                <w:tcPr>
                  <w:tcW w:w="604" w:type="pct"/>
                  <w:tcBorders>
                    <w:top w:val="single" w:color="auto" w:sz="4" w:space="0"/>
                    <w:left w:val="single" w:color="auto" w:sz="4" w:space="0"/>
                    <w:bottom w:val="single" w:color="auto" w:sz="4" w:space="0"/>
                    <w:right w:val="single" w:color="auto" w:sz="4" w:space="0"/>
                  </w:tcBorders>
                  <w:vAlign w:val="center"/>
                </w:tcPr>
                <w:p w14:paraId="7A9BD1E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固定声源</w:t>
                  </w:r>
                </w:p>
              </w:tc>
            </w:tr>
          </w:tbl>
          <w:p w14:paraId="7B903C6C">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钻井及试油期过程中，不同类型施工机械在不同距离处的噪声预测值见表4-7。</w:t>
            </w:r>
          </w:p>
          <w:p w14:paraId="13272C88">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表4-7  各种施工机械在不同距离的噪声预测值    单位：dB（A）</w:t>
            </w:r>
          </w:p>
          <w:tbl>
            <w:tblPr>
              <w:tblStyle w:val="16"/>
              <w:tblW w:w="8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606"/>
              <w:gridCol w:w="550"/>
              <w:gridCol w:w="468"/>
              <w:gridCol w:w="499"/>
              <w:gridCol w:w="511"/>
              <w:gridCol w:w="511"/>
              <w:gridCol w:w="511"/>
              <w:gridCol w:w="511"/>
              <w:gridCol w:w="511"/>
              <w:gridCol w:w="511"/>
              <w:gridCol w:w="511"/>
              <w:gridCol w:w="458"/>
              <w:gridCol w:w="599"/>
              <w:gridCol w:w="568"/>
            </w:tblGrid>
            <w:tr w14:paraId="6A61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73138C0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距离（m）</w:t>
                  </w:r>
                </w:p>
              </w:tc>
              <w:tc>
                <w:tcPr>
                  <w:tcW w:w="370" w:type="pct"/>
                  <w:tcBorders>
                    <w:top w:val="single" w:color="auto" w:sz="4" w:space="0"/>
                    <w:left w:val="single" w:color="auto" w:sz="4" w:space="0"/>
                    <w:bottom w:val="single" w:color="auto" w:sz="4" w:space="0"/>
                    <w:right w:val="single" w:color="auto" w:sz="4" w:space="0"/>
                  </w:tcBorders>
                  <w:vAlign w:val="center"/>
                </w:tcPr>
                <w:p w14:paraId="06359F0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源强</w:t>
                  </w:r>
                </w:p>
              </w:tc>
              <w:tc>
                <w:tcPr>
                  <w:tcW w:w="335" w:type="pct"/>
                  <w:tcBorders>
                    <w:top w:val="single" w:color="auto" w:sz="4" w:space="0"/>
                    <w:left w:val="single" w:color="auto" w:sz="4" w:space="0"/>
                    <w:bottom w:val="single" w:color="auto" w:sz="4" w:space="0"/>
                    <w:right w:val="single" w:color="auto" w:sz="4" w:space="0"/>
                  </w:tcBorders>
                  <w:vAlign w:val="center"/>
                </w:tcPr>
                <w:p w14:paraId="43C5327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隔声后</w:t>
                  </w:r>
                </w:p>
              </w:tc>
              <w:tc>
                <w:tcPr>
                  <w:tcW w:w="285" w:type="pct"/>
                  <w:tcBorders>
                    <w:top w:val="single" w:color="auto" w:sz="4" w:space="0"/>
                    <w:left w:val="single" w:color="auto" w:sz="4" w:space="0"/>
                    <w:bottom w:val="single" w:color="auto" w:sz="4" w:space="0"/>
                    <w:right w:val="single" w:color="auto" w:sz="4" w:space="0"/>
                  </w:tcBorders>
                  <w:vAlign w:val="center"/>
                </w:tcPr>
                <w:p w14:paraId="30A0B63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5</w:t>
                  </w:r>
                </w:p>
              </w:tc>
              <w:tc>
                <w:tcPr>
                  <w:tcW w:w="304" w:type="pct"/>
                  <w:tcBorders>
                    <w:top w:val="single" w:color="auto" w:sz="4" w:space="0"/>
                    <w:left w:val="single" w:color="auto" w:sz="4" w:space="0"/>
                    <w:bottom w:val="single" w:color="auto" w:sz="4" w:space="0"/>
                    <w:right w:val="single" w:color="auto" w:sz="4" w:space="0"/>
                  </w:tcBorders>
                  <w:vAlign w:val="center"/>
                </w:tcPr>
                <w:p w14:paraId="0EFB97EB">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10</w:t>
                  </w:r>
                </w:p>
              </w:tc>
              <w:tc>
                <w:tcPr>
                  <w:tcW w:w="311" w:type="pct"/>
                  <w:tcBorders>
                    <w:top w:val="single" w:color="auto" w:sz="4" w:space="0"/>
                    <w:left w:val="single" w:color="auto" w:sz="4" w:space="0"/>
                    <w:bottom w:val="single" w:color="auto" w:sz="4" w:space="0"/>
                    <w:right w:val="single" w:color="auto" w:sz="4" w:space="0"/>
                  </w:tcBorders>
                  <w:vAlign w:val="center"/>
                </w:tcPr>
                <w:p w14:paraId="5CA6647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15</w:t>
                  </w:r>
                </w:p>
              </w:tc>
              <w:tc>
                <w:tcPr>
                  <w:tcW w:w="311" w:type="pct"/>
                  <w:tcBorders>
                    <w:top w:val="single" w:color="auto" w:sz="4" w:space="0"/>
                    <w:left w:val="single" w:color="auto" w:sz="4" w:space="0"/>
                    <w:bottom w:val="single" w:color="auto" w:sz="4" w:space="0"/>
                    <w:right w:val="single" w:color="auto" w:sz="4" w:space="0"/>
                  </w:tcBorders>
                  <w:vAlign w:val="center"/>
                </w:tcPr>
                <w:p w14:paraId="3CA416B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20</w:t>
                  </w:r>
                </w:p>
              </w:tc>
              <w:tc>
                <w:tcPr>
                  <w:tcW w:w="311" w:type="pct"/>
                  <w:tcBorders>
                    <w:top w:val="single" w:color="auto" w:sz="4" w:space="0"/>
                    <w:left w:val="single" w:color="auto" w:sz="4" w:space="0"/>
                    <w:bottom w:val="single" w:color="auto" w:sz="4" w:space="0"/>
                    <w:right w:val="single" w:color="auto" w:sz="4" w:space="0"/>
                  </w:tcBorders>
                  <w:vAlign w:val="center"/>
                </w:tcPr>
                <w:p w14:paraId="76169619">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25</w:t>
                  </w:r>
                </w:p>
              </w:tc>
              <w:tc>
                <w:tcPr>
                  <w:tcW w:w="311" w:type="pct"/>
                  <w:tcBorders>
                    <w:top w:val="single" w:color="auto" w:sz="4" w:space="0"/>
                    <w:left w:val="single" w:color="auto" w:sz="4" w:space="0"/>
                    <w:bottom w:val="single" w:color="auto" w:sz="4" w:space="0"/>
                    <w:right w:val="single" w:color="auto" w:sz="4" w:space="0"/>
                  </w:tcBorders>
                  <w:vAlign w:val="center"/>
                </w:tcPr>
                <w:p w14:paraId="59F11936">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30</w:t>
                  </w:r>
                </w:p>
              </w:tc>
              <w:tc>
                <w:tcPr>
                  <w:tcW w:w="311" w:type="pct"/>
                  <w:tcBorders>
                    <w:top w:val="single" w:color="auto" w:sz="4" w:space="0"/>
                    <w:left w:val="single" w:color="auto" w:sz="4" w:space="0"/>
                    <w:bottom w:val="single" w:color="auto" w:sz="4" w:space="0"/>
                    <w:right w:val="single" w:color="auto" w:sz="4" w:space="0"/>
                  </w:tcBorders>
                  <w:vAlign w:val="center"/>
                </w:tcPr>
                <w:p w14:paraId="18E95CEA">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40</w:t>
                  </w:r>
                </w:p>
              </w:tc>
              <w:tc>
                <w:tcPr>
                  <w:tcW w:w="311" w:type="pct"/>
                  <w:tcBorders>
                    <w:top w:val="single" w:color="auto" w:sz="4" w:space="0"/>
                    <w:left w:val="single" w:color="auto" w:sz="4" w:space="0"/>
                    <w:bottom w:val="single" w:color="auto" w:sz="4" w:space="0"/>
                    <w:right w:val="single" w:color="auto" w:sz="4" w:space="0"/>
                  </w:tcBorders>
                  <w:vAlign w:val="center"/>
                </w:tcPr>
                <w:p w14:paraId="60E637A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50</w:t>
                  </w:r>
                </w:p>
              </w:tc>
              <w:tc>
                <w:tcPr>
                  <w:tcW w:w="311" w:type="pct"/>
                  <w:tcBorders>
                    <w:top w:val="single" w:color="auto" w:sz="4" w:space="0"/>
                    <w:left w:val="single" w:color="auto" w:sz="4" w:space="0"/>
                    <w:bottom w:val="single" w:color="auto" w:sz="4" w:space="0"/>
                    <w:right w:val="single" w:color="auto" w:sz="4" w:space="0"/>
                  </w:tcBorders>
                  <w:vAlign w:val="center"/>
                </w:tcPr>
                <w:p w14:paraId="0E1C2328">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60</w:t>
                  </w:r>
                </w:p>
              </w:tc>
              <w:tc>
                <w:tcPr>
                  <w:tcW w:w="279" w:type="pct"/>
                  <w:tcBorders>
                    <w:top w:val="single" w:color="auto" w:sz="4" w:space="0"/>
                    <w:left w:val="single" w:color="auto" w:sz="4" w:space="0"/>
                    <w:bottom w:val="single" w:color="auto" w:sz="4" w:space="0"/>
                    <w:right w:val="single" w:color="auto" w:sz="4" w:space="0"/>
                  </w:tcBorders>
                  <w:vAlign w:val="center"/>
                </w:tcPr>
                <w:p w14:paraId="671F25F6">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80</w:t>
                  </w:r>
                </w:p>
              </w:tc>
              <w:tc>
                <w:tcPr>
                  <w:tcW w:w="365" w:type="pct"/>
                  <w:tcBorders>
                    <w:top w:val="single" w:color="auto" w:sz="4" w:space="0"/>
                    <w:left w:val="single" w:color="auto" w:sz="4" w:space="0"/>
                    <w:bottom w:val="single" w:color="auto" w:sz="4" w:space="0"/>
                    <w:right w:val="single" w:color="auto" w:sz="4" w:space="0"/>
                  </w:tcBorders>
                  <w:vAlign w:val="center"/>
                </w:tcPr>
                <w:p w14:paraId="7668A9BA">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100</w:t>
                  </w:r>
                </w:p>
              </w:tc>
              <w:tc>
                <w:tcPr>
                  <w:tcW w:w="346" w:type="pct"/>
                  <w:tcBorders>
                    <w:top w:val="single" w:color="auto" w:sz="4" w:space="0"/>
                    <w:left w:val="single" w:color="auto" w:sz="4" w:space="0"/>
                    <w:bottom w:val="single" w:color="auto" w:sz="4" w:space="0"/>
                    <w:right w:val="single" w:color="auto" w:sz="4" w:space="0"/>
                  </w:tcBorders>
                  <w:vAlign w:val="center"/>
                </w:tcPr>
                <w:p w14:paraId="3B431B31">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160</w:t>
                  </w:r>
                </w:p>
              </w:tc>
            </w:tr>
            <w:tr w14:paraId="3C0C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5CEAA2C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钻机</w:t>
                  </w:r>
                </w:p>
              </w:tc>
              <w:tc>
                <w:tcPr>
                  <w:tcW w:w="370" w:type="pct"/>
                  <w:tcBorders>
                    <w:top w:val="single" w:color="auto" w:sz="4" w:space="0"/>
                    <w:left w:val="single" w:color="auto" w:sz="4" w:space="0"/>
                    <w:bottom w:val="single" w:color="auto" w:sz="4" w:space="0"/>
                    <w:right w:val="single" w:color="auto" w:sz="4" w:space="0"/>
                  </w:tcBorders>
                  <w:vAlign w:val="center"/>
                </w:tcPr>
                <w:p w14:paraId="0AB59B6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w:t>
                  </w:r>
                </w:p>
              </w:tc>
              <w:tc>
                <w:tcPr>
                  <w:tcW w:w="335" w:type="pct"/>
                  <w:tcBorders>
                    <w:top w:val="single" w:color="auto" w:sz="4" w:space="0"/>
                    <w:left w:val="single" w:color="auto" w:sz="4" w:space="0"/>
                    <w:bottom w:val="single" w:color="auto" w:sz="4" w:space="0"/>
                    <w:right w:val="single" w:color="auto" w:sz="4" w:space="0"/>
                  </w:tcBorders>
                  <w:vAlign w:val="center"/>
                </w:tcPr>
                <w:p w14:paraId="5DFCB9C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80</w:t>
                  </w:r>
                </w:p>
              </w:tc>
              <w:tc>
                <w:tcPr>
                  <w:tcW w:w="285" w:type="pct"/>
                  <w:tcBorders>
                    <w:top w:val="single" w:color="auto" w:sz="4" w:space="0"/>
                    <w:left w:val="single" w:color="auto" w:sz="4" w:space="0"/>
                    <w:bottom w:val="single" w:color="auto" w:sz="4" w:space="0"/>
                    <w:right w:val="single" w:color="auto" w:sz="4" w:space="0"/>
                  </w:tcBorders>
                  <w:vAlign w:val="center"/>
                </w:tcPr>
                <w:p w14:paraId="5E46E49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66</w:t>
                  </w:r>
                </w:p>
              </w:tc>
              <w:tc>
                <w:tcPr>
                  <w:tcW w:w="304" w:type="pct"/>
                  <w:tcBorders>
                    <w:top w:val="single" w:color="auto" w:sz="4" w:space="0"/>
                    <w:left w:val="single" w:color="auto" w:sz="4" w:space="0"/>
                    <w:bottom w:val="single" w:color="auto" w:sz="4" w:space="0"/>
                    <w:right w:val="single" w:color="auto" w:sz="4" w:space="0"/>
                  </w:tcBorders>
                  <w:vAlign w:val="center"/>
                </w:tcPr>
                <w:p w14:paraId="1F0AD4D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w:t>
                  </w:r>
                </w:p>
              </w:tc>
              <w:tc>
                <w:tcPr>
                  <w:tcW w:w="311" w:type="pct"/>
                  <w:tcBorders>
                    <w:top w:val="single" w:color="auto" w:sz="4" w:space="0"/>
                    <w:left w:val="single" w:color="auto" w:sz="4" w:space="0"/>
                    <w:bottom w:val="single" w:color="auto" w:sz="4" w:space="0"/>
                    <w:right w:val="single" w:color="auto" w:sz="4" w:space="0"/>
                  </w:tcBorders>
                  <w:vAlign w:val="center"/>
                </w:tcPr>
                <w:p w14:paraId="2963D47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56</w:t>
                  </w:r>
                </w:p>
              </w:tc>
              <w:tc>
                <w:tcPr>
                  <w:tcW w:w="311" w:type="pct"/>
                  <w:tcBorders>
                    <w:top w:val="single" w:color="auto" w:sz="4" w:space="0"/>
                    <w:left w:val="single" w:color="auto" w:sz="4" w:space="0"/>
                    <w:bottom w:val="single" w:color="auto" w:sz="4" w:space="0"/>
                    <w:right w:val="single" w:color="auto" w:sz="4" w:space="0"/>
                  </w:tcBorders>
                  <w:vAlign w:val="center"/>
                </w:tcPr>
                <w:p w14:paraId="25E0BCE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54</w:t>
                  </w:r>
                </w:p>
              </w:tc>
              <w:tc>
                <w:tcPr>
                  <w:tcW w:w="311" w:type="pct"/>
                  <w:tcBorders>
                    <w:top w:val="single" w:color="auto" w:sz="4" w:space="0"/>
                    <w:left w:val="single" w:color="auto" w:sz="4" w:space="0"/>
                    <w:bottom w:val="single" w:color="auto" w:sz="4" w:space="0"/>
                    <w:right w:val="single" w:color="auto" w:sz="4" w:space="0"/>
                  </w:tcBorders>
                  <w:vAlign w:val="center"/>
                </w:tcPr>
                <w:p w14:paraId="02DBEB4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52</w:t>
                  </w:r>
                </w:p>
              </w:tc>
              <w:tc>
                <w:tcPr>
                  <w:tcW w:w="311" w:type="pct"/>
                  <w:tcBorders>
                    <w:top w:val="single" w:color="auto" w:sz="4" w:space="0"/>
                    <w:left w:val="single" w:color="auto" w:sz="4" w:space="0"/>
                    <w:bottom w:val="single" w:color="auto" w:sz="4" w:space="0"/>
                    <w:right w:val="single" w:color="auto" w:sz="4" w:space="0"/>
                  </w:tcBorders>
                  <w:vAlign w:val="center"/>
                </w:tcPr>
                <w:p w14:paraId="76868B8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50</w:t>
                  </w:r>
                </w:p>
              </w:tc>
              <w:tc>
                <w:tcPr>
                  <w:tcW w:w="311" w:type="pct"/>
                  <w:tcBorders>
                    <w:top w:val="single" w:color="auto" w:sz="4" w:space="0"/>
                    <w:left w:val="single" w:color="auto" w:sz="4" w:space="0"/>
                    <w:bottom w:val="single" w:color="auto" w:sz="4" w:space="0"/>
                    <w:right w:val="single" w:color="auto" w:sz="4" w:space="0"/>
                  </w:tcBorders>
                  <w:vAlign w:val="center"/>
                </w:tcPr>
                <w:p w14:paraId="2FB7DE0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48</w:t>
                  </w:r>
                </w:p>
              </w:tc>
              <w:tc>
                <w:tcPr>
                  <w:tcW w:w="311" w:type="pct"/>
                  <w:tcBorders>
                    <w:top w:val="single" w:color="auto" w:sz="4" w:space="0"/>
                    <w:left w:val="single" w:color="auto" w:sz="4" w:space="0"/>
                    <w:bottom w:val="single" w:color="auto" w:sz="4" w:space="0"/>
                    <w:right w:val="single" w:color="auto" w:sz="4" w:space="0"/>
                  </w:tcBorders>
                  <w:vAlign w:val="center"/>
                </w:tcPr>
                <w:p w14:paraId="38F5594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46</w:t>
                  </w:r>
                </w:p>
              </w:tc>
              <w:tc>
                <w:tcPr>
                  <w:tcW w:w="311" w:type="pct"/>
                  <w:tcBorders>
                    <w:top w:val="single" w:color="auto" w:sz="4" w:space="0"/>
                    <w:left w:val="single" w:color="auto" w:sz="4" w:space="0"/>
                    <w:bottom w:val="single" w:color="auto" w:sz="4" w:space="0"/>
                    <w:right w:val="single" w:color="auto" w:sz="4" w:space="0"/>
                  </w:tcBorders>
                  <w:vAlign w:val="center"/>
                </w:tcPr>
                <w:p w14:paraId="133A3E2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44</w:t>
                  </w:r>
                </w:p>
              </w:tc>
              <w:tc>
                <w:tcPr>
                  <w:tcW w:w="279" w:type="pct"/>
                  <w:tcBorders>
                    <w:top w:val="single" w:color="auto" w:sz="4" w:space="0"/>
                    <w:left w:val="single" w:color="auto" w:sz="4" w:space="0"/>
                    <w:bottom w:val="single" w:color="auto" w:sz="4" w:space="0"/>
                    <w:right w:val="single" w:color="auto" w:sz="4" w:space="0"/>
                  </w:tcBorders>
                  <w:vAlign w:val="center"/>
                </w:tcPr>
                <w:p w14:paraId="52FF18B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42</w:t>
                  </w:r>
                </w:p>
              </w:tc>
              <w:tc>
                <w:tcPr>
                  <w:tcW w:w="365" w:type="pct"/>
                  <w:tcBorders>
                    <w:top w:val="single" w:color="auto" w:sz="4" w:space="0"/>
                    <w:left w:val="single" w:color="auto" w:sz="4" w:space="0"/>
                    <w:bottom w:val="single" w:color="auto" w:sz="4" w:space="0"/>
                    <w:right w:val="single" w:color="auto" w:sz="4" w:space="0"/>
                  </w:tcBorders>
                  <w:vAlign w:val="center"/>
                </w:tcPr>
                <w:p w14:paraId="27E5C87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40</w:t>
                  </w:r>
                </w:p>
              </w:tc>
              <w:tc>
                <w:tcPr>
                  <w:tcW w:w="346" w:type="pct"/>
                  <w:tcBorders>
                    <w:top w:val="single" w:color="auto" w:sz="4" w:space="0"/>
                    <w:left w:val="single" w:color="auto" w:sz="4" w:space="0"/>
                    <w:bottom w:val="single" w:color="auto" w:sz="4" w:space="0"/>
                    <w:right w:val="single" w:color="auto" w:sz="4" w:space="0"/>
                  </w:tcBorders>
                  <w:vAlign w:val="center"/>
                </w:tcPr>
                <w:p w14:paraId="54CA718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34</w:t>
                  </w:r>
                </w:p>
              </w:tc>
            </w:tr>
            <w:tr w14:paraId="7454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0074C0F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泥浆泵</w:t>
                  </w:r>
                </w:p>
              </w:tc>
              <w:tc>
                <w:tcPr>
                  <w:tcW w:w="370" w:type="pct"/>
                  <w:tcBorders>
                    <w:top w:val="single" w:color="auto" w:sz="4" w:space="0"/>
                    <w:left w:val="single" w:color="auto" w:sz="4" w:space="0"/>
                    <w:bottom w:val="single" w:color="auto" w:sz="4" w:space="0"/>
                    <w:right w:val="single" w:color="auto" w:sz="4" w:space="0"/>
                  </w:tcBorders>
                  <w:vAlign w:val="center"/>
                </w:tcPr>
                <w:p w14:paraId="5F17862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93</w:t>
                  </w:r>
                </w:p>
              </w:tc>
              <w:tc>
                <w:tcPr>
                  <w:tcW w:w="335" w:type="pct"/>
                  <w:tcBorders>
                    <w:top w:val="single" w:color="auto" w:sz="4" w:space="0"/>
                    <w:left w:val="single" w:color="auto" w:sz="4" w:space="0"/>
                    <w:bottom w:val="single" w:color="auto" w:sz="4" w:space="0"/>
                    <w:right w:val="single" w:color="auto" w:sz="4" w:space="0"/>
                  </w:tcBorders>
                  <w:vAlign w:val="center"/>
                </w:tcPr>
                <w:p w14:paraId="0641673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85</w:t>
                  </w:r>
                </w:p>
              </w:tc>
              <w:tc>
                <w:tcPr>
                  <w:tcW w:w="285" w:type="pct"/>
                  <w:tcBorders>
                    <w:top w:val="single" w:color="auto" w:sz="4" w:space="0"/>
                    <w:left w:val="single" w:color="auto" w:sz="4" w:space="0"/>
                    <w:bottom w:val="single" w:color="auto" w:sz="4" w:space="0"/>
                    <w:right w:val="single" w:color="auto" w:sz="4" w:space="0"/>
                  </w:tcBorders>
                  <w:vAlign w:val="center"/>
                </w:tcPr>
                <w:p w14:paraId="5A70736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71</w:t>
                  </w:r>
                </w:p>
              </w:tc>
              <w:tc>
                <w:tcPr>
                  <w:tcW w:w="304" w:type="pct"/>
                  <w:tcBorders>
                    <w:top w:val="single" w:color="auto" w:sz="4" w:space="0"/>
                    <w:left w:val="single" w:color="auto" w:sz="4" w:space="0"/>
                    <w:bottom w:val="single" w:color="auto" w:sz="4" w:space="0"/>
                    <w:right w:val="single" w:color="auto" w:sz="4" w:space="0"/>
                  </w:tcBorders>
                  <w:vAlign w:val="center"/>
                </w:tcPr>
                <w:p w14:paraId="50E0D83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48C8689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2766EA9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1752746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650A525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55</w:t>
                  </w:r>
                </w:p>
              </w:tc>
              <w:tc>
                <w:tcPr>
                  <w:tcW w:w="311" w:type="pct"/>
                  <w:tcBorders>
                    <w:top w:val="single" w:color="auto" w:sz="4" w:space="0"/>
                    <w:left w:val="single" w:color="auto" w:sz="4" w:space="0"/>
                    <w:bottom w:val="single" w:color="auto" w:sz="4" w:space="0"/>
                    <w:right w:val="single" w:color="auto" w:sz="4" w:space="0"/>
                  </w:tcBorders>
                  <w:vAlign w:val="center"/>
                </w:tcPr>
                <w:p w14:paraId="5A30103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53</w:t>
                  </w:r>
                </w:p>
              </w:tc>
              <w:tc>
                <w:tcPr>
                  <w:tcW w:w="311" w:type="pct"/>
                  <w:tcBorders>
                    <w:top w:val="single" w:color="auto" w:sz="4" w:space="0"/>
                    <w:left w:val="single" w:color="auto" w:sz="4" w:space="0"/>
                    <w:bottom w:val="single" w:color="auto" w:sz="4" w:space="0"/>
                    <w:right w:val="single" w:color="auto" w:sz="4" w:space="0"/>
                  </w:tcBorders>
                  <w:vAlign w:val="center"/>
                </w:tcPr>
                <w:p w14:paraId="0BBF85A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51</w:t>
                  </w:r>
                </w:p>
              </w:tc>
              <w:tc>
                <w:tcPr>
                  <w:tcW w:w="311" w:type="pct"/>
                  <w:tcBorders>
                    <w:top w:val="single" w:color="auto" w:sz="4" w:space="0"/>
                    <w:left w:val="single" w:color="auto" w:sz="4" w:space="0"/>
                    <w:bottom w:val="single" w:color="auto" w:sz="4" w:space="0"/>
                    <w:right w:val="single" w:color="auto" w:sz="4" w:space="0"/>
                  </w:tcBorders>
                  <w:vAlign w:val="center"/>
                </w:tcPr>
                <w:p w14:paraId="1058F89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49</w:t>
                  </w:r>
                </w:p>
              </w:tc>
              <w:tc>
                <w:tcPr>
                  <w:tcW w:w="279" w:type="pct"/>
                  <w:tcBorders>
                    <w:top w:val="single" w:color="auto" w:sz="4" w:space="0"/>
                    <w:left w:val="single" w:color="auto" w:sz="4" w:space="0"/>
                    <w:bottom w:val="single" w:color="auto" w:sz="4" w:space="0"/>
                    <w:right w:val="single" w:color="auto" w:sz="4" w:space="0"/>
                  </w:tcBorders>
                  <w:vAlign w:val="center"/>
                </w:tcPr>
                <w:p w14:paraId="63B768D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47</w:t>
                  </w:r>
                </w:p>
              </w:tc>
              <w:tc>
                <w:tcPr>
                  <w:tcW w:w="365" w:type="pct"/>
                  <w:tcBorders>
                    <w:top w:val="single" w:color="auto" w:sz="4" w:space="0"/>
                    <w:left w:val="single" w:color="auto" w:sz="4" w:space="0"/>
                    <w:bottom w:val="single" w:color="auto" w:sz="4" w:space="0"/>
                    <w:right w:val="single" w:color="auto" w:sz="4" w:space="0"/>
                  </w:tcBorders>
                  <w:vAlign w:val="center"/>
                </w:tcPr>
                <w:p w14:paraId="1A64DBD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45</w:t>
                  </w:r>
                </w:p>
              </w:tc>
              <w:tc>
                <w:tcPr>
                  <w:tcW w:w="346" w:type="pct"/>
                  <w:tcBorders>
                    <w:top w:val="single" w:color="auto" w:sz="4" w:space="0"/>
                    <w:left w:val="single" w:color="auto" w:sz="4" w:space="0"/>
                    <w:bottom w:val="single" w:color="auto" w:sz="4" w:space="0"/>
                    <w:right w:val="single" w:color="auto" w:sz="4" w:space="0"/>
                  </w:tcBorders>
                  <w:vAlign w:val="center"/>
                </w:tcPr>
                <w:p w14:paraId="72E2194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42</w:t>
                  </w:r>
                </w:p>
              </w:tc>
            </w:tr>
            <w:tr w14:paraId="5775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3A6A911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振动筛</w:t>
                  </w:r>
                </w:p>
              </w:tc>
              <w:tc>
                <w:tcPr>
                  <w:tcW w:w="370" w:type="pct"/>
                  <w:tcBorders>
                    <w:top w:val="single" w:color="auto" w:sz="4" w:space="0"/>
                    <w:left w:val="single" w:color="auto" w:sz="4" w:space="0"/>
                    <w:bottom w:val="single" w:color="auto" w:sz="4" w:space="0"/>
                    <w:right w:val="single" w:color="auto" w:sz="4" w:space="0"/>
                  </w:tcBorders>
                  <w:vAlign w:val="center"/>
                </w:tcPr>
                <w:p w14:paraId="140D7F0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105</w:t>
                  </w:r>
                </w:p>
              </w:tc>
              <w:tc>
                <w:tcPr>
                  <w:tcW w:w="335" w:type="pct"/>
                  <w:tcBorders>
                    <w:top w:val="single" w:color="auto" w:sz="4" w:space="0"/>
                    <w:left w:val="single" w:color="auto" w:sz="4" w:space="0"/>
                    <w:bottom w:val="single" w:color="auto" w:sz="4" w:space="0"/>
                    <w:right w:val="single" w:color="auto" w:sz="4" w:space="0"/>
                  </w:tcBorders>
                  <w:vAlign w:val="center"/>
                </w:tcPr>
                <w:p w14:paraId="08C989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w:t>
                  </w:r>
                </w:p>
              </w:tc>
              <w:tc>
                <w:tcPr>
                  <w:tcW w:w="285" w:type="pct"/>
                  <w:tcBorders>
                    <w:top w:val="single" w:color="auto" w:sz="4" w:space="0"/>
                    <w:left w:val="single" w:color="auto" w:sz="4" w:space="0"/>
                    <w:bottom w:val="single" w:color="auto" w:sz="4" w:space="0"/>
                    <w:right w:val="single" w:color="auto" w:sz="4" w:space="0"/>
                  </w:tcBorders>
                  <w:vAlign w:val="center"/>
                </w:tcPr>
                <w:p w14:paraId="6C07FF7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76</w:t>
                  </w:r>
                </w:p>
              </w:tc>
              <w:tc>
                <w:tcPr>
                  <w:tcW w:w="304" w:type="pct"/>
                  <w:tcBorders>
                    <w:top w:val="single" w:color="auto" w:sz="4" w:space="0"/>
                    <w:left w:val="single" w:color="auto" w:sz="4" w:space="0"/>
                    <w:bottom w:val="single" w:color="auto" w:sz="4" w:space="0"/>
                    <w:right w:val="single" w:color="auto" w:sz="4" w:space="0"/>
                  </w:tcBorders>
                  <w:vAlign w:val="center"/>
                </w:tcPr>
                <w:p w14:paraId="0545371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70</w:t>
                  </w:r>
                </w:p>
              </w:tc>
              <w:tc>
                <w:tcPr>
                  <w:tcW w:w="311" w:type="pct"/>
                  <w:tcBorders>
                    <w:top w:val="single" w:color="auto" w:sz="4" w:space="0"/>
                    <w:left w:val="single" w:color="auto" w:sz="4" w:space="0"/>
                    <w:bottom w:val="single" w:color="auto" w:sz="4" w:space="0"/>
                    <w:right w:val="single" w:color="auto" w:sz="4" w:space="0"/>
                  </w:tcBorders>
                  <w:vAlign w:val="center"/>
                </w:tcPr>
                <w:p w14:paraId="59F4796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67</w:t>
                  </w:r>
                </w:p>
              </w:tc>
              <w:tc>
                <w:tcPr>
                  <w:tcW w:w="311" w:type="pct"/>
                  <w:tcBorders>
                    <w:top w:val="single" w:color="auto" w:sz="4" w:space="0"/>
                    <w:left w:val="single" w:color="auto" w:sz="4" w:space="0"/>
                    <w:bottom w:val="single" w:color="auto" w:sz="4" w:space="0"/>
                    <w:right w:val="single" w:color="auto" w:sz="4" w:space="0"/>
                  </w:tcBorders>
                  <w:vAlign w:val="center"/>
                </w:tcPr>
                <w:p w14:paraId="06E8729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50AA2DC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63</w:t>
                  </w:r>
                </w:p>
              </w:tc>
              <w:tc>
                <w:tcPr>
                  <w:tcW w:w="311" w:type="pct"/>
                  <w:tcBorders>
                    <w:top w:val="single" w:color="auto" w:sz="4" w:space="0"/>
                    <w:left w:val="single" w:color="auto" w:sz="4" w:space="0"/>
                    <w:bottom w:val="single" w:color="auto" w:sz="4" w:space="0"/>
                    <w:right w:val="single" w:color="auto" w:sz="4" w:space="0"/>
                  </w:tcBorders>
                  <w:vAlign w:val="center"/>
                </w:tcPr>
                <w:p w14:paraId="1B17D1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6191DC3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18BA543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228CB72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55</w:t>
                  </w:r>
                </w:p>
              </w:tc>
              <w:tc>
                <w:tcPr>
                  <w:tcW w:w="279" w:type="pct"/>
                  <w:tcBorders>
                    <w:top w:val="single" w:color="auto" w:sz="4" w:space="0"/>
                    <w:left w:val="single" w:color="auto" w:sz="4" w:space="0"/>
                    <w:bottom w:val="single" w:color="auto" w:sz="4" w:space="0"/>
                    <w:right w:val="single" w:color="auto" w:sz="4" w:space="0"/>
                  </w:tcBorders>
                  <w:vAlign w:val="center"/>
                </w:tcPr>
                <w:p w14:paraId="1D5EEC6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53</w:t>
                  </w:r>
                </w:p>
              </w:tc>
              <w:tc>
                <w:tcPr>
                  <w:tcW w:w="365" w:type="pct"/>
                  <w:tcBorders>
                    <w:top w:val="single" w:color="auto" w:sz="4" w:space="0"/>
                    <w:left w:val="single" w:color="auto" w:sz="4" w:space="0"/>
                    <w:bottom w:val="single" w:color="auto" w:sz="4" w:space="0"/>
                    <w:right w:val="single" w:color="auto" w:sz="4" w:space="0"/>
                  </w:tcBorders>
                  <w:vAlign w:val="center"/>
                </w:tcPr>
                <w:p w14:paraId="441834B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51</w:t>
                  </w:r>
                </w:p>
              </w:tc>
              <w:tc>
                <w:tcPr>
                  <w:tcW w:w="346" w:type="pct"/>
                  <w:tcBorders>
                    <w:top w:val="single" w:color="auto" w:sz="4" w:space="0"/>
                    <w:left w:val="single" w:color="auto" w:sz="4" w:space="0"/>
                    <w:bottom w:val="single" w:color="auto" w:sz="4" w:space="0"/>
                    <w:right w:val="single" w:color="auto" w:sz="4" w:space="0"/>
                  </w:tcBorders>
                  <w:vAlign w:val="center"/>
                </w:tcPr>
                <w:p w14:paraId="7355D40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47</w:t>
                  </w:r>
                </w:p>
              </w:tc>
            </w:tr>
            <w:tr w14:paraId="57CF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3" w:type="pct"/>
                  <w:tcBorders>
                    <w:top w:val="single" w:color="auto" w:sz="4" w:space="0"/>
                    <w:left w:val="single" w:color="auto" w:sz="4" w:space="0"/>
                    <w:bottom w:val="single" w:color="auto" w:sz="4" w:space="0"/>
                    <w:right w:val="single" w:color="auto" w:sz="4" w:space="0"/>
                  </w:tcBorders>
                  <w:vAlign w:val="center"/>
                </w:tcPr>
                <w:p w14:paraId="30F514B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柴油机</w:t>
                  </w:r>
                </w:p>
              </w:tc>
              <w:tc>
                <w:tcPr>
                  <w:tcW w:w="370" w:type="pct"/>
                  <w:tcBorders>
                    <w:top w:val="single" w:color="auto" w:sz="4" w:space="0"/>
                    <w:left w:val="single" w:color="auto" w:sz="4" w:space="0"/>
                    <w:bottom w:val="single" w:color="auto" w:sz="4" w:space="0"/>
                    <w:right w:val="single" w:color="auto" w:sz="4" w:space="0"/>
                  </w:tcBorders>
                  <w:vAlign w:val="center"/>
                </w:tcPr>
                <w:p w14:paraId="47510C3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100</w:t>
                  </w:r>
                </w:p>
              </w:tc>
              <w:tc>
                <w:tcPr>
                  <w:tcW w:w="335" w:type="pct"/>
                  <w:tcBorders>
                    <w:top w:val="single" w:color="auto" w:sz="4" w:space="0"/>
                    <w:left w:val="single" w:color="auto" w:sz="4" w:space="0"/>
                    <w:bottom w:val="single" w:color="auto" w:sz="4" w:space="0"/>
                    <w:right w:val="single" w:color="auto" w:sz="4" w:space="0"/>
                  </w:tcBorders>
                  <w:vAlign w:val="center"/>
                </w:tcPr>
                <w:p w14:paraId="1A7A20B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85</w:t>
                  </w:r>
                </w:p>
              </w:tc>
              <w:tc>
                <w:tcPr>
                  <w:tcW w:w="285" w:type="pct"/>
                  <w:tcBorders>
                    <w:top w:val="single" w:color="auto" w:sz="4" w:space="0"/>
                    <w:left w:val="single" w:color="auto" w:sz="4" w:space="0"/>
                    <w:bottom w:val="single" w:color="auto" w:sz="4" w:space="0"/>
                    <w:right w:val="single" w:color="auto" w:sz="4" w:space="0"/>
                  </w:tcBorders>
                  <w:vAlign w:val="center"/>
                </w:tcPr>
                <w:p w14:paraId="53D2403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71</w:t>
                  </w:r>
                </w:p>
              </w:tc>
              <w:tc>
                <w:tcPr>
                  <w:tcW w:w="304" w:type="pct"/>
                  <w:tcBorders>
                    <w:top w:val="single" w:color="auto" w:sz="4" w:space="0"/>
                    <w:left w:val="single" w:color="auto" w:sz="4" w:space="0"/>
                    <w:bottom w:val="single" w:color="auto" w:sz="4" w:space="0"/>
                    <w:right w:val="single" w:color="auto" w:sz="4" w:space="0"/>
                  </w:tcBorders>
                  <w:vAlign w:val="center"/>
                </w:tcPr>
                <w:p w14:paraId="45BE3CB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65</w:t>
                  </w:r>
                </w:p>
              </w:tc>
              <w:tc>
                <w:tcPr>
                  <w:tcW w:w="311" w:type="pct"/>
                  <w:tcBorders>
                    <w:top w:val="single" w:color="auto" w:sz="4" w:space="0"/>
                    <w:left w:val="single" w:color="auto" w:sz="4" w:space="0"/>
                    <w:bottom w:val="single" w:color="auto" w:sz="4" w:space="0"/>
                    <w:right w:val="single" w:color="auto" w:sz="4" w:space="0"/>
                  </w:tcBorders>
                  <w:vAlign w:val="center"/>
                </w:tcPr>
                <w:p w14:paraId="55FAC89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61</w:t>
                  </w:r>
                </w:p>
              </w:tc>
              <w:tc>
                <w:tcPr>
                  <w:tcW w:w="311" w:type="pct"/>
                  <w:tcBorders>
                    <w:top w:val="single" w:color="auto" w:sz="4" w:space="0"/>
                    <w:left w:val="single" w:color="auto" w:sz="4" w:space="0"/>
                    <w:bottom w:val="single" w:color="auto" w:sz="4" w:space="0"/>
                    <w:right w:val="single" w:color="auto" w:sz="4" w:space="0"/>
                  </w:tcBorders>
                  <w:vAlign w:val="center"/>
                </w:tcPr>
                <w:p w14:paraId="0C7EF45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59</w:t>
                  </w:r>
                </w:p>
              </w:tc>
              <w:tc>
                <w:tcPr>
                  <w:tcW w:w="311" w:type="pct"/>
                  <w:tcBorders>
                    <w:top w:val="single" w:color="auto" w:sz="4" w:space="0"/>
                    <w:left w:val="single" w:color="auto" w:sz="4" w:space="0"/>
                    <w:bottom w:val="single" w:color="auto" w:sz="4" w:space="0"/>
                    <w:right w:val="single" w:color="auto" w:sz="4" w:space="0"/>
                  </w:tcBorders>
                  <w:vAlign w:val="center"/>
                </w:tcPr>
                <w:p w14:paraId="7B8BDC5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57</w:t>
                  </w:r>
                </w:p>
              </w:tc>
              <w:tc>
                <w:tcPr>
                  <w:tcW w:w="311" w:type="pct"/>
                  <w:tcBorders>
                    <w:top w:val="single" w:color="auto" w:sz="4" w:space="0"/>
                    <w:left w:val="single" w:color="auto" w:sz="4" w:space="0"/>
                    <w:bottom w:val="single" w:color="auto" w:sz="4" w:space="0"/>
                    <w:right w:val="single" w:color="auto" w:sz="4" w:space="0"/>
                  </w:tcBorders>
                  <w:vAlign w:val="center"/>
                </w:tcPr>
                <w:p w14:paraId="6461098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55</w:t>
                  </w:r>
                </w:p>
              </w:tc>
              <w:tc>
                <w:tcPr>
                  <w:tcW w:w="311" w:type="pct"/>
                  <w:tcBorders>
                    <w:top w:val="single" w:color="auto" w:sz="4" w:space="0"/>
                    <w:left w:val="single" w:color="auto" w:sz="4" w:space="0"/>
                    <w:bottom w:val="single" w:color="auto" w:sz="4" w:space="0"/>
                    <w:right w:val="single" w:color="auto" w:sz="4" w:space="0"/>
                  </w:tcBorders>
                  <w:vAlign w:val="center"/>
                </w:tcPr>
                <w:p w14:paraId="4597344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53</w:t>
                  </w:r>
                </w:p>
              </w:tc>
              <w:tc>
                <w:tcPr>
                  <w:tcW w:w="311" w:type="pct"/>
                  <w:tcBorders>
                    <w:top w:val="single" w:color="auto" w:sz="4" w:space="0"/>
                    <w:left w:val="single" w:color="auto" w:sz="4" w:space="0"/>
                    <w:bottom w:val="single" w:color="auto" w:sz="4" w:space="0"/>
                    <w:right w:val="single" w:color="auto" w:sz="4" w:space="0"/>
                  </w:tcBorders>
                  <w:vAlign w:val="center"/>
                </w:tcPr>
                <w:p w14:paraId="61FEE56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51</w:t>
                  </w:r>
                </w:p>
              </w:tc>
              <w:tc>
                <w:tcPr>
                  <w:tcW w:w="311" w:type="pct"/>
                  <w:tcBorders>
                    <w:top w:val="single" w:color="auto" w:sz="4" w:space="0"/>
                    <w:left w:val="single" w:color="auto" w:sz="4" w:space="0"/>
                    <w:bottom w:val="single" w:color="auto" w:sz="4" w:space="0"/>
                    <w:right w:val="single" w:color="auto" w:sz="4" w:space="0"/>
                  </w:tcBorders>
                  <w:vAlign w:val="center"/>
                </w:tcPr>
                <w:p w14:paraId="1CA7989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49</w:t>
                  </w:r>
                </w:p>
              </w:tc>
              <w:tc>
                <w:tcPr>
                  <w:tcW w:w="279" w:type="pct"/>
                  <w:tcBorders>
                    <w:top w:val="single" w:color="auto" w:sz="4" w:space="0"/>
                    <w:left w:val="single" w:color="auto" w:sz="4" w:space="0"/>
                    <w:bottom w:val="single" w:color="auto" w:sz="4" w:space="0"/>
                    <w:right w:val="single" w:color="auto" w:sz="4" w:space="0"/>
                  </w:tcBorders>
                  <w:vAlign w:val="center"/>
                </w:tcPr>
                <w:p w14:paraId="53B4AE2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47</w:t>
                  </w:r>
                </w:p>
              </w:tc>
              <w:tc>
                <w:tcPr>
                  <w:tcW w:w="365" w:type="pct"/>
                  <w:tcBorders>
                    <w:top w:val="single" w:color="auto" w:sz="4" w:space="0"/>
                    <w:left w:val="single" w:color="auto" w:sz="4" w:space="0"/>
                    <w:bottom w:val="single" w:color="auto" w:sz="4" w:space="0"/>
                    <w:right w:val="single" w:color="auto" w:sz="4" w:space="0"/>
                  </w:tcBorders>
                  <w:vAlign w:val="center"/>
                </w:tcPr>
                <w:p w14:paraId="0B836AE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45</w:t>
                  </w:r>
                </w:p>
              </w:tc>
              <w:tc>
                <w:tcPr>
                  <w:tcW w:w="346" w:type="pct"/>
                  <w:tcBorders>
                    <w:top w:val="single" w:color="auto" w:sz="4" w:space="0"/>
                    <w:left w:val="single" w:color="auto" w:sz="4" w:space="0"/>
                    <w:bottom w:val="single" w:color="auto" w:sz="4" w:space="0"/>
                    <w:right w:val="single" w:color="auto" w:sz="4" w:space="0"/>
                  </w:tcBorders>
                  <w:vAlign w:val="center"/>
                </w:tcPr>
                <w:p w14:paraId="6DB8AB2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42</w:t>
                  </w:r>
                </w:p>
              </w:tc>
            </w:tr>
          </w:tbl>
          <w:p w14:paraId="21E77773">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根据预测结果，施工期间，柴油机的噪声在施工场界外80m处时噪声达</w:t>
            </w:r>
            <w:r>
              <w:rPr>
                <w:rFonts w:hint="default" w:ascii="Times New Roman" w:hAnsi="Times New Roman" w:cs="Times New Roman"/>
                <w:color w:val="000000" w:themeColor="text1"/>
                <w:sz w:val="24"/>
                <w:szCs w:val="24"/>
                <w:lang w:eastAsia="zh-CN"/>
                <w14:textFill>
                  <w14:solidFill>
                    <w14:schemeClr w14:val="tx1"/>
                  </w14:solidFill>
                </w14:textFill>
              </w:rPr>
              <w:t>《建筑施工噪声排放标准》（GB12523-2025）</w:t>
            </w:r>
            <w:r>
              <w:rPr>
                <w:rFonts w:hint="default" w:ascii="Times New Roman" w:hAnsi="Times New Roman" w:cs="Times New Roman"/>
                <w:color w:val="000000" w:themeColor="text1"/>
                <w:sz w:val="24"/>
                <w:szCs w:val="24"/>
                <w14:textFill>
                  <w14:solidFill>
                    <w14:schemeClr w14:val="tx1"/>
                  </w14:solidFill>
                </w14:textFill>
              </w:rPr>
              <w:t>标准要求（昼间70dB（A），夜间55dB（A））。同时，对高噪声设备采取隔声措施，并加强机械设备的保养，保证机械设备的正常运转，以降低设备正常运转的噪声。进一步落实以上措施后，钻井噪声对周边环境及施工人员的影响将进一步减少，钻井期产生噪声对周边环境影响不大。</w:t>
            </w:r>
          </w:p>
          <w:p w14:paraId="4D43E6C3">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试油期时间短且产生噪声的设备少，试油期产生噪声对周边环境影响不大。</w:t>
            </w:r>
          </w:p>
          <w:p w14:paraId="40388054">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4施工期固体废物影响分析</w:t>
            </w:r>
          </w:p>
          <w:p w14:paraId="3D999199">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本项目在钻井期固体废物主要是水基岩屑、机械设备废油、废弃防渗膜和生活垃圾。</w:t>
            </w:r>
          </w:p>
          <w:p w14:paraId="68AD917E">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（1）钻井岩屑</w:t>
            </w:r>
          </w:p>
          <w:p w14:paraId="5C143B2A">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钻井岩屑产生、排放量与井身结构等因素有关，岩屑产生量可按下式计算：</w:t>
            </w:r>
          </w:p>
          <w:p w14:paraId="5B1DCBA8">
            <w:pPr>
              <w:pStyle w:val="9"/>
              <w:ind w:firstLine="480"/>
              <w:jc w:val="center"/>
              <w:rPr>
                <w:rFonts w:hint="eastAsia"/>
                <w:b w:val="0"/>
                <w:bCs w:val="0"/>
                <w:color w:val="auto"/>
              </w:rPr>
            </w:pPr>
            <w:r>
              <w:rPr>
                <w:rFonts w:hint="eastAsia"/>
                <w:b w:val="0"/>
                <w:bCs w:val="0"/>
                <w:color w:val="auto"/>
              </w:rPr>
              <w:t>W=1/4</w:t>
            </w:r>
            <w:r>
              <w:rPr>
                <w:rFonts w:hint="default" w:ascii="Times New Roman" w:hAnsi="Times New Roman" w:cs="Times New Roman"/>
                <w:color w:val="000000" w:themeColor="text1"/>
                <w:kern w:val="0"/>
                <w:sz w:val="24"/>
                <w:szCs w:val="24"/>
                <w14:textFill>
                  <w14:solidFill>
                    <w14:schemeClr w14:val="tx1"/>
                  </w14:solidFill>
                </w14:textFill>
              </w:rPr>
              <w:t>×</w:t>
            </w:r>
            <w:r>
              <w:rPr>
                <w:rFonts w:hint="eastAsia"/>
                <w:b w:val="0"/>
                <w:bCs w:val="0"/>
                <w:color w:val="auto"/>
              </w:rPr>
              <w:t>π</w:t>
            </w:r>
            <w:r>
              <w:rPr>
                <w:rFonts w:hint="default" w:ascii="Times New Roman" w:hAnsi="Times New Roman" w:cs="Times New Roman"/>
                <w:color w:val="000000" w:themeColor="text1"/>
                <w:kern w:val="0"/>
                <w:sz w:val="24"/>
                <w:szCs w:val="24"/>
                <w14:textFill>
                  <w14:solidFill>
                    <w14:schemeClr w14:val="tx1"/>
                  </w14:solidFill>
                </w14:textFill>
              </w:rPr>
              <w:t>×</w:t>
            </w:r>
            <w:r>
              <w:rPr>
                <w:rFonts w:hint="eastAsia"/>
                <w:b w:val="0"/>
                <w:bCs w:val="0"/>
                <w:color w:val="auto"/>
              </w:rPr>
              <w:t>D</w:t>
            </w:r>
            <w:r>
              <w:rPr>
                <w:rFonts w:hint="eastAsia"/>
                <w:b w:val="0"/>
                <w:bCs w:val="0"/>
                <w:color w:val="auto"/>
                <w:vertAlign w:val="superscript"/>
              </w:rPr>
              <w:t>2</w:t>
            </w:r>
            <w:r>
              <w:rPr>
                <w:rFonts w:hint="default" w:ascii="Times New Roman" w:hAnsi="Times New Roman" w:cs="Times New Roman"/>
                <w:color w:val="000000" w:themeColor="text1"/>
                <w:kern w:val="0"/>
                <w:sz w:val="24"/>
                <w:szCs w:val="24"/>
                <w14:textFill>
                  <w14:solidFill>
                    <w14:schemeClr w14:val="tx1"/>
                  </w14:solidFill>
                </w14:textFill>
              </w:rPr>
              <w:t>×</w:t>
            </w:r>
            <w:r>
              <w:rPr>
                <w:rFonts w:hint="eastAsia"/>
                <w:b w:val="0"/>
                <w:bCs w:val="0"/>
                <w:color w:val="auto"/>
              </w:rPr>
              <w:t>h</w:t>
            </w:r>
            <w:r>
              <w:rPr>
                <w:rFonts w:hint="default" w:ascii="Times New Roman" w:hAnsi="Times New Roman" w:cs="Times New Roman"/>
                <w:color w:val="000000" w:themeColor="text1"/>
                <w:kern w:val="0"/>
                <w:sz w:val="24"/>
                <w:szCs w:val="24"/>
                <w14:textFill>
                  <w14:solidFill>
                    <w14:schemeClr w14:val="tx1"/>
                  </w14:solidFill>
                </w14:textFill>
              </w:rPr>
              <w:t>×</w:t>
            </w:r>
            <w:r>
              <w:rPr>
                <w:rFonts w:hint="eastAsia"/>
                <w:b w:val="0"/>
                <w:bCs w:val="0"/>
                <w:color w:val="auto"/>
              </w:rPr>
              <w:t>P</w:t>
            </w:r>
          </w:p>
          <w:p w14:paraId="4C857F72">
            <w:pPr>
              <w:pStyle w:val="9"/>
              <w:ind w:left="0" w:leftChars="0" w:firstLine="480" w:firstLineChars="200"/>
              <w:rPr>
                <w:rFonts w:hint="eastAsia"/>
                <w:b w:val="0"/>
                <w:bCs w:val="0"/>
                <w:color w:val="auto"/>
              </w:rPr>
            </w:pPr>
            <w:r>
              <w:rPr>
                <w:rFonts w:hint="eastAsia"/>
                <w:b w:val="0"/>
                <w:bCs w:val="0"/>
                <w:color w:val="auto"/>
              </w:rPr>
              <w:t>式中：W—产生的岩屑量，m</w:t>
            </w:r>
            <w:r>
              <w:rPr>
                <w:rFonts w:hint="eastAsia"/>
                <w:b w:val="0"/>
                <w:bCs w:val="0"/>
                <w:color w:val="auto"/>
                <w:vertAlign w:val="superscript"/>
              </w:rPr>
              <w:t>3</w:t>
            </w:r>
            <w:r>
              <w:rPr>
                <w:rFonts w:hint="eastAsia"/>
                <w:b w:val="0"/>
                <w:bCs w:val="0"/>
                <w:color w:val="auto"/>
              </w:rPr>
              <w:t>；</w:t>
            </w:r>
          </w:p>
          <w:p w14:paraId="57EC5B85">
            <w:pPr>
              <w:pStyle w:val="9"/>
              <w:ind w:left="0" w:leftChars="0" w:firstLine="1200" w:firstLineChars="500"/>
              <w:rPr>
                <w:rFonts w:hint="eastAsia"/>
                <w:b w:val="0"/>
                <w:bCs w:val="0"/>
                <w:color w:val="auto"/>
              </w:rPr>
            </w:pPr>
            <w:r>
              <w:rPr>
                <w:rFonts w:hint="eastAsia"/>
                <w:b w:val="0"/>
                <w:bCs w:val="0"/>
                <w:color w:val="auto"/>
              </w:rPr>
              <w:t>D—井眼平均井径，m；</w:t>
            </w:r>
          </w:p>
          <w:p w14:paraId="4340C228">
            <w:pPr>
              <w:pStyle w:val="9"/>
              <w:ind w:left="0" w:leftChars="0" w:firstLine="1200" w:firstLineChars="500"/>
              <w:rPr>
                <w:rFonts w:hint="eastAsia"/>
                <w:b w:val="0"/>
                <w:bCs w:val="0"/>
                <w:color w:val="auto"/>
              </w:rPr>
            </w:pPr>
            <w:r>
              <w:rPr>
                <w:rFonts w:hint="eastAsia"/>
                <w:b w:val="0"/>
                <w:bCs w:val="0"/>
                <w:color w:val="auto"/>
              </w:rPr>
              <w:t>h—裸眼长度，m；</w:t>
            </w:r>
          </w:p>
          <w:p w14:paraId="0A4BDD69">
            <w:pPr>
              <w:spacing w:line="480" w:lineRule="auto"/>
              <w:ind w:left="0" w:leftChars="0" w:firstLine="1200" w:firstLineChars="500"/>
              <w:jc w:val="both"/>
              <w:rPr>
                <w:rFonts w:hint="default" w:ascii="Times New Roman" w:hAnsi="Times New Roman" w:cs="Times New Roman"/>
                <w:color w:val="000000" w:themeColor="text1"/>
                <w:kern w:val="0"/>
                <w:sz w:val="24"/>
                <w:szCs w:val="24"/>
                <w14:textFill>
                  <w14:solidFill>
                    <w14:schemeClr w14:val="tx1"/>
                  </w14:solidFill>
                </w14:textFill>
              </w:rPr>
            </w:pPr>
            <w:r>
              <w:rPr>
                <w:rFonts w:hint="eastAsia"/>
                <w:b w:val="0"/>
                <w:bCs w:val="0"/>
                <w:color w:val="auto"/>
              </w:rPr>
              <w:t>P—膨胀系数，使用水基钻井液体系时取P=</w:t>
            </w:r>
            <w:r>
              <w:rPr>
                <w:b w:val="0"/>
                <w:bCs w:val="0"/>
                <w:color w:val="auto"/>
              </w:rPr>
              <w:t>2</w:t>
            </w:r>
            <w:r>
              <w:rPr>
                <w:rFonts w:hint="eastAsia"/>
                <w:b w:val="0"/>
                <w:bCs w:val="0"/>
                <w:color w:val="auto"/>
              </w:rPr>
              <w:t>.2，岩屑密度2.54g/cm</w:t>
            </w:r>
            <w:r>
              <w:rPr>
                <w:rFonts w:hint="eastAsia"/>
                <w:b w:val="0"/>
                <w:bCs w:val="0"/>
                <w:color w:val="auto"/>
                <w:vertAlign w:val="superscript"/>
              </w:rPr>
              <w:t>3</w:t>
            </w:r>
            <w:r>
              <w:rPr>
                <w:rFonts w:hint="eastAsia"/>
                <w:b w:val="0"/>
                <w:bCs w:val="0"/>
                <w:color w:val="auto"/>
              </w:rPr>
              <w:t>。</w:t>
            </w:r>
          </w:p>
          <w:p w14:paraId="1D6E4C28">
            <w:pPr>
              <w:ind w:firstLine="480"/>
              <w:jc w:val="left"/>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计算得知：本项目钻井岩屑产生情况见表4-10。</w:t>
            </w:r>
          </w:p>
          <w:p w14:paraId="701CB096">
            <w:pPr>
              <w:overflowPunct w:val="0"/>
              <w:ind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bookmarkStart w:id="24" w:name="_Hlk68100090"/>
            <w:r>
              <w:rPr>
                <w:rFonts w:hint="default" w:ascii="Times New Roman" w:hAnsi="Times New Roman" w:cs="Times New Roman"/>
                <w:b/>
                <w:color w:val="000000" w:themeColor="text1"/>
                <w:sz w:val="21"/>
                <w:szCs w:val="21"/>
                <w14:textFill>
                  <w14:solidFill>
                    <w14:schemeClr w14:val="tx1"/>
                  </w14:solidFill>
                </w14:textFill>
              </w:rPr>
              <w:t>表4-10  钻井岩屑产生量</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4"/>
              <w:gridCol w:w="1227"/>
              <w:gridCol w:w="2080"/>
              <w:gridCol w:w="2021"/>
              <w:gridCol w:w="1892"/>
            </w:tblGrid>
            <w:tr w14:paraId="6607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2" w:type="pct"/>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BE2297C">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序号</w:t>
                  </w:r>
                </w:p>
              </w:tc>
              <w:tc>
                <w:tcPr>
                  <w:tcW w:w="754" w:type="pct"/>
                  <w:tcBorders>
                    <w:top w:val="single" w:color="auto" w:sz="4" w:space="0"/>
                    <w:left w:val="nil"/>
                    <w:bottom w:val="single" w:color="auto" w:sz="4" w:space="0"/>
                    <w:right w:val="single" w:color="auto" w:sz="4" w:space="0"/>
                  </w:tcBorders>
                  <w:vAlign w:val="center"/>
                </w:tcPr>
                <w:p w14:paraId="76163495">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井号</w:t>
                  </w:r>
                </w:p>
              </w:tc>
              <w:tc>
                <w:tcPr>
                  <w:tcW w:w="1278" w:type="pct"/>
                  <w:tcBorders>
                    <w:top w:val="single" w:color="auto" w:sz="4" w:space="0"/>
                    <w:left w:val="nil"/>
                    <w:bottom w:val="single" w:color="auto" w:sz="4" w:space="0"/>
                    <w:right w:val="single" w:color="auto" w:sz="4" w:space="0"/>
                  </w:tcBorders>
                  <w:vAlign w:val="center"/>
                </w:tcPr>
                <w:p w14:paraId="1A33EF14">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井段（m）</w:t>
                  </w:r>
                </w:p>
              </w:tc>
              <w:tc>
                <w:tcPr>
                  <w:tcW w:w="1241" w:type="pct"/>
                  <w:tcBorders>
                    <w:top w:val="single" w:color="auto" w:sz="4" w:space="0"/>
                    <w:left w:val="nil"/>
                    <w:bottom w:val="single" w:color="auto" w:sz="4" w:space="0"/>
                    <w:right w:val="single" w:color="auto" w:sz="4" w:space="0"/>
                  </w:tcBorders>
                  <w:vAlign w:val="center"/>
                </w:tcPr>
                <w:p w14:paraId="2FE999D1">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井深（m）</w:t>
                  </w:r>
                </w:p>
              </w:tc>
              <w:tc>
                <w:tcPr>
                  <w:tcW w:w="1163" w:type="pct"/>
                  <w:tcBorders>
                    <w:top w:val="single" w:color="auto" w:sz="4" w:space="0"/>
                    <w:left w:val="nil"/>
                    <w:bottom w:val="single" w:color="auto" w:sz="4" w:space="0"/>
                    <w:right w:val="single" w:color="auto" w:sz="4" w:space="0"/>
                  </w:tcBorders>
                  <w:vAlign w:val="center"/>
                </w:tcPr>
                <w:p w14:paraId="65620209">
                  <w:pPr>
                    <w:spacing w:line="240" w:lineRule="auto"/>
                    <w:ind w:firstLine="0" w:firstLineChars="0"/>
                    <w:contextualSpacing/>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水基岩屑量（m</w:t>
                  </w:r>
                  <w:r>
                    <w:rPr>
                      <w:rFonts w:hint="default" w:ascii="Times New Roman" w:hAnsi="Times New Roman" w:cs="Times New Roman"/>
                      <w:b/>
                      <w:bCs/>
                      <w:color w:val="000000" w:themeColor="text1"/>
                      <w:kern w:val="0"/>
                      <w:sz w:val="21"/>
                      <w:szCs w:val="21"/>
                      <w:vertAlign w:val="superscript"/>
                      <w14:textFill>
                        <w14:solidFill>
                          <w14:schemeClr w14:val="tx1"/>
                        </w14:solidFill>
                      </w14:textFill>
                    </w:rPr>
                    <w:t>3</w:t>
                  </w:r>
                  <w:r>
                    <w:rPr>
                      <w:rFonts w:hint="default" w:ascii="Times New Roman" w:hAnsi="Times New Roman" w:cs="Times New Roman"/>
                      <w:b/>
                      <w:bCs/>
                      <w:color w:val="000000" w:themeColor="text1"/>
                      <w:kern w:val="0"/>
                      <w:sz w:val="21"/>
                      <w:szCs w:val="21"/>
                      <w14:textFill>
                        <w14:solidFill>
                          <w14:schemeClr w14:val="tx1"/>
                        </w14:solidFill>
                      </w14:textFill>
                    </w:rPr>
                    <w:t>）</w:t>
                  </w:r>
                </w:p>
              </w:tc>
            </w:tr>
            <w:tr w14:paraId="0CF0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2" w:type="pct"/>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234989F8">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w:t>
                  </w:r>
                </w:p>
              </w:tc>
              <w:tc>
                <w:tcPr>
                  <w:tcW w:w="754" w:type="pct"/>
                  <w:vMerge w:val="restart"/>
                  <w:tcBorders>
                    <w:top w:val="single" w:color="auto" w:sz="4" w:space="0"/>
                    <w:left w:val="nil"/>
                    <w:right w:val="single" w:color="auto" w:sz="4" w:space="0"/>
                  </w:tcBorders>
                  <w:vAlign w:val="center"/>
                </w:tcPr>
                <w:p w14:paraId="7F5EE555">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陆西1井</w:t>
                  </w:r>
                </w:p>
              </w:tc>
              <w:tc>
                <w:tcPr>
                  <w:tcW w:w="1278" w:type="pct"/>
                  <w:tcBorders>
                    <w:top w:val="single" w:color="auto" w:sz="4" w:space="0"/>
                    <w:left w:val="nil"/>
                    <w:bottom w:val="single" w:color="auto" w:sz="4" w:space="0"/>
                    <w:right w:val="single" w:color="auto" w:sz="4" w:space="0"/>
                  </w:tcBorders>
                  <w:vAlign w:val="center"/>
                </w:tcPr>
                <w:p w14:paraId="56CEA501">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0-500</w:t>
                  </w:r>
                </w:p>
              </w:tc>
              <w:tc>
                <w:tcPr>
                  <w:tcW w:w="1241" w:type="pct"/>
                  <w:tcBorders>
                    <w:top w:val="single" w:color="auto" w:sz="4" w:space="0"/>
                    <w:left w:val="nil"/>
                    <w:bottom w:val="single" w:color="auto" w:sz="4" w:space="0"/>
                    <w:right w:val="single" w:color="auto" w:sz="4" w:space="0"/>
                  </w:tcBorders>
                  <w:vAlign w:val="center"/>
                </w:tcPr>
                <w:p w14:paraId="3902F7C2">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500</w:t>
                  </w:r>
                </w:p>
              </w:tc>
              <w:tc>
                <w:tcPr>
                  <w:tcW w:w="1163" w:type="pct"/>
                  <w:tcBorders>
                    <w:top w:val="single" w:color="auto" w:sz="4" w:space="0"/>
                    <w:left w:val="nil"/>
                    <w:bottom w:val="single" w:color="auto" w:sz="4" w:space="0"/>
                    <w:right w:val="single" w:color="auto" w:sz="4" w:space="0"/>
                  </w:tcBorders>
                  <w:vAlign w:val="center"/>
                </w:tcPr>
                <w:p w14:paraId="198875E8">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170.61</w:t>
                  </w:r>
                </w:p>
              </w:tc>
            </w:tr>
            <w:tr w14:paraId="1D77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2" w:type="pct"/>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10EA8A13">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2</w:t>
                  </w:r>
                </w:p>
              </w:tc>
              <w:tc>
                <w:tcPr>
                  <w:tcW w:w="754" w:type="pct"/>
                  <w:vMerge w:val="continue"/>
                  <w:tcBorders>
                    <w:left w:val="nil"/>
                    <w:right w:val="single" w:color="auto" w:sz="4" w:space="0"/>
                  </w:tcBorders>
                  <w:vAlign w:val="center"/>
                </w:tcPr>
                <w:p w14:paraId="205BE7F8">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1278" w:type="pct"/>
                  <w:tcBorders>
                    <w:top w:val="single" w:color="auto" w:sz="4" w:space="0"/>
                    <w:left w:val="nil"/>
                    <w:bottom w:val="single" w:color="auto" w:sz="4" w:space="0"/>
                    <w:right w:val="single" w:color="auto" w:sz="4" w:space="0"/>
                  </w:tcBorders>
                  <w:vAlign w:val="center"/>
                </w:tcPr>
                <w:p w14:paraId="688C1D11">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500-4</w:t>
                  </w:r>
                  <w:r>
                    <w:rPr>
                      <w:rFonts w:hint="default" w:ascii="Times New Roman" w:hAnsi="Times New Roman" w:cs="Times New Roman"/>
                      <w:color w:val="000000" w:themeColor="text1"/>
                      <w:kern w:val="0"/>
                      <w:sz w:val="21"/>
                      <w:szCs w:val="21"/>
                      <w:lang w:val="en-US" w:eastAsia="zh-CN"/>
                      <w14:textFill>
                        <w14:solidFill>
                          <w14:schemeClr w14:val="tx1"/>
                        </w14:solidFill>
                      </w14:textFill>
                    </w:rPr>
                    <w:t>1</w:t>
                  </w:r>
                  <w:r>
                    <w:rPr>
                      <w:rFonts w:hint="default" w:ascii="Times New Roman" w:hAnsi="Times New Roman" w:cs="Times New Roman"/>
                      <w:color w:val="000000" w:themeColor="text1"/>
                      <w:kern w:val="0"/>
                      <w:sz w:val="21"/>
                      <w:szCs w:val="21"/>
                      <w14:textFill>
                        <w14:solidFill>
                          <w14:schemeClr w14:val="tx1"/>
                        </w14:solidFill>
                      </w14:textFill>
                    </w:rPr>
                    <w:t>00</w:t>
                  </w:r>
                </w:p>
              </w:tc>
              <w:tc>
                <w:tcPr>
                  <w:tcW w:w="1241" w:type="pct"/>
                  <w:tcBorders>
                    <w:top w:val="single" w:color="auto" w:sz="4" w:space="0"/>
                    <w:left w:val="nil"/>
                    <w:bottom w:val="single" w:color="auto" w:sz="4" w:space="0"/>
                    <w:right w:val="single" w:color="auto" w:sz="4" w:space="0"/>
                  </w:tcBorders>
                  <w:vAlign w:val="center"/>
                </w:tcPr>
                <w:p w14:paraId="731A6A35">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3600</w:t>
                  </w:r>
                </w:p>
              </w:tc>
              <w:tc>
                <w:tcPr>
                  <w:tcW w:w="1163" w:type="pct"/>
                  <w:tcBorders>
                    <w:top w:val="single" w:color="auto" w:sz="4" w:space="0"/>
                    <w:left w:val="nil"/>
                    <w:bottom w:val="single" w:color="auto" w:sz="4" w:space="0"/>
                    <w:right w:val="single" w:color="auto" w:sz="4" w:space="0"/>
                  </w:tcBorders>
                  <w:vAlign w:val="center"/>
                </w:tcPr>
                <w:p w14:paraId="3B74A4E2">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2736.85</w:t>
                  </w:r>
                </w:p>
              </w:tc>
            </w:tr>
            <w:tr w14:paraId="00CE9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2" w:type="pct"/>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6235031B">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3</w:t>
                  </w:r>
                </w:p>
              </w:tc>
              <w:tc>
                <w:tcPr>
                  <w:tcW w:w="754" w:type="pct"/>
                  <w:vMerge w:val="continue"/>
                  <w:tcBorders>
                    <w:left w:val="nil"/>
                    <w:right w:val="single" w:color="auto" w:sz="4" w:space="0"/>
                  </w:tcBorders>
                  <w:vAlign w:val="center"/>
                </w:tcPr>
                <w:p w14:paraId="246DD14B">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1278" w:type="pct"/>
                  <w:tcBorders>
                    <w:top w:val="single" w:color="auto" w:sz="4" w:space="0"/>
                    <w:left w:val="nil"/>
                    <w:bottom w:val="single" w:color="auto" w:sz="4" w:space="0"/>
                    <w:right w:val="single" w:color="auto" w:sz="4" w:space="0"/>
                  </w:tcBorders>
                  <w:vAlign w:val="center"/>
                </w:tcPr>
                <w:p w14:paraId="127CAA0C">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4</w:t>
                  </w:r>
                  <w:r>
                    <w:rPr>
                      <w:rFonts w:hint="default" w:ascii="Times New Roman" w:hAnsi="Times New Roman" w:cs="Times New Roman"/>
                      <w:color w:val="000000" w:themeColor="text1"/>
                      <w:kern w:val="0"/>
                      <w:sz w:val="21"/>
                      <w:szCs w:val="21"/>
                      <w:lang w:val="en-US" w:eastAsia="zh-CN"/>
                      <w14:textFill>
                        <w14:solidFill>
                          <w14:schemeClr w14:val="tx1"/>
                        </w14:solidFill>
                      </w14:textFill>
                    </w:rPr>
                    <w:t>1</w:t>
                  </w:r>
                  <w:r>
                    <w:rPr>
                      <w:rFonts w:hint="default" w:ascii="Times New Roman" w:hAnsi="Times New Roman" w:cs="Times New Roman"/>
                      <w:color w:val="000000" w:themeColor="text1"/>
                      <w:kern w:val="0"/>
                      <w:sz w:val="21"/>
                      <w:szCs w:val="21"/>
                      <w14:textFill>
                        <w14:solidFill>
                          <w14:schemeClr w14:val="tx1"/>
                        </w14:solidFill>
                      </w14:textFill>
                    </w:rPr>
                    <w:t>00-5</w:t>
                  </w:r>
                  <w:r>
                    <w:rPr>
                      <w:rFonts w:hint="default" w:ascii="Times New Roman" w:hAnsi="Times New Roman" w:cs="Times New Roman"/>
                      <w:color w:val="000000" w:themeColor="text1"/>
                      <w:kern w:val="0"/>
                      <w:sz w:val="21"/>
                      <w:szCs w:val="21"/>
                      <w:lang w:val="en-US" w:eastAsia="zh-CN"/>
                      <w14:textFill>
                        <w14:solidFill>
                          <w14:schemeClr w14:val="tx1"/>
                        </w14:solidFill>
                      </w14:textFill>
                    </w:rPr>
                    <w:t>150</w:t>
                  </w:r>
                </w:p>
              </w:tc>
              <w:tc>
                <w:tcPr>
                  <w:tcW w:w="1241" w:type="pct"/>
                  <w:tcBorders>
                    <w:top w:val="single" w:color="auto" w:sz="4" w:space="0"/>
                    <w:left w:val="nil"/>
                    <w:bottom w:val="single" w:color="auto" w:sz="4" w:space="0"/>
                    <w:right w:val="single" w:color="auto" w:sz="4" w:space="0"/>
                  </w:tcBorders>
                  <w:vAlign w:val="center"/>
                </w:tcPr>
                <w:p w14:paraId="77CC476E">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1050</w:t>
                  </w:r>
                </w:p>
              </w:tc>
              <w:tc>
                <w:tcPr>
                  <w:tcW w:w="1163" w:type="pct"/>
                  <w:tcBorders>
                    <w:top w:val="single" w:color="auto" w:sz="4" w:space="0"/>
                    <w:left w:val="nil"/>
                    <w:bottom w:val="single" w:color="auto" w:sz="4" w:space="0"/>
                    <w:right w:val="single" w:color="auto" w:sz="4" w:space="0"/>
                  </w:tcBorders>
                  <w:vAlign w:val="center"/>
                </w:tcPr>
                <w:p w14:paraId="2F558598">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384.21</w:t>
                  </w:r>
                </w:p>
              </w:tc>
            </w:tr>
            <w:tr w14:paraId="4143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836" w:type="pct"/>
                  <w:gridSpan w:val="4"/>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2649BEF4">
                  <w:pPr>
                    <w:spacing w:line="240" w:lineRule="auto"/>
                    <w:ind w:firstLine="0" w:firstLineChars="0"/>
                    <w:contextualSpacing/>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合计</w:t>
                  </w:r>
                </w:p>
              </w:tc>
              <w:tc>
                <w:tcPr>
                  <w:tcW w:w="1163" w:type="pct"/>
                  <w:tcBorders>
                    <w:top w:val="single" w:color="auto" w:sz="4" w:space="0"/>
                    <w:left w:val="nil"/>
                    <w:bottom w:val="single" w:color="auto" w:sz="4" w:space="0"/>
                    <w:right w:val="single" w:color="auto" w:sz="4" w:space="0"/>
                  </w:tcBorders>
                  <w:vAlign w:val="center"/>
                </w:tcPr>
                <w:p w14:paraId="2DBCCB99">
                  <w:pPr>
                    <w:spacing w:line="240" w:lineRule="auto"/>
                    <w:ind w:firstLine="0" w:firstLineChars="0"/>
                    <w:contextualSpacing/>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3291.67</w:t>
                  </w:r>
                </w:p>
              </w:tc>
            </w:tr>
          </w:tbl>
          <w:p w14:paraId="13107A8C">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本项目水基岩屑产生量约</w:t>
            </w:r>
            <w:r>
              <w:rPr>
                <w:rFonts w:hint="default" w:ascii="Times New Roman" w:hAnsi="Times New Roman" w:cs="Times New Roman"/>
                <w:color w:val="000000" w:themeColor="text1"/>
                <w:lang w:val="en-US" w:eastAsia="zh-CN"/>
                <w14:textFill>
                  <w14:solidFill>
                    <w14:schemeClr w14:val="tx1"/>
                  </w14:solidFill>
                </w14:textFill>
              </w:rPr>
              <w:t>3291.67</w:t>
            </w:r>
            <w:r>
              <w:rPr>
                <w:rFonts w:hint="eastAsia" w:cs="Times New Roman"/>
                <w:color w:val="000000" w:themeColor="text1"/>
                <w:lang w:val="en-US" w:eastAsia="zh-CN"/>
                <w14:textFill>
                  <w14:solidFill>
                    <w14:schemeClr w14:val="tx1"/>
                  </w14:solidFill>
                </w14:textFill>
              </w:rPr>
              <w:t>m</w:t>
            </w:r>
            <w:r>
              <w:rPr>
                <w:rFonts w:hint="eastAsia" w:cs="Times New Roman"/>
                <w:color w:val="000000" w:themeColor="text1"/>
                <w:vertAlign w:val="superscript"/>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经不落地系统收集、压滤脱水后，暂存在水基岩屑储罐及时清运，委托岩屑处置单位处置；根据《一般工业固体废物管理台账制定指南（试行）》中附表8（一般工业固体废物分类表）判定，项目水基钻井岩屑的废物代码：SW12，废物种类：钻井岩屑。</w:t>
            </w:r>
          </w:p>
          <w:bookmarkEnd w:id="24"/>
          <w:p w14:paraId="3C0E669C">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（2）机械设备废油</w:t>
            </w:r>
          </w:p>
          <w:p w14:paraId="42F8A93F">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钻井期间使用的机械设备运行过程中需进行维护、保养、维修等工作，以使其能正常运转，类比调查已完成的井，单井钻井期产生机械设备废油的量不足0.5t。本项目预计产生量约</w:t>
            </w:r>
            <w:r>
              <w:rPr>
                <w:rFonts w:hint="default" w:ascii="Times New Roman" w:hAnsi="Times New Roman" w:cs="Times New Roman"/>
                <w:color w:val="000000" w:themeColor="text1"/>
                <w:sz w:val="24"/>
                <w:szCs w:val="24"/>
                <w:lang w:val="en-US" w:eastAsia="zh-CN"/>
                <w14:textFill>
                  <w14:solidFill>
                    <w14:schemeClr w14:val="tx1"/>
                  </w14:solidFill>
                </w14:textFill>
              </w:rPr>
              <w:t>0.5</w:t>
            </w:r>
            <w:r>
              <w:rPr>
                <w:rFonts w:hint="default" w:ascii="Times New Roman" w:hAnsi="Times New Roman" w:cs="Times New Roman"/>
                <w:color w:val="000000" w:themeColor="text1"/>
                <w:sz w:val="24"/>
                <w:szCs w:val="24"/>
                <w14:textFill>
                  <w14:solidFill>
                    <w14:schemeClr w14:val="tx1"/>
                  </w14:solidFill>
                </w14:textFill>
              </w:rPr>
              <w:t>t，根据《国家危险废物名录》（2025年版）要求，机械设备废油的废物种类为HW08废矿物油与含矿物油废物类，危险废物代码为900-214-08，机械设备产生的废机油由钻井单位用专用罐集中收集后暂存于井场危废贮存点，委托有相应危废处置资质的单位拉运处置。</w:t>
            </w:r>
          </w:p>
          <w:p w14:paraId="474ABF01">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（3）废弃防渗膜</w:t>
            </w:r>
          </w:p>
          <w:p w14:paraId="645AB564">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为防止施工过程中产生的废油污染土壤，项目钻井施工期及试油作业期在施工区域铺垫防渗膜，防渗膜可重复利用，若使用过程中防渗膜破损无法再次利用。</w:t>
            </w:r>
          </w:p>
          <w:p w14:paraId="6C9EC77F">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根据《国家危险废物名录》（202</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年版）要求，废弃防渗膜属于使用过程中沾染矿物油的废弃包装物，沾满油泥的废弃防渗膜作为危险废物，危废代码为900-249-08，集中收集后暂存于井场危废贮存点，</w:t>
            </w:r>
            <w:r>
              <w:rPr>
                <w:rFonts w:hint="default" w:ascii="Times New Roman" w:hAnsi="Times New Roman" w:cs="Times New Roman"/>
                <w:color w:val="000000" w:themeColor="text1"/>
                <w:sz w:val="24"/>
                <w:szCs w:val="24"/>
                <w:lang w:val="en-US" w:eastAsia="zh-CN"/>
                <w14:textFill>
                  <w14:solidFill>
                    <w14:schemeClr w14:val="tx1"/>
                  </w14:solidFill>
                </w14:textFill>
              </w:rPr>
              <w:t>定期</w:t>
            </w:r>
            <w:r>
              <w:rPr>
                <w:rFonts w:hint="default" w:ascii="Times New Roman" w:hAnsi="Times New Roman" w:cs="Times New Roman"/>
                <w:color w:val="000000" w:themeColor="text1"/>
                <w:sz w:val="24"/>
                <w:szCs w:val="24"/>
                <w14:textFill>
                  <w14:solidFill>
                    <w14:schemeClr w14:val="tx1"/>
                  </w14:solidFill>
                </w14:textFill>
              </w:rPr>
              <w:t>由施工队委托有相应危废处置资质的单位处理。</w:t>
            </w:r>
          </w:p>
          <w:p w14:paraId="2B3FD9B6">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（4）生活垃圾</w:t>
            </w:r>
          </w:p>
          <w:p w14:paraId="5E192082">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本项目施工期共有施工人员35人，施工期为</w:t>
            </w:r>
            <w:r>
              <w:rPr>
                <w:rFonts w:hint="default" w:ascii="Times New Roman" w:hAnsi="Times New Roman" w:cs="Times New Roman"/>
                <w:color w:val="000000" w:themeColor="text1"/>
                <w:sz w:val="24"/>
                <w:szCs w:val="24"/>
                <w:lang w:val="en-US" w:eastAsia="zh-CN"/>
                <w14:textFill>
                  <w14:solidFill>
                    <w14:schemeClr w14:val="tx1"/>
                  </w14:solidFill>
                </w14:textFill>
              </w:rPr>
              <w:t>70</w:t>
            </w:r>
            <w:r>
              <w:rPr>
                <w:rFonts w:hint="default" w:ascii="Times New Roman" w:hAnsi="Times New Roman" w:cs="Times New Roman"/>
                <w:color w:val="000000" w:themeColor="text1"/>
                <w:sz w:val="24"/>
                <w:szCs w:val="24"/>
                <w14:textFill>
                  <w14:solidFill>
                    <w14:schemeClr w14:val="tx1"/>
                  </w14:solidFill>
                </w14:textFill>
              </w:rPr>
              <w:t>天，施工人员生活垃圾产生量按每人每天产生0.5kg计，预计共产生生活垃圾为</w:t>
            </w:r>
            <w:r>
              <w:rPr>
                <w:rFonts w:hint="default" w:ascii="Times New Roman" w:hAnsi="Times New Roman" w:cs="Times New Roman"/>
                <w:color w:val="000000" w:themeColor="text1"/>
                <w:sz w:val="24"/>
                <w:szCs w:val="24"/>
                <w:lang w:val="en-US" w:eastAsia="zh-CN"/>
                <w14:textFill>
                  <w14:solidFill>
                    <w14:schemeClr w14:val="tx1"/>
                  </w14:solidFill>
                </w14:textFill>
              </w:rPr>
              <w:t>1.23</w:t>
            </w:r>
            <w:r>
              <w:rPr>
                <w:rFonts w:hint="default" w:ascii="Times New Roman" w:hAnsi="Times New Roman" w:cs="Times New Roman"/>
                <w:color w:val="000000" w:themeColor="text1"/>
                <w:sz w:val="24"/>
                <w:szCs w:val="24"/>
                <w14:textFill>
                  <w14:solidFill>
                    <w14:schemeClr w14:val="tx1"/>
                  </w14:solidFill>
                </w14:textFill>
              </w:rPr>
              <w:t>t，统一收集后运送至乌尔禾生活垃圾填埋场处理。</w:t>
            </w:r>
          </w:p>
          <w:p w14:paraId="0A155D86">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本项目施工期固废的名称、类别、属性和数量等情况详见表4-11。采用如下措施处理后，本项目施工期所产生的各种固体废物均可得到有效的安全处理，对环境影响较小。</w:t>
            </w:r>
          </w:p>
          <w:p w14:paraId="418CE5E0">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表4-11  固废情况一览表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869"/>
              <w:gridCol w:w="944"/>
              <w:gridCol w:w="1288"/>
              <w:gridCol w:w="1050"/>
              <w:gridCol w:w="3566"/>
            </w:tblGrid>
            <w:tr w14:paraId="53B4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 w:type="pct"/>
                  <w:tcBorders>
                    <w:top w:val="single" w:color="auto" w:sz="4" w:space="0"/>
                    <w:left w:val="single" w:color="auto" w:sz="4" w:space="0"/>
                    <w:bottom w:val="single" w:color="auto" w:sz="4" w:space="0"/>
                    <w:right w:val="single" w:color="auto" w:sz="4" w:space="0"/>
                  </w:tcBorders>
                  <w:vAlign w:val="center"/>
                </w:tcPr>
                <w:p w14:paraId="6CCB5835">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533" w:type="pct"/>
                  <w:tcBorders>
                    <w:top w:val="single" w:color="auto" w:sz="4" w:space="0"/>
                    <w:left w:val="nil"/>
                    <w:bottom w:val="single" w:color="auto" w:sz="4" w:space="0"/>
                    <w:right w:val="single" w:color="auto" w:sz="4" w:space="0"/>
                  </w:tcBorders>
                  <w:vAlign w:val="center"/>
                </w:tcPr>
                <w:p w14:paraId="36C04AA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固废</w:t>
                  </w:r>
                </w:p>
                <w:p w14:paraId="5D63748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名称</w:t>
                  </w:r>
                </w:p>
              </w:tc>
              <w:tc>
                <w:tcPr>
                  <w:tcW w:w="580" w:type="pct"/>
                  <w:tcBorders>
                    <w:top w:val="single" w:color="auto" w:sz="4" w:space="0"/>
                    <w:left w:val="nil"/>
                    <w:bottom w:val="single" w:color="auto" w:sz="4" w:space="0"/>
                    <w:right w:val="single" w:color="auto" w:sz="4" w:space="0"/>
                  </w:tcBorders>
                  <w:vAlign w:val="center"/>
                </w:tcPr>
                <w:p w14:paraId="7F21FC51">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产生</w:t>
                  </w:r>
                </w:p>
                <w:p w14:paraId="3C181D5B">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工序</w:t>
                  </w:r>
                </w:p>
              </w:tc>
              <w:tc>
                <w:tcPr>
                  <w:tcW w:w="791" w:type="pct"/>
                  <w:tcBorders>
                    <w:top w:val="single" w:color="auto" w:sz="4" w:space="0"/>
                    <w:left w:val="nil"/>
                    <w:bottom w:val="single" w:color="auto" w:sz="4" w:space="0"/>
                    <w:right w:val="single" w:color="auto" w:sz="4" w:space="0"/>
                  </w:tcBorders>
                  <w:vAlign w:val="center"/>
                </w:tcPr>
                <w:p w14:paraId="1D10D3F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固废属性</w:t>
                  </w:r>
                </w:p>
              </w:tc>
              <w:tc>
                <w:tcPr>
                  <w:tcW w:w="645" w:type="pct"/>
                  <w:tcBorders>
                    <w:top w:val="single" w:color="auto" w:sz="4" w:space="0"/>
                    <w:left w:val="nil"/>
                    <w:bottom w:val="single" w:color="auto" w:sz="4" w:space="0"/>
                    <w:right w:val="single" w:color="auto" w:sz="4" w:space="0"/>
                  </w:tcBorders>
                  <w:vAlign w:val="center"/>
                </w:tcPr>
                <w:p w14:paraId="4168326A">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产生量</w:t>
                  </w:r>
                </w:p>
              </w:tc>
              <w:tc>
                <w:tcPr>
                  <w:tcW w:w="2191" w:type="pct"/>
                  <w:tcBorders>
                    <w:top w:val="single" w:color="auto" w:sz="4" w:space="0"/>
                    <w:left w:val="nil"/>
                    <w:bottom w:val="single" w:color="auto" w:sz="4" w:space="0"/>
                    <w:right w:val="single" w:color="auto" w:sz="4" w:space="0"/>
                  </w:tcBorders>
                  <w:vAlign w:val="center"/>
                </w:tcPr>
                <w:p w14:paraId="63E45305">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处置方式</w:t>
                  </w:r>
                </w:p>
              </w:tc>
            </w:tr>
            <w:tr w14:paraId="4476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258" w:type="pct"/>
                  <w:tcBorders>
                    <w:top w:val="single" w:color="auto" w:sz="4" w:space="0"/>
                    <w:left w:val="single" w:color="auto" w:sz="4" w:space="0"/>
                    <w:bottom w:val="single" w:color="auto" w:sz="4" w:space="0"/>
                    <w:right w:val="single" w:color="auto" w:sz="4" w:space="0"/>
                  </w:tcBorders>
                  <w:vAlign w:val="center"/>
                </w:tcPr>
                <w:p w14:paraId="0527823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533" w:type="pct"/>
                  <w:tcBorders>
                    <w:top w:val="single" w:color="auto" w:sz="4" w:space="0"/>
                    <w:left w:val="nil"/>
                    <w:bottom w:val="single" w:color="auto" w:sz="4" w:space="0"/>
                    <w:right w:val="single" w:color="auto" w:sz="4" w:space="0"/>
                  </w:tcBorders>
                  <w:vAlign w:val="center"/>
                </w:tcPr>
                <w:p w14:paraId="349BB26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w:t>
                  </w:r>
                </w:p>
                <w:p w14:paraId="1527C81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岩屑</w:t>
                  </w:r>
                </w:p>
              </w:tc>
              <w:tc>
                <w:tcPr>
                  <w:tcW w:w="580" w:type="pct"/>
                  <w:tcBorders>
                    <w:top w:val="single" w:color="auto" w:sz="4" w:space="0"/>
                    <w:left w:val="nil"/>
                    <w:bottom w:val="single" w:color="auto" w:sz="4" w:space="0"/>
                    <w:right w:val="single" w:color="auto" w:sz="4" w:space="0"/>
                  </w:tcBorders>
                  <w:vAlign w:val="center"/>
                </w:tcPr>
                <w:p w14:paraId="0608CD1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w:t>
                  </w:r>
                </w:p>
              </w:tc>
              <w:tc>
                <w:tcPr>
                  <w:tcW w:w="791" w:type="pct"/>
                  <w:tcBorders>
                    <w:top w:val="single" w:color="auto" w:sz="4" w:space="0"/>
                    <w:left w:val="nil"/>
                    <w:bottom w:val="single" w:color="auto" w:sz="4" w:space="0"/>
                    <w:right w:val="single" w:color="auto" w:sz="4" w:space="0"/>
                  </w:tcBorders>
                  <w:vAlign w:val="center"/>
                </w:tcPr>
                <w:p w14:paraId="631C797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一般工业固废</w:t>
                  </w:r>
                </w:p>
                <w:p w14:paraId="1BB9DB1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（900-999-99）</w:t>
                  </w:r>
                </w:p>
              </w:tc>
              <w:tc>
                <w:tcPr>
                  <w:tcW w:w="645" w:type="pct"/>
                  <w:tcBorders>
                    <w:top w:val="single" w:color="auto" w:sz="4" w:space="0"/>
                    <w:left w:val="nil"/>
                    <w:bottom w:val="single" w:color="auto" w:sz="4" w:space="0"/>
                    <w:right w:val="single" w:color="auto" w:sz="4" w:space="0"/>
                  </w:tcBorders>
                  <w:vAlign w:val="center"/>
                </w:tcPr>
                <w:p w14:paraId="6CC56AC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3291.67</w:t>
                  </w:r>
                  <w:r>
                    <w:rPr>
                      <w:rFonts w:hint="eastAsia" w:cs="Times New Roman"/>
                      <w:color w:val="000000" w:themeColor="text1"/>
                      <w:lang w:val="en-US" w:eastAsia="zh-CN"/>
                      <w14:textFill>
                        <w14:solidFill>
                          <w14:schemeClr w14:val="tx1"/>
                        </w14:solidFill>
                      </w14:textFill>
                    </w:rPr>
                    <w:t>m</w:t>
                  </w:r>
                  <w:r>
                    <w:rPr>
                      <w:rFonts w:hint="eastAsia" w:cs="Times New Roman"/>
                      <w:color w:val="000000" w:themeColor="text1"/>
                      <w:vertAlign w:val="superscript"/>
                      <w:lang w:val="en-US" w:eastAsia="zh-CN"/>
                      <w14:textFill>
                        <w14:solidFill>
                          <w14:schemeClr w14:val="tx1"/>
                        </w14:solidFill>
                      </w14:textFill>
                    </w:rPr>
                    <w:t>3</w:t>
                  </w:r>
                </w:p>
              </w:tc>
              <w:tc>
                <w:tcPr>
                  <w:tcW w:w="2191" w:type="pct"/>
                  <w:tcBorders>
                    <w:top w:val="nil"/>
                    <w:left w:val="nil"/>
                    <w:bottom w:val="single" w:color="auto" w:sz="4" w:space="0"/>
                    <w:right w:val="single" w:color="auto" w:sz="4" w:space="0"/>
                  </w:tcBorders>
                  <w:vAlign w:val="center"/>
                </w:tcPr>
                <w:p w14:paraId="549ADD5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水基岩屑临时贮存在井场内的岩屑储罐，交岩屑处置单位处置。</w:t>
                  </w:r>
                </w:p>
              </w:tc>
            </w:tr>
            <w:tr w14:paraId="43EB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258" w:type="pct"/>
                  <w:tcBorders>
                    <w:top w:val="single" w:color="auto" w:sz="4" w:space="0"/>
                    <w:left w:val="single" w:color="auto" w:sz="4" w:space="0"/>
                    <w:bottom w:val="single" w:color="auto" w:sz="4" w:space="0"/>
                    <w:right w:val="single" w:color="auto" w:sz="4" w:space="0"/>
                  </w:tcBorders>
                  <w:vAlign w:val="center"/>
                </w:tcPr>
                <w:p w14:paraId="6FA8910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533" w:type="pct"/>
                  <w:tcBorders>
                    <w:top w:val="single" w:color="auto" w:sz="4" w:space="0"/>
                    <w:left w:val="nil"/>
                    <w:bottom w:val="single" w:color="auto" w:sz="4" w:space="0"/>
                    <w:right w:val="single" w:color="auto" w:sz="4" w:space="0"/>
                  </w:tcBorders>
                  <w:shd w:val="clear" w:color="auto" w:fill="auto"/>
                  <w:vAlign w:val="center"/>
                </w:tcPr>
                <w:p w14:paraId="5FF9C09D">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机械设备废油</w:t>
                  </w:r>
                </w:p>
              </w:tc>
              <w:tc>
                <w:tcPr>
                  <w:tcW w:w="580" w:type="pct"/>
                  <w:tcBorders>
                    <w:top w:val="single" w:color="auto" w:sz="4" w:space="0"/>
                    <w:left w:val="nil"/>
                    <w:bottom w:val="single" w:color="auto" w:sz="4" w:space="0"/>
                    <w:right w:val="single" w:color="auto" w:sz="4" w:space="0"/>
                  </w:tcBorders>
                  <w:shd w:val="clear" w:color="auto" w:fill="auto"/>
                  <w:vAlign w:val="center"/>
                </w:tcPr>
                <w:p w14:paraId="19FC35C0">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w:t>
                  </w:r>
                </w:p>
              </w:tc>
              <w:tc>
                <w:tcPr>
                  <w:tcW w:w="791" w:type="pct"/>
                  <w:tcBorders>
                    <w:top w:val="single" w:color="auto" w:sz="4" w:space="0"/>
                    <w:left w:val="nil"/>
                    <w:bottom w:val="single" w:color="auto" w:sz="4" w:space="0"/>
                    <w:right w:val="single" w:color="auto" w:sz="4" w:space="0"/>
                  </w:tcBorders>
                  <w:shd w:val="clear" w:color="auto" w:fill="auto"/>
                  <w:vAlign w:val="center"/>
                </w:tcPr>
                <w:p w14:paraId="2DD7510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危险废物</w:t>
                  </w:r>
                </w:p>
                <w:p w14:paraId="741E58CC">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（900-214-08）</w:t>
                  </w:r>
                </w:p>
              </w:tc>
              <w:tc>
                <w:tcPr>
                  <w:tcW w:w="645" w:type="pct"/>
                  <w:tcBorders>
                    <w:top w:val="single" w:color="auto" w:sz="4" w:space="0"/>
                    <w:left w:val="nil"/>
                    <w:bottom w:val="single" w:color="auto" w:sz="4" w:space="0"/>
                    <w:right w:val="single" w:color="auto" w:sz="4" w:space="0"/>
                  </w:tcBorders>
                  <w:shd w:val="clear" w:color="auto" w:fill="auto"/>
                  <w:vAlign w:val="center"/>
                </w:tcPr>
                <w:p w14:paraId="149A1CC3">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0.5</w:t>
                  </w:r>
                  <w:r>
                    <w:rPr>
                      <w:rFonts w:hint="default" w:ascii="Times New Roman" w:hAnsi="Times New Roman" w:cs="Times New Roman"/>
                      <w:color w:val="000000" w:themeColor="text1"/>
                      <w14:textFill>
                        <w14:solidFill>
                          <w14:schemeClr w14:val="tx1"/>
                        </w14:solidFill>
                      </w14:textFill>
                    </w:rPr>
                    <w:t>t</w:t>
                  </w:r>
                </w:p>
              </w:tc>
              <w:tc>
                <w:tcPr>
                  <w:tcW w:w="2191" w:type="pct"/>
                  <w:tcBorders>
                    <w:top w:val="nil"/>
                    <w:left w:val="nil"/>
                    <w:bottom w:val="single" w:color="auto" w:sz="4" w:space="0"/>
                    <w:right w:val="single" w:color="auto" w:sz="4" w:space="0"/>
                  </w:tcBorders>
                  <w:shd w:val="clear" w:color="auto" w:fill="auto"/>
                  <w:vAlign w:val="center"/>
                </w:tcPr>
                <w:p w14:paraId="2E76A27C">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机械设备废油由钻井单位用专用罐集中收集后暂存危废贮存点，交由有相应危废处置资质的单位处置。</w:t>
                  </w:r>
                </w:p>
              </w:tc>
            </w:tr>
            <w:tr w14:paraId="3BD0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258" w:type="pct"/>
                  <w:tcBorders>
                    <w:top w:val="single" w:color="auto" w:sz="4" w:space="0"/>
                    <w:left w:val="single" w:color="auto" w:sz="4" w:space="0"/>
                    <w:bottom w:val="single" w:color="auto" w:sz="4" w:space="0"/>
                    <w:right w:val="single" w:color="auto" w:sz="4" w:space="0"/>
                  </w:tcBorders>
                  <w:vAlign w:val="center"/>
                </w:tcPr>
                <w:p w14:paraId="731F5B3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533" w:type="pct"/>
                  <w:tcBorders>
                    <w:top w:val="single" w:color="auto" w:sz="4" w:space="0"/>
                    <w:left w:val="nil"/>
                    <w:bottom w:val="single" w:color="auto" w:sz="4" w:space="0"/>
                    <w:right w:val="single" w:color="auto" w:sz="4" w:space="0"/>
                  </w:tcBorders>
                  <w:shd w:val="clear" w:color="auto" w:fill="auto"/>
                  <w:vAlign w:val="center"/>
                </w:tcPr>
                <w:p w14:paraId="1D35DADF">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废弃防渗膜</w:t>
                  </w:r>
                </w:p>
              </w:tc>
              <w:tc>
                <w:tcPr>
                  <w:tcW w:w="580" w:type="pct"/>
                  <w:tcBorders>
                    <w:top w:val="single" w:color="auto" w:sz="4" w:space="0"/>
                    <w:left w:val="nil"/>
                    <w:bottom w:val="single" w:color="auto" w:sz="4" w:space="0"/>
                    <w:right w:val="single" w:color="auto" w:sz="4" w:space="0"/>
                  </w:tcBorders>
                  <w:shd w:val="clear" w:color="auto" w:fill="auto"/>
                  <w:vAlign w:val="center"/>
                </w:tcPr>
                <w:p w14:paraId="578776EC">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钻井期和试油期</w:t>
                  </w:r>
                </w:p>
              </w:tc>
              <w:tc>
                <w:tcPr>
                  <w:tcW w:w="791" w:type="pct"/>
                  <w:tcBorders>
                    <w:top w:val="single" w:color="auto" w:sz="4" w:space="0"/>
                    <w:left w:val="nil"/>
                    <w:bottom w:val="single" w:color="auto" w:sz="4" w:space="0"/>
                    <w:right w:val="single" w:color="auto" w:sz="4" w:space="0"/>
                  </w:tcBorders>
                  <w:shd w:val="clear" w:color="auto" w:fill="auto"/>
                  <w:vAlign w:val="center"/>
                </w:tcPr>
                <w:p w14:paraId="7E9C9DF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危险废物</w:t>
                  </w:r>
                </w:p>
                <w:p w14:paraId="5FA00C17">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（900-249-08）</w:t>
                  </w:r>
                </w:p>
              </w:tc>
              <w:tc>
                <w:tcPr>
                  <w:tcW w:w="645" w:type="pct"/>
                  <w:tcBorders>
                    <w:top w:val="single" w:color="auto" w:sz="4" w:space="0"/>
                    <w:left w:val="nil"/>
                    <w:bottom w:val="single" w:color="auto" w:sz="4" w:space="0"/>
                    <w:right w:val="single" w:color="auto" w:sz="4" w:space="0"/>
                  </w:tcBorders>
                  <w:shd w:val="clear" w:color="auto" w:fill="auto"/>
                  <w:vAlign w:val="center"/>
                </w:tcPr>
                <w:p w14:paraId="170C9805">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少量</w:t>
                  </w:r>
                </w:p>
              </w:tc>
              <w:tc>
                <w:tcPr>
                  <w:tcW w:w="2191" w:type="pct"/>
                  <w:tcBorders>
                    <w:top w:val="single" w:color="auto" w:sz="4" w:space="0"/>
                    <w:left w:val="nil"/>
                    <w:bottom w:val="single" w:color="auto" w:sz="4" w:space="0"/>
                    <w:right w:val="single" w:color="auto" w:sz="4" w:space="0"/>
                  </w:tcBorders>
                  <w:shd w:val="clear" w:color="auto" w:fill="auto"/>
                  <w:vAlign w:val="center"/>
                </w:tcPr>
                <w:p w14:paraId="4C6CD8A8">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暂存于井场危废贮存点，委托有相应危废处置资质的单位处置。</w:t>
                  </w:r>
                </w:p>
              </w:tc>
            </w:tr>
            <w:tr w14:paraId="7FAA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58" w:type="pct"/>
                  <w:tcBorders>
                    <w:top w:val="single" w:color="auto" w:sz="4" w:space="0"/>
                    <w:left w:val="single" w:color="auto" w:sz="4" w:space="0"/>
                    <w:bottom w:val="single" w:color="auto" w:sz="4" w:space="0"/>
                    <w:right w:val="single" w:color="auto" w:sz="4" w:space="0"/>
                  </w:tcBorders>
                  <w:vAlign w:val="center"/>
                </w:tcPr>
                <w:p w14:paraId="09902C7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533" w:type="pct"/>
                  <w:tcBorders>
                    <w:top w:val="single" w:color="auto" w:sz="4" w:space="0"/>
                    <w:left w:val="nil"/>
                    <w:bottom w:val="single" w:color="auto" w:sz="4" w:space="0"/>
                    <w:right w:val="single" w:color="auto" w:sz="4" w:space="0"/>
                  </w:tcBorders>
                  <w:shd w:val="clear" w:color="auto" w:fill="auto"/>
                  <w:vAlign w:val="center"/>
                </w:tcPr>
                <w:p w14:paraId="136D108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w:t>
                  </w:r>
                </w:p>
                <w:p w14:paraId="230742D2">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垃圾</w:t>
                  </w:r>
                </w:p>
              </w:tc>
              <w:tc>
                <w:tcPr>
                  <w:tcW w:w="580" w:type="pct"/>
                  <w:tcBorders>
                    <w:top w:val="single" w:color="auto" w:sz="4" w:space="0"/>
                    <w:left w:val="nil"/>
                    <w:bottom w:val="single" w:color="auto" w:sz="4" w:space="0"/>
                    <w:right w:val="single" w:color="auto" w:sz="4" w:space="0"/>
                  </w:tcBorders>
                  <w:shd w:val="clear" w:color="auto" w:fill="auto"/>
                  <w:vAlign w:val="center"/>
                </w:tcPr>
                <w:p w14:paraId="4BD83452">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施工生活</w:t>
                  </w:r>
                </w:p>
              </w:tc>
              <w:tc>
                <w:tcPr>
                  <w:tcW w:w="791" w:type="pct"/>
                  <w:tcBorders>
                    <w:top w:val="single" w:color="auto" w:sz="4" w:space="0"/>
                    <w:left w:val="nil"/>
                    <w:bottom w:val="single" w:color="auto" w:sz="4" w:space="0"/>
                    <w:right w:val="single" w:color="auto" w:sz="4" w:space="0"/>
                  </w:tcBorders>
                  <w:shd w:val="clear" w:color="auto" w:fill="auto"/>
                  <w:vAlign w:val="center"/>
                </w:tcPr>
                <w:p w14:paraId="79F792EC">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w:t>
                  </w:r>
                </w:p>
              </w:tc>
              <w:tc>
                <w:tcPr>
                  <w:tcW w:w="645" w:type="pct"/>
                  <w:tcBorders>
                    <w:top w:val="single" w:color="auto" w:sz="4" w:space="0"/>
                    <w:left w:val="nil"/>
                    <w:bottom w:val="single" w:color="auto" w:sz="4" w:space="0"/>
                    <w:right w:val="single" w:color="auto" w:sz="4" w:space="0"/>
                  </w:tcBorders>
                  <w:shd w:val="clear" w:color="auto" w:fill="auto"/>
                  <w:vAlign w:val="center"/>
                </w:tcPr>
                <w:p w14:paraId="1849F860">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1.23</w:t>
                  </w:r>
                  <w:r>
                    <w:rPr>
                      <w:rFonts w:hint="default" w:ascii="Times New Roman" w:hAnsi="Times New Roman" w:cs="Times New Roman"/>
                      <w:color w:val="000000" w:themeColor="text1"/>
                      <w14:textFill>
                        <w14:solidFill>
                          <w14:schemeClr w14:val="tx1"/>
                        </w14:solidFill>
                      </w14:textFill>
                    </w:rPr>
                    <w:t>t</w:t>
                  </w:r>
                </w:p>
              </w:tc>
              <w:tc>
                <w:tcPr>
                  <w:tcW w:w="2191" w:type="pct"/>
                  <w:tcBorders>
                    <w:top w:val="single" w:color="auto" w:sz="4" w:space="0"/>
                    <w:left w:val="nil"/>
                    <w:bottom w:val="single" w:color="auto" w:sz="4" w:space="0"/>
                    <w:right w:val="single" w:color="auto" w:sz="4" w:space="0"/>
                  </w:tcBorders>
                  <w:shd w:val="clear" w:color="auto" w:fill="auto"/>
                  <w:vAlign w:val="center"/>
                </w:tcPr>
                <w:p w14:paraId="57B91B06">
                  <w:pPr>
                    <w:pStyle w:val="23"/>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生活垃圾集中收集，统一拉运至</w:t>
                  </w:r>
                  <w:r>
                    <w:rPr>
                      <w:rFonts w:hint="default" w:ascii="Times New Roman" w:hAnsi="Times New Roman" w:cs="Times New Roman"/>
                      <w:color w:val="000000" w:themeColor="text1"/>
                      <w:lang w:val="zh-CN"/>
                      <w14:textFill>
                        <w14:solidFill>
                          <w14:schemeClr w14:val="tx1"/>
                        </w14:solidFill>
                      </w14:textFill>
                    </w:rPr>
                    <w:t>乌尔禾生活垃圾填埋场</w:t>
                  </w:r>
                  <w:r>
                    <w:rPr>
                      <w:rFonts w:hint="default" w:ascii="Times New Roman" w:hAnsi="Times New Roman" w:cs="Times New Roman"/>
                      <w:color w:val="000000" w:themeColor="text1"/>
                      <w14:textFill>
                        <w14:solidFill>
                          <w14:schemeClr w14:val="tx1"/>
                        </w14:solidFill>
                      </w14:textFill>
                    </w:rPr>
                    <w:t>进行填埋处理。</w:t>
                  </w:r>
                </w:p>
              </w:tc>
            </w:tr>
            <w:bookmarkEnd w:id="15"/>
          </w:tbl>
          <w:p w14:paraId="7F844D2D">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bookmarkStart w:id="25" w:name="_Hlk43201977"/>
            <w:bookmarkEnd w:id="25"/>
            <w:bookmarkStart w:id="26" w:name="_Toc29189"/>
            <w:r>
              <w:rPr>
                <w:rFonts w:hint="default" w:ascii="Times New Roman" w:hAnsi="Times New Roman" w:cs="Times New Roman"/>
                <w:color w:val="000000" w:themeColor="text1"/>
                <w:sz w:val="28"/>
                <w:szCs w:val="28"/>
                <w14:textFill>
                  <w14:solidFill>
                    <w14:schemeClr w14:val="tx1"/>
                  </w14:solidFill>
                </w14:textFill>
              </w:rPr>
              <w:t>7环境风险分析</w:t>
            </w:r>
            <w:bookmarkEnd w:id="26"/>
          </w:p>
          <w:p w14:paraId="4FDC0C6E">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45056130">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7.1风险识别</w:t>
            </w:r>
          </w:p>
          <w:p w14:paraId="2A2B6136">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对照《建设项目环境风险评价技术导则》（HJ169-2018）附录C.1.1中，本项目钻井过程中涉及的危险物质施工期主要为柴油，试油期主要是采出液，本项目采出液为油、气、水混合物，主要成分为原油、天然气和水。</w:t>
            </w:r>
          </w:p>
          <w:p w14:paraId="27DFD267">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钻井井场设有柴油罐（20m</w:t>
            </w:r>
            <w:r>
              <w:rPr>
                <w:rFonts w:hint="default" w:ascii="Times New Roman" w:hAnsi="Times New Roman" w:cs="Times New Roman"/>
                <w:bCs/>
                <w:color w:val="000000" w:themeColor="text1"/>
                <w:szCs w:val="21"/>
                <w:vertAlign w:val="superscript"/>
                <w14:textFill>
                  <w14:solidFill>
                    <w14:schemeClr w14:val="tx1"/>
                  </w14:solidFill>
                </w14:textFill>
              </w:rPr>
              <w:t>3</w:t>
            </w:r>
            <w:r>
              <w:rPr>
                <w:rFonts w:hint="default" w:ascii="Times New Roman" w:hAnsi="Times New Roman" w:cs="Times New Roman"/>
                <w:bCs/>
                <w:color w:val="000000" w:themeColor="text1"/>
                <w:szCs w:val="21"/>
                <w14:textFill>
                  <w14:solidFill>
                    <w14:schemeClr w14:val="tx1"/>
                  </w14:solidFill>
                </w14:textFill>
              </w:rPr>
              <w:t>），可存柴油16.7t，试油期因采出液的含水率不确定，本项目按最大存在量进行核算，试油期设置4个临时储罐共计80m</w:t>
            </w:r>
            <w:r>
              <w:rPr>
                <w:rFonts w:hint="default" w:ascii="Times New Roman" w:hAnsi="Times New Roman" w:cs="Times New Roman"/>
                <w:bCs/>
                <w:color w:val="000000" w:themeColor="text1"/>
                <w:szCs w:val="21"/>
                <w:vertAlign w:val="superscript"/>
                <w14:textFill>
                  <w14:solidFill>
                    <w14:schemeClr w14:val="tx1"/>
                  </w14:solidFill>
                </w14:textFill>
              </w:rPr>
              <w:t>3</w:t>
            </w:r>
            <w:r>
              <w:rPr>
                <w:rFonts w:hint="default" w:ascii="Times New Roman" w:hAnsi="Times New Roman" w:cs="Times New Roman"/>
                <w:bCs/>
                <w:color w:val="000000" w:themeColor="text1"/>
                <w:szCs w:val="21"/>
                <w14:textFill>
                  <w14:solidFill>
                    <w14:schemeClr w14:val="tx1"/>
                  </w14:solidFill>
                </w14:textFill>
              </w:rPr>
              <w:t>，原油存在量约66.4t。</w:t>
            </w:r>
          </w:p>
          <w:p w14:paraId="77449321">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本项目涉及的环境风险物质主要为原油、天然气和柴油。其主要物化、毒理性质、危险等级划分见下表4-12。</w:t>
            </w:r>
          </w:p>
          <w:p w14:paraId="0AD656D7">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表4-12  原油、天然气和柴油的理化性质及危险级别分类情况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592"/>
              <w:gridCol w:w="1350"/>
              <w:gridCol w:w="2430"/>
              <w:gridCol w:w="1912"/>
              <w:gridCol w:w="1376"/>
            </w:tblGrid>
            <w:tr w14:paraId="7524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46C76F0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592" w:type="dxa"/>
                  <w:vAlign w:val="center"/>
                </w:tcPr>
                <w:p w14:paraId="22265E3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名称</w:t>
                  </w:r>
                </w:p>
              </w:tc>
              <w:tc>
                <w:tcPr>
                  <w:tcW w:w="1350" w:type="dxa"/>
                  <w:vAlign w:val="center"/>
                </w:tcPr>
                <w:p w14:paraId="1F0984B0">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组分</w:t>
                  </w:r>
                </w:p>
              </w:tc>
              <w:tc>
                <w:tcPr>
                  <w:tcW w:w="2430" w:type="dxa"/>
                  <w:vAlign w:val="center"/>
                </w:tcPr>
                <w:p w14:paraId="7E09030E">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毒性</w:t>
                  </w:r>
                </w:p>
              </w:tc>
              <w:tc>
                <w:tcPr>
                  <w:tcW w:w="1912" w:type="dxa"/>
                  <w:vAlign w:val="center"/>
                </w:tcPr>
                <w:p w14:paraId="45EC062B">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燃烧爆炸特性参数</w:t>
                  </w:r>
                </w:p>
              </w:tc>
              <w:tc>
                <w:tcPr>
                  <w:tcW w:w="1376" w:type="dxa"/>
                  <w:vAlign w:val="center"/>
                </w:tcPr>
                <w:p w14:paraId="10BA00C7">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危险级别</w:t>
                  </w:r>
                </w:p>
              </w:tc>
            </w:tr>
            <w:tr w14:paraId="3997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465D6A7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592" w:type="dxa"/>
                  <w:vAlign w:val="center"/>
                </w:tcPr>
                <w:p w14:paraId="6635A29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原油</w:t>
                  </w:r>
                </w:p>
              </w:tc>
              <w:tc>
                <w:tcPr>
                  <w:tcW w:w="1350" w:type="dxa"/>
                  <w:vAlign w:val="center"/>
                </w:tcPr>
                <w:p w14:paraId="01B8125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由各种烃类和非烃类化合物所组成的复杂混合物</w:t>
                  </w:r>
                </w:p>
              </w:tc>
              <w:tc>
                <w:tcPr>
                  <w:tcW w:w="2430" w:type="dxa"/>
                  <w:vAlign w:val="center"/>
                </w:tcPr>
                <w:p w14:paraId="043F96E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原油本身无明显毒性。遇热分解出有毒的烟雾，吸入大量可引起危害：有刺激和麻痹作用，急性吸入中毒者有上呼吸道刺激感觉。流泪，随之出现头晕、头痛、恶心、运动失调及酒醉样症状</w:t>
                  </w:r>
                </w:p>
              </w:tc>
              <w:tc>
                <w:tcPr>
                  <w:tcW w:w="1912" w:type="dxa"/>
                  <w:vAlign w:val="center"/>
                </w:tcPr>
                <w:p w14:paraId="2C4EB7C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热值：41870KJ/kg</w:t>
                  </w:r>
                </w:p>
                <w:p w14:paraId="0C589AE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火焰温度：1100℃</w:t>
                  </w:r>
                </w:p>
                <w:p w14:paraId="5CA2800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沸点：300～325℃</w:t>
                  </w:r>
                </w:p>
                <w:p w14:paraId="627E94E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闪点：23.59℃</w:t>
                  </w:r>
                </w:p>
                <w:p w14:paraId="7F0D903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爆炸极限：1.1%～6.4%(v)</w:t>
                  </w:r>
                </w:p>
                <w:p w14:paraId="0AD83D0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自然燃点：380~530℃</w:t>
                  </w:r>
                </w:p>
              </w:tc>
              <w:tc>
                <w:tcPr>
                  <w:tcW w:w="1376" w:type="dxa"/>
                  <w:vAlign w:val="center"/>
                </w:tcPr>
                <w:p w14:paraId="5780F57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属于高闪点液体</w:t>
                  </w:r>
                </w:p>
              </w:tc>
            </w:tr>
            <w:tr w14:paraId="07A0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67D6B60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592" w:type="dxa"/>
                  <w:vAlign w:val="center"/>
                </w:tcPr>
                <w:p w14:paraId="39AA92D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天然气</w:t>
                  </w:r>
                </w:p>
              </w:tc>
              <w:tc>
                <w:tcPr>
                  <w:tcW w:w="1350" w:type="dxa"/>
                  <w:vAlign w:val="center"/>
                </w:tcPr>
                <w:p w14:paraId="354AF6B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多种可燃性气体的总称，主要成分包括甲烷、乙烷等</w:t>
                  </w:r>
                </w:p>
              </w:tc>
              <w:tc>
                <w:tcPr>
                  <w:tcW w:w="2430" w:type="dxa"/>
                  <w:vAlign w:val="center"/>
                </w:tcPr>
                <w:p w14:paraId="63F0A2D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伴生气中主要包括天然气，天然气中含有的甲烷，是一种无毒气体，当空气中大量弥漫这种气体时它会造成人因氧气不足而呼吸困难，进而失去知觉、昏迷甚至残废</w:t>
                  </w:r>
                </w:p>
              </w:tc>
              <w:tc>
                <w:tcPr>
                  <w:tcW w:w="1912" w:type="dxa"/>
                  <w:vAlign w:val="center"/>
                </w:tcPr>
                <w:p w14:paraId="311F6E2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热值：50009KJ/kg</w:t>
                  </w:r>
                </w:p>
                <w:p w14:paraId="3FC1A5A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爆炸极限：5%～14%(v)</w:t>
                  </w:r>
                </w:p>
                <w:p w14:paraId="10E1F02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自然燃点：482~632℃</w:t>
                  </w:r>
                </w:p>
              </w:tc>
              <w:tc>
                <w:tcPr>
                  <w:tcW w:w="1376" w:type="dxa"/>
                  <w:vAlign w:val="center"/>
                </w:tcPr>
                <w:p w14:paraId="507473C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属于5.1类中易燃气体，在危险货物品名表中编号21007</w:t>
                  </w:r>
                </w:p>
              </w:tc>
            </w:tr>
            <w:tr w14:paraId="3A9B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7" w:type="dxa"/>
                  <w:vAlign w:val="center"/>
                </w:tcPr>
                <w:p w14:paraId="3B53DDF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592" w:type="dxa"/>
                  <w:vAlign w:val="center"/>
                </w:tcPr>
                <w:p w14:paraId="47E2049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w:t>
                  </w:r>
                </w:p>
              </w:tc>
              <w:tc>
                <w:tcPr>
                  <w:tcW w:w="1350" w:type="dxa"/>
                  <w:vAlign w:val="center"/>
                </w:tcPr>
                <w:p w14:paraId="3193872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复杂烃类（碳原子数约10～22）混合物</w:t>
                  </w:r>
                </w:p>
              </w:tc>
              <w:tc>
                <w:tcPr>
                  <w:tcW w:w="2430" w:type="dxa"/>
                  <w:vAlign w:val="center"/>
                </w:tcPr>
                <w:p w14:paraId="3779061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柴油的毒性类似于煤油，但由于添加剂（如硫化酯类）的影响，毒性可能比煤油略大。主要有麻醉和刺激作用。柴油的雾滴吸入后可致吸入性肺炎。皮肤接触柴油可致接触性皮炎。多见于两手、腕部与前臂</w:t>
                  </w:r>
                </w:p>
              </w:tc>
              <w:tc>
                <w:tcPr>
                  <w:tcW w:w="1912" w:type="dxa"/>
                  <w:vAlign w:val="center"/>
                </w:tcPr>
                <w:p w14:paraId="72E3BA2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热值为3.3×107J/L沸点范围有180~370℃和350~410℃两类闪点：38℃</w:t>
                  </w:r>
                </w:p>
              </w:tc>
              <w:tc>
                <w:tcPr>
                  <w:tcW w:w="1376" w:type="dxa"/>
                  <w:vAlign w:val="center"/>
                </w:tcPr>
                <w:p w14:paraId="21EEBAD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属于高闪点液体</w:t>
                  </w:r>
                </w:p>
              </w:tc>
            </w:tr>
          </w:tbl>
          <w:p w14:paraId="4A217C99">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根据《建设项目环境风险评价技术导则》（HJ169-2018）附录B.1中可知，本项目Q值见表4-13。</w:t>
            </w:r>
          </w:p>
          <w:p w14:paraId="606F740F">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表4-13  危险物质与临界量比值</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1823"/>
              <w:gridCol w:w="1683"/>
              <w:gridCol w:w="1722"/>
            </w:tblGrid>
            <w:tr w14:paraId="782A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5080A22E">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物质名称</w:t>
                  </w:r>
                </w:p>
              </w:tc>
              <w:tc>
                <w:tcPr>
                  <w:tcW w:w="1120" w:type="pct"/>
                  <w:tcBorders>
                    <w:top w:val="single" w:color="auto" w:sz="4" w:space="0"/>
                    <w:left w:val="single" w:color="auto" w:sz="4" w:space="0"/>
                    <w:bottom w:val="single" w:color="auto" w:sz="4" w:space="0"/>
                    <w:right w:val="single" w:color="auto" w:sz="4" w:space="0"/>
                  </w:tcBorders>
                  <w:vAlign w:val="center"/>
                </w:tcPr>
                <w:p w14:paraId="09BE38F3">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临界量</w:t>
                  </w:r>
                </w:p>
              </w:tc>
              <w:tc>
                <w:tcPr>
                  <w:tcW w:w="1034" w:type="pct"/>
                  <w:tcBorders>
                    <w:top w:val="single" w:color="auto" w:sz="4" w:space="0"/>
                    <w:left w:val="single" w:color="auto" w:sz="4" w:space="0"/>
                    <w:bottom w:val="single" w:color="auto" w:sz="4" w:space="0"/>
                    <w:right w:val="single" w:color="auto" w:sz="4" w:space="0"/>
                  </w:tcBorders>
                  <w:vAlign w:val="center"/>
                </w:tcPr>
                <w:p w14:paraId="10B309B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最大存在总量</w:t>
                  </w:r>
                </w:p>
              </w:tc>
              <w:tc>
                <w:tcPr>
                  <w:tcW w:w="1058" w:type="pct"/>
                  <w:tcBorders>
                    <w:top w:val="single" w:color="auto" w:sz="4" w:space="0"/>
                    <w:left w:val="single" w:color="auto" w:sz="4" w:space="0"/>
                    <w:bottom w:val="single" w:color="auto" w:sz="4" w:space="0"/>
                    <w:right w:val="single" w:color="auto" w:sz="4" w:space="0"/>
                  </w:tcBorders>
                  <w:vAlign w:val="center"/>
                </w:tcPr>
                <w:p w14:paraId="7167C02C">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Q</w:t>
                  </w:r>
                </w:p>
              </w:tc>
            </w:tr>
            <w:tr w14:paraId="49F7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0BDC6C4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w:t>
                  </w:r>
                </w:p>
              </w:tc>
              <w:tc>
                <w:tcPr>
                  <w:tcW w:w="1120" w:type="pct"/>
                  <w:tcBorders>
                    <w:top w:val="single" w:color="auto" w:sz="4" w:space="0"/>
                    <w:left w:val="single" w:color="auto" w:sz="4" w:space="0"/>
                    <w:right w:val="single" w:color="auto" w:sz="4" w:space="0"/>
                  </w:tcBorders>
                  <w:vAlign w:val="center"/>
                </w:tcPr>
                <w:p w14:paraId="17FA088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2500t</w:t>
                  </w:r>
                </w:p>
              </w:tc>
              <w:tc>
                <w:tcPr>
                  <w:tcW w:w="1034" w:type="pct"/>
                  <w:tcBorders>
                    <w:top w:val="single" w:color="auto" w:sz="4" w:space="0"/>
                    <w:left w:val="single" w:color="auto" w:sz="4" w:space="0"/>
                    <w:bottom w:val="single" w:color="auto" w:sz="4" w:space="0"/>
                    <w:right w:val="single" w:color="auto" w:sz="4" w:space="0"/>
                  </w:tcBorders>
                  <w:vAlign w:val="center"/>
                </w:tcPr>
                <w:p w14:paraId="210AC1A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16.7t</w:t>
                  </w:r>
                </w:p>
              </w:tc>
              <w:tc>
                <w:tcPr>
                  <w:tcW w:w="1058" w:type="pct"/>
                  <w:tcBorders>
                    <w:top w:val="single" w:color="auto" w:sz="4" w:space="0"/>
                    <w:left w:val="single" w:color="auto" w:sz="4" w:space="0"/>
                    <w:bottom w:val="single" w:color="auto" w:sz="4" w:space="0"/>
                    <w:right w:val="single" w:color="auto" w:sz="4" w:space="0"/>
                  </w:tcBorders>
                  <w:vAlign w:val="center"/>
                </w:tcPr>
                <w:p w14:paraId="6830DE2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0.007</w:t>
                  </w:r>
                </w:p>
              </w:tc>
            </w:tr>
            <w:tr w14:paraId="52C0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6478824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原油</w:t>
                  </w:r>
                </w:p>
              </w:tc>
              <w:tc>
                <w:tcPr>
                  <w:tcW w:w="1120" w:type="pct"/>
                  <w:tcBorders>
                    <w:left w:val="single" w:color="auto" w:sz="4" w:space="0"/>
                    <w:bottom w:val="single" w:color="auto" w:sz="4" w:space="0"/>
                    <w:right w:val="single" w:color="auto" w:sz="4" w:space="0"/>
                  </w:tcBorders>
                  <w:vAlign w:val="center"/>
                </w:tcPr>
                <w:p w14:paraId="7459A41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2500t</w:t>
                  </w:r>
                </w:p>
              </w:tc>
              <w:tc>
                <w:tcPr>
                  <w:tcW w:w="1034" w:type="pct"/>
                  <w:tcBorders>
                    <w:top w:val="single" w:color="auto" w:sz="4" w:space="0"/>
                    <w:left w:val="single" w:color="auto" w:sz="4" w:space="0"/>
                    <w:bottom w:val="single" w:color="auto" w:sz="4" w:space="0"/>
                    <w:right w:val="single" w:color="auto" w:sz="4" w:space="0"/>
                  </w:tcBorders>
                  <w:vAlign w:val="center"/>
                </w:tcPr>
                <w:p w14:paraId="619BDCA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66.4t</w:t>
                  </w:r>
                </w:p>
              </w:tc>
              <w:tc>
                <w:tcPr>
                  <w:tcW w:w="1058" w:type="pct"/>
                  <w:tcBorders>
                    <w:top w:val="single" w:color="auto" w:sz="4" w:space="0"/>
                    <w:left w:val="single" w:color="auto" w:sz="4" w:space="0"/>
                    <w:bottom w:val="single" w:color="auto" w:sz="4" w:space="0"/>
                    <w:right w:val="single" w:color="auto" w:sz="4" w:space="0"/>
                  </w:tcBorders>
                  <w:vAlign w:val="center"/>
                </w:tcPr>
                <w:p w14:paraId="1D830DE8">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0.03</w:t>
                  </w:r>
                </w:p>
              </w:tc>
            </w:tr>
            <w:tr w14:paraId="729E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648058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硫化氢</w:t>
                  </w:r>
                </w:p>
              </w:tc>
              <w:tc>
                <w:tcPr>
                  <w:tcW w:w="1120" w:type="pct"/>
                  <w:tcBorders>
                    <w:left w:val="single" w:color="auto" w:sz="4" w:space="0"/>
                    <w:bottom w:val="single" w:color="auto" w:sz="4" w:space="0"/>
                    <w:right w:val="single" w:color="auto" w:sz="4" w:space="0"/>
                  </w:tcBorders>
                  <w:vAlign w:val="center"/>
                </w:tcPr>
                <w:p w14:paraId="243334A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2.2t</w:t>
                  </w:r>
                </w:p>
              </w:tc>
              <w:tc>
                <w:tcPr>
                  <w:tcW w:w="1034" w:type="pct"/>
                  <w:tcBorders>
                    <w:top w:val="single" w:color="auto" w:sz="4" w:space="0"/>
                    <w:left w:val="single" w:color="auto" w:sz="4" w:space="0"/>
                    <w:bottom w:val="single" w:color="auto" w:sz="4" w:space="0"/>
                    <w:right w:val="single" w:color="auto" w:sz="4" w:space="0"/>
                  </w:tcBorders>
                  <w:vAlign w:val="center"/>
                </w:tcPr>
                <w:p w14:paraId="6957CB4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p>
              </w:tc>
              <w:tc>
                <w:tcPr>
                  <w:tcW w:w="1058" w:type="pct"/>
                  <w:tcBorders>
                    <w:top w:val="single" w:color="auto" w:sz="4" w:space="0"/>
                    <w:left w:val="single" w:color="auto" w:sz="4" w:space="0"/>
                    <w:bottom w:val="single" w:color="auto" w:sz="4" w:space="0"/>
                    <w:right w:val="single" w:color="auto" w:sz="4" w:space="0"/>
                  </w:tcBorders>
                  <w:vAlign w:val="center"/>
                </w:tcPr>
                <w:p w14:paraId="43B2AE6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p>
              </w:tc>
            </w:tr>
            <w:tr w14:paraId="4E60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86" w:type="pct"/>
                  <w:tcBorders>
                    <w:top w:val="single" w:color="auto" w:sz="4" w:space="0"/>
                    <w:left w:val="single" w:color="auto" w:sz="4" w:space="0"/>
                    <w:bottom w:val="single" w:color="auto" w:sz="4" w:space="0"/>
                    <w:right w:val="single" w:color="auto" w:sz="4" w:space="0"/>
                  </w:tcBorders>
                  <w:vAlign w:val="center"/>
                </w:tcPr>
                <w:p w14:paraId="1FC4A50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甲烷（天然气）</w:t>
                  </w:r>
                </w:p>
              </w:tc>
              <w:tc>
                <w:tcPr>
                  <w:tcW w:w="1120" w:type="pct"/>
                  <w:tcBorders>
                    <w:top w:val="single" w:color="auto" w:sz="4" w:space="0"/>
                    <w:left w:val="single" w:color="auto" w:sz="4" w:space="0"/>
                    <w:bottom w:val="single" w:color="auto" w:sz="4" w:space="0"/>
                    <w:right w:val="single" w:color="auto" w:sz="4" w:space="0"/>
                  </w:tcBorders>
                  <w:vAlign w:val="center"/>
                </w:tcPr>
                <w:p w14:paraId="6861C8A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10t</w:t>
                  </w:r>
                </w:p>
              </w:tc>
              <w:tc>
                <w:tcPr>
                  <w:tcW w:w="1034" w:type="pct"/>
                  <w:tcBorders>
                    <w:top w:val="single" w:color="auto" w:sz="4" w:space="0"/>
                    <w:left w:val="single" w:color="auto" w:sz="4" w:space="0"/>
                    <w:bottom w:val="single" w:color="auto" w:sz="4" w:space="0"/>
                    <w:right w:val="single" w:color="auto" w:sz="4" w:space="0"/>
                  </w:tcBorders>
                  <w:vAlign w:val="center"/>
                </w:tcPr>
                <w:p w14:paraId="7B00FCE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p>
              </w:tc>
              <w:tc>
                <w:tcPr>
                  <w:tcW w:w="1058" w:type="pct"/>
                  <w:tcBorders>
                    <w:top w:val="single" w:color="auto" w:sz="4" w:space="0"/>
                    <w:left w:val="single" w:color="auto" w:sz="4" w:space="0"/>
                    <w:bottom w:val="single" w:color="auto" w:sz="4" w:space="0"/>
                    <w:right w:val="single" w:color="auto" w:sz="4" w:space="0"/>
                  </w:tcBorders>
                  <w:vAlign w:val="center"/>
                </w:tcPr>
                <w:p w14:paraId="6147467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w:t>
                  </w:r>
                </w:p>
              </w:tc>
            </w:tr>
            <w:tr w14:paraId="780B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86" w:type="pct"/>
                  <w:tcBorders>
                    <w:top w:val="single" w:color="auto" w:sz="4" w:space="0"/>
                    <w:left w:val="single" w:color="auto" w:sz="4" w:space="0"/>
                    <w:bottom w:val="single" w:color="auto" w:sz="4" w:space="0"/>
                    <w:right w:val="single" w:color="auto" w:sz="4" w:space="0"/>
                  </w:tcBorders>
                  <w:vAlign w:val="center"/>
                </w:tcPr>
                <w:p w14:paraId="20935C0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合计</w:t>
                  </w:r>
                </w:p>
              </w:tc>
              <w:tc>
                <w:tcPr>
                  <w:tcW w:w="1120" w:type="pct"/>
                  <w:tcBorders>
                    <w:top w:val="single" w:color="auto" w:sz="4" w:space="0"/>
                    <w:left w:val="single" w:color="auto" w:sz="4" w:space="0"/>
                    <w:bottom w:val="single" w:color="auto" w:sz="4" w:space="0"/>
                    <w:right w:val="single" w:color="auto" w:sz="4" w:space="0"/>
                  </w:tcBorders>
                  <w:vAlign w:val="center"/>
                </w:tcPr>
                <w:p w14:paraId="4855FF4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034" w:type="pct"/>
                  <w:tcBorders>
                    <w:top w:val="single" w:color="auto" w:sz="4" w:space="0"/>
                    <w:left w:val="single" w:color="auto" w:sz="4" w:space="0"/>
                    <w:bottom w:val="single" w:color="auto" w:sz="4" w:space="0"/>
                    <w:right w:val="single" w:color="auto" w:sz="4" w:space="0"/>
                  </w:tcBorders>
                  <w:vAlign w:val="center"/>
                </w:tcPr>
                <w:p w14:paraId="2F8C270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058" w:type="pct"/>
                  <w:tcBorders>
                    <w:top w:val="single" w:color="auto" w:sz="4" w:space="0"/>
                    <w:left w:val="single" w:color="auto" w:sz="4" w:space="0"/>
                    <w:bottom w:val="single" w:color="auto" w:sz="4" w:space="0"/>
                    <w:right w:val="single" w:color="auto" w:sz="4" w:space="0"/>
                  </w:tcBorders>
                  <w:vAlign w:val="center"/>
                </w:tcPr>
                <w:p w14:paraId="4A0BFD9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0.037</w:t>
                  </w:r>
                </w:p>
              </w:tc>
            </w:tr>
          </w:tbl>
          <w:p w14:paraId="3404BBE9">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本项目风险物质与其临界量的比值（Q）&lt;1时，可确定该项目环境风险潜势为</w:t>
            </w:r>
            <w:r>
              <w:rPr>
                <w:rFonts w:hint="default" w:ascii="Times New Roman" w:hAnsi="Times New Roman" w:cs="Times New Roman"/>
                <w:bCs/>
                <w:color w:val="000000" w:themeColor="text1"/>
                <w:szCs w:val="21"/>
                <w14:textFill>
                  <w14:solidFill>
                    <w14:schemeClr w14:val="tx1"/>
                  </w14:solidFill>
                </w14:textFill>
              </w:rPr>
              <w:fldChar w:fldCharType="begin"/>
            </w:r>
            <w:r>
              <w:rPr>
                <w:rFonts w:hint="default" w:ascii="Times New Roman" w:hAnsi="Times New Roman" w:cs="Times New Roman"/>
                <w:bCs/>
                <w:color w:val="000000" w:themeColor="text1"/>
                <w:szCs w:val="21"/>
                <w14:textFill>
                  <w14:solidFill>
                    <w14:schemeClr w14:val="tx1"/>
                  </w14:solidFill>
                </w14:textFill>
              </w:rPr>
              <w:instrText xml:space="preserve"> = 1 \* ROMAN \* MERGEFORMAT </w:instrText>
            </w:r>
            <w:r>
              <w:rPr>
                <w:rFonts w:hint="default" w:ascii="Times New Roman" w:hAnsi="Times New Roman" w:cs="Times New Roman"/>
                <w:bCs/>
                <w:color w:val="000000" w:themeColor="text1"/>
                <w:szCs w:val="21"/>
                <w14:textFill>
                  <w14:solidFill>
                    <w14:schemeClr w14:val="tx1"/>
                  </w14:solidFill>
                </w14:textFill>
              </w:rPr>
              <w:fldChar w:fldCharType="separate"/>
            </w:r>
            <w:r>
              <w:rPr>
                <w:rFonts w:hint="default" w:ascii="Times New Roman" w:hAnsi="Times New Roman" w:cs="Times New Roman"/>
                <w:bCs/>
                <w:color w:val="000000" w:themeColor="text1"/>
                <w:szCs w:val="21"/>
                <w14:textFill>
                  <w14:solidFill>
                    <w14:schemeClr w14:val="tx1"/>
                  </w14:solidFill>
                </w14:textFill>
              </w:rPr>
              <w:t>I</w:t>
            </w:r>
            <w:r>
              <w:rPr>
                <w:rFonts w:hint="default" w:ascii="Times New Roman" w:hAnsi="Times New Roman" w:cs="Times New Roman"/>
                <w:bCs/>
                <w:color w:val="000000" w:themeColor="text1"/>
                <w:szCs w:val="21"/>
                <w14:textFill>
                  <w14:solidFill>
                    <w14:schemeClr w14:val="tx1"/>
                  </w14:solidFill>
                </w14:textFill>
              </w:rPr>
              <w:fldChar w:fldCharType="end"/>
            </w:r>
            <w:r>
              <w:rPr>
                <w:rFonts w:hint="default" w:ascii="Times New Roman" w:hAnsi="Times New Roman" w:cs="Times New Roman"/>
                <w:bCs/>
                <w:color w:val="000000" w:themeColor="text1"/>
                <w:szCs w:val="21"/>
                <w14:textFill>
                  <w14:solidFill>
                    <w14:schemeClr w14:val="tx1"/>
                  </w14:solidFill>
                </w14:textFill>
              </w:rPr>
              <w:t>，可开展简单分析。</w:t>
            </w:r>
          </w:p>
          <w:p w14:paraId="42DCF000">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7.2风险事故环境影响</w:t>
            </w:r>
          </w:p>
          <w:p w14:paraId="7615AB4F">
            <w:pPr>
              <w:ind w:firstLine="480"/>
              <w:rPr>
                <w:rFonts w:hint="default" w:ascii="Times New Roman" w:hAnsi="Times New Roman" w:cs="Times New Roman"/>
                <w:bCs/>
                <w:color w:val="000000" w:themeColor="text1"/>
                <w:szCs w:val="21"/>
                <w:lang w:val="zh-CN"/>
                <w14:textFill>
                  <w14:solidFill>
                    <w14:schemeClr w14:val="tx1"/>
                  </w14:solidFill>
                </w14:textFill>
              </w:rPr>
            </w:pPr>
            <w:bookmarkStart w:id="27" w:name="_Hlk26200622"/>
            <w:r>
              <w:rPr>
                <w:rFonts w:hint="default" w:ascii="Times New Roman" w:hAnsi="Times New Roman" w:cs="Times New Roman"/>
                <w:bCs/>
                <w:color w:val="000000" w:themeColor="text1"/>
                <w:szCs w:val="21"/>
                <w:lang w:val="zh-CN"/>
                <w14:textFill>
                  <w14:solidFill>
                    <w14:schemeClr w14:val="tx1"/>
                  </w14:solidFill>
                </w14:textFill>
              </w:rPr>
              <w:t>（</w:t>
            </w:r>
            <w:r>
              <w:rPr>
                <w:rFonts w:hint="default" w:ascii="Times New Roman" w:hAnsi="Times New Roman" w:cs="Times New Roman"/>
                <w:bCs/>
                <w:color w:val="000000" w:themeColor="text1"/>
                <w:szCs w:val="21"/>
                <w14:textFill>
                  <w14:solidFill>
                    <w14:schemeClr w14:val="tx1"/>
                  </w14:solidFill>
                </w14:textFill>
              </w:rPr>
              <w:t>1</w:t>
            </w:r>
            <w:r>
              <w:rPr>
                <w:rFonts w:hint="default" w:ascii="Times New Roman" w:hAnsi="Times New Roman" w:cs="Times New Roman"/>
                <w:bCs/>
                <w:color w:val="000000" w:themeColor="text1"/>
                <w:szCs w:val="21"/>
                <w:lang w:val="zh-CN"/>
                <w14:textFill>
                  <w14:solidFill>
                    <w14:schemeClr w14:val="tx1"/>
                  </w14:solidFill>
                </w14:textFill>
              </w:rPr>
              <w:t>）井喷环境影响分析</w:t>
            </w:r>
          </w:p>
          <w:p w14:paraId="34165F63">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井喷事故一旦发生，大量的油气喷出井口，散落于井场周围，据类比资料显示，井喷范围内土壤表层可见有蜡状的原油喷散物，井喷的影响范围及影响程度较大。但从事故井区土壤剖面分析，井喷事故后石油类污染物主要聚集在土壤剖面1m以内。</w:t>
            </w:r>
          </w:p>
          <w:p w14:paraId="73EBFA0D">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井喷事故对地下水体的影响概率不大，若及时采取有效措施治理污染，井喷不会造成地下水污染。</w:t>
            </w:r>
          </w:p>
          <w:p w14:paraId="170BE1C0">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w:t>
            </w:r>
            <w:r>
              <w:rPr>
                <w:rFonts w:hint="default" w:ascii="Times New Roman" w:hAnsi="Times New Roman" w:cs="Times New Roman"/>
                <w:bCs/>
                <w:color w:val="000000" w:themeColor="text1"/>
                <w:szCs w:val="21"/>
                <w14:textFill>
                  <w14:solidFill>
                    <w14:schemeClr w14:val="tx1"/>
                  </w14:solidFill>
                </w14:textFill>
              </w:rPr>
              <w:t>2</w:t>
            </w:r>
            <w:r>
              <w:rPr>
                <w:rFonts w:hint="default" w:ascii="Times New Roman" w:hAnsi="Times New Roman" w:cs="Times New Roman"/>
                <w:bCs/>
                <w:color w:val="000000" w:themeColor="text1"/>
                <w:szCs w:val="21"/>
                <w:lang w:val="zh-CN"/>
                <w14:textFill>
                  <w14:solidFill>
                    <w14:schemeClr w14:val="tx1"/>
                  </w14:solidFill>
                </w14:textFill>
              </w:rPr>
              <w:t>）泄漏环境影响分析</w:t>
            </w:r>
          </w:p>
          <w:p w14:paraId="400A5FD1">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本项目在钻井和试油过程中会在井场布置柴油储罐、试油采出液储罐等，一旦储罐发生泄漏，会对周围环境空气、水体、土壤和植被会造成一定的不利影响。</w:t>
            </w:r>
          </w:p>
          <w:p w14:paraId="32F582D0">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①</w:t>
            </w:r>
            <w:r>
              <w:rPr>
                <w:rFonts w:hint="default" w:ascii="Times New Roman" w:hAnsi="Times New Roman" w:cs="Times New Roman"/>
                <w:bCs/>
                <w:color w:val="000000" w:themeColor="text1"/>
                <w:szCs w:val="21"/>
                <w:lang w:val="zh-CN"/>
                <w14:textFill>
                  <w14:solidFill>
                    <w14:schemeClr w14:val="tx1"/>
                  </w14:solidFill>
                </w14:textFill>
              </w:rPr>
              <w:t>对大气环境的影响</w:t>
            </w:r>
          </w:p>
          <w:p w14:paraId="44E35796">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对大气环境的影响，主要考虑柴油储罐及采出液储罐泄漏的影响，本项目评价范围内无自然保护区、风景名胜区、水源保护区、学校、医院、集中居住区等环境敏感点，即使发生泄漏造成周围居民点发生急性中毒和慢性中毒的危险性较小，因吸入中毒引起生命危险的可能性就更小。</w:t>
            </w:r>
          </w:p>
          <w:p w14:paraId="5F476159">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②</w:t>
            </w:r>
            <w:r>
              <w:rPr>
                <w:rFonts w:hint="default" w:ascii="Times New Roman" w:hAnsi="Times New Roman" w:cs="Times New Roman"/>
                <w:bCs/>
                <w:color w:val="000000" w:themeColor="text1"/>
                <w:szCs w:val="21"/>
                <w:lang w:val="zh-CN"/>
                <w14:textFill>
                  <w14:solidFill>
                    <w14:schemeClr w14:val="tx1"/>
                  </w14:solidFill>
                </w14:textFill>
              </w:rPr>
              <w:t>对土壤的影响</w:t>
            </w:r>
          </w:p>
          <w:p w14:paraId="6B5E58C0">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泄漏的油类物质可使土壤透气性下降、土壤理化性状发生变化。泄漏情况发生时，油类物质渗入土壤孔隙，使土壤透气性和呼吸作用减弱，影响土壤中的微生物生存，破坏土壤结构，增加土壤中石油类污染物，造成土地肥力下降，改变土壤的理化性质，影响土壤正常的结构和功能，从而造成植物生物的死亡。</w:t>
            </w:r>
          </w:p>
          <w:p w14:paraId="5C012186">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③</w:t>
            </w:r>
            <w:r>
              <w:rPr>
                <w:rFonts w:hint="default" w:ascii="Times New Roman" w:hAnsi="Times New Roman" w:cs="Times New Roman"/>
                <w:bCs/>
                <w:color w:val="000000" w:themeColor="text1"/>
                <w:szCs w:val="21"/>
                <w:lang w:val="zh-CN"/>
                <w14:textFill>
                  <w14:solidFill>
                    <w14:schemeClr w14:val="tx1"/>
                  </w14:solidFill>
                </w14:textFill>
              </w:rPr>
              <w:t>对地下水的影响</w:t>
            </w:r>
          </w:p>
          <w:p w14:paraId="3138AD59">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尽管液体在土壤渗漏过程中土壤层吸附会延缓液体的下渗进入地下水，但在长期的作用下，发生渗漏的液体仍可能对地下水造成污染。</w:t>
            </w:r>
          </w:p>
          <w:p w14:paraId="0551D4FA">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本项目勘探周期较短，各类储罐均采取钢制储罐，发生泄漏的概率极小，同时一旦发生泄漏会在较短时间内发现并采取堵漏措施，出现长期连续性泄漏的可能性很低，发生渗漏污染地下水风险事故概率较低。</w:t>
            </w:r>
          </w:p>
          <w:p w14:paraId="15BAB603">
            <w:pPr>
              <w:ind w:firstLine="480"/>
              <w:rPr>
                <w:rFonts w:hint="default" w:ascii="Times New Roman" w:hAnsi="Times New Roman" w:cs="Times New Roman"/>
                <w:bCs/>
                <w:color w:val="000000" w:themeColor="text1"/>
                <w:szCs w:val="21"/>
                <w:lang w:val="zh-CN"/>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④</w:t>
            </w:r>
            <w:r>
              <w:rPr>
                <w:rFonts w:hint="default" w:ascii="Times New Roman" w:hAnsi="Times New Roman" w:cs="Times New Roman"/>
                <w:bCs/>
                <w:color w:val="000000" w:themeColor="text1"/>
                <w:szCs w:val="21"/>
                <w:lang w:val="zh-CN"/>
                <w14:textFill>
                  <w14:solidFill>
                    <w14:schemeClr w14:val="tx1"/>
                  </w14:solidFill>
                </w14:textFill>
              </w:rPr>
              <w:t>对植物影响分析</w:t>
            </w:r>
          </w:p>
          <w:p w14:paraId="5E239D22">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lang w:val="zh-CN"/>
                <w14:textFill>
                  <w14:solidFill>
                    <w14:schemeClr w14:val="tx1"/>
                  </w14:solidFill>
                </w14:textFill>
              </w:rPr>
              <w:t>柴油、采出液等泄漏对植被的影响主要分为三种途径，一是泄漏物直接粘附于植物体阻断植物的光合作用，使植物枯萎、死亡；二是油类物质污染土壤造成的土壤理性化性状变化间接影响植物生长，严重时会导致植物死亡；三是泄漏的油类物质中的轻组分挥发，在对空气环境产生影响的同时，也对周围植物产生影响。发生事故后，及时采取救援措施，不会对周围植被产生明显影响。</w:t>
            </w:r>
          </w:p>
          <w:bookmarkEnd w:id="27"/>
          <w:p w14:paraId="3B80A026">
            <w:pPr>
              <w:pStyle w:val="5"/>
              <w:ind w:firstLine="0" w:firstLineChars="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7.3环境风险评价结论</w:t>
            </w:r>
          </w:p>
          <w:p w14:paraId="08DE4337">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本项目设计中严格执行各种安全标准、规范，采取完善的安全措施，可有效地防止火灾、爆炸、泄漏、井喷等事故的发生。</w:t>
            </w:r>
          </w:p>
          <w:p w14:paraId="54FF4CCA">
            <w:pPr>
              <w:ind w:firstLine="480"/>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本项目的环境风险在可接受范围之内。</w:t>
            </w:r>
          </w:p>
        </w:tc>
      </w:tr>
      <w:tr w14:paraId="6B9224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44" w:hRule="atLeast"/>
          <w:jc w:val="center"/>
        </w:trPr>
        <w:tc>
          <w:tcPr>
            <w:tcW w:w="879" w:type="dxa"/>
            <w:tcMar>
              <w:left w:w="28" w:type="dxa"/>
              <w:right w:w="28" w:type="dxa"/>
            </w:tcMar>
            <w:vAlign w:val="center"/>
          </w:tcPr>
          <w:p w14:paraId="3BBD4CA3">
            <w:pPr>
              <w:pStyle w:val="15"/>
              <w:spacing w:before="0" w:beforeAutospacing="0" w:after="0" w:afterAutospacing="0" w:line="240" w:lineRule="auto"/>
              <w:ind w:firstLine="0" w:firstLineChars="0"/>
              <w:jc w:val="center"/>
              <w:rPr>
                <w:rFonts w:hint="default" w:ascii="Times New Roman" w:hAnsi="Times New Roman" w:cs="Times New Roman"/>
                <w:bCs/>
                <w:color w:val="000000" w:themeColor="text1"/>
                <w:kern w:val="2"/>
                <w14:textFill>
                  <w14:solidFill>
                    <w14:schemeClr w14:val="tx1"/>
                  </w14:solidFill>
                </w14:textFill>
              </w:rPr>
            </w:pPr>
            <w:r>
              <w:rPr>
                <w:rFonts w:hint="default" w:ascii="Times New Roman" w:hAnsi="Times New Roman" w:cs="Times New Roman"/>
                <w:bCs/>
                <w:color w:val="000000" w:themeColor="text1"/>
                <w:spacing w:val="10"/>
                <w:kern w:val="2"/>
                <w14:textFill>
                  <w14:solidFill>
                    <w14:schemeClr w14:val="tx1"/>
                  </w14:solidFill>
                </w14:textFill>
              </w:rPr>
              <w:t>运营期生态环境影响分析</w:t>
            </w:r>
          </w:p>
        </w:tc>
        <w:tc>
          <w:tcPr>
            <w:tcW w:w="8363" w:type="dxa"/>
          </w:tcPr>
          <w:p w14:paraId="76E541FE">
            <w:pPr>
              <w:pStyle w:val="25"/>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拆除井口装置，最后清理场地，清除各种固体废弃物，恢复至相对自然的地貌。封井后，人员撤离，区域内没有了人为的扰动，井场范围内的自然植被会逐渐得以恢复，有助于区域生态环境的改善。</w:t>
            </w:r>
          </w:p>
        </w:tc>
      </w:tr>
      <w:tr w14:paraId="26CBF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1" w:hRule="atLeast"/>
          <w:jc w:val="center"/>
        </w:trPr>
        <w:tc>
          <w:tcPr>
            <w:tcW w:w="879" w:type="dxa"/>
            <w:vAlign w:val="center"/>
          </w:tcPr>
          <w:p w14:paraId="06467EE8">
            <w:pPr>
              <w:pStyle w:val="15"/>
              <w:spacing w:before="0" w:beforeAutospacing="0" w:after="0" w:afterAutospacing="0" w:line="240" w:lineRule="auto"/>
              <w:ind w:firstLine="0" w:firstLineChars="0"/>
              <w:jc w:val="center"/>
              <w:rPr>
                <w:rFonts w:hint="default" w:ascii="Times New Roman" w:hAnsi="Times New Roman" w:cs="Times New Roman"/>
                <w:bCs/>
                <w:color w:val="000000" w:themeColor="text1"/>
                <w:kern w:val="2"/>
                <w14:textFill>
                  <w14:solidFill>
                    <w14:schemeClr w14:val="tx1"/>
                  </w14:solidFill>
                </w14:textFill>
              </w:rPr>
            </w:pPr>
            <w:r>
              <w:rPr>
                <w:rFonts w:hint="default" w:ascii="Times New Roman" w:hAnsi="Times New Roman" w:cs="Times New Roman"/>
                <w:bCs/>
                <w:color w:val="000000" w:themeColor="text1"/>
                <w:kern w:val="2"/>
                <w14:textFill>
                  <w14:solidFill>
                    <w14:schemeClr w14:val="tx1"/>
                  </w14:solidFill>
                </w14:textFill>
              </w:rPr>
              <w:t>选址选线环境合理性分析</w:t>
            </w:r>
          </w:p>
        </w:tc>
        <w:tc>
          <w:tcPr>
            <w:tcW w:w="8363" w:type="dxa"/>
            <w:vAlign w:val="center"/>
          </w:tcPr>
          <w:p w14:paraId="1EE5DB89">
            <w:pPr>
              <w:pStyle w:val="25"/>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根据《钻前工程及井场布置技术要求》（SY/T 5466-2013）中5.1井场布置技术要求“一般油、气井口距民房100m以外”。根据《石油天然气钻井井控技术要求》（GB/T31033-2025）中井控设计要求“油气井井口距高压线及其他永久性设施不小于75m；距居宅不小于100m；距铁路及高速公路不小于200m；距学校、医院、油库、人口密集及高危场所等不小于500m”。本项目各井口均不在铁路、高速公路、国道、省道等重要交通干线两侧200m范围以内，不在重要工业区、大型水利工程设施、城镇市政工程设施所在区域，军事管理区、机场、国防工程设施圈定的区域；也符合《新疆维吾尔自治区重点行业环境准入条件（2024年）》（新环环评发〔2024〕93号）要求。</w:t>
            </w:r>
          </w:p>
          <w:p w14:paraId="7323D329">
            <w:pPr>
              <w:pStyle w:val="25"/>
              <w:jc w:val="both"/>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本项目不在自然保护区、风景名胜区、饮用水水源保护区等特殊敏感区域和重要生态敏感区域内，符合区域经济发展规划、环保规划，无重大环境制约因素。本工程土地利用类型为</w:t>
            </w:r>
            <w:r>
              <w:rPr>
                <w:rFonts w:hint="default" w:ascii="Times New Roman" w:hAnsi="Times New Roman" w:cs="Times New Roman"/>
                <w:color w:val="000000" w:themeColor="text1"/>
                <w:sz w:val="24"/>
                <w:szCs w:val="24"/>
                <w:lang w:val="en-US" w:eastAsia="zh-CN"/>
                <w14:textFill>
                  <w14:solidFill>
                    <w14:schemeClr w14:val="tx1"/>
                  </w14:solidFill>
                </w14:textFill>
              </w:rPr>
              <w:t>灌木林地、</w:t>
            </w:r>
            <w:r>
              <w:rPr>
                <w:rFonts w:hint="default" w:ascii="Times New Roman" w:hAnsi="Times New Roman" w:cs="Times New Roman"/>
                <w:color w:val="000000" w:themeColor="text1"/>
                <w:sz w:val="24"/>
                <w:szCs w:val="24"/>
                <w:lang w:eastAsia="zh-CN"/>
                <w14:textFill>
                  <w14:solidFill>
                    <w14:schemeClr w14:val="tx1"/>
                  </w14:solidFill>
                </w14:textFill>
              </w:rPr>
              <w:t>其他草地、</w:t>
            </w:r>
            <w:r>
              <w:rPr>
                <w:rFonts w:hint="default" w:ascii="Times New Roman" w:hAnsi="Times New Roman" w:cs="Times New Roman"/>
                <w:color w:val="000000" w:themeColor="text1"/>
                <w:sz w:val="24"/>
                <w:szCs w:val="24"/>
                <w:lang w:val="en-US" w:eastAsia="zh-CN"/>
                <w14:textFill>
                  <w14:solidFill>
                    <w14:schemeClr w14:val="tx1"/>
                  </w14:solidFill>
                </w14:textFill>
              </w:rPr>
              <w:t>公路用地</w:t>
            </w:r>
            <w:r>
              <w:rPr>
                <w:rFonts w:hint="default" w:ascii="Times New Roman" w:hAnsi="Times New Roman" w:cs="Times New Roman"/>
                <w:color w:val="000000" w:themeColor="text1"/>
                <w:sz w:val="24"/>
                <w:szCs w:val="24"/>
                <w14:textFill>
                  <w14:solidFill>
                    <w14:schemeClr w14:val="tx1"/>
                  </w14:solidFill>
                </w14:textFill>
              </w:rPr>
              <w:t>，不占用基本农田，不占用公益林，植被覆盖度10</w:t>
            </w:r>
            <w:r>
              <w:rPr>
                <w:rFonts w:hint="default" w:ascii="Times New Roman" w:hAnsi="Times New Roman" w:cs="Times New Roman"/>
                <w:color w:val="000000" w:themeColor="text1"/>
                <w:sz w:val="24"/>
                <w:szCs w:val="24"/>
                <w:lang w:val="en-US" w:eastAsia="zh-CN"/>
                <w14:textFill>
                  <w14:solidFill>
                    <w14:schemeClr w14:val="tx1"/>
                  </w14:solidFill>
                </w14:textFill>
              </w:rPr>
              <w:t>%~15%</w:t>
            </w:r>
            <w:r>
              <w:rPr>
                <w:rFonts w:hint="default" w:ascii="Times New Roman" w:hAnsi="Times New Roman" w:cs="Times New Roman"/>
                <w:color w:val="000000" w:themeColor="text1"/>
                <w:sz w:val="24"/>
                <w:szCs w:val="24"/>
                <w14:textFill>
                  <w14:solidFill>
                    <w14:schemeClr w14:val="tx1"/>
                  </w14:solidFill>
                </w14:textFill>
              </w:rPr>
              <w:t>左右，本项目临时占地面积</w:t>
            </w:r>
            <w:r>
              <w:rPr>
                <w:rFonts w:hint="eastAsia" w:ascii="Times New Roman" w:hAnsi="Times New Roman" w:cs="Times New Roman"/>
                <w:color w:val="000000" w:themeColor="text1"/>
                <w:sz w:val="24"/>
                <w:szCs w:val="24"/>
                <w:lang w:val="en-US" w:eastAsia="zh-CN"/>
                <w14:textFill>
                  <w14:solidFill>
                    <w14:schemeClr w14:val="tx1"/>
                  </w14:solidFill>
                </w14:textFill>
              </w:rPr>
              <w:t>32097</w:t>
            </w:r>
            <w:r>
              <w:rPr>
                <w:rFonts w:hint="default" w:ascii="Times New Roman" w:hAnsi="Times New Roman" w:cs="Times New Roman"/>
                <w:color w:val="000000" w:themeColor="text1"/>
                <w:sz w:val="24"/>
                <w:szCs w:val="24"/>
                <w14:textFill>
                  <w14:solidFill>
                    <w14:schemeClr w14:val="tx1"/>
                  </w14:solidFill>
                </w14:textFill>
              </w:rPr>
              <w:t>m</w:t>
            </w:r>
            <w:r>
              <w:rPr>
                <w:rFonts w:hint="default" w:ascii="Times New Roman" w:hAnsi="Times New Roman" w:cs="Times New Roman"/>
                <w:color w:val="000000" w:themeColor="text1"/>
                <w:sz w:val="24"/>
                <w:szCs w:val="24"/>
                <w:vertAlign w:val="superscript"/>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，本项目</w:t>
            </w:r>
            <w:r>
              <w:rPr>
                <w:rFonts w:hint="default" w:ascii="Times New Roman" w:hAnsi="Times New Roman" w:cs="Times New Roman"/>
                <w:color w:val="000000" w:themeColor="text1"/>
                <w:kern w:val="0"/>
                <w:sz w:val="24"/>
                <w:szCs w:val="24"/>
                <w:lang w:bidi="ar"/>
                <w14:textFill>
                  <w14:solidFill>
                    <w14:schemeClr w14:val="tx1"/>
                  </w14:solidFill>
                </w14:textFill>
              </w:rPr>
              <w:t>征地手续还在办理中，</w:t>
            </w:r>
            <w:r>
              <w:rPr>
                <w:rFonts w:hint="default" w:ascii="Times New Roman" w:hAnsi="Times New Roman" w:cs="Times New Roman"/>
                <w:color w:val="000000" w:themeColor="text1"/>
                <w:sz w:val="24"/>
                <w:szCs w:val="24"/>
                <w14:textFill>
                  <w14:solidFill>
                    <w14:schemeClr w14:val="tx1"/>
                  </w14:solidFill>
                </w14:textFill>
              </w:rPr>
              <w:t>土壤扰动面积控制在临时占地面积范围内，项目周边已有建成道路，本项目临时道路建设路段较短，对项目区的生态影响呈点状分布，仅影响井场占地范围内土壤、植被等。本工程钻井结束后对临时占地进行地貌恢复，工程造成的生物量损失较小。</w:t>
            </w:r>
          </w:p>
          <w:p w14:paraId="49055DE0">
            <w:pPr>
              <w:pStyle w:val="25"/>
              <w:jc w:val="both"/>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综上，本项目选址选线是合理的。</w:t>
            </w:r>
          </w:p>
        </w:tc>
      </w:tr>
    </w:tbl>
    <w:p w14:paraId="357325B4">
      <w:pPr>
        <w:pStyle w:val="15"/>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1906" w:h="16838"/>
          <w:pgMar w:top="1701" w:right="1531" w:bottom="1701" w:left="1531" w:header="851" w:footer="1077" w:gutter="0"/>
          <w:cols w:space="720" w:num="1"/>
          <w:docGrid w:linePitch="312" w:charSpace="0"/>
        </w:sectPr>
      </w:pPr>
    </w:p>
    <w:p w14:paraId="5128ED1F">
      <w:pPr>
        <w:pStyle w:val="15"/>
        <w:spacing w:before="0" w:beforeAutospacing="0" w:after="0" w:afterAutospacing="0" w:line="14" w:lineRule="auto"/>
        <w:ind w:firstLine="600"/>
        <w:jc w:val="center"/>
        <w:rPr>
          <w:rFonts w:hint="default" w:ascii="Times New Roman" w:hAnsi="Times New Roman" w:eastAsia="黑体" w:cs="Times New Roman"/>
          <w:snapToGrid w:val="0"/>
          <w:color w:val="000000" w:themeColor="text1"/>
          <w:sz w:val="30"/>
          <w:szCs w:val="30"/>
          <w14:textFill>
            <w14:solidFill>
              <w14:schemeClr w14:val="tx1"/>
            </w14:solidFill>
          </w14:textFill>
        </w:rPr>
      </w:pPr>
    </w:p>
    <w:p w14:paraId="248AEBAF">
      <w:pPr>
        <w:pStyle w:val="15"/>
        <w:adjustRightInd/>
        <w:snapToGrid/>
        <w:spacing w:line="240" w:lineRule="auto"/>
        <w:ind w:firstLine="0" w:firstLineChars="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五、主要生态环境保护措施</w:t>
      </w:r>
    </w:p>
    <w:tbl>
      <w:tblPr>
        <w:tblStyle w:val="16"/>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57"/>
      </w:tblGrid>
      <w:tr w14:paraId="30869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753" w:type="dxa"/>
            <w:tcMar>
              <w:left w:w="28" w:type="dxa"/>
              <w:right w:w="28" w:type="dxa"/>
            </w:tcMar>
            <w:vAlign w:val="center"/>
          </w:tcPr>
          <w:p w14:paraId="5CFD23A5">
            <w:pPr>
              <w:spacing w:line="240" w:lineRule="auto"/>
              <w:ind w:firstLine="0" w:firstLineChars="0"/>
              <w:jc w:val="center"/>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施工期生态环境保护措施</w:t>
            </w:r>
          </w:p>
        </w:tc>
        <w:tc>
          <w:tcPr>
            <w:tcW w:w="8457" w:type="dxa"/>
          </w:tcPr>
          <w:p w14:paraId="20BDDE46">
            <w:pPr>
              <w:keepNext/>
              <w:keepLines/>
              <w:ind w:firstLine="0" w:firstLineChars="0"/>
              <w:jc w:val="left"/>
              <w:outlineLvl w:val="2"/>
              <w:rPr>
                <w:rFonts w:hint="default" w:ascii="Times New Roman" w:hAnsi="Times New Roman" w:cs="Times New Roman"/>
                <w:b/>
                <w:bCs/>
                <w:color w:val="000000" w:themeColor="text1"/>
                <w:sz w:val="28"/>
                <w:szCs w:val="28"/>
                <w14:textFill>
                  <w14:solidFill>
                    <w14:schemeClr w14:val="tx1"/>
                  </w14:solidFill>
                </w14:textFill>
              </w:rPr>
            </w:pPr>
            <w:bookmarkStart w:id="28" w:name="_Hlk26201142"/>
            <w:r>
              <w:rPr>
                <w:rFonts w:hint="default" w:ascii="Times New Roman" w:hAnsi="Times New Roman" w:cs="Times New Roman"/>
                <w:b/>
                <w:bCs/>
                <w:color w:val="000000" w:themeColor="text1"/>
                <w:sz w:val="28"/>
                <w:szCs w:val="28"/>
                <w14:textFill>
                  <w14:solidFill>
                    <w14:schemeClr w14:val="tx1"/>
                  </w14:solidFill>
                </w14:textFill>
              </w:rPr>
              <w:t>1生态环境保护措施</w:t>
            </w:r>
          </w:p>
          <w:p w14:paraId="4F030570">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1.1生态保护措施</w:t>
            </w:r>
          </w:p>
          <w:p w14:paraId="66CCFEEF">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生态恢复与补偿措施主要依靠植被自然恢复的方式进行，重点是防止因工程建设造成的水土流失和风蚀沙化。</w:t>
            </w:r>
          </w:p>
          <w:p w14:paraId="3F9CD5FF">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（1）工程避让措施</w:t>
            </w:r>
          </w:p>
          <w:p w14:paraId="3D9091F7">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建设单位在设计阶段应严格控制临时占地面积。尽量减少占地，并尽量避开植被密集的区域，避免破坏荒漠植物，最大限度避免破坏野生动物的活动场所和生存环境。</w:t>
            </w:r>
          </w:p>
          <w:p w14:paraId="302225B0">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（2）井场、道路、施工营地临时占地保护措施要求</w:t>
            </w:r>
          </w:p>
          <w:p w14:paraId="556AEC42">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 1 \* GB3 \* MERGEFORMAT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①</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临时性占地进行合理规划，严格控制占地面积，尽量选择在植被稀少的区域。</w:t>
            </w:r>
          </w:p>
          <w:p w14:paraId="62E127D5">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 2 \* GB3 \* MERGEFORMAT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②</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t>本项目临时占地期满后，占地单位需对临时占地进行清理，拆除临时建筑物，清除废弃材料，结合地形恢复场地并平整土地，做到工完料净场地清。</w:t>
            </w:r>
          </w:p>
          <w:p w14:paraId="4C466FFD">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（3）对植物的生态保护措施要求</w:t>
            </w:r>
          </w:p>
          <w:p w14:paraId="518E232E">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①避让：设计选线过程中，避开植被较丰富的区域，避免破坏荒漠植物。</w:t>
            </w:r>
          </w:p>
          <w:p w14:paraId="329EECD2">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②减缓：严格遵守油田环境保护规章制度，严格划定车辆行驶路线及临时道路开拓路线，运输车辆应结合</w:t>
            </w:r>
            <w:r>
              <w:rPr>
                <w:rFonts w:hint="default" w:ascii="Times New Roman" w:hAnsi="Times New Roman" w:cs="Times New Roman"/>
                <w:color w:val="000000" w:themeColor="text1"/>
                <w:sz w:val="24"/>
                <w:szCs w:val="24"/>
                <w:lang w:val="en-US" w:eastAsia="zh-CN"/>
                <w14:textFill>
                  <w14:solidFill>
                    <w14:schemeClr w14:val="tx1"/>
                  </w14:solidFill>
                </w14:textFill>
              </w:rPr>
              <w:t>植被</w:t>
            </w:r>
            <w:r>
              <w:rPr>
                <w:rFonts w:hint="default" w:ascii="Times New Roman" w:hAnsi="Times New Roman" w:cs="Times New Roman"/>
                <w:color w:val="000000" w:themeColor="text1"/>
                <w:sz w:val="24"/>
                <w:szCs w:val="24"/>
                <w14:textFill>
                  <w14:solidFill>
                    <w14:schemeClr w14:val="tx1"/>
                  </w14:solidFill>
                </w14:textFill>
              </w:rPr>
              <w:t>的分布情况，在限定的路线范围内</w:t>
            </w:r>
            <w:r>
              <w:rPr>
                <w:rFonts w:hint="eastAsia" w:ascii="Times New Roman" w:hAnsi="Times New Roman" w:cs="Times New Roman"/>
                <w:color w:val="000000" w:themeColor="text1"/>
                <w:sz w:val="24"/>
                <w:szCs w:val="24"/>
                <w:lang w:eastAsia="zh-CN"/>
                <w14:textFill>
                  <w14:solidFill>
                    <w14:schemeClr w14:val="tx1"/>
                  </w14:solidFill>
                </w14:textFill>
              </w:rPr>
              <w:t>行驶</w:t>
            </w:r>
            <w:r>
              <w:rPr>
                <w:rFonts w:hint="default" w:ascii="Times New Roman" w:hAnsi="Times New Roman" w:cs="Times New Roman"/>
                <w:color w:val="000000" w:themeColor="text1"/>
                <w:sz w:val="24"/>
                <w:szCs w:val="24"/>
                <w14:textFill>
                  <w14:solidFill>
                    <w14:schemeClr w14:val="tx1"/>
                  </w14:solidFill>
                </w14:textFill>
              </w:rPr>
              <w:t>，禁止乱碾乱轧；严格规定各类工作人员的活动范围，使之限于在各工区范围内活动。各固体废物均得到妥善处置，现场禁止遗留任何固体废物，占地清理平整，尽量利用井场及临时道路施工时产生的表层弃土对临时占地进行恢复覆盖，覆盖厚度根据植被恢复类型和场地用途决定。</w:t>
            </w:r>
          </w:p>
          <w:p w14:paraId="1E74509C">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③补偿：本项目施工前，应向当地相关主管部门办理征地手续，按照相关法律法规进行补偿。</w:t>
            </w:r>
          </w:p>
          <w:p w14:paraId="10DC9684">
            <w:pPr>
              <w:adjustRightInd/>
              <w:snapToGrid/>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④强化风险意识：确保各环保设施正常运行，污水进罐、落地油回收、固体废物收集，避免各种污染物对土壤环境的影响从而进一步影响其上部生长的沙生植被。加强对施工人员和职工的教育，强化保护野生植物的观念，不得随意踩踏野生植物。制定切实可行的风险防范与应急预案，最大限度降低风险概率，避免可能发生的泄漏事故对荒漠野生植物生存环境造成威胁。</w:t>
            </w:r>
          </w:p>
          <w:p w14:paraId="3C7E7801">
            <w:pPr>
              <w:adjustRightInd/>
              <w:snapToGrid/>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（4）对</w:t>
            </w:r>
            <w:r>
              <w:rPr>
                <w:rFonts w:hint="default" w:ascii="Times New Roman" w:hAnsi="Times New Roman" w:cs="Times New Roman"/>
                <w:color w:val="000000" w:themeColor="text1"/>
                <w:sz w:val="24"/>
                <w:szCs w:val="24"/>
                <w:lang w:val="en-US" w:eastAsia="zh-CN"/>
                <w14:textFill>
                  <w14:solidFill>
                    <w14:schemeClr w14:val="tx1"/>
                  </w14:solidFill>
                </w14:textFill>
              </w:rPr>
              <w:t>其他</w:t>
            </w:r>
            <w:r>
              <w:rPr>
                <w:rFonts w:hint="default" w:ascii="Times New Roman" w:hAnsi="Times New Roman" w:cs="Times New Roman"/>
                <w:color w:val="000000" w:themeColor="text1"/>
                <w:sz w:val="24"/>
                <w:szCs w:val="24"/>
                <w14:textFill>
                  <w14:solidFill>
                    <w14:schemeClr w14:val="tx1"/>
                  </w14:solidFill>
                </w14:textFill>
              </w:rPr>
              <w:t>草地的生态保护措施要求</w:t>
            </w:r>
          </w:p>
          <w:p w14:paraId="05C3282D">
            <w:pPr>
              <w:adjustRightInd/>
              <w:snapToGrid/>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项目占地及周边为</w:t>
            </w:r>
            <w:r>
              <w:rPr>
                <w:rFonts w:hint="default" w:ascii="Times New Roman" w:hAnsi="Times New Roman" w:cs="Times New Roman"/>
                <w:color w:val="000000" w:themeColor="text1"/>
                <w:sz w:val="24"/>
                <w:szCs w:val="24"/>
                <w:lang w:val="en-US" w:eastAsia="zh-CN"/>
                <w14:textFill>
                  <w14:solidFill>
                    <w14:schemeClr w14:val="tx1"/>
                  </w14:solidFill>
                </w14:textFill>
              </w:rPr>
              <w:t>其他</w:t>
            </w:r>
            <w:r>
              <w:rPr>
                <w:rFonts w:hint="default" w:ascii="Times New Roman" w:hAnsi="Times New Roman" w:cs="Times New Roman"/>
                <w:color w:val="000000" w:themeColor="text1"/>
                <w:sz w:val="24"/>
                <w:szCs w:val="24"/>
                <w14:textFill>
                  <w14:solidFill>
                    <w14:schemeClr w14:val="tx1"/>
                  </w14:solidFill>
                </w14:textFill>
              </w:rPr>
              <w:t>草地，不占用基本草原，井场位置无法避让，征地手续需要先做环评才能办理，环评阶段结束后建设单位按塔城地区要求办理相关征地手续，按照相关法律法规进行补偿和恢复。本项目钻井结束后对临时占地进行地貌恢复，工程造成的生物量损失较小。</w:t>
            </w:r>
          </w:p>
          <w:p w14:paraId="54935462">
            <w:pPr>
              <w:adjustRightInd/>
              <w:snapToGrid/>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环评要求施工单位严格控制施工范围，禁止机械车辆及施工人员进入施工范围外天然牧草地，确保各环保设施正常运行，避免各种污染物对土壤环境的影响，并进一步影响天然牧草地。强化风险意识，制定切实可行的风险防范与应急预案，最大限度降低风险概率，避免事故泄漏和火灾爆炸事故可能对天然牧草地的破坏。</w:t>
            </w:r>
          </w:p>
          <w:p w14:paraId="721363BB">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（5）对</w:t>
            </w:r>
            <w:r>
              <w:rPr>
                <w:rFonts w:hint="default" w:ascii="Times New Roman" w:hAnsi="Times New Roman" w:cs="Times New Roman"/>
                <w:color w:val="000000" w:themeColor="text1"/>
                <w:lang w:val="en-US" w:eastAsia="zh-CN"/>
                <w14:textFill>
                  <w14:solidFill>
                    <w14:schemeClr w14:val="tx1"/>
                  </w14:solidFill>
                </w14:textFill>
              </w:rPr>
              <w:t>灌木林地</w:t>
            </w:r>
            <w:r>
              <w:rPr>
                <w:rFonts w:hint="default" w:ascii="Times New Roman" w:hAnsi="Times New Roman" w:cs="Times New Roman"/>
                <w:color w:val="000000" w:themeColor="text1"/>
                <w14:textFill>
                  <w14:solidFill>
                    <w14:schemeClr w14:val="tx1"/>
                  </w14:solidFill>
                </w14:textFill>
              </w:rPr>
              <w:t>的生态保护措施</w:t>
            </w:r>
          </w:p>
          <w:p w14:paraId="7CF00CA0">
            <w:pPr>
              <w:ind w:firstLine="48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①严格控制钻井和油气测试作业的占地面积，作业区四周设置彩带控制作业范围。</w:t>
            </w:r>
          </w:p>
          <w:p w14:paraId="38D72A43">
            <w:pPr>
              <w:ind w:firstLine="48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②钻井油气测试作业结束后，对井场、临时道路进行清理、平整，地貌恢复。</w:t>
            </w:r>
          </w:p>
          <w:p w14:paraId="745C7FD7">
            <w:pPr>
              <w:ind w:firstLine="48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③本项目钻井、施工前，应向当地相关主管部门办理征地手续，按照相关法律法规进行补偿和恢复。在征地手续办理完成前，本项目不得开工建设。</w:t>
            </w:r>
          </w:p>
          <w:p w14:paraId="3D2D0D4D">
            <w:pPr>
              <w:ind w:firstLine="48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④施工过程中注意保护土壤成分和结构。施工结束后应对临时占地内地貌进行恢复，尽可能保持植物原有的生存环境，以利于植被恢复。</w:t>
            </w:r>
          </w:p>
          <w:p w14:paraId="1E06499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⑤施工结束后开展土地复垦工作。</w:t>
            </w:r>
          </w:p>
          <w:p w14:paraId="53363581">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（6）对野生动物的生态环保措施</w:t>
            </w:r>
          </w:p>
          <w:p w14:paraId="7BA7126D">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工程设计选线过程中，最大限度避免破坏野生动物的活动场所和生存环境。为了更好的保护野生动物，建设单位在项目实施过程中要严格规定工作人员的活动范围，使之限于在施工作业带范围内活动，尽量不侵扰野生动物的栖息地。对施工人员开展保护野生动物宣传教育工作，强化保护野生动物的观念，禁止施工人员随意惊吓、捕猎、宰杀野生动物。设置“保护野生动植物”等警示牌。加强管理，确保各生产设施的正常运行，避免强噪声环境的出现，避免对野生动物的惊扰。</w:t>
            </w:r>
          </w:p>
          <w:p w14:paraId="1A7AB04C">
            <w:pPr>
              <w:ind w:firstLine="0" w:firstLineChars="0"/>
              <w:jc w:val="left"/>
              <w:outlineLvl w:val="2"/>
              <w:rPr>
                <w:rFonts w:hint="default" w:ascii="Times New Roman" w:hAnsi="Times New Roman" w:cs="Times New Roman"/>
                <w:b/>
                <w:bCs/>
                <w:color w:val="000000" w:themeColor="text1"/>
                <w:szCs w:val="32"/>
                <w14:textFill>
                  <w14:solidFill>
                    <w14:schemeClr w14:val="tx1"/>
                  </w14:solidFill>
                </w14:textFill>
              </w:rPr>
            </w:pPr>
            <w:r>
              <w:rPr>
                <w:rFonts w:hint="default" w:ascii="Times New Roman" w:hAnsi="Times New Roman" w:cs="Times New Roman"/>
                <w:b/>
                <w:bCs/>
                <w:color w:val="000000" w:themeColor="text1"/>
                <w:szCs w:val="32"/>
                <w14:textFill>
                  <w14:solidFill>
                    <w14:schemeClr w14:val="tx1"/>
                  </w14:solidFill>
                </w14:textFill>
              </w:rPr>
              <w:t>1.2生态恢复方案</w:t>
            </w:r>
          </w:p>
          <w:p w14:paraId="03BDAD7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根据《矿山生态环境保护与恢复治理技术规范（试行）》</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HJ651-2013</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、《废弃井封井回填技术指南（试行）》和《陆上石油天然气开采业绿色矿山建设规范》（DZ/T0317-2018）中的要求，所有施工范围需进行生态环境保护与恢复治理，因此提出如下生态恢复措施。</w:t>
            </w:r>
          </w:p>
          <w:p w14:paraId="61AD925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（1）井场生态恢复措施</w:t>
            </w:r>
          </w:p>
          <w:p w14:paraId="624B444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①钻试结束后施工现场禁止遗弃废物，固体废物全部回收，平整井场。</w:t>
            </w:r>
          </w:p>
          <w:p w14:paraId="758B033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②在工程施工过程中和施工结束后，及时对施工场地进行平整，尽量利用井场及临时道路施工时产生的表层土对临时占地进行覆盖。</w:t>
            </w:r>
          </w:p>
          <w:p w14:paraId="177C3F4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③勘探井试油结束后，若试油报废，则该井需封井，并进行地表及恢复工作。根据《废弃井封井回填技术指南（试行）》《矿山生态环境保护与恢复治理技术规范（试行）</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HJ 651-2013</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》《陆上石油天然气开采业绿色矿山建设规范（DZ/T0317-2018）》《废弃井及长停井处置指南》（SY/T6646-2017）中相关要求，采取的生态恢复措施及要求如下：</w:t>
            </w:r>
          </w:p>
          <w:p w14:paraId="69C822D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——闭井后要拆除井架、井台，并对井场土地进行平整，清除地面上残留的污染物等。</w:t>
            </w:r>
          </w:p>
          <w:p w14:paraId="5C8D2F84">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不要求留存井口的钻井应在封填后按相关规定恢复地貌，并视情况设置标识。要求留存井口的钻井在封填后保留井口套管头，并设置相应的保护装置。保证对钻井采取的固井、封井措施有效可行，防止其发生油水层窜层，产生二次污染。</w:t>
            </w:r>
          </w:p>
          <w:p w14:paraId="0DB472D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——采用正确的封堵方式，能够保证封堵效果，从而将永久性地阻止流体在井内运移。</w:t>
            </w:r>
          </w:p>
          <w:p w14:paraId="6A178C88">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——做好封堵施工作业记录，按照管理机构要求的格式以永久性文件存档，保存在永久性的井史文件中。</w:t>
            </w:r>
          </w:p>
          <w:p w14:paraId="2B97006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④建立环境管理机构，配备专职或兼职环保管理人员；制定相关环境管理规定；加强环境检查，发现问题及时解决、纠正，加强宣传教育。</w:t>
            </w:r>
          </w:p>
          <w:p w14:paraId="56847207">
            <w:pPr>
              <w:adjustRightInd/>
              <w:snapToGrid/>
              <w:ind w:firstLine="480"/>
              <w:rPr>
                <w:rFonts w:hint="default" w:ascii="Times New Roman" w:hAnsi="Times New Roman" w:cs="Times New Roman"/>
                <w:color w:val="000000" w:themeColor="text1"/>
                <w:szCs w:val="22"/>
                <w14:textFill>
                  <w14:solidFill>
                    <w14:schemeClr w14:val="tx1"/>
                  </w14:solidFill>
                </w14:textFill>
              </w:rPr>
            </w:pPr>
            <w:r>
              <w:rPr>
                <w:rFonts w:hint="default" w:ascii="Times New Roman" w:hAnsi="Times New Roman" w:cs="Times New Roman"/>
                <w:color w:val="000000" w:themeColor="text1"/>
                <w:szCs w:val="22"/>
                <w14:textFill>
                  <w14:solidFill>
                    <w14:schemeClr w14:val="tx1"/>
                  </w14:solidFill>
                </w14:textFill>
              </w:rPr>
              <w:t>（2）道路及生活营地生态恢复措施</w:t>
            </w:r>
          </w:p>
          <w:p w14:paraId="4BAEB572">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本项目工程结束后，</w:t>
            </w:r>
            <w:r>
              <w:rPr>
                <w:rFonts w:hint="default" w:ascii="Times New Roman" w:hAnsi="Times New Roman" w:cs="Times New Roman"/>
                <w:color w:val="000000" w:themeColor="text1"/>
                <w:szCs w:val="21"/>
                <w14:textFill>
                  <w14:solidFill>
                    <w14:schemeClr w14:val="tx1"/>
                  </w14:solidFill>
                </w14:textFill>
              </w:rPr>
              <w:t>若转为生产井，临时道路保留，</w:t>
            </w:r>
            <w:r>
              <w:rPr>
                <w:rFonts w:hint="default" w:ascii="Times New Roman" w:hAnsi="Times New Roman" w:cs="Times New Roman"/>
                <w:color w:val="000000" w:themeColor="text1"/>
                <w14:textFill>
                  <w14:solidFill>
                    <w14:schemeClr w14:val="tx1"/>
                  </w14:solidFill>
                </w14:textFill>
              </w:rPr>
              <w:t>生活营地占地进行清理平整，恢复原有地貌</w:t>
            </w:r>
            <w:r>
              <w:rPr>
                <w:rFonts w:hint="default" w:ascii="Times New Roman" w:hAnsi="Times New Roman" w:cs="Times New Roman"/>
                <w:color w:val="000000" w:themeColor="text1"/>
                <w:szCs w:val="21"/>
                <w14:textFill>
                  <w14:solidFill>
                    <w14:schemeClr w14:val="tx1"/>
                  </w14:solidFill>
                </w14:textFill>
              </w:rPr>
              <w:t>；若不具开发价值，</w:t>
            </w:r>
            <w:r>
              <w:rPr>
                <w:rFonts w:hint="default" w:ascii="Times New Roman" w:hAnsi="Times New Roman" w:cs="Times New Roman"/>
                <w:color w:val="000000" w:themeColor="text1"/>
                <w14:textFill>
                  <w14:solidFill>
                    <w14:schemeClr w14:val="tx1"/>
                  </w14:solidFill>
                </w14:textFill>
              </w:rPr>
              <w:t>对临时道路和生活营地占地进行清理平整，恢复原有地貌</w:t>
            </w:r>
            <w:r>
              <w:rPr>
                <w:rFonts w:hint="default" w:ascii="Times New Roman" w:hAnsi="Times New Roman" w:cs="Times New Roman"/>
                <w:color w:val="000000" w:themeColor="text1"/>
                <w:kern w:val="0"/>
                <w14:textFill>
                  <w14:solidFill>
                    <w14:schemeClr w14:val="tx1"/>
                  </w14:solidFill>
                </w14:textFill>
              </w:rPr>
              <w:t>。</w:t>
            </w:r>
          </w:p>
          <w:p w14:paraId="3FDE580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采取上述措施，项目施工过程中对周围生态环境的破坏可降低至可接受水平。</w:t>
            </w:r>
          </w:p>
          <w:p w14:paraId="55AB8E6D">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1.3水土流失防治措施</w:t>
            </w:r>
          </w:p>
          <w:p w14:paraId="3880777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施工时，首先要特别注意保护地表与植被，划定施工活动范围，严格控制和管理车辆及重型机械的行驶范围，所有车辆采用“一”字形作业法，避免并行开辟新路，以减少风蚀沙化活动的范围；施工中严格按照施工占地要求，划定适宜的堆料场。路基修筑开挖等作业避免在大风天施工；严格按规划的施工范围进行施工作业，不得随意开辟施工便道。施工车辆不得随意驶离便道。施工后期，及时做好施工后期的迹地恢复工作，包括土地平整，创造局部小环境以利于植被的恢复等。建设单位在保证做到以上措施的情况下，对防止风沙流动、促进生态环境的恢复会起到良好作用，可将水土流失的程度降低到最低限度。</w:t>
            </w:r>
          </w:p>
          <w:p w14:paraId="493A2F38">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1.4防沙治沙措施</w:t>
            </w:r>
          </w:p>
          <w:p w14:paraId="28E315CB">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本环评要求建设单位及施工人员严格按照《新疆维吾尔自治区实施〈中华人民共和国防沙治沙法〉办法》中有关规定执行防沙治沙措施：</w:t>
            </w:r>
          </w:p>
          <w:p w14:paraId="7760F4A3">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（1）项目在实施过程中，不得随意碾压固沙植被，禁止在沙化土地上砍挖灌木及其他固沙植物。</w:t>
            </w:r>
          </w:p>
          <w:p w14:paraId="615F0A7A">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（2）项目施工扰动范围控制在施工范围内，严格控制占地面积。</w:t>
            </w:r>
          </w:p>
          <w:p w14:paraId="3F0D47C3">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（3）严格划定车辆行驶路线及临时道路开辟路线，运输车辆及勘探车辆在规定路线范围内行驶，禁止乱碾乱轧。</w:t>
            </w:r>
          </w:p>
          <w:p w14:paraId="1C90203A">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（4）优化施工组织，尽量缩短施工时间，减少土地裸露时间，避免在大风天气进行产生扬尘的作业，以免造成土壤风蚀影响。</w:t>
            </w:r>
          </w:p>
          <w:p w14:paraId="4F57ED67">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（5）逸散性材料运输采用苫布遮盖，减少施工扬尘产生。</w:t>
            </w:r>
          </w:p>
          <w:p w14:paraId="6A7102E8">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（6）施工结</w:t>
            </w:r>
            <w:r>
              <w:rPr>
                <w:rFonts w:hint="eastAsia" w:cs="Times New Roman"/>
                <w:color w:val="000000" w:themeColor="text1"/>
                <w:lang w:eastAsia="zh-CN"/>
                <w14:textFill>
                  <w14:solidFill>
                    <w14:schemeClr w14:val="tx1"/>
                  </w14:solidFill>
                </w14:textFill>
              </w:rPr>
              <w:t>束后</w:t>
            </w:r>
            <w:r>
              <w:rPr>
                <w:rFonts w:hint="default" w:ascii="Times New Roman" w:hAnsi="Times New Roman" w:cs="Times New Roman"/>
                <w:color w:val="000000" w:themeColor="text1"/>
                <w14:textFill>
                  <w14:solidFill>
                    <w14:schemeClr w14:val="tx1"/>
                  </w14:solidFill>
                </w14:textFill>
              </w:rPr>
              <w:t>，将施工临时占地范围进行清理、平整、自然恢复。</w:t>
            </w:r>
          </w:p>
          <w:p w14:paraId="6E9F5C07">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（7）大力宣传《中华人民共和国防沙治沙法》，使施工人员知法、懂法、守法，自觉保护区域植被，自觉履行防治义务。加强对施工人员和职工的教育，强化保护野生植物的观念，不得随意踩踏野生植物。</w:t>
            </w:r>
          </w:p>
          <w:p w14:paraId="3AF3DFF4">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（8）土地临时使用过程中发现土地沙化或者沙化程度加重的，应当及时报告当地人民政府。</w:t>
            </w:r>
          </w:p>
          <w:p w14:paraId="4ADE78DF">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通过采取上述措施，可将项目建设对所在区域土壤环境造成的水土流失和沙化影响降至可接受水平。</w:t>
            </w:r>
          </w:p>
          <w:p w14:paraId="0F88213E">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2大气污染防治措施</w:t>
            </w:r>
          </w:p>
          <w:bookmarkEnd w:id="28"/>
          <w:p w14:paraId="4775B14F">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（1）应合理规划、选择最短的工区道路运输路线，尽量利用油田现有公路网络；其次是对使用频繁的道路路面进行洒水处理；运输车辆进入施工区域，应以中、低速行驶（速度＜40km/h）。</w:t>
            </w:r>
          </w:p>
          <w:p w14:paraId="6173F2D2">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（2）井场设备的放置进行合理优化，尽可能少占土地，对工作区域外的场地严禁车辆和人员进入、占用，避免破坏植被和造成土地松动；作业场地保持一定湿度，进出车辆严格限速，装卸器材文明作业。</w:t>
            </w:r>
          </w:p>
          <w:p w14:paraId="4B81030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对钻机、柴油发电机等设备进行维护，对柴油发电机进行污染物排放检测，确保其污染物排放达到《非道路移动机械用柴油机排气污染物排放限值及测量方法（中国第三、四阶段）》（GB20891-2014）中的标准要求。</w:t>
            </w:r>
          </w:p>
          <w:p w14:paraId="703AD21B">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（4）禁止焚烧原油、废油品及各类废弃物。</w:t>
            </w:r>
          </w:p>
          <w:p w14:paraId="4E097EC6">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（5）钻井材料集中堆放，下垫上盖。</w:t>
            </w:r>
          </w:p>
          <w:p w14:paraId="5F31003E">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试油期对各井场的设备、阀门等进行检查、检修，以减少跑、冒、滴、漏的发生，消除事故隐患，防止油气泄漏进入大气环境。一旦发生泄漏事故，紧急切断油、气源，从而最大限度地减少烃类及油的排放量。</w:t>
            </w:r>
          </w:p>
          <w:p w14:paraId="64B5F49D">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（7）试油期需严格控制挥发性有机气体的储存、装卸损失，采出液装卸必须采取密闭底部装载、顶部浸没式装载等方式，装卸过程采取油气回收措施，使用具有油气回收接口的车辆。</w:t>
            </w:r>
          </w:p>
          <w:p w14:paraId="373D2DC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（8）试油期产生的伴生气燃烧放散。</w:t>
            </w:r>
          </w:p>
          <w:p w14:paraId="2D241536">
            <w:pPr>
              <w:pStyle w:val="4"/>
              <w:ind w:firstLine="0" w:firstLineChars="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3水污染防治措施</w:t>
            </w:r>
          </w:p>
          <w:p w14:paraId="36F059B9">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（1）钻井过程保护措施：钻井过程采用套管与地层隔离开，并在套管与地层之间注入水泥进行固井，封隔疏松地层和水层，施工过程严格按《固井作业规程 第2部分：特殊固井》</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SY/T5374.2-20</w:t>
            </w:r>
            <w:r>
              <w:rPr>
                <w:rFonts w:hint="eastAsia" w:cs="Times New Roman"/>
                <w:color w:val="000000" w:themeColor="text1"/>
                <w:lang w:val="en-US" w:eastAsia="zh-CN"/>
                <w14:textFill>
                  <w14:solidFill>
                    <w14:schemeClr w14:val="tx1"/>
                  </w14:solidFill>
                </w14:textFill>
              </w:rPr>
              <w:t>2323</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中内管法注水泥要求进行施工，专业下套管作业队进行下套管作业，在套管的保护下能有效地保护地下水。钻井时严格落实套管下入深度合格、固井质量合格。</w:t>
            </w:r>
          </w:p>
          <w:p w14:paraId="77BAF5D1">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（2）试油废水严禁直接外排，井场采用专用废液收集罐收集后运至</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采出水处理系统处理。</w:t>
            </w:r>
          </w:p>
          <w:p w14:paraId="72E7BBCD">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（3）施工期间钻井井场内的柴油机、发电机房、岩屑罐区等重要设施与地表接触面均采用防渗膜防渗。</w:t>
            </w:r>
          </w:p>
          <w:p w14:paraId="1E95CDB4">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（4）整个钻井作业按规章操作，</w:t>
            </w:r>
            <w:r>
              <w:rPr>
                <w:rFonts w:hint="eastAsia" w:cs="Times New Roman"/>
                <w:color w:val="000000" w:themeColor="text1"/>
                <w:lang w:eastAsia="zh-CN"/>
                <w14:textFill>
                  <w14:solidFill>
                    <w14:schemeClr w14:val="tx1"/>
                  </w14:solidFill>
                </w14:textFill>
              </w:rPr>
              <w:t>尽量避免</w:t>
            </w:r>
            <w:r>
              <w:rPr>
                <w:rFonts w:hint="default" w:ascii="Times New Roman" w:hAnsi="Times New Roman" w:cs="Times New Roman"/>
                <w:color w:val="000000" w:themeColor="text1"/>
                <w14:textFill>
                  <w14:solidFill>
                    <w14:schemeClr w14:val="tx1"/>
                  </w14:solidFill>
                </w14:textFill>
              </w:rPr>
              <w:t>因压力激增和开泵过猛使泥浆泵入地层污染地下水；钻井过程中采取泥浆监测，一旦发现漏失采取及时堵漏等措施，既能满足工程要求，又可减少对地下水的影响。</w:t>
            </w:r>
          </w:p>
          <w:p w14:paraId="0D384C7A">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（5）生活营地设临时储集池（具备防渗）用于收集生活污水，收集后运至乌尔禾污水处理厂处置，项目区内禁止泼洒生活污水，不会对周围环境产生不利影响。</w:t>
            </w:r>
          </w:p>
          <w:p w14:paraId="7CC8F149">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（6）地下水保护措施：对井场进行分区防渗，</w:t>
            </w:r>
            <w:r>
              <w:rPr>
                <w:rFonts w:hint="default" w:ascii="Times New Roman" w:hAnsi="Times New Roman" w:cs="Times New Roman"/>
                <w:color w:val="000000" w:themeColor="text1"/>
                <w:lang w:val="en-US" w:eastAsia="zh-CN"/>
                <w14:textFill>
                  <w14:solidFill>
                    <w14:schemeClr w14:val="tx1"/>
                  </w14:solidFill>
                </w14:textFill>
              </w:rPr>
              <w:t>重点</w:t>
            </w:r>
            <w:r>
              <w:rPr>
                <w:rFonts w:hint="default" w:ascii="Times New Roman" w:hAnsi="Times New Roman" w:cs="Times New Roman"/>
                <w:color w:val="000000" w:themeColor="text1"/>
                <w14:textFill>
                  <w14:solidFill>
                    <w14:schemeClr w14:val="tx1"/>
                  </w14:solidFill>
                </w14:textFill>
              </w:rPr>
              <w:t>防渗区为井场井口周边、柴油罐区、钻井液不落地系统、岩屑</w:t>
            </w:r>
            <w:r>
              <w:rPr>
                <w:rFonts w:hint="default" w:ascii="Times New Roman" w:hAnsi="Times New Roman" w:cs="Times New Roman"/>
                <w:color w:val="000000" w:themeColor="text1"/>
                <w:lang w:val="en-US" w:eastAsia="zh-CN"/>
                <w14:textFill>
                  <w14:solidFill>
                    <w14:schemeClr w14:val="tx1"/>
                  </w14:solidFill>
                </w14:textFill>
              </w:rPr>
              <w:t>储</w:t>
            </w:r>
            <w:r>
              <w:rPr>
                <w:rFonts w:hint="default" w:ascii="Times New Roman" w:hAnsi="Times New Roman" w:cs="Times New Roman"/>
                <w:color w:val="000000" w:themeColor="text1"/>
                <w14:textFill>
                  <w14:solidFill>
                    <w14:schemeClr w14:val="tx1"/>
                  </w14:solidFill>
                </w14:textFill>
              </w:rPr>
              <w:t>罐</w:t>
            </w:r>
            <w:r>
              <w:rPr>
                <w:rFonts w:hint="default" w:ascii="Times New Roman" w:hAnsi="Times New Roman" w:cs="Times New Roman"/>
                <w:color w:val="000000" w:themeColor="text1"/>
                <w:lang w:val="en-US" w:eastAsia="zh-CN"/>
                <w14:textFill>
                  <w14:solidFill>
                    <w14:schemeClr w14:val="tx1"/>
                  </w14:solidFill>
                </w14:textFill>
              </w:rPr>
              <w:t>等罐体</w:t>
            </w:r>
            <w:r>
              <w:rPr>
                <w:rFonts w:hint="default" w:ascii="Times New Roman" w:hAnsi="Times New Roman" w:cs="Times New Roman"/>
                <w:color w:val="000000" w:themeColor="text1"/>
                <w14:textFill>
                  <w14:solidFill>
                    <w14:schemeClr w14:val="tx1"/>
                  </w14:solidFill>
                </w14:textFill>
              </w:rPr>
              <w:t>及生活污水防渗废水收集池等采用防渗膜进行防渗，防渗层的防渗性能不应低于</w:t>
            </w:r>
            <w:r>
              <w:rPr>
                <w:rFonts w:hint="default" w:ascii="Times New Roman" w:hAnsi="Times New Roman" w:cs="Times New Roman"/>
                <w:color w:val="000000" w:themeColor="text1"/>
                <w:lang w:val="en-US" w:eastAsia="zh-CN"/>
                <w14:textFill>
                  <w14:solidFill>
                    <w14:schemeClr w14:val="tx1"/>
                  </w14:solidFill>
                </w14:textFill>
              </w:rPr>
              <w:t>6.0</w:t>
            </w:r>
            <w:r>
              <w:rPr>
                <w:rFonts w:hint="default" w:ascii="Times New Roman" w:hAnsi="Times New Roman" w:cs="Times New Roman"/>
                <w:color w:val="000000" w:themeColor="text1"/>
                <w14:textFill>
                  <w14:solidFill>
                    <w14:schemeClr w14:val="tx1"/>
                  </w14:solidFill>
                </w14:textFill>
              </w:rPr>
              <w:t>m厚渗透系数为1×10</w:t>
            </w:r>
            <w:r>
              <w:rPr>
                <w:rFonts w:hint="default" w:ascii="Times New Roman" w:hAnsi="Times New Roman" w:cs="Times New Roman"/>
                <w:color w:val="000000" w:themeColor="text1"/>
                <w:vertAlign w:val="superscript"/>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cm/s的黏土层的防渗性能；材料房、配电房、录井房、地质房等采取一般防渗，防渗层的防渗性能不应低于</w:t>
            </w:r>
            <w:r>
              <w:rPr>
                <w:rFonts w:hint="default"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m厚渗透系数为1×10</w:t>
            </w:r>
            <w:r>
              <w:rPr>
                <w:rFonts w:hint="default" w:ascii="Times New Roman" w:hAnsi="Times New Roman" w:cs="Times New Roman"/>
                <w:color w:val="000000" w:themeColor="text1"/>
                <w:vertAlign w:val="superscript"/>
                <w14:textFill>
                  <w14:solidFill>
                    <w14:schemeClr w14:val="tx1"/>
                  </w14:solidFill>
                </w14:textFill>
              </w:rPr>
              <w:t>-7</w:t>
            </w:r>
            <w:r>
              <w:rPr>
                <w:rFonts w:hint="default" w:ascii="Times New Roman" w:hAnsi="Times New Roman" w:cs="Times New Roman"/>
                <w:color w:val="000000" w:themeColor="text1"/>
                <w14:textFill>
                  <w14:solidFill>
                    <w14:schemeClr w14:val="tx1"/>
                  </w14:solidFill>
                </w14:textFill>
              </w:rPr>
              <w:t>cm/s的黏土层的防渗性能；其余区域采取简单防渗。</w:t>
            </w:r>
          </w:p>
          <w:p w14:paraId="0B27325C">
            <w:pPr>
              <w:adjustRightInd/>
              <w:snapToGrid/>
              <w:ind w:firstLine="480"/>
              <w:rPr>
                <w:rFonts w:hint="default" w:ascii="Times New Roman" w:hAnsi="Times New Roman" w:cs="Times New Roman"/>
                <w:color w:val="000000" w:themeColor="text1"/>
                <w14:textFill>
                  <w14:solidFill>
                    <w14:schemeClr w14:val="tx1"/>
                  </w14:solidFill>
                </w14:textFill>
              </w:rPr>
            </w:pPr>
            <w:bookmarkStart w:id="29" w:name="_Hlk109041888"/>
            <w:r>
              <w:rPr>
                <w:rFonts w:hint="default" w:ascii="Times New Roman" w:hAnsi="Times New Roman" w:cs="Times New Roman"/>
                <w:color w:val="000000" w:themeColor="text1"/>
                <w14:textFill>
                  <w14:solidFill>
                    <w14:schemeClr w14:val="tx1"/>
                  </w14:solidFill>
                </w14:textFill>
              </w:rPr>
              <w:t>（7）拉运处理管控措施和要求：</w:t>
            </w:r>
            <w:bookmarkEnd w:id="29"/>
          </w:p>
          <w:p w14:paraId="54AD1774">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①项目产生的试油废水、生活污水等清运过程，严格执行车辆拉运相关要求，严禁随意变更车辆行驶路线。</w:t>
            </w:r>
          </w:p>
          <w:p w14:paraId="3C7C8425">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②拉运过程严禁随意倾倒试油废水等废水。</w:t>
            </w:r>
          </w:p>
          <w:p w14:paraId="67761E2C">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③严禁车辆司机疲劳驾驶，提高拉运人员技术素质，加强责任心，贯彻安全驾驶机动车辆的行为规定，严格遵守交通法规。</w:t>
            </w:r>
          </w:p>
          <w:p w14:paraId="7093AE25">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④拉运处理过</w:t>
            </w:r>
            <w:r>
              <w:rPr>
                <w:rFonts w:hint="eastAsia" w:cs="Times New Roman"/>
                <w:color w:val="000000" w:themeColor="text1"/>
                <w:lang w:eastAsia="zh-CN"/>
                <w14:textFill>
                  <w14:solidFill>
                    <w14:schemeClr w14:val="tx1"/>
                  </w14:solidFill>
                </w14:textFill>
              </w:rPr>
              <w:t>程中</w:t>
            </w:r>
            <w:r>
              <w:rPr>
                <w:rFonts w:hint="default" w:ascii="Times New Roman" w:hAnsi="Times New Roman" w:cs="Times New Roman"/>
                <w:color w:val="000000" w:themeColor="text1"/>
                <w14:textFill>
                  <w14:solidFill>
                    <w14:schemeClr w14:val="tx1"/>
                  </w14:solidFill>
                </w14:textFill>
              </w:rPr>
              <w:t>，对车辆清运物质名称、数量等信息建立台账，进行全过程控制，严禁运输过程随意排放废水。</w:t>
            </w:r>
          </w:p>
          <w:p w14:paraId="6FACDEC9">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采取上述措施后，可对土壤及包气带起到良好的防护，避免对周围土壤及地下水产生影响。施工结束后，由施工单位对防渗膜进行回收再利用。</w:t>
            </w:r>
          </w:p>
          <w:p w14:paraId="5AD559F6">
            <w:pPr>
              <w:keepNext/>
              <w:keepLines/>
              <w:ind w:firstLine="0" w:firstLineChars="0"/>
              <w:jc w:val="left"/>
              <w:outlineLvl w:val="2"/>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4噪声污染防治措施</w:t>
            </w:r>
          </w:p>
          <w:p w14:paraId="3B2141FA">
            <w:pPr>
              <w:ind w:firstLine="480"/>
              <w:jc w:val="left"/>
              <w:rPr>
                <w:rFonts w:hint="default" w:ascii="Times New Roman" w:hAnsi="Times New Roman" w:cs="Times New Roman"/>
                <w:color w:val="000000" w:themeColor="text1"/>
                <w:kern w:val="0"/>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钻井期做好泥浆泵、发电机和柴油机等高噪声设备的基础减振和设置隔声罩减少噪声传播，合理安排施工时间，高噪声施工设备减少夜间使用或禁止使用；避免形成污染影响；在不能对声源采取有效措施情况下，对可能受噪声影响的油田工作人员发放噪声个人防护器材，消除噪声污染影响。</w:t>
            </w:r>
          </w:p>
          <w:p w14:paraId="5E20965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（2）维护泥浆泵、钻机、柴油发电机、柴油动力机组、压裂车等高噪声设备；</w:t>
            </w:r>
          </w:p>
          <w:p w14:paraId="3EF76A1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（3）做好机械设备组织，尽量避免高噪声设备同时操作。</w:t>
            </w:r>
          </w:p>
          <w:p w14:paraId="2AD9C725">
            <w:pPr>
              <w:keepNext/>
              <w:keepLines/>
              <w:ind w:firstLine="0" w:firstLineChars="0"/>
              <w:jc w:val="left"/>
              <w:outlineLvl w:val="2"/>
              <w:rPr>
                <w:rFonts w:hint="default" w:ascii="Times New Roman" w:hAnsi="Times New Roman" w:cs="Times New Roman"/>
                <w:b/>
                <w:bCs/>
                <w:color w:val="000000" w:themeColor="text1"/>
                <w:sz w:val="28"/>
                <w:szCs w:val="28"/>
                <w14:textFill>
                  <w14:solidFill>
                    <w14:schemeClr w14:val="tx1"/>
                  </w14:solidFill>
                </w14:textFill>
              </w:rPr>
            </w:pPr>
            <w:bookmarkStart w:id="30" w:name="_Hlk26201164"/>
            <w:r>
              <w:rPr>
                <w:rFonts w:hint="default" w:ascii="Times New Roman" w:hAnsi="Times New Roman" w:cs="Times New Roman"/>
                <w:b/>
                <w:bCs/>
                <w:color w:val="000000" w:themeColor="text1"/>
                <w:sz w:val="28"/>
                <w:szCs w:val="28"/>
                <w14:textFill>
                  <w14:solidFill>
                    <w14:schemeClr w14:val="tx1"/>
                  </w14:solidFill>
                </w14:textFill>
              </w:rPr>
              <w:t>5固废污染防治措施</w:t>
            </w:r>
          </w:p>
          <w:bookmarkEnd w:id="30"/>
          <w:p w14:paraId="41342F54">
            <w:pPr>
              <w:ind w:firstLine="480"/>
              <w:jc w:val="left"/>
              <w:rPr>
                <w:rFonts w:hint="default" w:ascii="Times New Roman" w:hAnsi="Times New Roman" w:cs="Times New Roman"/>
                <w:color w:val="000000" w:themeColor="text1"/>
                <w14:textFill>
                  <w14:solidFill>
                    <w14:schemeClr w14:val="tx1"/>
                  </w14:solidFill>
                </w14:textFill>
              </w:rPr>
            </w:pPr>
            <w:bookmarkStart w:id="31" w:name="_Hlk26201155"/>
            <w:r>
              <w:rPr>
                <w:rFonts w:hint="default" w:ascii="Times New Roman" w:hAnsi="Times New Roman" w:cs="Times New Roman"/>
                <w:color w:val="000000" w:themeColor="text1"/>
                <w14:textFill>
                  <w14:solidFill>
                    <w14:schemeClr w14:val="tx1"/>
                  </w14:solidFill>
                </w14:textFill>
              </w:rPr>
              <w:t>（1）施工期钻井岩屑、泥浆经不落地系统处理实现固液分离，分离后的液相回用，水基岩屑交岩屑处置单位处置。</w:t>
            </w:r>
          </w:p>
          <w:p w14:paraId="7DBC083F">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（2）物料及废物不乱排乱放，严禁各种油料落地。</w:t>
            </w:r>
          </w:p>
          <w:p w14:paraId="271D65B3">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（3）施工单位应及时回收废弃防渗膜等废物，用专罐收集后委托有相应危废处置资质的单位进行处置。</w:t>
            </w:r>
          </w:p>
          <w:p w14:paraId="3AB8A1CD">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（4）采用“绿色修井技术和配套设备”，以原油不出井筒为目标，达到“三不沾油”，即井场不沾油、设备不沾油、操作工人身上不沾油。</w:t>
            </w:r>
          </w:p>
          <w:p w14:paraId="2B97CE2A">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（5）井场垃圾分类存储，上加遮盖防止风吹飘散，严禁现场抛洒、焚烧、掩埋。</w:t>
            </w:r>
          </w:p>
          <w:p w14:paraId="20FFCE7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（6）生活营地内设置垃圾箱，施工期含油抹布、手套等用品与生活垃圾一起统一收集，由施工单位清运至乌尔禾生活垃圾填埋场处理。</w:t>
            </w:r>
          </w:p>
          <w:bookmarkEnd w:id="31"/>
          <w:p w14:paraId="55262EDF">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（7）钻井井场设1座危险废物贮存点，产生的机械设备废油、废弃防渗膜等均由施工单位委托有相应危废处置资质的单位进行处理。危险废物的收集过程中，应依据《危险废物收集 贮存 运输技术规范》（HJ 2025-2012）的要求进行管理，采用专用车辆到指定地点收集运输危险废物，运输过程中不准设置中转储存点，严禁偷排、洒落、泄漏和随意倾倒等。此外，要求钻井完工前完成危险废物转移工作。</w:t>
            </w:r>
          </w:p>
          <w:p w14:paraId="0122CA3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建设单位应依据《危险废物收集 贮存 运输技术规范》（HJ2025-2012）和《危险废物转移管理办法》（部令 第23号2022年1月1日起施行）要求中有关规定，项目应加强以下措施：</w:t>
            </w:r>
          </w:p>
          <w:p w14:paraId="1E5CAF5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A.收集作业</w:t>
            </w:r>
          </w:p>
          <w:p w14:paraId="0D971D43">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①应根据收集设备、转运车辆以及现场人员等实际情况确定相应作业区域，同时要设置作业界限标志和警示牌。</w:t>
            </w:r>
          </w:p>
          <w:p w14:paraId="1ECC1C09">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②作业区域内应设置危险废物收集专用通道和人员避险通道。</w:t>
            </w:r>
          </w:p>
          <w:p w14:paraId="0F072FDC">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③收集时应配备必要的收集工具和包装物，以及必要的应急监测设备及应急装备。</w:t>
            </w:r>
          </w:p>
          <w:p w14:paraId="2E79162F">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④危险废物收集应填写记录表，并将记录表作为危险废物管理的重要档案妥善保存。</w:t>
            </w:r>
          </w:p>
          <w:p w14:paraId="7C2138E0">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⑤收集结束后应清理和恢复收集作业区域，确保作业区域环境整洁安全。</w:t>
            </w:r>
          </w:p>
          <w:p w14:paraId="184162F5">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⑥收集过危险废物的容器、设备、设施、场所及其他物品转作他用时，应消除污染，确保其使用安全。</w:t>
            </w:r>
          </w:p>
          <w:p w14:paraId="0528F0F3">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B.危险废物转移</w:t>
            </w:r>
          </w:p>
          <w:p w14:paraId="52E05148">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①转移危险废物的，应当执行危险废物转移联单制度，法律法规另有规定的除外。</w:t>
            </w:r>
          </w:p>
          <w:p w14:paraId="2C11061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②运输危险废物的，应当遵守国家有关危险货物运输管理的规定。未经公安机关批准，危险废物运输车辆不得进入危险货物运输车辆限制通行的区域。</w:t>
            </w:r>
          </w:p>
          <w:p w14:paraId="53BF6F73">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③在危险废物转移过程中应当采取防扬散、防流失、防渗漏或者其他防止污染环境的措施，不得擅自倾倒、堆放、丢弃、遗撒危险废物。</w:t>
            </w:r>
          </w:p>
          <w:p w14:paraId="30EA846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④制定危险废物管理计划，明确拟转移危险废物的种类、重量（数量）和流向等信息。</w:t>
            </w:r>
          </w:p>
          <w:p w14:paraId="4E023A8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C.危险废物的运输</w:t>
            </w:r>
          </w:p>
          <w:p w14:paraId="1591675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①危险废物运输应由持有危险废物经营许可证的单位按照其许可证的经营范围组织实施，承担危险废物运输的单位应获得交通运输部门颁发的危险货物运输资质。</w:t>
            </w:r>
          </w:p>
          <w:p w14:paraId="7D671B2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②废弃危险化学品的运输应执行《危险化学品安全管理条例》有关运输的规定。</w:t>
            </w:r>
          </w:p>
          <w:p w14:paraId="626E9C9A">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③运输单位承运危险废物时，应在危险废物包装上按照《危险废物贮存污染控制标准》（GB18597-2023）附录A设置标志。</w:t>
            </w:r>
          </w:p>
          <w:p w14:paraId="5F1D436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④危险废物公路运输时，运输车辆应按《道路危险货物运输管理规定》（交通部令〔2005年〕第9号）、JT/T 617-2018以及JT/T 617-2018执行。</w:t>
            </w:r>
          </w:p>
          <w:p w14:paraId="2BC44C4F">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危险废物运输时的中转、装卸过程应遵守如下技术要求：</w:t>
            </w:r>
          </w:p>
          <w:p w14:paraId="53945508">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①卸载区的工作人员应熟悉废物的危险特性，并配备适当的个人防护装备，装卸剧毒废物应配备特殊的防护装备。</w:t>
            </w:r>
          </w:p>
          <w:p w14:paraId="0761CAFE">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②卸载区应配备必要的消防设备和设施，并设置明显的指示标志。</w:t>
            </w:r>
          </w:p>
          <w:p w14:paraId="0702780E">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③危险废物装卸区应设置隔离设施，液态废物卸载区应设置收集槽和缓冲罐。</w:t>
            </w:r>
          </w:p>
          <w:p w14:paraId="62EF8C99">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D.危险废物管理</w:t>
            </w:r>
          </w:p>
          <w:p w14:paraId="248F534C">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根据《危险废物环境管理指南 陆上石油天然气开采》（2021年12月22日）相关要求如下：</w:t>
            </w:r>
          </w:p>
          <w:p w14:paraId="36204C89">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落实污染环境防治责任制度，建立健全工业危险废物产生、收集、贮存、运输、利用、处置全过程的污染环境防治责任制度。</w:t>
            </w:r>
          </w:p>
          <w:p w14:paraId="17112BFC">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落实危险废物识别标志制度，按照《环境保护图形标志固体废物贮存（处置）场》（GB15562.2</w:t>
            </w:r>
            <w:r>
              <w:rPr>
                <w:rFonts w:hint="eastAsia" w:cs="Times New Roman"/>
                <w:color w:val="000000" w:themeColor="text1"/>
                <w:sz w:val="24"/>
                <w:szCs w:val="24"/>
                <w:lang w:val="en-US" w:eastAsia="zh-CN"/>
                <w14:textFill>
                  <w14:solidFill>
                    <w14:schemeClr w14:val="tx1"/>
                  </w14:solidFill>
                </w14:textFill>
              </w:rPr>
              <w:t>-1995</w:t>
            </w:r>
            <w:r>
              <w:rPr>
                <w:rFonts w:hint="default" w:ascii="Times New Roman" w:hAnsi="Times New Roman" w:cs="Times New Roman"/>
                <w:color w:val="000000" w:themeColor="text1"/>
                <w:sz w:val="24"/>
                <w:szCs w:val="24"/>
                <w14:textFill>
                  <w14:solidFill>
                    <w14:schemeClr w14:val="tx1"/>
                  </w14:solidFill>
                </w14:textFill>
              </w:rPr>
              <w:t>）等有关规定，对危险废物的容器和包装物以及收集、贮存、运输、利用、处置危险废物的设施、场所设置危险废物识别标志。</w:t>
            </w:r>
          </w:p>
          <w:p w14:paraId="47C279BF">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3）落实危险废物管理计划制度，按照《危险废物产生单位管理计划制定指南》等有关要求制定危险废物管理计划，并报所在地生态环境主管部门备案。</w:t>
            </w:r>
          </w:p>
          <w:p w14:paraId="7A5C1633">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4）落实危险废物管理台账及申报制度，建立危险废物管理台账，如实记录有关信息，并通过国家危险废物信息管理系统向所在地生态环境主管部门申报危险废物的种类、产生量、流向、贮存、处置等有关资料。</w:t>
            </w:r>
          </w:p>
          <w:p w14:paraId="48A9DAC5">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5）落实危险废物经营许可证制度，禁止将危险废物提供或委托给无危险废物经营许可证的单位或者其他生产经营者从事收集、贮存、利用、处置活动。</w:t>
            </w:r>
          </w:p>
          <w:p w14:paraId="53819E04">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6）落实危险废物转移联单制度，转移危险废物的，应当按照《危险废物转移管理办法》的有关规定填写、运行危险废物转移联单。</w:t>
            </w:r>
          </w:p>
          <w:p w14:paraId="41611A5F">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7）产生工业危险废物的单位应当落实排污许可制度；已经取得排污许可证的，执行排污许可管理制度的规定。</w:t>
            </w:r>
          </w:p>
          <w:p w14:paraId="0EBC728A">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8）落实环境保护标准制度，按照国家有关规定和环境保护标准要求贮存、利用、处置危险废物，不得将其擅自倾倒处置；禁止混合收集、贮存、运输、处置性质不相容或未经安全性处置的危险废物。</w:t>
            </w:r>
          </w:p>
          <w:p w14:paraId="34E789F8">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危险废物收集、贮存应当按照其特性分类进行；禁止将危险废物混入非危险废物中贮存。危险废物收集、贮存和运输过程的污染控制执行《危险废物贮存污染控制标准》（GB18597-2023）《危险废物收集 贮存 运输技术规范》（HJ2025-2012）等有关规定。</w:t>
            </w:r>
          </w:p>
          <w:p w14:paraId="25344018">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9）落实环境影响评价制度及环境保护“三同时”制度，需要配套建设的危险废物贮存、利用和处置设施应当与主体工程同时设计、同时施工、同时投入使用。</w:t>
            </w:r>
          </w:p>
          <w:p w14:paraId="46F6D18D">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10）落实环境应急预案制度，参考《危险废物经营单位编制应急预案指南》有关规定制定意外事故的防范措施和环境应急预案，并向所在地生态环境主管部门和其他负有固体废物污染环境防治监督管理职责的部门备案。</w:t>
            </w:r>
          </w:p>
          <w:p w14:paraId="62C59DAA">
            <w:pPr>
              <w:pStyle w:val="29"/>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11）</w:t>
            </w:r>
            <w:r>
              <w:rPr>
                <w:rFonts w:hint="default" w:ascii="Times New Roman" w:hAnsi="Times New Roman" w:cs="Times New Roman"/>
                <w:color w:val="000000" w:themeColor="text1"/>
                <w:sz w:val="24"/>
                <w:szCs w:val="24"/>
                <w14:textFill>
                  <w14:solidFill>
                    <w14:schemeClr w14:val="tx1"/>
                  </w14:solidFill>
                </w14:textFill>
              </w:rPr>
              <w:t>建设单位应加强危险废物规范化环境管理，按照《危险废物规范化环境管理评估指标》有关要求，提升危险废物规范化环境管理水平。</w:t>
            </w:r>
          </w:p>
          <w:p w14:paraId="45807BB9">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12）对于列入《国家危险废物名录》附录《危险废物豁免管理清单》中的废弃的含油抹布和劳保用品等危险废物，当满足《危险废物豁免管理清单》中列出的豁免条件时，在所列的豁免环节可不按危险废物管理。</w:t>
            </w:r>
          </w:p>
          <w:p w14:paraId="53BF49B0">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产生的危险废物委托有相应危废处置资质的单位转运及处理。转运过程严格按照相关要求进行操作转运，严禁由不具备相应资质的单位私自转运。井场废物全部进行清理、回收处理，做到“工完、料尽、场地清”。</w:t>
            </w:r>
          </w:p>
          <w:p w14:paraId="39BF6681">
            <w:pPr>
              <w:keepNext/>
              <w:keepLines/>
              <w:ind w:firstLine="0" w:firstLineChars="0"/>
              <w:jc w:val="left"/>
              <w:outlineLvl w:val="2"/>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6土壤污染防治措施</w:t>
            </w:r>
          </w:p>
          <w:p w14:paraId="24C5868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（1）应严格控制施工期临时占地面积，按设计及规划的施工范围进行施工作业，减少土壤扰动。</w:t>
            </w:r>
          </w:p>
          <w:p w14:paraId="7CBC3D0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（2）施工机械及运输车辆应按规定的道路行驶，减少对土壤的碾压，减少碾压造成的土壤紧实度增加及养分流失。</w:t>
            </w:r>
          </w:p>
          <w:p w14:paraId="2F2D2F0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（3）施工产生的建筑垃圾不得随意抛洒，应集中收集并及时清运，防止污染物进入土壤环境造成污染。</w:t>
            </w:r>
          </w:p>
          <w:p w14:paraId="61A1845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综上所述，正常情况下，钻井及试油工程不会污染土壤环境，非正常情况下，采取有效措施后可减轻对土壤环境的影响。在做好源头控制、过程防控等措施的前提下，可避免工程实施对土壤环境产生污染影响。</w:t>
            </w:r>
          </w:p>
          <w:p w14:paraId="0100DEEA">
            <w:pPr>
              <w:keepNext/>
              <w:keepLines/>
              <w:ind w:firstLine="0" w:firstLineChars="0"/>
              <w:jc w:val="left"/>
              <w:outlineLvl w:val="2"/>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7环境风险防范措施</w:t>
            </w:r>
          </w:p>
          <w:p w14:paraId="06072B9B">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7.1环境风险防范措施</w:t>
            </w:r>
          </w:p>
          <w:p w14:paraId="15D161C0">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（1）钻井作业事故防范措施</w:t>
            </w:r>
          </w:p>
          <w:p w14:paraId="6D01C3EC">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①钻井井口装置包括防喷器、防喷器控制系统、四通、闸阀及套管头等。各次开钻要按设计安装井口装置。</w:t>
            </w:r>
          </w:p>
          <w:p w14:paraId="25FB84D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②防喷器顶部安装防溢管时，不用的螺孔用丝堵进行封堵。防溢管处应装挡泥伞，保证防喷器组及四通各闸阀清洁。</w:t>
            </w:r>
          </w:p>
          <w:p w14:paraId="35559A9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远程控制台安装在井场左侧，距井口不少于25m（稠油井如受场地限制，距井口距离不应少于20m处），距放喷管线或压井管线有2m以上距离，周围留有宽度不少于2m的人行通道，周围10m内不得堆放易燃、易爆、腐蚀物品。</w:t>
            </w:r>
          </w:p>
          <w:p w14:paraId="6D53C24E">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④井控设备安装好后，按要求试压。</w:t>
            </w:r>
          </w:p>
          <w:p w14:paraId="0D7C2258">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控车间试压：环形防喷器（封闭钻杆）、闸板防喷器和节流管汇、压井管汇、防喷管线、四通、内防喷工具试到额定工作压力，试压稳压时间≥10min，允许压降≤0.7MPa，密封部位无渗漏。闸板防喷器应做低压试验，试压值为1.4～2.1MPa，稳压时间≥10min，压降≤0.07MPa，密封件部位无渗漏。</w:t>
            </w:r>
          </w:p>
          <w:p w14:paraId="2E70C39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⑤钻开油、气层后，每次起下钻（离上次活动时间超过5d）对闸板防喷器及手动锁紧装置开关活动一次。每次试压后应对井控装置固定螺栓进行紧固。</w:t>
            </w:r>
          </w:p>
          <w:p w14:paraId="7E455F7F">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⑥探井二开</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三开以后井段，每只新入井的钻头开始钻进前，以及连续钻进300m～500m，都要以1/3～1/2钻进排量循环一定时间，待钻井液循环正常后测一次低泵速循环压力，并做好泵冲数、流量、循环压力记录。</w:t>
            </w:r>
          </w:p>
          <w:p w14:paraId="683BF692">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⑦钻进中注意观察钻时、放空、井漏、气测异常和钻井液出口流量、流势、气泡、气味、油花等情况，及时测量钻井液密度和粘度、氯根含量、循环池罐面等变化，并做好记录。</w:t>
            </w:r>
          </w:p>
          <w:p w14:paraId="3C610DB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⑧做好防硫、防喷演习讲评和记录。</w:t>
            </w:r>
          </w:p>
          <w:p w14:paraId="3A34DA8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⑨井控操作实行持证上岗，各岗位的钻井人员有明确的分工，并且应经过井控专业培训。</w:t>
            </w:r>
          </w:p>
          <w:p w14:paraId="153E069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⑩井场设置明显的禁止烟火标志；井场钻井设备及电气设备、照明灯具符合防火防爆的安全要求，井场安装探照灯，以备井喷时钻台照明。</w:t>
            </w:r>
          </w:p>
          <w:p w14:paraId="52138633">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⑪在井架、井场路口等处设风向标，发生事故时人员迅速向上风向疏散。按消防规定配备灭火器、消防铁锹和其他消防器材。</w:t>
            </w:r>
          </w:p>
          <w:p w14:paraId="4C80FB0F">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⑫事故应急救援预案。</w:t>
            </w:r>
          </w:p>
          <w:p w14:paraId="1242508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根据项目的生产特点，制定了相应的应急预案，由项目主要负责人按照应急预案中的要求定期组织职工学习并进行演习。</w:t>
            </w:r>
          </w:p>
          <w:p w14:paraId="53DFA130">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（2）硫化氢防范措施</w:t>
            </w:r>
          </w:p>
          <w:p w14:paraId="6CD9D7D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应做好硫化氢监测和防范工作。施工井队应配备便携式硫化氢监测仪，做好硫化氢检测工作，制定防硫化氢应急预案。在井场大门口、钻台、振动筛、坐岗房、防喷器液控房等五处设立风向标（风袋、风飘带、风旗或其他适用的装置），并在不同方向上划定两个紧急集合点，一旦发生紧急情况，作业人员可向上风方向疏散。当监测到硫化氢浓度大于15mg/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（10ppm）时，立即按照含硫油气井作业规定配置硫化氢监测仪、正压式呼吸器等设施，按照《硫化氢环境钻井场所作业安全规范》（SY/T 5087-2024）标准规定执行。</w:t>
            </w:r>
          </w:p>
          <w:p w14:paraId="03D571E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（3）钻井套管破损、泄漏事故风险防范措施</w:t>
            </w:r>
          </w:p>
          <w:p w14:paraId="0F3F8478">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①钻井、固井、完井等作业严格执行各项安全操作规程，确保施工质量，防漏、防窜。</w:t>
            </w:r>
          </w:p>
          <w:p w14:paraId="6565C0A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压裂、酸化及调堵等施工作业前应将高低压管汇连接牢固，施工时应该严格控制不能超过设备额定压力；操作人员要密切注意设备运行状况，发现管件破裂刺漏等问题及时处理；作业现场应配备消防设备，以备应急救援。</w:t>
            </w:r>
          </w:p>
          <w:p w14:paraId="5CC8972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③气井压裂、酸化解堵及冲砂等作业应按照设计要求均匀加砂，严禁中途停泵；冲砂管柱下放速度不宜过快，排量不能太小；更换油管速度要快并要防止井中落物。</w:t>
            </w:r>
          </w:p>
          <w:p w14:paraId="6B57B679">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④防腐蚀，做好地层水、天然气二氧化碳等的防腐工作。</w:t>
            </w:r>
          </w:p>
          <w:p w14:paraId="2073027D">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⑤工程施工、监理单位需具备相应资质，加强对施工现场的安全组织管理和监督。</w:t>
            </w:r>
          </w:p>
          <w:p w14:paraId="35F65F8E">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⑥建立、健全各项安全管理制度以及配套的工艺、设备安全操作规程，并严格执行。</w:t>
            </w:r>
          </w:p>
          <w:p w14:paraId="394551E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（4）储罐环境风险防范措施</w:t>
            </w:r>
          </w:p>
          <w:p w14:paraId="04585254">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原油罐区周边设置警示标识，严禁烟火和不相关人员靠近。日常加强油罐的管理及安全检查，防止发生泄漏等安全事故。为尽量避免管线破裂事故的发生，减轻泄漏事故对环境的影响，应该采取以下安全环保措施：</w:t>
            </w:r>
          </w:p>
          <w:p w14:paraId="2C7BD37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①地上储罐建立围堰，发现问题及时处理。</w:t>
            </w:r>
          </w:p>
          <w:p w14:paraId="7D15974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加强防腐措施。金属腐蚀的本质在于金属原子在腐蚀介质的作用下，失去电子变成离子而转移到腐蚀介质中，导致金属发生破坏。本项目采用良好的绝缘涂层隔断金属表面与腐蚀介质的接触，阻止电子从金属表面流到腐蚀介质中，使金属免遭腐蚀。</w:t>
            </w:r>
          </w:p>
          <w:p w14:paraId="6642CD8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③根据埋地管线所处的不同环境，采用相应的涂层防腐体系。</w:t>
            </w:r>
          </w:p>
          <w:p w14:paraId="5AA6799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④建议建立防腐监测系统，随时监测介质的腐蚀状况，了解和掌握区域系统的腐蚀原因，有针对性地制定、调整和优化腐蚀控制措施。</w:t>
            </w:r>
          </w:p>
          <w:p w14:paraId="2B65605A">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根据项目的特点，制定相应的应急预案，由项目主要负责人按照应急预案中的要求组织职工学习并进行演习。</w:t>
            </w:r>
          </w:p>
          <w:p w14:paraId="23C7359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（5）罐车运输过程风险防范措施</w:t>
            </w:r>
          </w:p>
          <w:p w14:paraId="7085105E">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①罐车必须符合《压力容器安全技术监察规程》的安全管理规定，企业对压力容器管理执行国家有关锅炉压力容器的规定。</w:t>
            </w:r>
          </w:p>
          <w:p w14:paraId="3E867FCE">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②认真执行罐车巡检、回检以及维护、修理管理办法，保持罐车完整性。</w:t>
            </w:r>
          </w:p>
          <w:p w14:paraId="76537D0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③配备具有危险货物运输资质和经验的驾驶员和押运员，严格执行特车公司反“违章指挥、违章操作、违反劳动纪律的行为”管理规定，并使用GPS监控车辆动态。</w:t>
            </w:r>
          </w:p>
          <w:p w14:paraId="12B8F1A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④出车前必须对车辆的安全技术状况进行认真检查，杜绝跑、冒、滴、漏，故障未处置好不得承运。</w:t>
            </w:r>
          </w:p>
          <w:p w14:paraId="155D6AAF">
            <w:pPr>
              <w:pStyle w:val="8"/>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⑤采出液装卸参照《危险货物道路运输规则（系列）》（JT/T 617-2018）配装表中进行，车辆排气管应安装隔热和熄灭火星装置，并配装符合《汽车导静电橡胶拖地带》（JT/T 230-2021）规定的导静电橡胶拖地带装置。罐体装采出液时，应预留容积不得少于罐体总容量5%的膨胀余量。采出液中的石油类容易污染土地和水源。卸货时尤其要注意。</w:t>
            </w:r>
          </w:p>
          <w:p w14:paraId="389E24FF">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⑥选择好运输路线，避让居民点、水渠等环境敏感目标，防止泄漏对环境造成不利影响。</w:t>
            </w:r>
          </w:p>
          <w:p w14:paraId="53B38433">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⑦行车要遵守交通、消防、治安等法律法规。控制车速，保持与前车安全距离，严禁违法超车，行车途中要勤于检查，当行驶一定时间后要查看车厢底部四周有无泄漏液体，若有原油泄漏，应查找泄漏点，采取相应的应急措施，防止液体继续泄漏，将受到污染的土壤要全部回收，交由有相应危废处置资质的单位回收、处置。</w:t>
            </w:r>
          </w:p>
          <w:p w14:paraId="524B6DA4">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⑧检查随车配备的消防器材的数量及有效性。运输过程中如发生事故时，驾驶员和押运员应立即向安全生产管理部门、环境保护部门、质检部门报告，并应看护好车辆，共同配合采取一切可能的警示、救援措施。</w:t>
            </w:r>
          </w:p>
          <w:p w14:paraId="3CA27147">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7.2环境风险处理措施</w:t>
            </w:r>
          </w:p>
          <w:p w14:paraId="24E861E6">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旦发生井喷，绝大多数井都能通过防喷器关闭，然后采取压井措施控制井喷；最后还可用向事故井打定位斜井等方法处理井喷，并尽快采取措施回收原油。事故处理中要有专人负责，管好电源、火源，以免火灾发生。井喷时，需要对井喷的油泥等污染物进行收集处理，运送到专门的固体废物处理场进行处理。</w:t>
            </w:r>
          </w:p>
          <w:p w14:paraId="21D641B1">
            <w:pPr>
              <w:keepNext/>
              <w:keepLines/>
              <w:wordWrap w:val="0"/>
              <w:ind w:firstLine="0" w:firstLineChars="0"/>
              <w:outlineLvl w:val="3"/>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7.3应急预案</w:t>
            </w:r>
          </w:p>
          <w:p w14:paraId="6CD182FD">
            <w:pPr>
              <w:keepNext/>
              <w:keepLines/>
              <w:ind w:firstLine="480"/>
              <w:jc w:val="left"/>
              <w:outlineLvl w:val="2"/>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本项目归属中国石油新疆油田公司勘探事业部管辖，应将项目纳入《新疆油田公司勘探事业部突发环境事件专项应急预案》</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2023年9月7日</w:t>
            </w:r>
            <w:r>
              <w:rPr>
                <w:rFonts w:hint="eastAsia"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，备案编号：650203-2023-031-L。</w:t>
            </w:r>
          </w:p>
          <w:p w14:paraId="58B55768">
            <w:pPr>
              <w:keepNext/>
              <w:keepLines/>
              <w:ind w:firstLine="0" w:firstLineChars="0"/>
              <w:jc w:val="left"/>
              <w:outlineLvl w:val="2"/>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8环境管理</w:t>
            </w:r>
          </w:p>
          <w:p w14:paraId="2AC0E375">
            <w:pPr>
              <w:ind w:firstLine="0" w:firstLineChars="0"/>
              <w:jc w:val="left"/>
              <w:outlineLvl w:val="2"/>
              <w:rPr>
                <w:rFonts w:hint="default" w:ascii="Times New Roman" w:hAnsi="Times New Roman" w:cs="Times New Roman"/>
                <w:b/>
                <w:bCs/>
                <w:color w:val="000000" w:themeColor="text1"/>
                <w:szCs w:val="32"/>
                <w14:textFill>
                  <w14:solidFill>
                    <w14:schemeClr w14:val="tx1"/>
                  </w14:solidFill>
                </w14:textFill>
              </w:rPr>
            </w:pPr>
            <w:r>
              <w:rPr>
                <w:rFonts w:hint="default" w:ascii="Times New Roman" w:hAnsi="Times New Roman" w:cs="Times New Roman"/>
                <w:b/>
                <w:bCs/>
                <w:color w:val="000000" w:themeColor="text1"/>
                <w:szCs w:val="32"/>
                <w14:textFill>
                  <w14:solidFill>
                    <w14:schemeClr w14:val="tx1"/>
                  </w14:solidFill>
                </w14:textFill>
              </w:rPr>
              <w:t>8.1钻前准备环境管理要求</w:t>
            </w:r>
          </w:p>
          <w:p w14:paraId="5E569A1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（1）在修建通往井场道路时，避免堵塞和填充任何自然排水通道，施工作业机具，不得在道路、井场以外的地方行驶和作业，禁止碾压和破坏植被，禁止乱扔废弃物。</w:t>
            </w:r>
          </w:p>
          <w:p w14:paraId="702E5EE4">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（2）井场临时用地面积按设计规定，不得超过规定面积。</w:t>
            </w:r>
          </w:p>
          <w:p w14:paraId="4AD3C3FA">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（3）安装泥浆泵冷却水循环系统和振动筛的污水循环系统，做好各种油、水管线的试运行工作，防止油、水跑、冒、滴、漏。</w:t>
            </w:r>
          </w:p>
          <w:p w14:paraId="69915033">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（4）井场应有排水沟。钻机底座下、机泵房、循环罐区应有排水沟，排水沟必须硬化防渗、防塌，过车地段沟上要铺钢板桥。</w:t>
            </w:r>
          </w:p>
          <w:p w14:paraId="44C1E8BE">
            <w:pPr>
              <w:ind w:firstLine="0" w:firstLineChars="0"/>
              <w:jc w:val="left"/>
              <w:outlineLvl w:val="2"/>
              <w:rPr>
                <w:rFonts w:hint="default" w:ascii="Times New Roman" w:hAnsi="Times New Roman" w:cs="Times New Roman"/>
                <w:b/>
                <w:bCs/>
                <w:color w:val="000000" w:themeColor="text1"/>
                <w:szCs w:val="32"/>
                <w14:textFill>
                  <w14:solidFill>
                    <w14:schemeClr w14:val="tx1"/>
                  </w14:solidFill>
                </w14:textFill>
              </w:rPr>
            </w:pPr>
            <w:r>
              <w:rPr>
                <w:rFonts w:hint="default" w:ascii="Times New Roman" w:hAnsi="Times New Roman" w:cs="Times New Roman"/>
                <w:b/>
                <w:bCs/>
                <w:color w:val="000000" w:themeColor="text1"/>
                <w:szCs w:val="32"/>
                <w14:textFill>
                  <w14:solidFill>
                    <w14:schemeClr w14:val="tx1"/>
                  </w14:solidFill>
                </w14:textFill>
              </w:rPr>
              <w:t>8.2钻井作业期间环境管理要求</w:t>
            </w:r>
          </w:p>
          <w:p w14:paraId="236DC219">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（1）钻井采用“泥浆不落地技术”，实现固液分离，岩屑暂存于水基岩屑储罐，岩屑罐应采取防渗措施，水基岩屑交岩屑处置单位处置。</w:t>
            </w:r>
          </w:p>
          <w:p w14:paraId="2DD0D157">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（2）泥浆不落地装置四周采取措施防止污染地面，各类接地储罐采用聚乙烯防渗膜防渗。</w:t>
            </w:r>
          </w:p>
          <w:p w14:paraId="7F498144">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（3）发生井喷后地面处理措施及要求：调查因井喷事故造成的地面污染情况，积极组织清除地面环境污染，恢复地貌。</w:t>
            </w:r>
          </w:p>
          <w:p w14:paraId="647A554A">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柴油、含油废水运输时提高拉运人员技术素质、加强责任心，贯彻安全驾驶机动车辆的行为规定，严格遵守交通法规，防止发生运输车辆事故。加强各类储罐的日常管理及安全检查，要严格按章操作，柴油及含油废水装车、卸车时加强管理，避免跑冒滴漏现象，防止发生泄漏等安全事故。</w:t>
            </w:r>
          </w:p>
          <w:p w14:paraId="480D2257">
            <w:pPr>
              <w:adjustRightInd/>
              <w:snapToGrid/>
              <w:ind w:firstLine="0" w:firstLineChars="0"/>
              <w:jc w:val="left"/>
              <w:outlineLvl w:val="2"/>
              <w:rPr>
                <w:rFonts w:hint="default" w:ascii="Times New Roman" w:hAnsi="Times New Roman" w:cs="Times New Roman"/>
                <w:b/>
                <w:bCs/>
                <w:color w:val="000000" w:themeColor="text1"/>
                <w:szCs w:val="32"/>
                <w14:textFill>
                  <w14:solidFill>
                    <w14:schemeClr w14:val="tx1"/>
                  </w14:solidFill>
                </w14:textFill>
              </w:rPr>
            </w:pPr>
            <w:r>
              <w:rPr>
                <w:rFonts w:hint="default" w:ascii="Times New Roman" w:hAnsi="Times New Roman" w:cs="Times New Roman"/>
                <w:b/>
                <w:bCs/>
                <w:color w:val="000000" w:themeColor="text1"/>
                <w:szCs w:val="32"/>
                <w14:textFill>
                  <w14:solidFill>
                    <w14:schemeClr w14:val="tx1"/>
                  </w14:solidFill>
                </w14:textFill>
              </w:rPr>
              <w:t>8.3环境管理要求</w:t>
            </w:r>
          </w:p>
          <w:p w14:paraId="305742C4">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（1）妥善存放泥浆材料等化学品，不得失散在井场。废弃包装袋等应及时加以回收。</w:t>
            </w:r>
          </w:p>
          <w:p w14:paraId="5EF26ECE">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（2）推平柴油、机油及水罐坡道，井场应平整。</w:t>
            </w:r>
          </w:p>
          <w:p w14:paraId="51AF421C">
            <w:pPr>
              <w:adjustRightInd/>
              <w:snapToGrid/>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（3）井场、基地不得随处丢弃垃圾，有利用价值的废料应回收，没有利用价值的废料应送至垃圾场填埋。</w:t>
            </w:r>
          </w:p>
          <w:p w14:paraId="16328BD4">
            <w:pPr>
              <w:ind w:firstLine="0" w:firstLineChars="0"/>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9环保验收</w:t>
            </w:r>
          </w:p>
          <w:p w14:paraId="6E13102C">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如获工业油流，井口装采油树进行试采；如未获工业油流，则打水泥塞封套管，恢复地貌。大多数探井是就地封固，恢复地貌，对周围环境影响很小，甚至不产生影响。</w:t>
            </w:r>
          </w:p>
          <w:p w14:paraId="13D23031">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建议按表5-1开展竣工环境保护验收。</w:t>
            </w:r>
          </w:p>
          <w:p w14:paraId="0483EF15">
            <w:pPr>
              <w:overflowPunct w:val="0"/>
              <w:ind w:firstLine="0" w:firstLineChars="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表5-1  “三同时”竣工验收调查建议清单</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51"/>
              <w:gridCol w:w="1083"/>
              <w:gridCol w:w="3432"/>
              <w:gridCol w:w="2234"/>
            </w:tblGrid>
            <w:tr w14:paraId="51D8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44" w:type="pct"/>
                  <w:vAlign w:val="center"/>
                </w:tcPr>
                <w:p w14:paraId="3DA0F03B">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验收</w:t>
                  </w:r>
                </w:p>
                <w:p w14:paraId="53831414">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内容</w:t>
                  </w:r>
                </w:p>
              </w:tc>
              <w:tc>
                <w:tcPr>
                  <w:tcW w:w="456" w:type="pct"/>
                  <w:vAlign w:val="center"/>
                </w:tcPr>
                <w:p w14:paraId="36ED0F0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位置</w:t>
                  </w:r>
                </w:p>
              </w:tc>
              <w:tc>
                <w:tcPr>
                  <w:tcW w:w="657" w:type="pct"/>
                  <w:vAlign w:val="center"/>
                </w:tcPr>
                <w:p w14:paraId="4D9E2E0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治理对象</w:t>
                  </w:r>
                </w:p>
              </w:tc>
              <w:tc>
                <w:tcPr>
                  <w:tcW w:w="2084" w:type="pct"/>
                  <w:vAlign w:val="center"/>
                </w:tcPr>
                <w:p w14:paraId="04215BDD">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防治措施</w:t>
                  </w:r>
                </w:p>
              </w:tc>
              <w:tc>
                <w:tcPr>
                  <w:tcW w:w="1357" w:type="pct"/>
                  <w:vAlign w:val="center"/>
                </w:tcPr>
                <w:p w14:paraId="697805EF">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验收标准</w:t>
                  </w:r>
                </w:p>
              </w:tc>
            </w:tr>
            <w:tr w14:paraId="5FDE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44" w:type="pct"/>
                  <w:vMerge w:val="restart"/>
                  <w:vAlign w:val="center"/>
                </w:tcPr>
                <w:p w14:paraId="74DBECB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w:t>
                  </w:r>
                </w:p>
              </w:tc>
              <w:tc>
                <w:tcPr>
                  <w:tcW w:w="456" w:type="pct"/>
                  <w:vMerge w:val="restart"/>
                  <w:vAlign w:val="center"/>
                </w:tcPr>
                <w:p w14:paraId="4091D70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w:t>
                  </w:r>
                </w:p>
              </w:tc>
              <w:tc>
                <w:tcPr>
                  <w:tcW w:w="657" w:type="pct"/>
                  <w:vAlign w:val="center"/>
                </w:tcPr>
                <w:p w14:paraId="0FAB857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柴油废气</w:t>
                  </w:r>
                </w:p>
              </w:tc>
              <w:tc>
                <w:tcPr>
                  <w:tcW w:w="2084" w:type="pct"/>
                  <w:vAlign w:val="center"/>
                </w:tcPr>
                <w:p w14:paraId="66D389D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使用达标柴油，加强设备维护</w:t>
                  </w:r>
                </w:p>
              </w:tc>
              <w:tc>
                <w:tcPr>
                  <w:tcW w:w="1357" w:type="pct"/>
                  <w:vMerge w:val="restart"/>
                  <w:vAlign w:val="center"/>
                </w:tcPr>
                <w:p w14:paraId="08C9AFB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《大气污染物综合排放标准》（GB16297-1996）；《非道路移动机械用柴油机排气污染物排放限值及测量方法（中国第三、四阶段）》（GB20891-2014）；《陆上石油天然气开采工业大气污染物排放标准》（GB39728-2020）</w:t>
                  </w:r>
                </w:p>
              </w:tc>
            </w:tr>
            <w:tr w14:paraId="545B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44" w:type="pct"/>
                  <w:vMerge w:val="continue"/>
                  <w:vAlign w:val="center"/>
                </w:tcPr>
                <w:p w14:paraId="704DBA22">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5FC8A5B0">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52D1F90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扬尘</w:t>
                  </w:r>
                </w:p>
              </w:tc>
              <w:tc>
                <w:tcPr>
                  <w:tcW w:w="2084" w:type="pct"/>
                  <w:vAlign w:val="center"/>
                </w:tcPr>
                <w:p w14:paraId="798ABB6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对易起尘物料遮盖，加强车辆管理</w:t>
                  </w:r>
                </w:p>
              </w:tc>
              <w:tc>
                <w:tcPr>
                  <w:tcW w:w="1357" w:type="pct"/>
                  <w:vMerge w:val="continue"/>
                  <w:vAlign w:val="center"/>
                </w:tcPr>
                <w:p w14:paraId="7E1D8036">
                  <w:pPr>
                    <w:pStyle w:val="23"/>
                    <w:rPr>
                      <w:rFonts w:hint="default" w:ascii="Times New Roman" w:hAnsi="Times New Roman" w:cs="Times New Roman"/>
                      <w:color w:val="000000" w:themeColor="text1"/>
                      <w14:textFill>
                        <w14:solidFill>
                          <w14:schemeClr w14:val="tx1"/>
                        </w14:solidFill>
                      </w14:textFill>
                    </w:rPr>
                  </w:pPr>
                </w:p>
              </w:tc>
            </w:tr>
            <w:tr w14:paraId="63A2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44" w:type="pct"/>
                  <w:vMerge w:val="continue"/>
                  <w:vAlign w:val="center"/>
                </w:tcPr>
                <w:p w14:paraId="67E2E421">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17CD45F9">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59E9233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伴生气</w:t>
                  </w:r>
                </w:p>
              </w:tc>
              <w:tc>
                <w:tcPr>
                  <w:tcW w:w="2084" w:type="pct"/>
                  <w:vAlign w:val="center"/>
                </w:tcPr>
                <w:p w14:paraId="45D7017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放散管燃放，无组织排放</w:t>
                  </w:r>
                </w:p>
              </w:tc>
              <w:tc>
                <w:tcPr>
                  <w:tcW w:w="1357" w:type="pct"/>
                  <w:vMerge w:val="continue"/>
                  <w:vAlign w:val="center"/>
                </w:tcPr>
                <w:p w14:paraId="08CD76A2">
                  <w:pPr>
                    <w:pStyle w:val="23"/>
                    <w:rPr>
                      <w:rFonts w:hint="default" w:ascii="Times New Roman" w:hAnsi="Times New Roman" w:cs="Times New Roman"/>
                      <w:color w:val="000000" w:themeColor="text1"/>
                      <w14:textFill>
                        <w14:solidFill>
                          <w14:schemeClr w14:val="tx1"/>
                        </w14:solidFill>
                      </w14:textFill>
                    </w:rPr>
                  </w:pPr>
                </w:p>
              </w:tc>
            </w:tr>
            <w:tr w14:paraId="245C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44" w:type="pct"/>
                  <w:vMerge w:val="continue"/>
                  <w:vAlign w:val="center"/>
                </w:tcPr>
                <w:p w14:paraId="0C48A716">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7BE2658E">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06D47E24">
                  <w:pPr>
                    <w:spacing w:line="240" w:lineRule="auto"/>
                    <w:ind w:firstLine="0" w:firstLineChars="0"/>
                    <w:contextualSpacing/>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临时储罐</w:t>
                  </w:r>
                </w:p>
              </w:tc>
              <w:tc>
                <w:tcPr>
                  <w:tcW w:w="2084" w:type="pct"/>
                  <w:vAlign w:val="center"/>
                </w:tcPr>
                <w:p w14:paraId="414E7FDA">
                  <w:pPr>
                    <w:spacing w:line="240" w:lineRule="auto"/>
                    <w:ind w:firstLine="0" w:firstLineChars="0"/>
                    <w:contextualSpacing/>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无组织排放</w:t>
                  </w:r>
                </w:p>
              </w:tc>
              <w:tc>
                <w:tcPr>
                  <w:tcW w:w="1357" w:type="pct"/>
                  <w:vMerge w:val="continue"/>
                  <w:vAlign w:val="center"/>
                </w:tcPr>
                <w:p w14:paraId="4A32A5C6">
                  <w:pPr>
                    <w:pStyle w:val="23"/>
                    <w:rPr>
                      <w:rFonts w:hint="default" w:ascii="Times New Roman" w:hAnsi="Times New Roman" w:cs="Times New Roman"/>
                      <w:color w:val="000000" w:themeColor="text1"/>
                      <w14:textFill>
                        <w14:solidFill>
                          <w14:schemeClr w14:val="tx1"/>
                        </w14:solidFill>
                      </w14:textFill>
                    </w:rPr>
                  </w:pPr>
                </w:p>
              </w:tc>
            </w:tr>
            <w:tr w14:paraId="70F0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44" w:type="pct"/>
                  <w:vMerge w:val="continue"/>
                  <w:vAlign w:val="center"/>
                </w:tcPr>
                <w:p w14:paraId="16CA00F3">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503B2807">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0180B205">
                  <w:pPr>
                    <w:spacing w:line="240" w:lineRule="auto"/>
                    <w:ind w:firstLine="0" w:firstLineChars="0"/>
                    <w:contextualSpacing/>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采出液装载废气</w:t>
                  </w:r>
                </w:p>
              </w:tc>
              <w:tc>
                <w:tcPr>
                  <w:tcW w:w="2084" w:type="pct"/>
                  <w:vAlign w:val="center"/>
                </w:tcPr>
                <w:p w14:paraId="0AFEC010">
                  <w:pPr>
                    <w:spacing w:line="240" w:lineRule="auto"/>
                    <w:ind w:firstLine="0" w:firstLineChars="0"/>
                    <w:contextualSpacing/>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无组织排放</w:t>
                  </w:r>
                </w:p>
              </w:tc>
              <w:tc>
                <w:tcPr>
                  <w:tcW w:w="1357" w:type="pct"/>
                  <w:vMerge w:val="continue"/>
                  <w:vAlign w:val="center"/>
                </w:tcPr>
                <w:p w14:paraId="241DFD65">
                  <w:pPr>
                    <w:pStyle w:val="23"/>
                    <w:rPr>
                      <w:rFonts w:hint="default" w:ascii="Times New Roman" w:hAnsi="Times New Roman" w:cs="Times New Roman"/>
                      <w:color w:val="000000" w:themeColor="text1"/>
                      <w14:textFill>
                        <w14:solidFill>
                          <w14:schemeClr w14:val="tx1"/>
                        </w14:solidFill>
                      </w14:textFill>
                    </w:rPr>
                  </w:pPr>
                </w:p>
              </w:tc>
            </w:tr>
            <w:tr w14:paraId="6EB2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444" w:type="pct"/>
                  <w:vMerge w:val="restart"/>
                  <w:vAlign w:val="center"/>
                </w:tcPr>
                <w:p w14:paraId="1450D00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废水</w:t>
                  </w:r>
                </w:p>
              </w:tc>
              <w:tc>
                <w:tcPr>
                  <w:tcW w:w="456" w:type="pct"/>
                  <w:vMerge w:val="restart"/>
                  <w:vAlign w:val="center"/>
                </w:tcPr>
                <w:p w14:paraId="45FFB86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w:t>
                  </w:r>
                </w:p>
              </w:tc>
              <w:tc>
                <w:tcPr>
                  <w:tcW w:w="657" w:type="pct"/>
                  <w:vAlign w:val="center"/>
                </w:tcPr>
                <w:p w14:paraId="42107CB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洗井废水</w:t>
                  </w:r>
                </w:p>
              </w:tc>
              <w:tc>
                <w:tcPr>
                  <w:tcW w:w="2084" w:type="pct"/>
                  <w:vAlign w:val="center"/>
                </w:tcPr>
                <w:p w14:paraId="12F0A91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作业单位自带回收罐回收，洗井废水拉运至</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处理达标后回注油藏</w:t>
                  </w:r>
                </w:p>
              </w:tc>
              <w:tc>
                <w:tcPr>
                  <w:tcW w:w="1357" w:type="pct"/>
                  <w:vAlign w:val="center"/>
                </w:tcPr>
                <w:p w14:paraId="0432736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不外排</w:t>
                  </w:r>
                </w:p>
              </w:tc>
            </w:tr>
            <w:tr w14:paraId="5552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444" w:type="pct"/>
                  <w:vMerge w:val="continue"/>
                  <w:vAlign w:val="center"/>
                </w:tcPr>
                <w:p w14:paraId="196207FB">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4B912D5B">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0E31C1C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压裂返排液</w:t>
                  </w:r>
                </w:p>
              </w:tc>
              <w:tc>
                <w:tcPr>
                  <w:tcW w:w="2084" w:type="pct"/>
                  <w:vAlign w:val="center"/>
                </w:tcPr>
                <w:p w14:paraId="5E3D032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压裂返排液入方罐，拉运至</w:t>
                  </w:r>
                  <w:r>
                    <w:rPr>
                      <w:rFonts w:hint="default" w:ascii="Times New Roman" w:hAnsi="Times New Roman" w:cs="Times New Roman"/>
                      <w:color w:val="000000" w:themeColor="text1"/>
                      <w:lang w:eastAsia="zh-CN"/>
                      <w14:textFill>
                        <w14:solidFill>
                          <w14:schemeClr w14:val="tx1"/>
                        </w14:solidFill>
                      </w14:textFill>
                    </w:rPr>
                    <w:t>石西集中处理站</w:t>
                  </w:r>
                  <w:r>
                    <w:rPr>
                      <w:rFonts w:hint="default" w:ascii="Times New Roman" w:hAnsi="Times New Roman" w:cs="Times New Roman"/>
                      <w:color w:val="000000" w:themeColor="text1"/>
                      <w14:textFill>
                        <w14:solidFill>
                          <w14:schemeClr w14:val="tx1"/>
                        </w14:solidFill>
                      </w14:textFill>
                    </w:rPr>
                    <w:t>污水处理系统处理，污水处理后达到《碎屑岩油藏注水水质指标技术要求及分析方法》（SY/T5329-2022）中标准限值后回注油藏</w:t>
                  </w:r>
                </w:p>
              </w:tc>
              <w:tc>
                <w:tcPr>
                  <w:tcW w:w="1357" w:type="pct"/>
                  <w:vAlign w:val="center"/>
                </w:tcPr>
                <w:p w14:paraId="6E3D987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不外排</w:t>
                  </w:r>
                </w:p>
              </w:tc>
            </w:tr>
            <w:tr w14:paraId="2CFB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444" w:type="pct"/>
                  <w:vMerge w:val="continue"/>
                  <w:vAlign w:val="center"/>
                </w:tcPr>
                <w:p w14:paraId="719F0D35">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39523339">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240D308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w:t>
                  </w:r>
                </w:p>
              </w:tc>
              <w:tc>
                <w:tcPr>
                  <w:tcW w:w="2084" w:type="pct"/>
                  <w:vAlign w:val="center"/>
                </w:tcPr>
                <w:p w14:paraId="159BBDE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排入防渗污水收集池，清运至乌尔禾污水处理厂处理</w:t>
                  </w:r>
                </w:p>
              </w:tc>
              <w:tc>
                <w:tcPr>
                  <w:tcW w:w="1357" w:type="pct"/>
                  <w:vAlign w:val="center"/>
                </w:tcPr>
                <w:p w14:paraId="10CEF63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不外排</w:t>
                  </w:r>
                </w:p>
              </w:tc>
            </w:tr>
            <w:tr w14:paraId="6244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444" w:type="pct"/>
                  <w:vMerge w:val="restart"/>
                  <w:vAlign w:val="center"/>
                </w:tcPr>
                <w:p w14:paraId="142B0B9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固废</w:t>
                  </w:r>
                </w:p>
              </w:tc>
              <w:tc>
                <w:tcPr>
                  <w:tcW w:w="456" w:type="pct"/>
                  <w:vMerge w:val="restart"/>
                  <w:vAlign w:val="center"/>
                </w:tcPr>
                <w:p w14:paraId="6D2A3EE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w:t>
                  </w:r>
                </w:p>
              </w:tc>
              <w:tc>
                <w:tcPr>
                  <w:tcW w:w="657" w:type="pct"/>
                  <w:vAlign w:val="center"/>
                </w:tcPr>
                <w:p w14:paraId="71CF1AB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水基岩屑</w:t>
                  </w:r>
                </w:p>
              </w:tc>
              <w:tc>
                <w:tcPr>
                  <w:tcW w:w="2084" w:type="pct"/>
                  <w:vAlign w:val="center"/>
                </w:tcPr>
                <w:p w14:paraId="1E552C8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水基岩屑交岩屑处置单位处置</w:t>
                  </w:r>
                </w:p>
              </w:tc>
              <w:tc>
                <w:tcPr>
                  <w:tcW w:w="1357" w:type="pct"/>
                  <w:vAlign w:val="center"/>
                </w:tcPr>
                <w:p w14:paraId="62F522D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《油气田钻井固体废物综合利用污染控制要求》（DB65/T 3997-2017）中综合利用污染物限值</w:t>
                  </w:r>
                </w:p>
              </w:tc>
            </w:tr>
            <w:tr w14:paraId="5CC2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44" w:type="pct"/>
                  <w:vMerge w:val="continue"/>
                  <w:vAlign w:val="center"/>
                </w:tcPr>
                <w:p w14:paraId="296482AC">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7C87D516">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4016EBE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机械设备废油</w:t>
                  </w:r>
                </w:p>
              </w:tc>
              <w:tc>
                <w:tcPr>
                  <w:tcW w:w="2084" w:type="pct"/>
                  <w:vAlign w:val="center"/>
                </w:tcPr>
                <w:p w14:paraId="434704B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暂存于危废贮存点，定期</w:t>
                  </w:r>
                  <w:r>
                    <w:rPr>
                      <w:rFonts w:hint="default" w:ascii="Times New Roman" w:hAnsi="Times New Roman" w:cs="Times New Roman"/>
                      <w:color w:val="000000" w:themeColor="text1"/>
                      <w14:textFill>
                        <w14:solidFill>
                          <w14:schemeClr w14:val="tx1"/>
                        </w14:solidFill>
                      </w14:textFill>
                    </w:rPr>
                    <w:t>委托有资质单位处置</w:t>
                  </w:r>
                </w:p>
              </w:tc>
              <w:tc>
                <w:tcPr>
                  <w:tcW w:w="1357" w:type="pct"/>
                  <w:vAlign w:val="center"/>
                </w:tcPr>
                <w:p w14:paraId="2533458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7837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44" w:type="pct"/>
                  <w:vMerge w:val="continue"/>
                  <w:vAlign w:val="center"/>
                </w:tcPr>
                <w:p w14:paraId="40481465">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014B9B0B">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5960170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废弃防渗膜</w:t>
                  </w:r>
                </w:p>
              </w:tc>
              <w:tc>
                <w:tcPr>
                  <w:tcW w:w="2084" w:type="pct"/>
                  <w:vAlign w:val="center"/>
                </w:tcPr>
                <w:p w14:paraId="3702A1C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暂存于危废贮存点，定期</w:t>
                  </w:r>
                  <w:r>
                    <w:rPr>
                      <w:rFonts w:hint="default" w:ascii="Times New Roman" w:hAnsi="Times New Roman" w:cs="Times New Roman"/>
                      <w:color w:val="000000" w:themeColor="text1"/>
                      <w14:textFill>
                        <w14:solidFill>
                          <w14:schemeClr w14:val="tx1"/>
                        </w14:solidFill>
                      </w14:textFill>
                    </w:rPr>
                    <w:t>委托有资质单位处置</w:t>
                  </w:r>
                </w:p>
              </w:tc>
              <w:tc>
                <w:tcPr>
                  <w:tcW w:w="1357" w:type="pct"/>
                  <w:vAlign w:val="center"/>
                </w:tcPr>
                <w:p w14:paraId="4C090E3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296B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444" w:type="pct"/>
                  <w:vMerge w:val="continue"/>
                  <w:vAlign w:val="center"/>
                </w:tcPr>
                <w:p w14:paraId="319E74A2">
                  <w:pPr>
                    <w:pStyle w:val="23"/>
                    <w:rPr>
                      <w:rFonts w:hint="default" w:ascii="Times New Roman" w:hAnsi="Times New Roman" w:cs="Times New Roman"/>
                      <w:color w:val="000000" w:themeColor="text1"/>
                      <w14:textFill>
                        <w14:solidFill>
                          <w14:schemeClr w14:val="tx1"/>
                        </w14:solidFill>
                      </w14:textFill>
                    </w:rPr>
                  </w:pPr>
                </w:p>
              </w:tc>
              <w:tc>
                <w:tcPr>
                  <w:tcW w:w="456" w:type="pct"/>
                  <w:vAlign w:val="center"/>
                </w:tcPr>
                <w:p w14:paraId="38A7D9A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w:t>
                  </w:r>
                </w:p>
                <w:p w14:paraId="1142A0D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营地</w:t>
                  </w:r>
                </w:p>
              </w:tc>
              <w:tc>
                <w:tcPr>
                  <w:tcW w:w="657" w:type="pct"/>
                  <w:vAlign w:val="center"/>
                </w:tcPr>
                <w:p w14:paraId="300EAB6A">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w:t>
                  </w:r>
                </w:p>
              </w:tc>
              <w:tc>
                <w:tcPr>
                  <w:tcW w:w="2084" w:type="pct"/>
                  <w:vAlign w:val="center"/>
                </w:tcPr>
                <w:p w14:paraId="4ED2D45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生活垃圾拉运至乌尔禾区生活垃圾填埋场填埋处置</w:t>
                  </w:r>
                </w:p>
              </w:tc>
              <w:tc>
                <w:tcPr>
                  <w:tcW w:w="1357" w:type="pct"/>
                  <w:vAlign w:val="center"/>
                </w:tcPr>
                <w:p w14:paraId="1CCF8DA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r>
            <w:tr w14:paraId="7F93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444" w:type="pct"/>
                  <w:vMerge w:val="restart"/>
                  <w:vAlign w:val="center"/>
                </w:tcPr>
                <w:p w14:paraId="12FEA40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w:t>
                  </w:r>
                </w:p>
              </w:tc>
              <w:tc>
                <w:tcPr>
                  <w:tcW w:w="456" w:type="pct"/>
                  <w:vMerge w:val="restart"/>
                  <w:vAlign w:val="center"/>
                </w:tcPr>
                <w:p w14:paraId="396CC2C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井场、道路及生活营地</w:t>
                  </w:r>
                </w:p>
              </w:tc>
              <w:tc>
                <w:tcPr>
                  <w:tcW w:w="657" w:type="pct"/>
                  <w:vAlign w:val="center"/>
                </w:tcPr>
                <w:p w14:paraId="3C79B34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生态恢复</w:t>
                  </w:r>
                </w:p>
              </w:tc>
              <w:tc>
                <w:tcPr>
                  <w:tcW w:w="3441" w:type="pct"/>
                  <w:gridSpan w:val="2"/>
                  <w:vAlign w:val="center"/>
                </w:tcPr>
                <w:p w14:paraId="681E7EA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生态保护措施落实情况；临时占地清理平整，植被自然恢复</w:t>
                  </w:r>
                </w:p>
              </w:tc>
            </w:tr>
            <w:tr w14:paraId="6A89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444" w:type="pct"/>
                  <w:vMerge w:val="continue"/>
                  <w:vAlign w:val="center"/>
                </w:tcPr>
                <w:p w14:paraId="598763FE">
                  <w:pPr>
                    <w:pStyle w:val="23"/>
                    <w:rPr>
                      <w:rFonts w:hint="default" w:ascii="Times New Roman" w:hAnsi="Times New Roman" w:cs="Times New Roman"/>
                      <w:color w:val="000000" w:themeColor="text1"/>
                      <w14:textFill>
                        <w14:solidFill>
                          <w14:schemeClr w14:val="tx1"/>
                        </w14:solidFill>
                      </w14:textFill>
                    </w:rPr>
                  </w:pPr>
                </w:p>
              </w:tc>
              <w:tc>
                <w:tcPr>
                  <w:tcW w:w="456" w:type="pct"/>
                  <w:vMerge w:val="continue"/>
                  <w:vAlign w:val="center"/>
                </w:tcPr>
                <w:p w14:paraId="47E71AF6">
                  <w:pPr>
                    <w:pStyle w:val="23"/>
                    <w:rPr>
                      <w:rFonts w:hint="default" w:ascii="Times New Roman" w:hAnsi="Times New Roman" w:cs="Times New Roman"/>
                      <w:color w:val="000000" w:themeColor="text1"/>
                      <w14:textFill>
                        <w14:solidFill>
                          <w14:schemeClr w14:val="tx1"/>
                        </w14:solidFill>
                      </w14:textFill>
                    </w:rPr>
                  </w:pPr>
                </w:p>
              </w:tc>
              <w:tc>
                <w:tcPr>
                  <w:tcW w:w="657" w:type="pct"/>
                  <w:vAlign w:val="center"/>
                </w:tcPr>
                <w:p w14:paraId="266845A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野生动物及植被</w:t>
                  </w:r>
                </w:p>
              </w:tc>
              <w:tc>
                <w:tcPr>
                  <w:tcW w:w="3441" w:type="pct"/>
                  <w:gridSpan w:val="2"/>
                  <w:vAlign w:val="center"/>
                </w:tcPr>
                <w:p w14:paraId="6EB4018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严禁滥捕保护动物，严禁乱碾乱轧，毁坏植被；禁止车辆离开道路行驶，保护野生动物生境和生物多样性</w:t>
                  </w:r>
                </w:p>
              </w:tc>
            </w:tr>
            <w:tr w14:paraId="1A7E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8" w:type="pct"/>
                  <w:gridSpan w:val="3"/>
                  <w:vAlign w:val="center"/>
                </w:tcPr>
                <w:p w14:paraId="07BD6B8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环境管理</w:t>
                  </w:r>
                </w:p>
              </w:tc>
              <w:tc>
                <w:tcPr>
                  <w:tcW w:w="3441" w:type="pct"/>
                  <w:gridSpan w:val="2"/>
                  <w:vAlign w:val="center"/>
                </w:tcPr>
                <w:p w14:paraId="35959ED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环境管理制度是否建立并完善，环保机构及人员是否设置到位；是否保留必要的影像资料</w:t>
                  </w:r>
                </w:p>
              </w:tc>
            </w:tr>
            <w:tr w14:paraId="1244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558" w:type="pct"/>
                  <w:gridSpan w:val="3"/>
                  <w:vAlign w:val="center"/>
                </w:tcPr>
                <w:p w14:paraId="5EE80F1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环境风险措施</w:t>
                  </w:r>
                </w:p>
              </w:tc>
              <w:tc>
                <w:tcPr>
                  <w:tcW w:w="3441" w:type="pct"/>
                  <w:gridSpan w:val="2"/>
                  <w:vAlign w:val="center"/>
                </w:tcPr>
                <w:p w14:paraId="7B85BD4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配备灭火装置、应急点火系统、钻井井口防喷器等</w:t>
                  </w:r>
                </w:p>
              </w:tc>
            </w:tr>
          </w:tbl>
          <w:p w14:paraId="33FEE947">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（1）在建设项目竣工后、正式投入生产或运行前，企业按照环境影响报告表及其批复文件要求，对与主体工程配套建设的环境保护设施落实情况进行查验。</w:t>
            </w:r>
          </w:p>
          <w:p w14:paraId="15FE9C29">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按照环境保护主管部门制定的竣工环境保护验收技术规范，企业自行编制或委托具备相应技术能力的机构，对建设项目环境保护设施落实情况进行调查，开展相关环境监测，编制竣工环境保护验收调查（监测）报告。企业、验收调查（监测）机构及其相关人员对验收调查（监测）报告结论终身负责。</w:t>
            </w:r>
          </w:p>
          <w:p w14:paraId="0FD46DB0">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（3）验收调查（监测）报告编制完成后，由企业法人组织对建设项目环境保护设施和环境保护措施进行验收，形成书面报告备查，并向社会公开。</w:t>
            </w:r>
          </w:p>
          <w:p w14:paraId="1304C175">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企业自行组织竣工环境保护验收时，应成立验收组，对建设项目环境保护设施及其他环境保护措施进行资料审查、现场踏勘，形成验收意见，验收组成员名单附后。验收意见应经三分之二以上验收组成员同意。</w:t>
            </w:r>
          </w:p>
          <w:p w14:paraId="0CCD82A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（5）企业应对验收意见中提出的环保问题进行整改。环境保护设施未经验收或者验收不合格的，建设项目主体工程不得投入生产或者使用。</w:t>
            </w:r>
          </w:p>
        </w:tc>
      </w:tr>
      <w:tr w14:paraId="415AD1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75" w:hRule="atLeast"/>
          <w:jc w:val="center"/>
        </w:trPr>
        <w:tc>
          <w:tcPr>
            <w:tcW w:w="753" w:type="dxa"/>
            <w:tcMar>
              <w:left w:w="28" w:type="dxa"/>
              <w:right w:w="28" w:type="dxa"/>
            </w:tcMar>
            <w:vAlign w:val="center"/>
          </w:tcPr>
          <w:p w14:paraId="2605FCB5">
            <w:pPr>
              <w:spacing w:line="240" w:lineRule="auto"/>
              <w:ind w:firstLine="0" w:firstLineChars="0"/>
              <w:jc w:val="center"/>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运营期生态环境保护措施</w:t>
            </w:r>
          </w:p>
        </w:tc>
        <w:tc>
          <w:tcPr>
            <w:tcW w:w="8457" w:type="dxa"/>
            <w:vAlign w:val="center"/>
          </w:tcPr>
          <w:p w14:paraId="259C8193">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本项目无营运期，试油结束后视试油结果决定是否转为生产井，若可转为生产井，则应当在产能开发建设前开展环境影响评价工作。如发现该井不具开发价值或目的层不含油，则进行封井。</w:t>
            </w:r>
          </w:p>
          <w:p w14:paraId="717B85DA">
            <w:pPr>
              <w:ind w:firstLine="48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封井需拆除井口装置，最后进行场地清理，清除各种固体废弃物，清除井场及临时道路砂砾石铺垫，对井场、进场道路等临时占地进行平整，植被自然恢复。根据《废弃井封井回填技术指南（试行）》中的相关要求，对井口进行封井回填，回填前先摸清废弃井（筒）管现状。回填材料应无污染，不得使用可能对地下水造成污染的材料。回填后，应开展井盖封堵或密闭填充，确保地表污染物不进入井内，各层位地下水不连通。</w:t>
            </w:r>
          </w:p>
          <w:p w14:paraId="6B59B08F">
            <w:pPr>
              <w:ind w:firstLine="480"/>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封井施工操作中应注意采取降尘措施，文明施工，防止水泥等的洒落与飘散，同时在清理井场时防止产生飞灰、扬尘的产生，尽可能降低对周边大气环境的影响。另外，井场清理等工作还会产生部分废弃建筑残渣等固体废物，对这些残渣应进行集中清理收集，外运至指定处理场填埋处理。</w:t>
            </w:r>
          </w:p>
        </w:tc>
      </w:tr>
      <w:tr w14:paraId="2D2F5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51" w:hRule="atLeast"/>
          <w:jc w:val="center"/>
        </w:trPr>
        <w:tc>
          <w:tcPr>
            <w:tcW w:w="753" w:type="dxa"/>
            <w:vAlign w:val="center"/>
          </w:tcPr>
          <w:p w14:paraId="73111BCE">
            <w:pPr>
              <w:ind w:firstLine="0" w:firstLineChars="0"/>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其他</w:t>
            </w:r>
          </w:p>
        </w:tc>
        <w:tc>
          <w:tcPr>
            <w:tcW w:w="8457" w:type="dxa"/>
            <w:vAlign w:val="center"/>
          </w:tcPr>
          <w:p w14:paraId="274B1397">
            <w:pPr>
              <w:ind w:firstLine="520"/>
              <w:jc w:val="center"/>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pacing w:val="10"/>
                <w:szCs w:val="21"/>
                <w14:textFill>
                  <w14:solidFill>
                    <w14:schemeClr w14:val="tx1"/>
                  </w14:solidFill>
                </w14:textFill>
              </w:rPr>
              <w:t>无</w:t>
            </w:r>
          </w:p>
        </w:tc>
      </w:tr>
      <w:tr w14:paraId="6A3D6C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49" w:hRule="atLeast"/>
          <w:jc w:val="center"/>
        </w:trPr>
        <w:tc>
          <w:tcPr>
            <w:tcW w:w="753" w:type="dxa"/>
            <w:vAlign w:val="center"/>
          </w:tcPr>
          <w:p w14:paraId="3A6BD730">
            <w:pPr>
              <w:ind w:firstLine="0" w:firstLineChars="0"/>
              <w:rPr>
                <w:rFonts w:hint="default" w:ascii="Times New Roman" w:hAnsi="Times New Roman" w:cs="Times New Roman"/>
                <w:bCs/>
                <w:color w:val="000000" w:themeColor="text1"/>
                <w:spacing w:val="10"/>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环保投资</w:t>
            </w:r>
          </w:p>
        </w:tc>
        <w:tc>
          <w:tcPr>
            <w:tcW w:w="8457" w:type="dxa"/>
          </w:tcPr>
          <w:p w14:paraId="665CD18B">
            <w:pPr>
              <w:pStyle w:val="2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本项目总投资2</w:t>
            </w: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00万元，估算环保投资为11</w:t>
            </w:r>
            <w:r>
              <w:rPr>
                <w:rFonts w:hint="default"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万元，占总投资的5.</w:t>
            </w:r>
            <w:r>
              <w:rPr>
                <w:rFonts w:hint="default" w:ascii="Times New Roman" w:hAnsi="Times New Roman" w:cs="Times New Roman"/>
                <w:color w:val="000000" w:themeColor="text1"/>
                <w:sz w:val="24"/>
                <w:szCs w:val="24"/>
                <w:lang w:val="en-US" w:eastAsia="zh-CN"/>
                <w14:textFill>
                  <w14:solidFill>
                    <w14:schemeClr w14:val="tx1"/>
                  </w14:solidFill>
                </w14:textFill>
              </w:rPr>
              <w:t>17</w:t>
            </w:r>
            <w:r>
              <w:rPr>
                <w:rFonts w:hint="default" w:ascii="Times New Roman" w:hAnsi="Times New Roman" w:cs="Times New Roman"/>
                <w:color w:val="000000" w:themeColor="text1"/>
                <w:sz w:val="24"/>
                <w:szCs w:val="24"/>
                <w14:textFill>
                  <w14:solidFill>
                    <w14:schemeClr w14:val="tx1"/>
                  </w14:solidFill>
                </w14:textFill>
              </w:rPr>
              <w:t>%。本项目环保投资估算见表5-2。</w:t>
            </w:r>
          </w:p>
          <w:p w14:paraId="60E4FDA0">
            <w:pPr>
              <w:pStyle w:val="21"/>
              <w:spacing w:line="36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表5-2  工程环保投资估算</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460"/>
              <w:gridCol w:w="4188"/>
              <w:gridCol w:w="1734"/>
            </w:tblGrid>
            <w:tr w14:paraId="4075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14" w:type="pct"/>
                  <w:vAlign w:val="center"/>
                </w:tcPr>
                <w:p w14:paraId="3156F00D">
                  <w:pPr>
                    <w:pStyle w:val="23"/>
                    <w:rPr>
                      <w:rFonts w:hint="default" w:ascii="Times New Roman" w:hAnsi="Times New Roman" w:cs="Times New Roman"/>
                      <w:b/>
                      <w:bCs/>
                      <w:color w:val="000000" w:themeColor="text1"/>
                      <w14:textFill>
                        <w14:solidFill>
                          <w14:schemeClr w14:val="tx1"/>
                        </w14:solidFill>
                      </w14:textFill>
                    </w:rPr>
                  </w:pPr>
                  <w:bookmarkStart w:id="32" w:name="_Hlk48510648"/>
                  <w:bookmarkEnd w:id="32"/>
                  <w:r>
                    <w:rPr>
                      <w:rFonts w:hint="default" w:ascii="Times New Roman" w:hAnsi="Times New Roman" w:cs="Times New Roman"/>
                      <w:b/>
                      <w:bCs/>
                      <w:color w:val="000000" w:themeColor="text1"/>
                      <w14:textFill>
                        <w14:solidFill>
                          <w14:schemeClr w14:val="tx1"/>
                        </w14:solidFill>
                      </w14:textFill>
                    </w:rPr>
                    <w:t>序号</w:t>
                  </w:r>
                </w:p>
              </w:tc>
              <w:tc>
                <w:tcPr>
                  <w:tcW w:w="887" w:type="pct"/>
                  <w:vAlign w:val="center"/>
                </w:tcPr>
                <w:p w14:paraId="193606C4">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环保项目</w:t>
                  </w:r>
                </w:p>
              </w:tc>
              <w:tc>
                <w:tcPr>
                  <w:tcW w:w="2544" w:type="pct"/>
                  <w:vAlign w:val="center"/>
                </w:tcPr>
                <w:p w14:paraId="7F05D261">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主要内容</w:t>
                  </w:r>
                </w:p>
              </w:tc>
              <w:tc>
                <w:tcPr>
                  <w:tcW w:w="1053" w:type="pct"/>
                  <w:vAlign w:val="center"/>
                </w:tcPr>
                <w:p w14:paraId="22E7ED84">
                  <w:pPr>
                    <w:pStyle w:val="23"/>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投资（万元）</w:t>
                  </w:r>
                </w:p>
              </w:tc>
            </w:tr>
            <w:tr w14:paraId="5FAC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Merge w:val="restart"/>
                  <w:vAlign w:val="center"/>
                </w:tcPr>
                <w:p w14:paraId="281BBBA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887" w:type="pct"/>
                  <w:vMerge w:val="restart"/>
                  <w:vAlign w:val="center"/>
                </w:tcPr>
                <w:p w14:paraId="0ABF4E2C">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废水</w:t>
                  </w:r>
                </w:p>
              </w:tc>
              <w:tc>
                <w:tcPr>
                  <w:tcW w:w="2544" w:type="pct"/>
                  <w:vAlign w:val="center"/>
                </w:tcPr>
                <w:p w14:paraId="4D965BB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生活污水及试油废水依托处理</w:t>
                  </w:r>
                </w:p>
              </w:tc>
              <w:tc>
                <w:tcPr>
                  <w:tcW w:w="1053" w:type="pct"/>
                  <w:vAlign w:val="center"/>
                </w:tcPr>
                <w:p w14:paraId="69468CB1">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r>
            <w:tr w14:paraId="379F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Merge w:val="continue"/>
                  <w:vAlign w:val="center"/>
                </w:tcPr>
                <w:p w14:paraId="05DEBB4E">
                  <w:pPr>
                    <w:pStyle w:val="23"/>
                    <w:rPr>
                      <w:rFonts w:hint="default" w:ascii="Times New Roman" w:hAnsi="Times New Roman" w:cs="Times New Roman"/>
                      <w:color w:val="000000" w:themeColor="text1"/>
                      <w14:textFill>
                        <w14:solidFill>
                          <w14:schemeClr w14:val="tx1"/>
                        </w14:solidFill>
                      </w14:textFill>
                    </w:rPr>
                  </w:pPr>
                </w:p>
              </w:tc>
              <w:tc>
                <w:tcPr>
                  <w:tcW w:w="887" w:type="pct"/>
                  <w:vMerge w:val="continue"/>
                  <w:vAlign w:val="center"/>
                </w:tcPr>
                <w:p w14:paraId="361E7192">
                  <w:pPr>
                    <w:pStyle w:val="23"/>
                    <w:rPr>
                      <w:rFonts w:hint="default" w:ascii="Times New Roman" w:hAnsi="Times New Roman" w:cs="Times New Roman"/>
                      <w:color w:val="000000" w:themeColor="text1"/>
                      <w14:textFill>
                        <w14:solidFill>
                          <w14:schemeClr w14:val="tx1"/>
                        </w14:solidFill>
                      </w14:textFill>
                    </w:rPr>
                  </w:pPr>
                </w:p>
              </w:tc>
              <w:tc>
                <w:tcPr>
                  <w:tcW w:w="2544" w:type="pct"/>
                  <w:vAlign w:val="center"/>
                </w:tcPr>
                <w:p w14:paraId="432D1C03">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井场、防渗区域和生活污水收集池的防渗</w:t>
                  </w:r>
                </w:p>
              </w:tc>
              <w:tc>
                <w:tcPr>
                  <w:tcW w:w="1053" w:type="pct"/>
                  <w:vAlign w:val="center"/>
                </w:tcPr>
                <w:p w14:paraId="14D7B214">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w:t>
                  </w:r>
                </w:p>
              </w:tc>
            </w:tr>
            <w:tr w14:paraId="746F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Align w:val="center"/>
                </w:tcPr>
                <w:p w14:paraId="61ACDC4F">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c>
                <w:tcPr>
                  <w:tcW w:w="887" w:type="pct"/>
                  <w:vAlign w:val="center"/>
                </w:tcPr>
                <w:p w14:paraId="3FC0F9A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废气</w:t>
                  </w:r>
                </w:p>
              </w:tc>
              <w:tc>
                <w:tcPr>
                  <w:tcW w:w="2544" w:type="pct"/>
                  <w:vAlign w:val="center"/>
                </w:tcPr>
                <w:p w14:paraId="455EEF8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采取洒水、覆盖等防尘抑尘措施</w:t>
                  </w:r>
                </w:p>
              </w:tc>
              <w:tc>
                <w:tcPr>
                  <w:tcW w:w="1053" w:type="pct"/>
                  <w:vAlign w:val="center"/>
                </w:tcPr>
                <w:p w14:paraId="78AE3BB8">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r>
            <w:tr w14:paraId="5121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Align w:val="center"/>
                </w:tcPr>
                <w:p w14:paraId="39B7E75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p>
              </w:tc>
              <w:tc>
                <w:tcPr>
                  <w:tcW w:w="887" w:type="pct"/>
                  <w:vAlign w:val="center"/>
                </w:tcPr>
                <w:p w14:paraId="50A4ADDD">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噪声</w:t>
                  </w:r>
                </w:p>
              </w:tc>
              <w:tc>
                <w:tcPr>
                  <w:tcW w:w="2544" w:type="pct"/>
                  <w:vAlign w:val="center"/>
                </w:tcPr>
                <w:p w14:paraId="7E198BF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发电机、泥浆泵等设置隔声；为柴油机安装 消声器和</w:t>
                  </w:r>
                  <w:r>
                    <w:rPr>
                      <w:rFonts w:hint="eastAsia" w:cs="Times New Roman"/>
                      <w:color w:val="000000" w:themeColor="text1"/>
                      <w:lang w:val="en-US" w:eastAsia="zh-CN"/>
                      <w14:textFill>
                        <w14:solidFill>
                          <w14:schemeClr w14:val="tx1"/>
                        </w14:solidFill>
                      </w14:textFill>
                    </w:rPr>
                    <w:t>减振</w:t>
                  </w:r>
                  <w:r>
                    <w:rPr>
                      <w:rFonts w:hint="default" w:ascii="Times New Roman" w:hAnsi="Times New Roman" w:cs="Times New Roman"/>
                      <w:color w:val="000000" w:themeColor="text1"/>
                      <w:lang w:val="en-US" w:eastAsia="zh-CN"/>
                      <w14:textFill>
                        <w14:solidFill>
                          <w14:schemeClr w14:val="tx1"/>
                        </w14:solidFill>
                      </w14:textFill>
                    </w:rPr>
                    <w:t>基础等</w:t>
                  </w:r>
                </w:p>
              </w:tc>
              <w:tc>
                <w:tcPr>
                  <w:tcW w:w="1053" w:type="pct"/>
                  <w:vAlign w:val="center"/>
                </w:tcPr>
                <w:p w14:paraId="0807F73C">
                  <w:pPr>
                    <w:pStyle w:val="23"/>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r>
            <w:tr w14:paraId="3EEF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14" w:type="pct"/>
                  <w:vMerge w:val="restart"/>
                  <w:vAlign w:val="center"/>
                </w:tcPr>
                <w:p w14:paraId="546FCD4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p>
              </w:tc>
              <w:tc>
                <w:tcPr>
                  <w:tcW w:w="887" w:type="pct"/>
                  <w:vMerge w:val="restart"/>
                  <w:vAlign w:val="center"/>
                </w:tcPr>
                <w:p w14:paraId="50BC079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固废</w:t>
                  </w:r>
                </w:p>
              </w:tc>
              <w:tc>
                <w:tcPr>
                  <w:tcW w:w="2544" w:type="pct"/>
                  <w:vAlign w:val="center"/>
                </w:tcPr>
                <w:p w14:paraId="6830289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生活垃圾箱若干及生活垃圾清运</w:t>
                  </w:r>
                </w:p>
              </w:tc>
              <w:tc>
                <w:tcPr>
                  <w:tcW w:w="1053" w:type="pct"/>
                  <w:vAlign w:val="center"/>
                </w:tcPr>
                <w:p w14:paraId="5B8E3812">
                  <w:pPr>
                    <w:pStyle w:val="23"/>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r>
            <w:tr w14:paraId="5885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14" w:type="pct"/>
                  <w:vMerge w:val="continue"/>
                  <w:vAlign w:val="center"/>
                </w:tcPr>
                <w:p w14:paraId="617FA106">
                  <w:pPr>
                    <w:pStyle w:val="23"/>
                    <w:rPr>
                      <w:rFonts w:hint="default" w:ascii="Times New Roman" w:hAnsi="Times New Roman" w:cs="Times New Roman"/>
                      <w:color w:val="000000" w:themeColor="text1"/>
                      <w14:textFill>
                        <w14:solidFill>
                          <w14:schemeClr w14:val="tx1"/>
                        </w14:solidFill>
                      </w14:textFill>
                    </w:rPr>
                  </w:pPr>
                </w:p>
              </w:tc>
              <w:tc>
                <w:tcPr>
                  <w:tcW w:w="887" w:type="pct"/>
                  <w:vMerge w:val="continue"/>
                  <w:vAlign w:val="center"/>
                </w:tcPr>
                <w:p w14:paraId="4BDD3F5A">
                  <w:pPr>
                    <w:pStyle w:val="23"/>
                    <w:rPr>
                      <w:rFonts w:hint="default" w:ascii="Times New Roman" w:hAnsi="Times New Roman" w:cs="Times New Roman"/>
                      <w:color w:val="000000" w:themeColor="text1"/>
                      <w14:textFill>
                        <w14:solidFill>
                          <w14:schemeClr w14:val="tx1"/>
                        </w14:solidFill>
                      </w14:textFill>
                    </w:rPr>
                  </w:pPr>
                </w:p>
              </w:tc>
              <w:tc>
                <w:tcPr>
                  <w:tcW w:w="2544" w:type="pct"/>
                  <w:vAlign w:val="center"/>
                </w:tcPr>
                <w:p w14:paraId="51EDECDE">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危险废物委托处置</w:t>
                  </w:r>
                </w:p>
              </w:tc>
              <w:tc>
                <w:tcPr>
                  <w:tcW w:w="1053" w:type="pct"/>
                  <w:vAlign w:val="center"/>
                </w:tcPr>
                <w:p w14:paraId="7FCBA8A7">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p>
              </w:tc>
            </w:tr>
            <w:tr w14:paraId="16C1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Merge w:val="continue"/>
                  <w:vAlign w:val="center"/>
                </w:tcPr>
                <w:p w14:paraId="7C462B5A">
                  <w:pPr>
                    <w:pStyle w:val="23"/>
                    <w:rPr>
                      <w:rFonts w:hint="default" w:ascii="Times New Roman" w:hAnsi="Times New Roman" w:cs="Times New Roman"/>
                      <w:color w:val="000000" w:themeColor="text1"/>
                      <w14:textFill>
                        <w14:solidFill>
                          <w14:schemeClr w14:val="tx1"/>
                        </w14:solidFill>
                      </w14:textFill>
                    </w:rPr>
                  </w:pPr>
                </w:p>
              </w:tc>
              <w:tc>
                <w:tcPr>
                  <w:tcW w:w="887" w:type="pct"/>
                  <w:vMerge w:val="continue"/>
                  <w:vAlign w:val="center"/>
                </w:tcPr>
                <w:p w14:paraId="45CED82B">
                  <w:pPr>
                    <w:pStyle w:val="23"/>
                    <w:rPr>
                      <w:rFonts w:hint="default" w:ascii="Times New Roman" w:hAnsi="Times New Roman" w:cs="Times New Roman"/>
                      <w:color w:val="000000" w:themeColor="text1"/>
                      <w14:textFill>
                        <w14:solidFill>
                          <w14:schemeClr w14:val="tx1"/>
                        </w14:solidFill>
                      </w14:textFill>
                    </w:rPr>
                  </w:pPr>
                </w:p>
              </w:tc>
              <w:tc>
                <w:tcPr>
                  <w:tcW w:w="2544" w:type="pct"/>
                  <w:vAlign w:val="center"/>
                </w:tcPr>
                <w:p w14:paraId="64CD53F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泥浆不落地装置、岩屑委托</w:t>
                  </w:r>
                  <w:r>
                    <w:rPr>
                      <w:rFonts w:hint="default" w:ascii="Times New Roman" w:hAnsi="Times New Roman" w:cs="Times New Roman"/>
                      <w:color w:val="000000" w:themeColor="text1"/>
                      <w:lang w:val="en-US" w:eastAsia="zh-CN"/>
                      <w14:textFill>
                        <w14:solidFill>
                          <w14:schemeClr w14:val="tx1"/>
                        </w14:solidFill>
                      </w14:textFill>
                    </w:rPr>
                    <w:t>拉运</w:t>
                  </w:r>
                  <w:r>
                    <w:rPr>
                      <w:rFonts w:hint="default" w:ascii="Times New Roman" w:hAnsi="Times New Roman" w:cs="Times New Roman"/>
                      <w:color w:val="000000" w:themeColor="text1"/>
                      <w14:textFill>
                        <w14:solidFill>
                          <w14:schemeClr w14:val="tx1"/>
                        </w14:solidFill>
                      </w14:textFill>
                    </w:rPr>
                    <w:t>处理</w:t>
                  </w:r>
                </w:p>
              </w:tc>
              <w:tc>
                <w:tcPr>
                  <w:tcW w:w="1053" w:type="pct"/>
                  <w:vAlign w:val="center"/>
                </w:tcPr>
                <w:p w14:paraId="04A637F4">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80</w:t>
                  </w:r>
                </w:p>
              </w:tc>
            </w:tr>
            <w:tr w14:paraId="3632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Merge w:val="continue"/>
                  <w:vAlign w:val="center"/>
                </w:tcPr>
                <w:p w14:paraId="3B0D6787">
                  <w:pPr>
                    <w:pStyle w:val="23"/>
                    <w:rPr>
                      <w:rFonts w:hint="default" w:ascii="Times New Roman" w:hAnsi="Times New Roman" w:cs="Times New Roman"/>
                      <w:color w:val="000000" w:themeColor="text1"/>
                      <w14:textFill>
                        <w14:solidFill>
                          <w14:schemeClr w14:val="tx1"/>
                        </w14:solidFill>
                      </w14:textFill>
                    </w:rPr>
                  </w:pPr>
                </w:p>
              </w:tc>
              <w:tc>
                <w:tcPr>
                  <w:tcW w:w="887" w:type="pct"/>
                  <w:vMerge w:val="continue"/>
                  <w:vAlign w:val="center"/>
                </w:tcPr>
                <w:p w14:paraId="17868C69">
                  <w:pPr>
                    <w:pStyle w:val="23"/>
                    <w:rPr>
                      <w:rFonts w:hint="default" w:ascii="Times New Roman" w:hAnsi="Times New Roman" w:cs="Times New Roman"/>
                      <w:color w:val="000000" w:themeColor="text1"/>
                      <w14:textFill>
                        <w14:solidFill>
                          <w14:schemeClr w14:val="tx1"/>
                        </w14:solidFill>
                      </w14:textFill>
                    </w:rPr>
                  </w:pPr>
                </w:p>
              </w:tc>
              <w:tc>
                <w:tcPr>
                  <w:tcW w:w="2544" w:type="pct"/>
                  <w:vAlign w:val="center"/>
                </w:tcPr>
                <w:p w14:paraId="3918A94B">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危废贮存点</w:t>
                  </w:r>
                </w:p>
              </w:tc>
              <w:tc>
                <w:tcPr>
                  <w:tcW w:w="1053" w:type="pct"/>
                  <w:vAlign w:val="center"/>
                </w:tcPr>
                <w:p w14:paraId="657C7D4C">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r>
            <w:tr w14:paraId="26CE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Merge w:val="restart"/>
                  <w:vAlign w:val="center"/>
                </w:tcPr>
                <w:p w14:paraId="0D5535B1">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p>
              </w:tc>
              <w:tc>
                <w:tcPr>
                  <w:tcW w:w="887" w:type="pct"/>
                  <w:vMerge w:val="restart"/>
                  <w:vAlign w:val="center"/>
                </w:tcPr>
                <w:p w14:paraId="3877D999">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环境风险</w:t>
                  </w:r>
                </w:p>
              </w:tc>
              <w:tc>
                <w:tcPr>
                  <w:tcW w:w="2544" w:type="pct"/>
                  <w:vAlign w:val="center"/>
                </w:tcPr>
                <w:p w14:paraId="45D7A86B">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井控装置（井口防喷器、防止井喷）</w:t>
                  </w:r>
                </w:p>
              </w:tc>
              <w:tc>
                <w:tcPr>
                  <w:tcW w:w="1053" w:type="pct"/>
                  <w:vAlign w:val="center"/>
                </w:tcPr>
                <w:p w14:paraId="296A422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w:t>
                  </w:r>
                </w:p>
              </w:tc>
            </w:tr>
            <w:tr w14:paraId="4CFA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14" w:type="pct"/>
                  <w:vMerge w:val="continue"/>
                  <w:vAlign w:val="center"/>
                </w:tcPr>
                <w:p w14:paraId="6F012D6C">
                  <w:pPr>
                    <w:pStyle w:val="23"/>
                    <w:rPr>
                      <w:rFonts w:hint="default" w:ascii="Times New Roman" w:hAnsi="Times New Roman" w:cs="Times New Roman"/>
                      <w:color w:val="000000" w:themeColor="text1"/>
                      <w14:textFill>
                        <w14:solidFill>
                          <w14:schemeClr w14:val="tx1"/>
                        </w14:solidFill>
                      </w14:textFill>
                    </w:rPr>
                  </w:pPr>
                </w:p>
              </w:tc>
              <w:tc>
                <w:tcPr>
                  <w:tcW w:w="887" w:type="pct"/>
                  <w:vMerge w:val="continue"/>
                  <w:vAlign w:val="center"/>
                </w:tcPr>
                <w:p w14:paraId="5B51FEE7">
                  <w:pPr>
                    <w:pStyle w:val="23"/>
                    <w:rPr>
                      <w:rFonts w:hint="default" w:ascii="Times New Roman" w:hAnsi="Times New Roman" w:cs="Times New Roman"/>
                      <w:color w:val="000000" w:themeColor="text1"/>
                      <w14:textFill>
                        <w14:solidFill>
                          <w14:schemeClr w14:val="tx1"/>
                        </w14:solidFill>
                      </w14:textFill>
                    </w:rPr>
                  </w:pPr>
                </w:p>
              </w:tc>
              <w:tc>
                <w:tcPr>
                  <w:tcW w:w="2544" w:type="pct"/>
                  <w:vAlign w:val="center"/>
                </w:tcPr>
                <w:p w14:paraId="2A727FE2">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井场配备硫化氢检测仪，对现场硫化氢进行检测</w:t>
                  </w:r>
                </w:p>
              </w:tc>
              <w:tc>
                <w:tcPr>
                  <w:tcW w:w="1053" w:type="pct"/>
                  <w:vAlign w:val="center"/>
                </w:tcPr>
                <w:p w14:paraId="79A9EC3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p>
              </w:tc>
            </w:tr>
            <w:tr w14:paraId="457B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14" w:type="pct"/>
                  <w:vAlign w:val="center"/>
                </w:tcPr>
                <w:p w14:paraId="2083712C">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6</w:t>
                  </w:r>
                </w:p>
              </w:tc>
              <w:tc>
                <w:tcPr>
                  <w:tcW w:w="887" w:type="pct"/>
                  <w:vAlign w:val="center"/>
                </w:tcPr>
                <w:p w14:paraId="043674B0">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生态</w:t>
                  </w:r>
                </w:p>
              </w:tc>
              <w:tc>
                <w:tcPr>
                  <w:tcW w:w="2544" w:type="pct"/>
                  <w:vAlign w:val="center"/>
                </w:tcPr>
                <w:p w14:paraId="3FB0CD36">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施工临时占地进行清理、平整、铺垫砾石用于防沙治沙</w:t>
                  </w:r>
                </w:p>
              </w:tc>
              <w:tc>
                <w:tcPr>
                  <w:tcW w:w="1053" w:type="pct"/>
                  <w:vAlign w:val="center"/>
                </w:tcPr>
                <w:p w14:paraId="47177A11">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10</w:t>
                  </w:r>
                </w:p>
              </w:tc>
            </w:tr>
            <w:tr w14:paraId="4DDB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01" w:type="pct"/>
                  <w:gridSpan w:val="2"/>
                  <w:vAlign w:val="center"/>
                </w:tcPr>
                <w:p w14:paraId="67FE11F5">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总计</w:t>
                  </w:r>
                </w:p>
              </w:tc>
              <w:tc>
                <w:tcPr>
                  <w:tcW w:w="2544" w:type="pct"/>
                  <w:vAlign w:val="center"/>
                </w:tcPr>
                <w:p w14:paraId="34A5F15D">
                  <w:pPr>
                    <w:pStyle w:val="23"/>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w:t>
                  </w:r>
                </w:p>
              </w:tc>
              <w:tc>
                <w:tcPr>
                  <w:tcW w:w="1053" w:type="pct"/>
                  <w:vAlign w:val="center"/>
                </w:tcPr>
                <w:p w14:paraId="204B64D2">
                  <w:pPr>
                    <w:pStyle w:val="23"/>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119</w:t>
                  </w:r>
                </w:p>
              </w:tc>
            </w:tr>
          </w:tbl>
          <w:p w14:paraId="7C0049C4">
            <w:pPr>
              <w:ind w:firstLine="520"/>
              <w:rPr>
                <w:rFonts w:hint="default" w:ascii="Times New Roman" w:hAnsi="Times New Roman" w:cs="Times New Roman"/>
                <w:bCs/>
                <w:color w:val="000000" w:themeColor="text1"/>
                <w:spacing w:val="10"/>
                <w:szCs w:val="21"/>
                <w14:textFill>
                  <w14:solidFill>
                    <w14:schemeClr w14:val="tx1"/>
                  </w14:solidFill>
                </w14:textFill>
              </w:rPr>
            </w:pPr>
          </w:p>
        </w:tc>
      </w:tr>
    </w:tbl>
    <w:p w14:paraId="707B376D">
      <w:pPr>
        <w:ind w:firstLine="480"/>
        <w:rPr>
          <w:rFonts w:hint="default" w:ascii="Times New Roman" w:hAnsi="Times New Roman" w:cs="Times New Roman"/>
          <w:color w:val="000000" w:themeColor="text1"/>
          <w14:textFill>
            <w14:solidFill>
              <w14:schemeClr w14:val="tx1"/>
            </w14:solidFill>
          </w14:textFill>
        </w:rPr>
        <w:sectPr>
          <w:pgSz w:w="11907" w:h="16840"/>
          <w:pgMar w:top="1440" w:right="1797" w:bottom="1440" w:left="1797" w:header="851" w:footer="1077" w:gutter="0"/>
          <w:cols w:space="720" w:num="1"/>
          <w:docGrid w:linePitch="312" w:charSpace="0"/>
        </w:sectPr>
      </w:pPr>
    </w:p>
    <w:p w14:paraId="4AF07B25">
      <w:pPr>
        <w:keepNext/>
        <w:overflowPunct w:val="0"/>
        <w:spacing w:before="120" w:after="160" w:line="259" w:lineRule="auto"/>
        <w:ind w:left="432" w:firstLine="602"/>
        <w:jc w:val="center"/>
        <w:outlineLvl w:val="0"/>
        <w:rPr>
          <w:rFonts w:hint="default" w:ascii="Times New Roman" w:hAnsi="Times New Roman" w:eastAsia="黑体" w:cs="Times New Roman"/>
          <w:b/>
          <w:bCs/>
          <w:color w:val="000000" w:themeColor="text1"/>
          <w:kern w:val="44"/>
          <w:sz w:val="30"/>
          <w:szCs w:val="30"/>
          <w14:textFill>
            <w14:solidFill>
              <w14:schemeClr w14:val="tx1"/>
            </w14:solidFill>
          </w14:textFill>
        </w:rPr>
      </w:pPr>
      <w:bookmarkStart w:id="33" w:name="_Toc4872"/>
      <w:r>
        <w:rPr>
          <w:rFonts w:hint="default" w:ascii="Times New Roman" w:hAnsi="Times New Roman" w:eastAsia="黑体" w:cs="Times New Roman"/>
          <w:b/>
          <w:bCs/>
          <w:color w:val="000000" w:themeColor="text1"/>
          <w:kern w:val="44"/>
          <w:sz w:val="30"/>
          <w:szCs w:val="30"/>
          <w14:textFill>
            <w14:solidFill>
              <w14:schemeClr w14:val="tx1"/>
            </w14:solidFill>
          </w14:textFill>
        </w:rPr>
        <w:t>六、生态环境保护措施监督检查清单</w:t>
      </w:r>
      <w:bookmarkEnd w:id="33"/>
    </w:p>
    <w:tbl>
      <w:tblPr>
        <w:tblStyle w:val="1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2175"/>
        <w:gridCol w:w="2134"/>
        <w:gridCol w:w="1587"/>
        <w:gridCol w:w="1293"/>
      </w:tblGrid>
      <w:tr w14:paraId="21A91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restart"/>
            <w:tcBorders>
              <w:tl2br w:val="single" w:color="auto" w:sz="4" w:space="0"/>
            </w:tcBorders>
          </w:tcPr>
          <w:p w14:paraId="3A4B2CF0">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bookmarkStart w:id="34" w:name="_Toc30985"/>
            <w:r>
              <w:rPr>
                <w:rFonts w:hint="default" w:ascii="Times New Roman" w:hAnsi="Times New Roman" w:cs="Times New Roman"/>
                <w:b/>
                <w:bCs/>
                <w:color w:val="000000" w:themeColor="text1"/>
                <w:sz w:val="21"/>
                <w:szCs w:val="21"/>
                <w14:textFill>
                  <w14:solidFill>
                    <w14:schemeClr w14:val="tx1"/>
                  </w14:solidFill>
                </w14:textFill>
              </w:rPr>
              <w:t xml:space="preserve">     内容</w:t>
            </w:r>
            <w:bookmarkEnd w:id="34"/>
            <w:r>
              <w:rPr>
                <w:rFonts w:hint="default" w:ascii="Times New Roman" w:hAnsi="Times New Roman" w:cs="Times New Roman"/>
                <w:b/>
                <w:bCs/>
                <w:color w:val="000000" w:themeColor="text1"/>
                <w:sz w:val="21"/>
                <w:szCs w:val="21"/>
                <w14:textFill>
                  <w14:solidFill>
                    <w14:schemeClr w14:val="tx1"/>
                  </w14:solidFill>
                </w14:textFill>
              </w:rPr>
              <w:t xml:space="preserve">  </w:t>
            </w:r>
          </w:p>
          <w:p w14:paraId="31D4AB0A">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p>
          <w:p w14:paraId="0E3FBB98">
            <w:pPr>
              <w:spacing w:line="240" w:lineRule="auto"/>
              <w:ind w:firstLine="211" w:firstLineChars="100"/>
              <w:rPr>
                <w:rFonts w:hint="default" w:ascii="Times New Roman" w:hAnsi="Times New Roman" w:cs="Times New Roman"/>
                <w:b/>
                <w:bCs/>
                <w:color w:val="000000" w:themeColor="text1"/>
                <w:sz w:val="21"/>
                <w:szCs w:val="21"/>
                <w14:textFill>
                  <w14:solidFill>
                    <w14:schemeClr w14:val="tx1"/>
                  </w14:solidFill>
                </w14:textFill>
              </w:rPr>
            </w:pPr>
            <w:bookmarkStart w:id="35" w:name="_Toc28874"/>
            <w:r>
              <w:rPr>
                <w:rFonts w:hint="default" w:ascii="Times New Roman" w:hAnsi="Times New Roman" w:cs="Times New Roman"/>
                <w:b/>
                <w:bCs/>
                <w:color w:val="000000" w:themeColor="text1"/>
                <w:sz w:val="21"/>
                <w:szCs w:val="21"/>
                <w14:textFill>
                  <w14:solidFill>
                    <w14:schemeClr w14:val="tx1"/>
                  </w14:solidFill>
                </w14:textFill>
              </w:rPr>
              <w:t>要素</w:t>
            </w:r>
            <w:bookmarkEnd w:id="35"/>
          </w:p>
        </w:tc>
        <w:tc>
          <w:tcPr>
            <w:tcW w:w="2528" w:type="pct"/>
            <w:gridSpan w:val="2"/>
            <w:vAlign w:val="center"/>
          </w:tcPr>
          <w:p w14:paraId="26D28F4B">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bookmarkStart w:id="36" w:name="_Toc10600"/>
            <w:r>
              <w:rPr>
                <w:rFonts w:hint="default" w:ascii="Times New Roman" w:hAnsi="Times New Roman" w:cs="Times New Roman"/>
                <w:b/>
                <w:bCs/>
                <w:color w:val="000000" w:themeColor="text1"/>
                <w:sz w:val="21"/>
                <w:szCs w:val="21"/>
                <w14:textFill>
                  <w14:solidFill>
                    <w14:schemeClr w14:val="tx1"/>
                  </w14:solidFill>
                </w14:textFill>
              </w:rPr>
              <w:t>施工期</w:t>
            </w:r>
            <w:bookmarkEnd w:id="36"/>
          </w:p>
        </w:tc>
        <w:tc>
          <w:tcPr>
            <w:tcW w:w="1689" w:type="pct"/>
            <w:gridSpan w:val="2"/>
            <w:vAlign w:val="center"/>
          </w:tcPr>
          <w:p w14:paraId="1C5D389F">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bookmarkStart w:id="37" w:name="_Toc2143"/>
            <w:r>
              <w:rPr>
                <w:rFonts w:hint="default" w:ascii="Times New Roman" w:hAnsi="Times New Roman" w:cs="Times New Roman"/>
                <w:b/>
                <w:bCs/>
                <w:color w:val="000000" w:themeColor="text1"/>
                <w:sz w:val="21"/>
                <w:szCs w:val="21"/>
                <w14:textFill>
                  <w14:solidFill>
                    <w14:schemeClr w14:val="tx1"/>
                  </w14:solidFill>
                </w14:textFill>
              </w:rPr>
              <w:t>运营期</w:t>
            </w:r>
            <w:bookmarkEnd w:id="37"/>
          </w:p>
        </w:tc>
      </w:tr>
      <w:tr w14:paraId="35A4A0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tcPr>
          <w:p w14:paraId="3D06AC0F">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1276" w:type="pct"/>
            <w:vAlign w:val="center"/>
          </w:tcPr>
          <w:p w14:paraId="2E723828">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bookmarkStart w:id="38" w:name="_Toc22452"/>
            <w:r>
              <w:rPr>
                <w:rFonts w:hint="default" w:ascii="Times New Roman" w:hAnsi="Times New Roman" w:cs="Times New Roman"/>
                <w:b/>
                <w:bCs/>
                <w:color w:val="000000" w:themeColor="text1"/>
                <w:sz w:val="21"/>
                <w:szCs w:val="21"/>
                <w14:textFill>
                  <w14:solidFill>
                    <w14:schemeClr w14:val="tx1"/>
                  </w14:solidFill>
                </w14:textFill>
              </w:rPr>
              <w:t>环境保护措施</w:t>
            </w:r>
            <w:bookmarkEnd w:id="38"/>
          </w:p>
        </w:tc>
        <w:tc>
          <w:tcPr>
            <w:tcW w:w="1252" w:type="pct"/>
            <w:vAlign w:val="center"/>
          </w:tcPr>
          <w:p w14:paraId="3F2AF289">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bookmarkStart w:id="39" w:name="_Toc20726"/>
            <w:r>
              <w:rPr>
                <w:rFonts w:hint="default" w:ascii="Times New Roman" w:hAnsi="Times New Roman" w:cs="Times New Roman"/>
                <w:b/>
                <w:bCs/>
                <w:color w:val="000000" w:themeColor="text1"/>
                <w:sz w:val="21"/>
                <w:szCs w:val="21"/>
                <w14:textFill>
                  <w14:solidFill>
                    <w14:schemeClr w14:val="tx1"/>
                  </w14:solidFill>
                </w14:textFill>
              </w:rPr>
              <w:t>验收要求</w:t>
            </w:r>
            <w:bookmarkEnd w:id="39"/>
          </w:p>
        </w:tc>
        <w:tc>
          <w:tcPr>
            <w:tcW w:w="931" w:type="pct"/>
            <w:vAlign w:val="center"/>
          </w:tcPr>
          <w:p w14:paraId="07F45774">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bookmarkStart w:id="40" w:name="_Toc27550"/>
            <w:r>
              <w:rPr>
                <w:rFonts w:hint="default" w:ascii="Times New Roman" w:hAnsi="Times New Roman" w:cs="Times New Roman"/>
                <w:b/>
                <w:bCs/>
                <w:color w:val="000000" w:themeColor="text1"/>
                <w:sz w:val="21"/>
                <w:szCs w:val="21"/>
                <w14:textFill>
                  <w14:solidFill>
                    <w14:schemeClr w14:val="tx1"/>
                  </w14:solidFill>
                </w14:textFill>
              </w:rPr>
              <w:t>环境保护措施</w:t>
            </w:r>
            <w:bookmarkEnd w:id="40"/>
          </w:p>
        </w:tc>
        <w:tc>
          <w:tcPr>
            <w:tcW w:w="758" w:type="pct"/>
            <w:vAlign w:val="center"/>
          </w:tcPr>
          <w:p w14:paraId="4808327E">
            <w:pPr>
              <w:spacing w:line="240" w:lineRule="auto"/>
              <w:ind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bookmarkStart w:id="41" w:name="_Toc5071"/>
            <w:r>
              <w:rPr>
                <w:rFonts w:hint="default" w:ascii="Times New Roman" w:hAnsi="Times New Roman" w:cs="Times New Roman"/>
                <w:b/>
                <w:bCs/>
                <w:color w:val="000000" w:themeColor="text1"/>
                <w:sz w:val="21"/>
                <w:szCs w:val="21"/>
                <w14:textFill>
                  <w14:solidFill>
                    <w14:schemeClr w14:val="tx1"/>
                  </w14:solidFill>
                </w14:textFill>
              </w:rPr>
              <w:t>验收要求</w:t>
            </w:r>
            <w:bookmarkEnd w:id="41"/>
          </w:p>
        </w:tc>
      </w:tr>
      <w:tr w14:paraId="628918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58121D3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陆生生态</w:t>
            </w:r>
          </w:p>
        </w:tc>
        <w:tc>
          <w:tcPr>
            <w:tcW w:w="1276" w:type="pct"/>
            <w:vAlign w:val="center"/>
          </w:tcPr>
          <w:p w14:paraId="72B91F0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临时占地清理平整，植被自然恢复</w:t>
            </w:r>
          </w:p>
        </w:tc>
        <w:tc>
          <w:tcPr>
            <w:tcW w:w="1252" w:type="pct"/>
            <w:vAlign w:val="center"/>
          </w:tcPr>
          <w:p w14:paraId="009762E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核实临时占地清理平整情况，植被自然恢复情况</w:t>
            </w:r>
          </w:p>
        </w:tc>
        <w:tc>
          <w:tcPr>
            <w:tcW w:w="931" w:type="pct"/>
            <w:vAlign w:val="center"/>
          </w:tcPr>
          <w:p w14:paraId="631C162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4747D7D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64C649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49E8982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水生生态</w:t>
            </w:r>
          </w:p>
        </w:tc>
        <w:tc>
          <w:tcPr>
            <w:tcW w:w="1276" w:type="pct"/>
            <w:vAlign w:val="center"/>
          </w:tcPr>
          <w:p w14:paraId="5BCF2F0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252" w:type="pct"/>
            <w:vAlign w:val="center"/>
          </w:tcPr>
          <w:p w14:paraId="2C6DC41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931" w:type="pct"/>
            <w:vAlign w:val="center"/>
          </w:tcPr>
          <w:p w14:paraId="71BB404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6055F29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421FA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06E40C2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地表水环境</w:t>
            </w:r>
          </w:p>
        </w:tc>
        <w:tc>
          <w:tcPr>
            <w:tcW w:w="1276" w:type="pct"/>
            <w:vAlign w:val="center"/>
          </w:tcPr>
          <w:p w14:paraId="1EBBD5B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252" w:type="pct"/>
            <w:vAlign w:val="center"/>
          </w:tcPr>
          <w:p w14:paraId="31D253B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931" w:type="pct"/>
            <w:vAlign w:val="center"/>
          </w:tcPr>
          <w:p w14:paraId="26CDCD0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71015B2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11E79A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restart"/>
            <w:vAlign w:val="center"/>
          </w:tcPr>
          <w:p w14:paraId="0F0BD5E6">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地下水及土壤环境</w:t>
            </w:r>
          </w:p>
        </w:tc>
        <w:tc>
          <w:tcPr>
            <w:tcW w:w="1276" w:type="pct"/>
            <w:vAlign w:val="center"/>
          </w:tcPr>
          <w:p w14:paraId="0CC39C8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本项目钻井废水循环利用，试油期洗井废水全部回收，采用专用废液收集罐收集后运</w:t>
            </w:r>
            <w:r>
              <w:rPr>
                <w:rFonts w:hint="default" w:ascii="Times New Roman" w:hAnsi="Times New Roman" w:cs="Times New Roman"/>
                <w:color w:val="000000" w:themeColor="text1"/>
                <w:sz w:val="21"/>
                <w:szCs w:val="21"/>
                <w:lang w:eastAsia="zh-CN"/>
                <w14:textFill>
                  <w14:solidFill>
                    <w14:schemeClr w14:val="tx1"/>
                  </w14:solidFill>
                </w14:textFill>
              </w:rPr>
              <w:t>石西集中处理站</w:t>
            </w:r>
            <w:r>
              <w:rPr>
                <w:rFonts w:hint="default" w:ascii="Times New Roman" w:hAnsi="Times New Roman" w:cs="Times New Roman"/>
                <w:color w:val="000000" w:themeColor="text1"/>
                <w:sz w:val="21"/>
                <w:szCs w:val="21"/>
                <w14:textFill>
                  <w14:solidFill>
                    <w14:schemeClr w14:val="tx1"/>
                  </w14:solidFill>
                </w14:textFill>
              </w:rPr>
              <w:t>的污水处理系统处理达标后回注油藏</w:t>
            </w:r>
          </w:p>
        </w:tc>
        <w:tc>
          <w:tcPr>
            <w:tcW w:w="1252" w:type="pct"/>
            <w:vAlign w:val="center"/>
          </w:tcPr>
          <w:p w14:paraId="687B072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核实钻井废水循环利用情况，试油期洗井废水全部回收，采用专用废液收集罐收集后合规处置</w:t>
            </w:r>
          </w:p>
        </w:tc>
        <w:tc>
          <w:tcPr>
            <w:tcW w:w="931" w:type="pct"/>
            <w:vAlign w:val="center"/>
          </w:tcPr>
          <w:p w14:paraId="6FF3658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4534DDA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3B295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5CF4099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1276" w:type="pct"/>
            <w:vAlign w:val="center"/>
          </w:tcPr>
          <w:p w14:paraId="17AD91D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压裂返排液进入罐车拉运</w:t>
            </w:r>
            <w:r>
              <w:rPr>
                <w:rFonts w:hint="default" w:ascii="Times New Roman" w:hAnsi="Times New Roman" w:cs="Times New Roman"/>
                <w:color w:val="000000" w:themeColor="text1"/>
                <w:sz w:val="21"/>
                <w:szCs w:val="21"/>
                <w:lang w:eastAsia="zh-CN"/>
                <w14:textFill>
                  <w14:solidFill>
                    <w14:schemeClr w14:val="tx1"/>
                  </w14:solidFill>
                </w14:textFill>
              </w:rPr>
              <w:t>石西集中处理站</w:t>
            </w:r>
            <w:r>
              <w:rPr>
                <w:rFonts w:hint="default" w:ascii="Times New Roman" w:hAnsi="Times New Roman" w:cs="Times New Roman"/>
                <w:color w:val="000000" w:themeColor="text1"/>
                <w:sz w:val="21"/>
                <w:szCs w:val="21"/>
                <w14:textFill>
                  <w14:solidFill>
                    <w14:schemeClr w14:val="tx1"/>
                  </w14:solidFill>
                </w14:textFill>
              </w:rPr>
              <w:t>压裂返排液处理装置，处理达到《碎屑岩油藏注水水质指标技术要求及分析方法》（SY/T5329-2022）中标准后回注油藏</w:t>
            </w:r>
          </w:p>
        </w:tc>
        <w:tc>
          <w:tcPr>
            <w:tcW w:w="1252" w:type="pct"/>
            <w:vAlign w:val="center"/>
          </w:tcPr>
          <w:p w14:paraId="2CC8B2A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核实压裂返排液是否合规处置，核实是否达到《碎屑岩油藏注水水质指标技术要求及分析方法》（SY/T5329-2022）中标准后回注油藏，暂存池底泥属于危险废物，核实是否合规处置</w:t>
            </w:r>
          </w:p>
        </w:tc>
        <w:tc>
          <w:tcPr>
            <w:tcW w:w="931" w:type="pct"/>
            <w:vAlign w:val="center"/>
          </w:tcPr>
          <w:p w14:paraId="6456D5E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79EF501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364C1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68CA9D4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1276" w:type="pct"/>
            <w:vAlign w:val="center"/>
          </w:tcPr>
          <w:p w14:paraId="62B3E32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生活污水：排入防渗污水收集池，清运至乌尔禾污水处理厂处理</w:t>
            </w:r>
          </w:p>
        </w:tc>
        <w:tc>
          <w:tcPr>
            <w:tcW w:w="1252" w:type="pct"/>
            <w:vAlign w:val="center"/>
          </w:tcPr>
          <w:p w14:paraId="11D7DE62">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核实生活污水是否合规处置</w:t>
            </w:r>
          </w:p>
        </w:tc>
        <w:tc>
          <w:tcPr>
            <w:tcW w:w="931" w:type="pct"/>
            <w:vAlign w:val="center"/>
          </w:tcPr>
          <w:p w14:paraId="04B0CFE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0547075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63B7D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1200051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声环境</w:t>
            </w:r>
          </w:p>
        </w:tc>
        <w:tc>
          <w:tcPr>
            <w:tcW w:w="1276" w:type="pct"/>
            <w:vAlign w:val="center"/>
          </w:tcPr>
          <w:p w14:paraId="335A8AC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高噪声设备采取基础减振、隔声措施</w:t>
            </w:r>
          </w:p>
        </w:tc>
        <w:tc>
          <w:tcPr>
            <w:tcW w:w="1252" w:type="pct"/>
            <w:vAlign w:val="center"/>
          </w:tcPr>
          <w:p w14:paraId="78F9D0B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核实是否采用高噪声设备采取基础减振、隔声措施</w:t>
            </w:r>
          </w:p>
        </w:tc>
        <w:tc>
          <w:tcPr>
            <w:tcW w:w="931" w:type="pct"/>
            <w:vAlign w:val="center"/>
          </w:tcPr>
          <w:p w14:paraId="51788C0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7F3F3A7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39C8C7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42A8884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振动</w:t>
            </w:r>
          </w:p>
        </w:tc>
        <w:tc>
          <w:tcPr>
            <w:tcW w:w="1276" w:type="pct"/>
            <w:vAlign w:val="center"/>
          </w:tcPr>
          <w:p w14:paraId="5746D232">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252" w:type="pct"/>
            <w:vAlign w:val="center"/>
          </w:tcPr>
          <w:p w14:paraId="0C531FB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931" w:type="pct"/>
            <w:vAlign w:val="center"/>
          </w:tcPr>
          <w:p w14:paraId="666783B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4A572F8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7DEB4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4D1C024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大气环境</w:t>
            </w:r>
          </w:p>
        </w:tc>
        <w:tc>
          <w:tcPr>
            <w:tcW w:w="1276" w:type="pct"/>
            <w:vAlign w:val="center"/>
          </w:tcPr>
          <w:p w14:paraId="7180647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柴油废气：使用达标柴油，加强设备维护；</w:t>
            </w:r>
          </w:p>
          <w:p w14:paraId="70AB68B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扬尘：对易起尘物料遮盖；</w:t>
            </w:r>
          </w:p>
          <w:p w14:paraId="34C6A9C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施工机械废气、运输车辆尾气：选用合格油品，加强车辆管理；</w:t>
            </w:r>
          </w:p>
          <w:p w14:paraId="5285E20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伴生气：放散管燃放；</w:t>
            </w:r>
          </w:p>
          <w:p w14:paraId="4709703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临时储罐：无组织排放</w:t>
            </w:r>
            <w:r>
              <w:rPr>
                <w:rFonts w:hint="default" w:ascii="Times New Roman" w:hAnsi="Times New Roman" w:cs="Times New Roman"/>
                <w:color w:val="000000" w:themeColor="text1"/>
                <w14:textFill>
                  <w14:solidFill>
                    <w14:schemeClr w14:val="tx1"/>
                  </w14:solidFill>
                </w14:textFill>
              </w:rPr>
              <w:t>；</w:t>
            </w:r>
          </w:p>
          <w:p w14:paraId="46691A84">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采出液装载废气：无组织排放</w:t>
            </w:r>
          </w:p>
          <w:p w14:paraId="02EFA59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柴油卸车及储存无组织废气：无组织排放</w:t>
            </w:r>
          </w:p>
        </w:tc>
        <w:tc>
          <w:tcPr>
            <w:tcW w:w="1252" w:type="pct"/>
            <w:vAlign w:val="center"/>
          </w:tcPr>
          <w:p w14:paraId="4437242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柴油废气：核实是否使用达标柴油，加强设备维护；</w:t>
            </w:r>
          </w:p>
          <w:p w14:paraId="3606EF3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扬尘：核实是否对易起尘物料遮盖；</w:t>
            </w:r>
          </w:p>
          <w:p w14:paraId="31B1EAE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施工机械废气、运输车辆尾气：核实是否选用合格油品，加强车辆管理；</w:t>
            </w:r>
          </w:p>
          <w:p w14:paraId="413501E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伴生气：核实是否放散管燃放</w:t>
            </w:r>
            <w:r>
              <w:rPr>
                <w:rFonts w:hint="default" w:ascii="Times New Roman" w:hAnsi="Times New Roman" w:cs="Times New Roman"/>
                <w:color w:val="000000" w:themeColor="text1"/>
                <w14:textFill>
                  <w14:solidFill>
                    <w14:schemeClr w14:val="tx1"/>
                  </w14:solidFill>
                </w14:textFill>
              </w:rPr>
              <w:t>；</w:t>
            </w:r>
          </w:p>
          <w:p w14:paraId="7E6C33C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临时储罐：无组织排放</w:t>
            </w:r>
            <w:r>
              <w:rPr>
                <w:rFonts w:hint="default" w:ascii="Times New Roman" w:hAnsi="Times New Roman" w:cs="Times New Roman"/>
                <w:color w:val="000000" w:themeColor="text1"/>
                <w14:textFill>
                  <w14:solidFill>
                    <w14:schemeClr w14:val="tx1"/>
                  </w14:solidFill>
                </w14:textFill>
              </w:rPr>
              <w:t>；</w:t>
            </w:r>
          </w:p>
          <w:p w14:paraId="66517B2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采出液装载废气：无组织排放</w:t>
            </w:r>
          </w:p>
          <w:p w14:paraId="3F0B720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柴油卸车及储存无组织废气：无组织排放</w:t>
            </w:r>
          </w:p>
        </w:tc>
        <w:tc>
          <w:tcPr>
            <w:tcW w:w="931" w:type="pct"/>
            <w:vAlign w:val="center"/>
          </w:tcPr>
          <w:p w14:paraId="1A59C093">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7F0D4942">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42605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782" w:type="pct"/>
            <w:vMerge w:val="restart"/>
            <w:vAlign w:val="center"/>
          </w:tcPr>
          <w:p w14:paraId="0DAD9CA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固体废物</w:t>
            </w:r>
          </w:p>
        </w:tc>
        <w:tc>
          <w:tcPr>
            <w:tcW w:w="1276" w:type="pct"/>
            <w:vAlign w:val="center"/>
          </w:tcPr>
          <w:p w14:paraId="1E1C0EF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钻井岩屑：水基岩屑经“钻井泥浆不落地技术”分离后</w:t>
            </w:r>
            <w:r>
              <w:rPr>
                <w:rFonts w:hint="eastAsia" w:cs="Times New Roman"/>
                <w:color w:val="000000" w:themeColor="text1"/>
                <w:sz w:val="21"/>
                <w:szCs w:val="21"/>
                <w:lang w:val="en-US" w:eastAsia="zh-CN"/>
                <w14:textFill>
                  <w14:solidFill>
                    <w14:schemeClr w14:val="tx1"/>
                  </w14:solidFill>
                </w14:textFill>
              </w:rPr>
              <w:t>委托第三方合规处置</w:t>
            </w:r>
          </w:p>
        </w:tc>
        <w:tc>
          <w:tcPr>
            <w:tcW w:w="1252" w:type="pct"/>
            <w:vAlign w:val="center"/>
          </w:tcPr>
          <w:p w14:paraId="52A6E71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钻井岩屑：核实钻井水基岩屑是否</w:t>
            </w:r>
            <w:r>
              <w:rPr>
                <w:rFonts w:hint="default" w:ascii="Times New Roman" w:hAnsi="Times New Roman" w:cs="Times New Roman"/>
                <w:color w:val="000000" w:themeColor="text1"/>
                <w:sz w:val="21"/>
                <w:szCs w:val="21"/>
                <w:lang w:val="en-US" w:eastAsia="zh-CN"/>
                <w14:textFill>
                  <w14:solidFill>
                    <w14:schemeClr w14:val="tx1"/>
                  </w14:solidFill>
                </w14:textFill>
              </w:rPr>
              <w:t>交由岩屑处置单位处置</w:t>
            </w:r>
          </w:p>
        </w:tc>
        <w:tc>
          <w:tcPr>
            <w:tcW w:w="931" w:type="pct"/>
            <w:vAlign w:val="center"/>
          </w:tcPr>
          <w:p w14:paraId="5F4B813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0696129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7CAE4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3ADABC9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1276" w:type="pct"/>
            <w:vAlign w:val="center"/>
          </w:tcPr>
          <w:p w14:paraId="6172946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机械设备废油由钻井单位用专用罐集中收集后暂存于危废贮存点，定期交由有相应危废处置资质的单位</w:t>
            </w:r>
          </w:p>
        </w:tc>
        <w:tc>
          <w:tcPr>
            <w:tcW w:w="1252" w:type="pct"/>
            <w:vAlign w:val="center"/>
          </w:tcPr>
          <w:p w14:paraId="493723D6">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核实机械设备废油是否由钻井单位用专用罐集中收集后暂存于危废贮存点，定期交由有危废处置资质的单位</w:t>
            </w:r>
          </w:p>
        </w:tc>
        <w:tc>
          <w:tcPr>
            <w:tcW w:w="931" w:type="pct"/>
            <w:vAlign w:val="center"/>
          </w:tcPr>
          <w:p w14:paraId="7EF31A2C">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37D4DD9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24E6A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5F53E77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1276" w:type="pct"/>
            <w:vAlign w:val="center"/>
          </w:tcPr>
          <w:p w14:paraId="39A0C12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废弃防渗膜：集中收集后暂存于井场危废贮存点，定期委托有相应危废处置资质的单位处理</w:t>
            </w:r>
          </w:p>
        </w:tc>
        <w:tc>
          <w:tcPr>
            <w:tcW w:w="1252" w:type="pct"/>
            <w:vAlign w:val="center"/>
          </w:tcPr>
          <w:p w14:paraId="6D3C015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废弃防渗膜：核实是否集中收集后暂存于井场危废贮存点，定期委托有资质单位处理</w:t>
            </w:r>
          </w:p>
        </w:tc>
        <w:tc>
          <w:tcPr>
            <w:tcW w:w="931" w:type="pct"/>
            <w:vAlign w:val="center"/>
          </w:tcPr>
          <w:p w14:paraId="03D5B65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6E14624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764D1A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Merge w:val="continue"/>
            <w:vAlign w:val="center"/>
          </w:tcPr>
          <w:p w14:paraId="40CCE6B1">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1276" w:type="pct"/>
            <w:vAlign w:val="center"/>
          </w:tcPr>
          <w:p w14:paraId="6DBA6295">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生活垃圾：集中收集后拉运至乌尔禾生活垃圾填埋场处理</w:t>
            </w:r>
          </w:p>
        </w:tc>
        <w:tc>
          <w:tcPr>
            <w:tcW w:w="1252" w:type="pct"/>
            <w:vAlign w:val="center"/>
          </w:tcPr>
          <w:p w14:paraId="5CCD643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生活垃圾：核实是否合规处置</w:t>
            </w:r>
          </w:p>
        </w:tc>
        <w:tc>
          <w:tcPr>
            <w:tcW w:w="931" w:type="pct"/>
            <w:vAlign w:val="center"/>
          </w:tcPr>
          <w:p w14:paraId="4CED52A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178F2536">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70A53D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23819B3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电磁环境</w:t>
            </w:r>
          </w:p>
        </w:tc>
        <w:tc>
          <w:tcPr>
            <w:tcW w:w="1276" w:type="pct"/>
            <w:vAlign w:val="center"/>
          </w:tcPr>
          <w:p w14:paraId="09B09B16">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252" w:type="pct"/>
            <w:vAlign w:val="center"/>
          </w:tcPr>
          <w:p w14:paraId="3EA881AE">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931" w:type="pct"/>
            <w:vAlign w:val="center"/>
          </w:tcPr>
          <w:p w14:paraId="78F486B8">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28C4EE90">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2D684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02C22F4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环境风险</w:t>
            </w:r>
          </w:p>
        </w:tc>
        <w:tc>
          <w:tcPr>
            <w:tcW w:w="1276" w:type="pct"/>
            <w:vAlign w:val="center"/>
          </w:tcPr>
          <w:p w14:paraId="7BD8645B">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施工时应严格执行相关风险防范措施和规章制度，严禁违规操作加强设备维修与巡检，避免储罐泄漏事故的发生；②在井口安装井控装置，杜绝井喷的发生；③定期检查固井质量，发现固井质量不合格应及时采取措施，保证固井质量合格；④加强各类储罐及放喷管线的日常管理及安全检查；⑤应将本项目纳入《中国石油新疆油田分公司勘探事业部突发环境事件应急预案》</w:t>
            </w:r>
          </w:p>
          <w:p w14:paraId="1A9CD566">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252" w:type="pct"/>
            <w:vAlign w:val="center"/>
          </w:tcPr>
          <w:p w14:paraId="3BF4AFAA">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施工期是否有泄漏事故发生，本项目是否纳入《中国石油新疆油田分公司勘探事业部突发环境事件应急预案》</w:t>
            </w:r>
          </w:p>
          <w:p w14:paraId="64A9661C">
            <w:pPr>
              <w:spacing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31" w:type="pct"/>
            <w:vAlign w:val="center"/>
          </w:tcPr>
          <w:p w14:paraId="42A0470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10F5DA5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534AC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7E2E84FF">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环境监测</w:t>
            </w:r>
          </w:p>
        </w:tc>
        <w:tc>
          <w:tcPr>
            <w:tcW w:w="1276" w:type="pct"/>
            <w:vAlign w:val="center"/>
          </w:tcPr>
          <w:p w14:paraId="25D977C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252" w:type="pct"/>
            <w:vAlign w:val="center"/>
          </w:tcPr>
          <w:p w14:paraId="56BE9FE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931" w:type="pct"/>
            <w:vAlign w:val="center"/>
          </w:tcPr>
          <w:p w14:paraId="19DB4ECB">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4C919349">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14:paraId="16A417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2" w:type="pct"/>
            <w:vAlign w:val="center"/>
          </w:tcPr>
          <w:p w14:paraId="5DE2BF47">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其他</w:t>
            </w:r>
          </w:p>
        </w:tc>
        <w:tc>
          <w:tcPr>
            <w:tcW w:w="2175" w:type="dxa"/>
            <w:vAlign w:val="center"/>
          </w:tcPr>
          <w:p w14:paraId="05A20940">
            <w:pPr>
              <w:spacing w:line="240" w:lineRule="auto"/>
              <w:ind w:firstLine="0" w:firstLineChars="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单位应建立环境保护档案，保存施工前后项目区的影像资料，使施工全过程各类污染物产生、去向和各个污染措施及实施情况均记录在案。建设单位对施工单位钻井期间进行环保日常检查并做好记录；完工交井前，建设单位主管部门现场验收，合格后方可记录为完工，做到工完料净场地清，并做好记录。</w:t>
            </w:r>
          </w:p>
        </w:tc>
        <w:tc>
          <w:tcPr>
            <w:tcW w:w="2134" w:type="dxa"/>
            <w:vAlign w:val="center"/>
          </w:tcPr>
          <w:p w14:paraId="378D9396">
            <w:pPr>
              <w:spacing w:line="240" w:lineRule="auto"/>
              <w:ind w:firstLine="0" w:firstLineChars="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环境管理制度是否建立并完善，环保机构及人员是否设置到位；是否保留必要的影像资料。</w:t>
            </w:r>
          </w:p>
        </w:tc>
        <w:tc>
          <w:tcPr>
            <w:tcW w:w="931" w:type="pct"/>
            <w:vAlign w:val="center"/>
          </w:tcPr>
          <w:p w14:paraId="14CF632D">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758" w:type="pct"/>
            <w:vAlign w:val="center"/>
          </w:tcPr>
          <w:p w14:paraId="3DCF656A">
            <w:pPr>
              <w:spacing w:line="240" w:lineRule="auto"/>
              <w:ind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bl>
    <w:p w14:paraId="6748FB5B">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71111072">
      <w:pPr>
        <w:pStyle w:val="15"/>
        <w:adjustRightInd/>
        <w:snapToGrid/>
        <w:spacing w:before="192" w:beforeLines="80" w:beforeAutospacing="0" w:line="240" w:lineRule="auto"/>
        <w:ind w:firstLine="0" w:firstLineChars="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42" w:name="_Toc20585"/>
      <w:r>
        <w:rPr>
          <w:rFonts w:hint="default" w:ascii="Times New Roman" w:hAnsi="Times New Roman" w:eastAsia="黑体" w:cs="Times New Roman"/>
          <w:snapToGrid w:val="0"/>
          <w:color w:val="000000" w:themeColor="text1"/>
          <w:sz w:val="30"/>
          <w:szCs w:val="30"/>
          <w14:textFill>
            <w14:solidFill>
              <w14:schemeClr w14:val="tx1"/>
            </w14:solidFill>
          </w14:textFill>
        </w:rPr>
        <w:t>七、结论</w:t>
      </w:r>
      <w:bookmarkEnd w:id="42"/>
    </w:p>
    <w:tbl>
      <w:tblPr>
        <w:tblStyle w:val="16"/>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567D4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vAlign w:val="center"/>
          </w:tcPr>
          <w:p w14:paraId="6E410FF9">
            <w:pPr>
              <w:ind w:firstLine="48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符合国家有关产业政策，项目建设符合达标排放、总量控制及维持环境质量原则；符合风险防范措施要求。通过加强管理，污染物无害处理，及时恢复原貌等措施，在各项污染治理措施实施且确保全部污染物达标排放的前提下，本次项目的建设从环境影响角度而言，项目实施是可行的。</w:t>
            </w:r>
          </w:p>
        </w:tc>
      </w:tr>
    </w:tbl>
    <w:p w14:paraId="3BEF963A">
      <w:pPr>
        <w:widowControl/>
        <w:spacing w:before="192" w:beforeLines="80"/>
        <w:ind w:firstLine="480"/>
        <w:jc w:val="left"/>
        <w:rPr>
          <w:rFonts w:hint="default" w:ascii="Times New Roman" w:hAnsi="Times New Roman" w:cs="Times New Roman"/>
          <w:color w:val="000000" w:themeColor="text1"/>
          <w14:textFill>
            <w14:solidFill>
              <w14:schemeClr w14:val="tx1"/>
            </w14:solidFill>
          </w14:textFill>
        </w:rPr>
        <w:sectPr>
          <w:pgSz w:w="11906" w:h="16838"/>
          <w:pgMar w:top="1440" w:right="1800" w:bottom="1440" w:left="1800" w:header="851" w:footer="1077" w:gutter="0"/>
          <w:cols w:space="720" w:num="1"/>
          <w:docGrid w:linePitch="312" w:charSpace="0"/>
        </w:sectPr>
      </w:pPr>
    </w:p>
    <w:p w14:paraId="7B8AA7B8">
      <w:pPr>
        <w:ind w:left="0" w:leftChars="0" w:firstLine="0" w:firstLineChars="0"/>
        <w:jc w:val="center"/>
        <w:rPr>
          <w:rFonts w:hint="default"/>
        </w:rPr>
      </w:pPr>
    </w:p>
    <w:p w14:paraId="665C7040"/>
    <w:sectPr>
      <w:pgSz w:w="11906" w:h="16838"/>
      <w:pgMar w:top="1440" w:right="1800" w:bottom="1440" w:left="1800" w:header="851" w:footer="1077"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瀹嬩綋">
    <w:altName w:val="Calibri"/>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80BA8">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5F3B">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89418">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2021F">
    <w:pPr>
      <w:pStyle w:val="11"/>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318304">
                          <w:pPr>
                            <w:pStyle w:val="11"/>
                            <w:ind w:firstLine="560"/>
                            <w:rPr>
                              <w:rStyle w:val="19"/>
                              <w:rFonts w:ascii="宋体" w:hAnsi="宋体"/>
                              <w:sz w:val="28"/>
                              <w:szCs w:val="28"/>
                            </w:rPr>
                          </w:pPr>
                          <w:r>
                            <w:rPr>
                              <w:rStyle w:val="19"/>
                              <w:rFonts w:hint="eastAsia" w:ascii="宋体" w:hAnsi="宋体"/>
                              <w:sz w:val="28"/>
                              <w:szCs w:val="28"/>
                            </w:rPr>
                            <w:t>—</w:t>
                          </w:r>
                          <w:r>
                            <w:rPr>
                              <w:rStyle w:val="19"/>
                              <w:rFonts w:hint="eastAsia" w:ascii="宋体" w:hAnsi="宋体"/>
                              <w:sz w:val="20"/>
                              <w:szCs w:val="20"/>
                            </w:rPr>
                            <w:t xml:space="preserve">  </w:t>
                          </w:r>
                          <w:r>
                            <w:rPr>
                              <w:rFonts w:ascii="宋体" w:hAnsi="宋体"/>
                              <w:sz w:val="26"/>
                              <w:szCs w:val="26"/>
                            </w:rPr>
                            <w:fldChar w:fldCharType="begin"/>
                          </w:r>
                          <w:r>
                            <w:rPr>
                              <w:rStyle w:val="19"/>
                              <w:rFonts w:ascii="宋体" w:hAnsi="宋体"/>
                              <w:sz w:val="26"/>
                              <w:szCs w:val="26"/>
                            </w:rPr>
                            <w:instrText xml:space="preserve">PAGE  </w:instrText>
                          </w:r>
                          <w:r>
                            <w:rPr>
                              <w:rFonts w:ascii="宋体" w:hAnsi="宋体"/>
                              <w:sz w:val="26"/>
                              <w:szCs w:val="26"/>
                            </w:rPr>
                            <w:fldChar w:fldCharType="separate"/>
                          </w:r>
                          <w:r>
                            <w:rPr>
                              <w:rStyle w:val="19"/>
                              <w:rFonts w:ascii="宋体" w:hAnsi="宋体"/>
                              <w:sz w:val="26"/>
                              <w:szCs w:val="26"/>
                            </w:rPr>
                            <w:t>34</w:t>
                          </w:r>
                          <w:r>
                            <w:rPr>
                              <w:rFonts w:ascii="宋体" w:hAnsi="宋体"/>
                              <w:sz w:val="26"/>
                              <w:szCs w:val="26"/>
                            </w:rPr>
                            <w:fldChar w:fldCharType="end"/>
                          </w:r>
                          <w:r>
                            <w:rPr>
                              <w:rStyle w:val="19"/>
                              <w:rFonts w:hint="eastAsia" w:ascii="宋体" w:hAnsi="宋体"/>
                              <w:sz w:val="20"/>
                              <w:szCs w:val="20"/>
                            </w:rPr>
                            <w:t xml:space="preserve">  </w:t>
                          </w:r>
                          <w:r>
                            <w:rPr>
                              <w:rStyle w:val="19"/>
                              <w:rFonts w:hint="eastAsia" w:ascii="宋体" w:hAnsi="宋体"/>
                              <w:sz w:val="28"/>
                              <w:szCs w:val="28"/>
                            </w:rPr>
                            <w:t>—</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z96sQBAACQ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XBz96sQBAACQAwAADgAAAAAAAAABACAAAAAeAQAAZHJzL2Uyb0RvYy54bWxQ&#10;SwUGAAAAAAYABgBZAQAAVAUAAAAA&#10;">
              <v:fill on="f" focussize="0,0"/>
              <v:stroke on="f"/>
              <v:imagedata o:title=""/>
              <o:lock v:ext="edit" aspectratio="f"/>
              <v:textbox inset="0mm,0mm,0mm,0mm" style="mso-fit-shape-to-text:t;">
                <w:txbxContent>
                  <w:p w14:paraId="72318304">
                    <w:pPr>
                      <w:pStyle w:val="11"/>
                      <w:ind w:firstLine="560"/>
                      <w:rPr>
                        <w:rStyle w:val="19"/>
                        <w:rFonts w:ascii="宋体" w:hAnsi="宋体"/>
                        <w:sz w:val="28"/>
                        <w:szCs w:val="28"/>
                      </w:rPr>
                    </w:pPr>
                    <w:r>
                      <w:rPr>
                        <w:rStyle w:val="19"/>
                        <w:rFonts w:hint="eastAsia" w:ascii="宋体" w:hAnsi="宋体"/>
                        <w:sz w:val="28"/>
                        <w:szCs w:val="28"/>
                      </w:rPr>
                      <w:t>—</w:t>
                    </w:r>
                    <w:r>
                      <w:rPr>
                        <w:rStyle w:val="19"/>
                        <w:rFonts w:hint="eastAsia" w:ascii="宋体" w:hAnsi="宋体"/>
                        <w:sz w:val="20"/>
                        <w:szCs w:val="20"/>
                      </w:rPr>
                      <w:t xml:space="preserve">  </w:t>
                    </w:r>
                    <w:r>
                      <w:rPr>
                        <w:rFonts w:ascii="宋体" w:hAnsi="宋体"/>
                        <w:sz w:val="26"/>
                        <w:szCs w:val="26"/>
                      </w:rPr>
                      <w:fldChar w:fldCharType="begin"/>
                    </w:r>
                    <w:r>
                      <w:rPr>
                        <w:rStyle w:val="19"/>
                        <w:rFonts w:ascii="宋体" w:hAnsi="宋体"/>
                        <w:sz w:val="26"/>
                        <w:szCs w:val="26"/>
                      </w:rPr>
                      <w:instrText xml:space="preserve">PAGE  </w:instrText>
                    </w:r>
                    <w:r>
                      <w:rPr>
                        <w:rFonts w:ascii="宋体" w:hAnsi="宋体"/>
                        <w:sz w:val="26"/>
                        <w:szCs w:val="26"/>
                      </w:rPr>
                      <w:fldChar w:fldCharType="separate"/>
                    </w:r>
                    <w:r>
                      <w:rPr>
                        <w:rStyle w:val="19"/>
                        <w:rFonts w:ascii="宋体" w:hAnsi="宋体"/>
                        <w:sz w:val="26"/>
                        <w:szCs w:val="26"/>
                      </w:rPr>
                      <w:t>34</w:t>
                    </w:r>
                    <w:r>
                      <w:rPr>
                        <w:rFonts w:ascii="宋体" w:hAnsi="宋体"/>
                        <w:sz w:val="26"/>
                        <w:szCs w:val="26"/>
                      </w:rPr>
                      <w:fldChar w:fldCharType="end"/>
                    </w:r>
                    <w:r>
                      <w:rPr>
                        <w:rStyle w:val="19"/>
                        <w:rFonts w:hint="eastAsia" w:ascii="宋体" w:hAnsi="宋体"/>
                        <w:sz w:val="20"/>
                        <w:szCs w:val="20"/>
                      </w:rPr>
                      <w:t xml:space="preserve">  </w:t>
                    </w:r>
                    <w:r>
                      <w:rPr>
                        <w:rStyle w:val="19"/>
                        <w:rFonts w:hint="eastAsia" w:ascii="宋体" w:hAnsi="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DE766">
    <w:pPr>
      <w:pStyle w:val="1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4D2F0">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21B3E">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A6CF5"/>
    <w:multiLevelType w:val="singleLevel"/>
    <w:tmpl w:val="0E1A6CF5"/>
    <w:lvl w:ilvl="0" w:tentative="0">
      <w:start w:val="1"/>
      <w:numFmt w:val="decimal"/>
      <w:lvlText w:val="%1."/>
      <w:lvlJc w:val="left"/>
      <w:pPr>
        <w:tabs>
          <w:tab w:val="left" w:pos="312"/>
        </w:tabs>
      </w:pPr>
    </w:lvl>
  </w:abstractNum>
  <w:abstractNum w:abstractNumId="1">
    <w:nsid w:val="3BBF6310"/>
    <w:multiLevelType w:val="singleLevel"/>
    <w:tmpl w:val="3BBF6310"/>
    <w:lvl w:ilvl="0" w:tentative="0">
      <w:start w:val="1"/>
      <w:numFmt w:val="decimal"/>
      <w:lvlText w:val="%1."/>
      <w:lvlJc w:val="left"/>
      <w:pPr>
        <w:tabs>
          <w:tab w:val="left" w:pos="312"/>
        </w:tabs>
      </w:pPr>
    </w:lvl>
  </w:abstractNum>
  <w:abstractNum w:abstractNumId="2">
    <w:nsid w:val="5CEB842C"/>
    <w:multiLevelType w:val="singleLevel"/>
    <w:tmpl w:val="5CEB842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ED4B9D"/>
    <w:rsid w:val="6BED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overflowPunct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uiPriority w:val="0"/>
    <w:pPr>
      <w:keepNext/>
      <w:keepLines/>
      <w:spacing w:line="480" w:lineRule="auto"/>
      <w:ind w:firstLine="0" w:firstLineChars="0"/>
      <w:jc w:val="center"/>
      <w:outlineLvl w:val="1"/>
    </w:pPr>
    <w:rPr>
      <w:rFonts w:eastAsia="黑体"/>
      <w:bCs/>
      <w:sz w:val="32"/>
      <w:szCs w:val="32"/>
    </w:rPr>
  </w:style>
  <w:style w:type="paragraph" w:styleId="4">
    <w:name w:val="heading 3"/>
    <w:basedOn w:val="1"/>
    <w:next w:val="1"/>
    <w:qFormat/>
    <w:uiPriority w:val="0"/>
    <w:pPr>
      <w:keepNext/>
      <w:keepLines/>
      <w:jc w:val="left"/>
      <w:outlineLvl w:val="2"/>
    </w:pPr>
    <w:rPr>
      <w:b/>
      <w:bCs/>
      <w:szCs w:val="32"/>
    </w:rPr>
  </w:style>
  <w:style w:type="paragraph" w:styleId="5">
    <w:name w:val="heading 4"/>
    <w:basedOn w:val="1"/>
    <w:next w:val="1"/>
    <w:link w:val="28"/>
    <w:unhideWhenUsed/>
    <w:qFormat/>
    <w:uiPriority w:val="0"/>
    <w:pPr>
      <w:keepNext/>
      <w:keepLines/>
      <w:wordWrap w:val="0"/>
      <w:outlineLvl w:val="3"/>
    </w:pPr>
    <w:rPr>
      <w:b/>
    </w:rPr>
  </w:style>
  <w:style w:type="character" w:default="1" w:styleId="18">
    <w:name w:val="Default Paragraph Font"/>
    <w:semiHidden/>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ascii="宋体" w:hAnsi="Calibri"/>
      <w:sz w:val="28"/>
      <w:szCs w:val="22"/>
    </w:rPr>
  </w:style>
  <w:style w:type="paragraph" w:styleId="7">
    <w:name w:val="caption"/>
    <w:basedOn w:val="1"/>
    <w:next w:val="1"/>
    <w:qFormat/>
    <w:uiPriority w:val="0"/>
    <w:pPr>
      <w:spacing w:line="500" w:lineRule="exact"/>
      <w:jc w:val="center"/>
    </w:pPr>
    <w:rPr>
      <w:rFonts w:ascii="黑体" w:hAnsi="黑体" w:eastAsia="黑体"/>
      <w:szCs w:val="20"/>
    </w:rPr>
  </w:style>
  <w:style w:type="paragraph" w:styleId="8">
    <w:name w:val="annotation text"/>
    <w:basedOn w:val="1"/>
    <w:qFormat/>
    <w:uiPriority w:val="0"/>
    <w:pPr>
      <w:jc w:val="left"/>
    </w:pPr>
  </w:style>
  <w:style w:type="paragraph" w:styleId="9">
    <w:name w:val="Body Text"/>
    <w:basedOn w:val="1"/>
    <w:next w:val="10"/>
    <w:unhideWhenUsed/>
    <w:qFormat/>
    <w:uiPriority w:val="99"/>
    <w:pPr>
      <w:spacing w:after="120"/>
    </w:pPr>
  </w:style>
  <w:style w:type="paragraph" w:styleId="10">
    <w:name w:val="Body Text 2"/>
    <w:basedOn w:val="1"/>
    <w:qFormat/>
    <w:uiPriority w:val="0"/>
    <w:pPr>
      <w:spacing w:after="120" w:line="480" w:lineRule="auto"/>
    </w:pPr>
  </w:style>
  <w:style w:type="paragraph" w:styleId="11">
    <w:name w:val="footer"/>
    <w:basedOn w:val="1"/>
    <w:qFormat/>
    <w:uiPriority w:val="0"/>
    <w:pPr>
      <w:tabs>
        <w:tab w:val="center" w:pos="4153"/>
        <w:tab w:val="right" w:pos="8306"/>
      </w:tabs>
      <w:jc w:val="left"/>
    </w:pPr>
    <w:rPr>
      <w:sz w:val="18"/>
      <w:szCs w:val="18"/>
    </w:rPr>
  </w:style>
  <w:style w:type="paragraph" w:styleId="12">
    <w:name w:val="header"/>
    <w:basedOn w:val="1"/>
    <w:qFormat/>
    <w:uiPriority w:val="0"/>
    <w:pPr>
      <w:pBdr>
        <w:bottom w:val="single" w:color="auto" w:sz="6" w:space="1"/>
      </w:pBdr>
      <w:tabs>
        <w:tab w:val="center" w:pos="4153"/>
        <w:tab w:val="right" w:pos="8306"/>
      </w:tabs>
      <w:jc w:val="center"/>
    </w:pPr>
    <w:rPr>
      <w:sz w:val="18"/>
      <w:szCs w:val="18"/>
    </w:rPr>
  </w:style>
  <w:style w:type="paragraph" w:styleId="13">
    <w:name w:val="Subtitle"/>
    <w:basedOn w:val="1"/>
    <w:next w:val="1"/>
    <w:qFormat/>
    <w:uiPriority w:val="11"/>
    <w:pPr>
      <w:spacing w:line="240" w:lineRule="auto"/>
      <w:ind w:firstLine="0" w:firstLineChars="0"/>
      <w:jc w:val="center"/>
    </w:pPr>
    <w:rPr>
      <w:bCs/>
      <w:kern w:val="28"/>
      <w:sz w:val="21"/>
      <w:szCs w:val="32"/>
    </w:rPr>
  </w:style>
  <w:style w:type="paragraph" w:styleId="14">
    <w:name w:val="List"/>
    <w:basedOn w:val="1"/>
    <w:next w:val="1"/>
    <w:qFormat/>
    <w:uiPriority w:val="0"/>
    <w:pPr>
      <w:spacing w:line="240" w:lineRule="auto"/>
      <w:ind w:left="198" w:hanging="198" w:firstLineChars="0"/>
      <w:contextualSpacing/>
    </w:pPr>
    <w:rPr>
      <w:sz w:val="21"/>
    </w:rPr>
  </w:style>
  <w:style w:type="paragraph" w:styleId="15">
    <w:name w:val="Normal (Web)"/>
    <w:basedOn w:val="1"/>
    <w:qFormat/>
    <w:uiPriority w:val="0"/>
    <w:pPr>
      <w:widowControl/>
      <w:spacing w:before="100" w:beforeAutospacing="1" w:after="100" w:afterAutospacing="1"/>
      <w:jc w:val="left"/>
    </w:pPr>
    <w:rPr>
      <w:rFonts w:ascii="宋体" w:hAnsi="宋体"/>
      <w:kern w:val="0"/>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qFormat/>
    <w:uiPriority w:val="0"/>
  </w:style>
  <w:style w:type="character" w:styleId="20">
    <w:name w:val="annotation reference"/>
    <w:basedOn w:val="18"/>
    <w:qFormat/>
    <w:uiPriority w:val="0"/>
    <w:rPr>
      <w:sz w:val="21"/>
      <w:szCs w:val="21"/>
    </w:rPr>
  </w:style>
  <w:style w:type="paragraph" w:customStyle="1" w:styleId="21">
    <w:name w:val="表头"/>
    <w:basedOn w:val="22"/>
    <w:next w:val="1"/>
    <w:autoRedefine/>
    <w:qFormat/>
    <w:uiPriority w:val="0"/>
    <w:pPr>
      <w:overflowPunct w:val="0"/>
      <w:spacing w:line="240" w:lineRule="auto"/>
      <w:ind w:firstLine="0" w:firstLineChars="0"/>
      <w:jc w:val="center"/>
    </w:pPr>
    <w:rPr>
      <w:rFonts w:ascii="宋体" w:hAnsi="宋体"/>
      <w:sz w:val="24"/>
    </w:rPr>
  </w:style>
  <w:style w:type="paragraph" w:customStyle="1" w:styleId="22">
    <w:name w:val="表外"/>
    <w:basedOn w:val="1"/>
    <w:autoRedefine/>
    <w:qFormat/>
    <w:uiPriority w:val="0"/>
    <w:rPr>
      <w:b/>
      <w:sz w:val="32"/>
    </w:rPr>
  </w:style>
  <w:style w:type="paragraph" w:customStyle="1" w:styleId="23">
    <w:name w:val="表格"/>
    <w:basedOn w:val="14"/>
    <w:next w:val="1"/>
    <w:autoRedefine/>
    <w:qFormat/>
    <w:uiPriority w:val="0"/>
    <w:pPr>
      <w:ind w:left="0" w:firstLine="0"/>
      <w:jc w:val="center"/>
    </w:pPr>
    <w:rPr>
      <w:kern w:val="0"/>
      <w:szCs w:val="21"/>
    </w:rPr>
  </w:style>
  <w:style w:type="paragraph" w:customStyle="1" w:styleId="24">
    <w:name w:val="表格内容"/>
    <w:basedOn w:val="21"/>
    <w:next w:val="1"/>
    <w:autoRedefine/>
    <w:qFormat/>
    <w:uiPriority w:val="0"/>
    <w:pPr>
      <w:jc w:val="center"/>
    </w:pPr>
    <w:rPr>
      <w:szCs w:val="22"/>
    </w:rPr>
  </w:style>
  <w:style w:type="paragraph" w:customStyle="1" w:styleId="25">
    <w:name w:val="文本"/>
    <w:basedOn w:val="6"/>
    <w:autoRedefine/>
    <w:qFormat/>
    <w:uiPriority w:val="0"/>
    <w:pPr>
      <w:ind w:firstLine="480"/>
      <w:jc w:val="left"/>
    </w:pPr>
  </w:style>
  <w:style w:type="paragraph" w:customStyle="1" w:styleId="26">
    <w:name w:val="0文本"/>
    <w:basedOn w:val="1"/>
    <w:autoRedefine/>
    <w:qFormat/>
    <w:uiPriority w:val="0"/>
    <w:pPr>
      <w:spacing w:line="360" w:lineRule="auto"/>
      <w:ind w:firstLine="200" w:firstLineChars="200"/>
      <w:contextualSpacing/>
    </w:pPr>
    <w:rPr>
      <w:kern w:val="0"/>
      <w:sz w:val="24"/>
    </w:rPr>
  </w:style>
  <w:style w:type="paragraph" w:customStyle="1" w:styleId="27">
    <w:name w:val="MEL表字-书"/>
    <w:basedOn w:val="1"/>
    <w:qFormat/>
    <w:uiPriority w:val="0"/>
    <w:pPr>
      <w:spacing w:line="240" w:lineRule="exact"/>
      <w:jc w:val="center"/>
    </w:pPr>
    <w:rPr>
      <w:rFonts w:ascii="宋体" w:hAnsi="宋体"/>
      <w:kern w:val="0"/>
      <w:sz w:val="21"/>
      <w:szCs w:val="21"/>
    </w:rPr>
  </w:style>
  <w:style w:type="character" w:customStyle="1" w:styleId="28">
    <w:name w:val="标题 4 字符"/>
    <w:link w:val="5"/>
    <w:autoRedefine/>
    <w:qFormat/>
    <w:uiPriority w:val="0"/>
    <w:rPr>
      <w:b/>
    </w:rPr>
  </w:style>
  <w:style w:type="paragraph" w:customStyle="1" w:styleId="29">
    <w:name w:val="wyc正文"/>
    <w:basedOn w:val="1"/>
    <w:autoRedefine/>
    <w:qFormat/>
    <w:uiPriority w:val="0"/>
    <w:pPr>
      <w:adjustRightInd w:val="0"/>
      <w:ind w:firstLine="480"/>
    </w:pPr>
    <w:rPr>
      <w:rFonts w:ascii="Times New Roman" w:hAnsi="Times New Roman" w:eastAsia="宋体"/>
      <w:bCs/>
      <w:szCs w:val="20"/>
    </w:rPr>
  </w:style>
  <w:style w:type="paragraph" w:styleId="30">
    <w:name w:val="No Spacing"/>
    <w:autoRedefine/>
    <w:qFormat/>
    <w:uiPriority w:val="99"/>
    <w:pPr>
      <w:widowControl w:val="0"/>
      <w:autoSpaceDE w:val="0"/>
      <w:autoSpaceDN w:val="0"/>
    </w:pPr>
    <w:rPr>
      <w:rFonts w:ascii="宋体" w:hAnsi="宋体" w:eastAsia="宋体" w:cs="宋体"/>
      <w:sz w:val="22"/>
      <w:szCs w:val="22"/>
      <w:lang w:val="zh-CN" w:eastAsia="zh-CN" w:bidi="zh-CN"/>
    </w:rPr>
  </w:style>
  <w:style w:type="paragraph" w:customStyle="1" w:styleId="31">
    <w:name w:val="222222"/>
    <w:basedOn w:val="1"/>
    <w:next w:val="1"/>
    <w:autoRedefine/>
    <w:qFormat/>
    <w:uiPriority w:val="0"/>
    <w:rPr>
      <w:b/>
    </w:rPr>
  </w:style>
  <w:style w:type="paragraph" w:customStyle="1" w:styleId="32">
    <w:name w:val="表头图头"/>
    <w:basedOn w:val="1"/>
    <w:next w:val="1"/>
    <w:autoRedefine/>
    <w:qFormat/>
    <w:uiPriority w:val="0"/>
    <w:pPr>
      <w:widowControl/>
      <w:spacing w:line="240" w:lineRule="auto"/>
      <w:ind w:firstLine="0" w:firstLineChars="0"/>
      <w:jc w:val="center"/>
    </w:pPr>
    <w:rPr>
      <w:rFonts w:hint="eastAsia"/>
      <w:b/>
      <w:bCs/>
      <w:sz w:val="21"/>
      <w:szCs w:val="21"/>
    </w:rPr>
  </w:style>
  <w:style w:type="paragraph" w:customStyle="1" w:styleId="33">
    <w:name w:val="表格内"/>
    <w:basedOn w:val="1"/>
    <w:autoRedefine/>
    <w:qFormat/>
    <w:uiPriority w:val="0"/>
    <w:pPr>
      <w:widowControl/>
      <w:spacing w:after="200" w:line="360" w:lineRule="exact"/>
      <w:jc w:val="center"/>
    </w:pPr>
    <w:rPr>
      <w:rFonts w:eastAsia="微软雅黑"/>
      <w:snapToGrid w:val="0"/>
      <w:kern w:val="0"/>
      <w:sz w:val="22"/>
      <w:szCs w:val="21"/>
    </w:rPr>
  </w:style>
  <w:style w:type="paragraph" w:customStyle="1" w:styleId="34">
    <w:name w:val="Default"/>
    <w:basedOn w:val="35"/>
    <w:autoRedefine/>
    <w:qFormat/>
    <w:uiPriority w:val="0"/>
    <w:pPr>
      <w:autoSpaceDE w:val="0"/>
      <w:autoSpaceDN w:val="0"/>
    </w:pPr>
    <w:rPr>
      <w:rFonts w:ascii="宋体" w:cs="宋体"/>
      <w:sz w:val="24"/>
      <w:szCs w:val="24"/>
    </w:rPr>
  </w:style>
  <w:style w:type="paragraph" w:customStyle="1" w:styleId="35">
    <w:name w:val="1 表头"/>
    <w:basedOn w:val="1"/>
    <w:autoRedefine/>
    <w:qFormat/>
    <w:uiPriority w:val="0"/>
    <w:pPr>
      <w:spacing w:line="240" w:lineRule="auto"/>
      <w:ind w:firstLine="0" w:firstLineChars="0"/>
      <w:jc w:val="center"/>
    </w:pPr>
    <w:rPr>
      <w:b/>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0</Words>
  <Characters>0</Characters>
  <Lines>0</Lines>
  <Paragraphs>0</Paragraphs>
  <TotalTime>3</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2026-07-17T02:53:00Z</dcterms:created>
  <dc:creator>njgh1</dc:creator>
  <cp:lastModifiedBy>njgh1</cp:lastModifiedBy>
  <dcterms:modified xsi:type="dcterms:W3CDTF">2026-07-17T02:57:11Z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D920371618FE44E9BBF73B8F02679C7C_11</vt:lpwstr>
  </property>
  <property fmtid="{D5CDD505-2E9C-101B-9397-08002B2CF9AE}" pid="4" name="KSOTemplateDocerSaveRecord">
    <vt:lpwstr>eyJoZGlkIjoiYjk0YjFjZTNhNzJkNjY2ZGRiYzkxNTUwZDk2OGI5NDYiLCJ1c2VySWQiOiIxNTY1NjA1NjM1In0=</vt:lpwstr>
  </property>
</Properties>
</file>