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11B4E">
      <w:pPr>
        <w:pStyle w:val="10"/>
        <w:rPr>
          <w:rFonts w:hint="eastAsia" w:ascii="Times New Roman" w:hAnsi="Times New Roman" w:cs="Times New Roman"/>
          <w:sz w:val="20"/>
          <w:lang w:eastAsia="zh-CN"/>
        </w:rPr>
      </w:pPr>
    </w:p>
    <w:p w14:paraId="4D5966F9">
      <w:pPr>
        <w:pStyle w:val="10"/>
        <w:rPr>
          <w:rFonts w:ascii="Times New Roman" w:hAnsi="Times New Roman" w:cs="Times New Roman"/>
          <w:sz w:val="20"/>
        </w:rPr>
      </w:pPr>
    </w:p>
    <w:p w14:paraId="79D04807">
      <w:pPr>
        <w:pStyle w:val="10"/>
        <w:rPr>
          <w:rFonts w:ascii="Times New Roman" w:hAnsi="Times New Roman" w:cs="Times New Roman"/>
          <w:sz w:val="20"/>
        </w:rPr>
      </w:pPr>
    </w:p>
    <w:p w14:paraId="4668321F">
      <w:pPr>
        <w:pStyle w:val="10"/>
        <w:rPr>
          <w:rFonts w:ascii="Times New Roman" w:hAnsi="Times New Roman" w:cs="Times New Roman"/>
          <w:sz w:val="20"/>
        </w:rPr>
      </w:pPr>
    </w:p>
    <w:p w14:paraId="2657B996">
      <w:pPr>
        <w:pStyle w:val="10"/>
        <w:rPr>
          <w:rFonts w:ascii="Times New Roman" w:hAnsi="Times New Roman" w:cs="Times New Roman"/>
          <w:sz w:val="20"/>
        </w:rPr>
      </w:pPr>
    </w:p>
    <w:p w14:paraId="0E777FAB">
      <w:pPr>
        <w:pStyle w:val="10"/>
        <w:rPr>
          <w:rFonts w:ascii="Times New Roman" w:hAnsi="Times New Roman" w:cs="Times New Roman"/>
          <w:sz w:val="20"/>
        </w:rPr>
      </w:pPr>
    </w:p>
    <w:p w14:paraId="1969843D">
      <w:pPr>
        <w:pStyle w:val="10"/>
        <w:rPr>
          <w:rFonts w:ascii="Times New Roman" w:hAnsi="Times New Roman" w:cs="Times New Roman"/>
          <w:sz w:val="20"/>
        </w:rPr>
      </w:pPr>
    </w:p>
    <w:p w14:paraId="0002C5B9">
      <w:pPr>
        <w:pStyle w:val="10"/>
        <w:rPr>
          <w:rFonts w:ascii="Times New Roman" w:hAnsi="Times New Roman" w:cs="Times New Roman"/>
          <w:sz w:val="20"/>
        </w:rPr>
      </w:pPr>
    </w:p>
    <w:p w14:paraId="0567E81B">
      <w:pPr>
        <w:pStyle w:val="10"/>
        <w:rPr>
          <w:rFonts w:ascii="Times New Roman" w:hAnsi="Times New Roman" w:cs="Times New Roman"/>
          <w:sz w:val="20"/>
        </w:rPr>
      </w:pPr>
    </w:p>
    <w:p w14:paraId="7E40197D">
      <w:pPr>
        <w:pStyle w:val="10"/>
        <w:spacing w:before="5"/>
        <w:rPr>
          <w:rFonts w:ascii="Times New Roman" w:hAnsi="Times New Roman" w:cs="Times New Roman"/>
          <w:b/>
          <w:bCs/>
          <w:sz w:val="27"/>
        </w:rPr>
      </w:pPr>
    </w:p>
    <w:p w14:paraId="7C1EDB98">
      <w:pPr>
        <w:spacing w:line="1051" w:lineRule="exact"/>
        <w:ind w:right="554"/>
        <w:jc w:val="center"/>
        <w:rPr>
          <w:rFonts w:hint="eastAsia" w:ascii="黑体" w:hAnsi="黑体" w:eastAsia="黑体" w:cs="Times New Roman"/>
          <w:b/>
          <w:bCs/>
          <w:sz w:val="72"/>
          <w:lang w:eastAsia="zh-CN"/>
        </w:rPr>
      </w:pPr>
      <w:r>
        <w:rPr>
          <w:rFonts w:ascii="黑体" w:hAnsi="黑体" w:eastAsia="黑体" w:cs="Times New Roman"/>
          <w:b/>
          <w:bCs/>
          <w:sz w:val="72"/>
          <w:lang w:eastAsia="zh-CN"/>
        </w:rPr>
        <w:t>建设项目环境影响报告表</w:t>
      </w:r>
    </w:p>
    <w:p w14:paraId="46DB61CF">
      <w:pPr>
        <w:spacing w:before="234"/>
        <w:ind w:right="553"/>
        <w:jc w:val="center"/>
        <w:rPr>
          <w:rFonts w:hint="eastAsia" w:ascii="黑体" w:hAnsi="黑体" w:eastAsia="黑体" w:cs="Times New Roman"/>
          <w:sz w:val="48"/>
          <w:lang w:eastAsia="zh-CN"/>
        </w:rPr>
      </w:pPr>
      <w:r>
        <w:rPr>
          <w:rFonts w:ascii="黑体" w:hAnsi="黑体" w:eastAsia="黑体" w:cs="Times New Roman"/>
          <w:sz w:val="48"/>
          <w:lang w:eastAsia="zh-CN"/>
        </w:rPr>
        <w:t>（</w:t>
      </w:r>
      <w:r>
        <w:rPr>
          <w:rFonts w:hint="eastAsia" w:ascii="黑体" w:hAnsi="黑体" w:eastAsia="黑体" w:cs="Times New Roman"/>
          <w:sz w:val="48"/>
          <w:lang w:eastAsia="zh-CN"/>
        </w:rPr>
        <w:t>污染</w:t>
      </w:r>
      <w:r>
        <w:rPr>
          <w:rFonts w:ascii="黑体" w:hAnsi="黑体" w:eastAsia="黑体" w:cs="Times New Roman"/>
          <w:sz w:val="48"/>
          <w:lang w:eastAsia="zh-CN"/>
        </w:rPr>
        <w:t>影响类）</w:t>
      </w:r>
    </w:p>
    <w:p w14:paraId="69442B52">
      <w:pPr>
        <w:pStyle w:val="10"/>
        <w:rPr>
          <w:rFonts w:ascii="Times New Roman" w:hAnsi="Times New Roman" w:cs="Times New Roman"/>
          <w:sz w:val="62"/>
          <w:lang w:eastAsia="zh-CN"/>
        </w:rPr>
      </w:pPr>
    </w:p>
    <w:p w14:paraId="773EE2EB">
      <w:pPr>
        <w:pStyle w:val="10"/>
        <w:rPr>
          <w:rFonts w:ascii="Times New Roman" w:hAnsi="Times New Roman" w:cs="Times New Roman"/>
          <w:sz w:val="62"/>
          <w:lang w:eastAsia="zh-CN"/>
        </w:rPr>
      </w:pPr>
    </w:p>
    <w:p w14:paraId="4294546C">
      <w:pPr>
        <w:pStyle w:val="10"/>
        <w:wordWrap w:val="0"/>
        <w:spacing w:before="7"/>
        <w:rPr>
          <w:rFonts w:ascii="Times New Roman" w:hAnsi="Times New Roman" w:cs="Times New Roman"/>
          <w:sz w:val="73"/>
          <w:lang w:eastAsia="zh-CN"/>
        </w:rPr>
      </w:pPr>
    </w:p>
    <w:p w14:paraId="4F77813C">
      <w:pPr>
        <w:wordWrap w:val="0"/>
        <w:spacing w:before="234" w:line="400" w:lineRule="exact"/>
        <w:ind w:left="2577" w:leftChars="350" w:right="556" w:hanging="1807" w:hangingChars="500"/>
        <w:rPr>
          <w:rFonts w:hint="default" w:cs="Times New Roman"/>
          <w:sz w:val="36"/>
          <w:szCs w:val="36"/>
          <w:u w:val="single"/>
          <w:lang w:val="en-US" w:eastAsia="zh-CN"/>
        </w:rPr>
      </w:pPr>
      <w:r>
        <w:rPr>
          <w:rFonts w:ascii="黑体" w:hAnsi="黑体" w:eastAsia="黑体" w:cs="Times New Roman"/>
          <w:b/>
          <w:bCs/>
          <w:sz w:val="36"/>
          <w:szCs w:val="36"/>
          <w:lang w:eastAsia="zh-CN"/>
        </w:rPr>
        <w:t>项目名称：</w:t>
      </w:r>
      <w:r>
        <w:rPr>
          <w:rFonts w:hint="eastAsia" w:ascii="宋体" w:hAnsi="宋体" w:eastAsia="宋体" w:cs="Times New Roman"/>
          <w:sz w:val="36"/>
          <w:szCs w:val="36"/>
          <w:u w:val="single"/>
          <w:lang w:eastAsia="zh-CN"/>
        </w:rPr>
        <w:t>新疆纤艺纺科技有限公司年产3</w:t>
      </w:r>
      <w:r>
        <w:rPr>
          <w:rFonts w:hint="eastAsia" w:ascii="宋体" w:hAnsi="宋体" w:eastAsia="宋体" w:cs="Times New Roman"/>
          <w:sz w:val="36"/>
          <w:szCs w:val="36"/>
          <w:u w:val="single"/>
          <w:lang w:val="en-US" w:eastAsia="zh-CN"/>
        </w:rPr>
        <w:t>万</w:t>
      </w:r>
      <w:r>
        <w:rPr>
          <w:rFonts w:hint="eastAsia" w:ascii="宋体" w:hAnsi="宋体" w:eastAsia="宋体" w:cs="Times New Roman"/>
          <w:sz w:val="36"/>
          <w:szCs w:val="36"/>
          <w:u w:val="single"/>
          <w:lang w:eastAsia="zh-CN"/>
        </w:rPr>
        <w:t>吨高端面料项目</w:t>
      </w:r>
      <w:r>
        <w:rPr>
          <w:rFonts w:hint="eastAsia" w:ascii="宋体" w:hAnsi="宋体" w:eastAsia="宋体" w:cs="Times New Roman"/>
          <w:sz w:val="36"/>
          <w:szCs w:val="36"/>
          <w:u w:val="single"/>
          <w:lang w:val="en-US" w:eastAsia="zh-CN"/>
        </w:rPr>
        <w:t xml:space="preserve">                           </w:t>
      </w:r>
    </w:p>
    <w:p w14:paraId="36A5B802">
      <w:pPr>
        <w:wordWrap w:val="0"/>
        <w:spacing w:before="234" w:line="400" w:lineRule="exact"/>
        <w:ind w:left="2577" w:leftChars="350" w:right="556" w:hanging="1807" w:hangingChars="500"/>
        <w:rPr>
          <w:rFonts w:hint="default" w:ascii="Times New Roman" w:hAnsi="Times New Roman" w:eastAsia="微软雅黑" w:cs="Times New Roman"/>
          <w:sz w:val="36"/>
          <w:szCs w:val="36"/>
          <w:lang w:val="en-US" w:eastAsia="zh-CN"/>
        </w:rPr>
      </w:pPr>
      <w:r>
        <w:rPr>
          <w:rFonts w:ascii="黑体" w:hAnsi="黑体" w:eastAsia="黑体" w:cs="Times New Roman"/>
          <w:b/>
          <w:bCs/>
          <w:sz w:val="36"/>
          <w:szCs w:val="36"/>
          <w:lang w:eastAsia="zh-CN"/>
        </w:rPr>
        <w:t>建设单位（盖章）：</w:t>
      </w:r>
      <w:r>
        <w:rPr>
          <w:rFonts w:hint="eastAsia" w:ascii="黑体" w:hAnsi="黑体" w:eastAsia="黑体" w:cs="Times New Roman"/>
          <w:b/>
          <w:bCs/>
          <w:sz w:val="36"/>
          <w:szCs w:val="36"/>
          <w:u w:val="single"/>
          <w:lang w:val="en-US" w:eastAsia="zh-CN"/>
        </w:rPr>
        <w:t xml:space="preserve">  </w:t>
      </w:r>
      <w:r>
        <w:rPr>
          <w:rFonts w:hint="eastAsia" w:cs="Times New Roman"/>
          <w:sz w:val="36"/>
          <w:szCs w:val="36"/>
          <w:u w:val="single"/>
          <w:lang w:eastAsia="zh-CN"/>
        </w:rPr>
        <w:t>新疆纤艺纺科技有限公司</w:t>
      </w:r>
      <w:r>
        <w:rPr>
          <w:rFonts w:hint="eastAsia" w:cs="Times New Roman"/>
          <w:sz w:val="36"/>
          <w:szCs w:val="36"/>
          <w:u w:val="single"/>
          <w:lang w:val="en-US" w:eastAsia="zh-CN"/>
        </w:rPr>
        <w:t xml:space="preserve">   </w:t>
      </w:r>
    </w:p>
    <w:p w14:paraId="0E90FD12">
      <w:pPr>
        <w:wordWrap w:val="0"/>
        <w:spacing w:before="234" w:line="400" w:lineRule="exact"/>
        <w:ind w:left="770" w:leftChars="350" w:right="556"/>
        <w:rPr>
          <w:rFonts w:hint="default" w:ascii="Times New Roman" w:hAnsi="Times New Roman" w:eastAsia="微软雅黑" w:cs="Times New Roman"/>
          <w:sz w:val="36"/>
          <w:szCs w:val="36"/>
          <w:lang w:val="en-US" w:eastAsia="zh-CN"/>
        </w:rPr>
      </w:pPr>
      <w:r>
        <w:rPr>
          <w:rFonts w:ascii="黑体" w:hAnsi="黑体" w:eastAsia="黑体" w:cs="Times New Roman"/>
          <w:b/>
          <w:bCs/>
          <w:sz w:val="36"/>
          <w:szCs w:val="36"/>
          <w:lang w:eastAsia="zh-CN"/>
        </w:rPr>
        <w:t>编制日期：</w:t>
      </w:r>
      <w:r>
        <w:rPr>
          <w:rFonts w:ascii="Times New Roman" w:hAnsi="Times New Roman" w:eastAsia="微软雅黑" w:cs="Times New Roman"/>
          <w:sz w:val="36"/>
          <w:szCs w:val="36"/>
          <w:u w:val="single"/>
          <w:lang w:eastAsia="zh-CN"/>
        </w:rPr>
        <w:t xml:space="preserve">       </w:t>
      </w:r>
      <w:r>
        <w:rPr>
          <w:rFonts w:hint="eastAsia" w:ascii="Times New Roman" w:hAnsi="Times New Roman" w:eastAsia="微软雅黑" w:cs="Times New Roman"/>
          <w:sz w:val="36"/>
          <w:szCs w:val="36"/>
          <w:u w:val="single"/>
          <w:lang w:val="en-US" w:eastAsia="zh-CN"/>
        </w:rPr>
        <w:t xml:space="preserve">    </w:t>
      </w:r>
      <w:r>
        <w:rPr>
          <w:rFonts w:ascii="Times New Roman" w:hAnsi="Times New Roman" w:eastAsia="微软雅黑" w:cs="Times New Roman"/>
          <w:sz w:val="36"/>
          <w:szCs w:val="36"/>
          <w:u w:val="single"/>
          <w:lang w:eastAsia="zh-CN"/>
        </w:rPr>
        <w:t xml:space="preserve">  </w:t>
      </w:r>
      <w:r>
        <w:rPr>
          <w:rFonts w:cs="Times New Roman"/>
          <w:sz w:val="36"/>
          <w:szCs w:val="36"/>
          <w:u w:val="single"/>
          <w:lang w:eastAsia="zh-CN"/>
        </w:rPr>
        <w:t>202</w:t>
      </w:r>
      <w:r>
        <w:rPr>
          <w:rFonts w:hint="eastAsia" w:cs="Times New Roman"/>
          <w:sz w:val="36"/>
          <w:szCs w:val="36"/>
          <w:u w:val="single"/>
          <w:lang w:val="en-US" w:eastAsia="zh-CN"/>
        </w:rPr>
        <w:t>6</w:t>
      </w:r>
      <w:r>
        <w:rPr>
          <w:rFonts w:cs="Times New Roman"/>
          <w:sz w:val="36"/>
          <w:szCs w:val="36"/>
          <w:u w:val="single"/>
          <w:lang w:eastAsia="zh-CN"/>
        </w:rPr>
        <w:t>年</w:t>
      </w:r>
      <w:r>
        <w:rPr>
          <w:rFonts w:hint="eastAsia" w:cs="Times New Roman"/>
          <w:sz w:val="36"/>
          <w:szCs w:val="36"/>
          <w:u w:val="single"/>
          <w:lang w:val="en-US" w:eastAsia="zh-CN"/>
        </w:rPr>
        <w:t>7</w:t>
      </w:r>
      <w:r>
        <w:rPr>
          <w:rFonts w:cs="Times New Roman"/>
          <w:sz w:val="36"/>
          <w:szCs w:val="36"/>
          <w:u w:val="single"/>
          <w:lang w:eastAsia="zh-CN"/>
        </w:rPr>
        <w:t>月</w:t>
      </w:r>
      <w:r>
        <w:rPr>
          <w:rFonts w:hint="eastAsia" w:cs="Times New Roman"/>
          <w:sz w:val="36"/>
          <w:szCs w:val="36"/>
          <w:u w:val="single"/>
          <w:lang w:val="en-US" w:eastAsia="zh-CN"/>
        </w:rPr>
        <w:t xml:space="preserve">             </w:t>
      </w:r>
    </w:p>
    <w:p w14:paraId="6B4954EF">
      <w:pPr>
        <w:wordWrap w:val="0"/>
        <w:ind w:right="505"/>
        <w:rPr>
          <w:rFonts w:ascii="Times New Roman" w:hAnsi="Times New Roman" w:cs="Times New Roman"/>
          <w:u w:val="single"/>
          <w:lang w:eastAsia="zh-CN"/>
        </w:rPr>
      </w:pPr>
    </w:p>
    <w:p w14:paraId="774C33E8">
      <w:pPr>
        <w:wordWrap w:val="0"/>
        <w:rPr>
          <w:rFonts w:ascii="Times New Roman" w:hAnsi="Times New Roman" w:cs="Times New Roman"/>
          <w:lang w:eastAsia="zh-CN"/>
        </w:rPr>
      </w:pPr>
    </w:p>
    <w:p w14:paraId="41703874">
      <w:pPr>
        <w:wordWrap w:val="0"/>
        <w:rPr>
          <w:rFonts w:ascii="Times New Roman" w:hAnsi="Times New Roman" w:cs="Times New Roman"/>
          <w:lang w:eastAsia="zh-CN"/>
        </w:rPr>
      </w:pPr>
    </w:p>
    <w:p w14:paraId="093286A5">
      <w:pPr>
        <w:rPr>
          <w:rFonts w:ascii="Times New Roman" w:hAnsi="Times New Roman" w:cs="Times New Roman"/>
          <w:lang w:eastAsia="zh-CN"/>
        </w:rPr>
      </w:pPr>
    </w:p>
    <w:p w14:paraId="72642CDF">
      <w:pPr>
        <w:rPr>
          <w:rFonts w:ascii="Times New Roman" w:hAnsi="Times New Roman" w:cs="Times New Roman"/>
          <w:lang w:eastAsia="zh-CN"/>
        </w:rPr>
      </w:pPr>
    </w:p>
    <w:p w14:paraId="081A6B6A">
      <w:pPr>
        <w:rPr>
          <w:rFonts w:ascii="Times New Roman" w:hAnsi="Times New Roman" w:cs="Times New Roman"/>
          <w:lang w:eastAsia="zh-CN"/>
        </w:rPr>
      </w:pPr>
    </w:p>
    <w:p w14:paraId="7897737B">
      <w:pPr>
        <w:rPr>
          <w:rFonts w:ascii="Times New Roman" w:hAnsi="Times New Roman" w:cs="Times New Roman"/>
          <w:lang w:eastAsia="zh-CN"/>
        </w:rPr>
      </w:pPr>
    </w:p>
    <w:p w14:paraId="65363BCE">
      <w:pPr>
        <w:rPr>
          <w:rFonts w:ascii="Times New Roman" w:hAnsi="Times New Roman" w:cs="Times New Roman"/>
          <w:lang w:eastAsia="zh-CN"/>
        </w:rPr>
      </w:pPr>
    </w:p>
    <w:p w14:paraId="6CA12D11">
      <w:pPr>
        <w:rPr>
          <w:rFonts w:ascii="Times New Roman" w:hAnsi="Times New Roman" w:cs="Times New Roman"/>
          <w:lang w:eastAsia="zh-CN"/>
        </w:rPr>
      </w:pPr>
    </w:p>
    <w:p w14:paraId="7E4AE034">
      <w:pPr>
        <w:rPr>
          <w:rFonts w:ascii="Times New Roman" w:hAnsi="Times New Roman" w:cs="Times New Roman"/>
          <w:lang w:eastAsia="zh-CN"/>
        </w:rPr>
      </w:pPr>
    </w:p>
    <w:p w14:paraId="0FB414E3">
      <w:pPr>
        <w:jc w:val="center"/>
        <w:rPr>
          <w:rFonts w:ascii="黑体" w:hAnsi="黑体" w:eastAsia="黑体" w:cs="Times New Roman"/>
          <w:b/>
          <w:bCs/>
          <w:sz w:val="36"/>
          <w:lang w:eastAsia="zh-CN"/>
        </w:rPr>
        <w:sectPr>
          <w:footerReference r:id="rId5" w:type="first"/>
          <w:footerReference r:id="rId3" w:type="default"/>
          <w:footerReference r:id="rId4" w:type="even"/>
          <w:type w:val="nextColumn"/>
          <w:pgSz w:w="11913" w:h="16840"/>
          <w:pgMar w:top="1134" w:right="1134" w:bottom="1134" w:left="1134" w:header="0" w:footer="1043" w:gutter="0"/>
          <w:pgBorders>
            <w:top w:val="none" w:sz="0" w:space="0"/>
            <w:left w:val="none" w:sz="0" w:space="0"/>
            <w:bottom w:val="none" w:sz="0" w:space="0"/>
            <w:right w:val="none" w:sz="0" w:space="0"/>
          </w:pgBorders>
          <w:cols w:space="720" w:num="1"/>
          <w:titlePg/>
          <w:docGrid w:linePitch="299" w:charSpace="0"/>
        </w:sectPr>
      </w:pPr>
      <w:r>
        <w:rPr>
          <w:rFonts w:ascii="黑体" w:hAnsi="黑体" w:eastAsia="黑体" w:cs="Times New Roman"/>
          <w:b/>
          <w:bCs/>
          <w:sz w:val="36"/>
          <w:lang w:eastAsia="zh-CN"/>
        </w:rPr>
        <w:t>中华人民共和国生态环境部</w:t>
      </w:r>
    </w:p>
    <w:p w14:paraId="1CD98AD1">
      <w:pPr>
        <w:pStyle w:val="90"/>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b w:val="0"/>
          <w:bCs w:val="0"/>
          <w:color w:val="auto"/>
          <w:sz w:val="24"/>
          <w:szCs w:val="24"/>
          <w:highlight w:val="none"/>
          <w:lang w:val="en-US" w:eastAsia="zh-CN"/>
        </w:rPr>
      </w:pPr>
    </w:p>
    <w:sdt>
      <w:sdtPr>
        <w:rPr>
          <w:rFonts w:hint="eastAsia" w:ascii="宋体" w:hAnsi="宋体" w:eastAsia="宋体" w:cs="宋体"/>
          <w:sz w:val="36"/>
          <w:szCs w:val="36"/>
          <w:lang w:val="en-US" w:eastAsia="en-US" w:bidi="ar-SA"/>
        </w:rPr>
        <w:id w:val="147481291"/>
        <w15:color w:val="DBDBDB"/>
        <w:docPartObj>
          <w:docPartGallery w:val="Table of Contents"/>
          <w:docPartUnique/>
        </w:docPartObj>
      </w:sdtPr>
      <w:sdtEndPr>
        <w:rPr>
          <w:rFonts w:hint="eastAsia" w:ascii="Times New Roman" w:hAnsi="Times New Roman" w:eastAsia="宋体" w:cs="Times New Roman"/>
          <w:b w:val="0"/>
          <w:bCs w:val="0"/>
          <w:color w:val="auto"/>
          <w:sz w:val="24"/>
          <w:szCs w:val="24"/>
          <w:highlight w:val="none"/>
          <w:lang w:val="en-US" w:eastAsia="zh-CN" w:bidi="ar-SA"/>
        </w:rPr>
      </w:sdtEndPr>
      <w:sdtContent>
        <w:p w14:paraId="7E20BC7D">
          <w:pPr>
            <w:keepNext w:val="0"/>
            <w:keepLines w:val="0"/>
            <w:pageBreakBefore w:val="0"/>
            <w:kinsoku/>
            <w:wordWrap/>
            <w:overflowPunct/>
            <w:topLinePunct w:val="0"/>
            <w:bidi w:val="0"/>
            <w:adjustRightInd/>
            <w:snapToGrid/>
            <w:spacing w:before="0" w:beforeLines="0" w:after="0" w:afterLines="0" w:line="480" w:lineRule="exact"/>
            <w:ind w:left="0" w:leftChars="0" w:right="0" w:rightChars="0" w:firstLine="0" w:firstLineChars="0"/>
            <w:jc w:val="center"/>
            <w:textAlignment w:val="auto"/>
            <w:rPr>
              <w:rFonts w:hint="default" w:ascii="Times New Roman" w:hAnsi="Times New Roman" w:eastAsia="宋体" w:cs="Times New Roman"/>
              <w:b w:val="0"/>
              <w:bCs w:val="0"/>
              <w:sz w:val="36"/>
              <w:szCs w:val="36"/>
            </w:rPr>
          </w:pPr>
          <w:r>
            <w:rPr>
              <w:rFonts w:hint="default" w:ascii="Times New Roman" w:hAnsi="Times New Roman" w:eastAsia="宋体" w:cs="Times New Roman"/>
              <w:b w:val="0"/>
              <w:bCs w:val="0"/>
              <w:sz w:val="36"/>
              <w:szCs w:val="36"/>
            </w:rPr>
            <w:t>目</w:t>
          </w:r>
          <w:r>
            <w:rPr>
              <w:rFonts w:hint="eastAsia" w:ascii="Times New Roman" w:hAnsi="Times New Roman" w:eastAsia="宋体" w:cs="Times New Roman"/>
              <w:b w:val="0"/>
              <w:bCs w:val="0"/>
              <w:sz w:val="36"/>
              <w:szCs w:val="36"/>
              <w:lang w:val="en-US" w:eastAsia="zh-CN"/>
            </w:rPr>
            <w:t xml:space="preserve">  </w:t>
          </w:r>
          <w:r>
            <w:rPr>
              <w:rFonts w:hint="default" w:ascii="Times New Roman" w:hAnsi="Times New Roman" w:eastAsia="宋体" w:cs="Times New Roman"/>
              <w:b w:val="0"/>
              <w:bCs w:val="0"/>
              <w:sz w:val="36"/>
              <w:szCs w:val="36"/>
            </w:rPr>
            <w:t>录</w:t>
          </w:r>
        </w:p>
        <w:p w14:paraId="0FCE7B8F">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TOC \o "1-1" \h \u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_Toc21609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lang w:eastAsia="zh-CN"/>
            </w:rPr>
            <w:t>一、建设项目基本情况</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_Toc21609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1</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3866B18F">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_Toc22656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lang w:eastAsia="zh-CN"/>
            </w:rPr>
            <w:t>二、</w:t>
          </w:r>
          <w:r>
            <w:rPr>
              <w:rFonts w:hint="default" w:ascii="Times New Roman" w:hAnsi="Times New Roman" w:eastAsia="宋体" w:cs="Times New Roman"/>
              <w:b w:val="0"/>
              <w:bCs w:val="0"/>
              <w:snapToGrid w:val="0"/>
              <w:sz w:val="24"/>
              <w:szCs w:val="24"/>
              <w:lang w:eastAsia="zh-CN"/>
            </w:rPr>
            <w:t>建设项目工程分析</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_Toc22656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13</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65969D15">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_Toc4315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lang w:eastAsia="zh-CN"/>
            </w:rPr>
            <w:t>三、</w:t>
          </w:r>
          <w:r>
            <w:rPr>
              <w:rFonts w:hint="default" w:ascii="Times New Roman" w:hAnsi="Times New Roman" w:eastAsia="宋体" w:cs="Times New Roman"/>
              <w:b w:val="0"/>
              <w:bCs w:val="0"/>
              <w:snapToGrid w:val="0"/>
              <w:sz w:val="24"/>
              <w:szCs w:val="24"/>
              <w:lang w:eastAsia="zh-CN"/>
            </w:rPr>
            <w:t>区域环境质量现状、环境保护目标及评价标准</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_Toc4315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23</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2E41A840">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_Toc4634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lang w:eastAsia="zh-CN"/>
            </w:rPr>
            <w:t>四、主要环境影响和保护措施</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_Toc4634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28</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27B0DD72">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_Toc26335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lang w:eastAsia="zh-CN"/>
            </w:rPr>
            <w:t>五、环境保护措施监督检查清单</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_Toc26335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59</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5B693D78">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_Toc6326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lang w:eastAsia="zh-CN"/>
            </w:rPr>
            <w:t>六、结论</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_Toc6326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64</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376C2CBB">
          <w:pPr>
            <w:pStyle w:val="17"/>
            <w:keepNext w:val="0"/>
            <w:keepLines w:val="0"/>
            <w:pageBreakBefore w:val="0"/>
            <w:tabs>
              <w:tab w:val="right" w:leader="dot" w:pos="8843"/>
            </w:tabs>
            <w:kinsoku/>
            <w:wordWrap/>
            <w:overflowPunct/>
            <w:topLinePunct w:val="0"/>
            <w:bidi w:val="0"/>
            <w:adjustRightInd/>
            <w:snapToGrid/>
            <w:spacing w:line="480" w:lineRule="exact"/>
            <w:textAlignment w:val="auto"/>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\l _Toc1449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napToGrid w:val="0"/>
              <w:sz w:val="24"/>
              <w:szCs w:val="24"/>
            </w:rPr>
            <w:t>附表</w:t>
          </w:r>
          <w:r>
            <w:rPr>
              <w:rFonts w:hint="default" w:ascii="Times New Roman" w:hAnsi="Times New Roman" w:eastAsia="宋体" w:cs="Times New Roman"/>
              <w:b w:val="0"/>
              <w:bCs w:val="0"/>
              <w:sz w:val="24"/>
              <w:szCs w:val="24"/>
            </w:rPr>
            <w:tab/>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PAGEREF _Toc1449 \h </w:instrText>
          </w:r>
          <w:r>
            <w:rPr>
              <w:rFonts w:hint="default" w:ascii="Times New Roman" w:hAnsi="Times New Roman" w:eastAsia="宋体" w:cs="Times New Roman"/>
              <w:b w:val="0"/>
              <w:bCs w:val="0"/>
              <w:sz w:val="24"/>
              <w:szCs w:val="24"/>
            </w:rPr>
            <w:fldChar w:fldCharType="separate"/>
          </w:r>
          <w:r>
            <w:rPr>
              <w:rFonts w:hint="default" w:ascii="Times New Roman" w:hAnsi="Times New Roman" w:eastAsia="宋体" w:cs="Times New Roman"/>
              <w:b w:val="0"/>
              <w:bCs w:val="0"/>
              <w:sz w:val="24"/>
              <w:szCs w:val="24"/>
            </w:rPr>
            <w:t>65</w:t>
          </w:r>
          <w:r>
            <w:rPr>
              <w:rFonts w:hint="default" w:ascii="Times New Roman" w:hAnsi="Times New Roman" w:eastAsia="宋体" w:cs="Times New Roman"/>
              <w:b w:val="0"/>
              <w:bCs w:val="0"/>
              <w:sz w:val="24"/>
              <w:szCs w:val="24"/>
            </w:rPr>
            <w:fldChar w:fldCharType="end"/>
          </w:r>
          <w:r>
            <w:rPr>
              <w:rFonts w:hint="default" w:ascii="Times New Roman" w:hAnsi="Times New Roman" w:eastAsia="宋体" w:cs="Times New Roman"/>
              <w:b w:val="0"/>
              <w:bCs w:val="0"/>
              <w:sz w:val="24"/>
              <w:szCs w:val="24"/>
            </w:rPr>
            <w:fldChar w:fldCharType="end"/>
          </w:r>
        </w:p>
        <w:p w14:paraId="1A5E9E33">
          <w:pPr>
            <w:keepNext w:val="0"/>
            <w:keepLines w:val="0"/>
            <w:pageBreakBefore w:val="0"/>
            <w:kinsoku/>
            <w:wordWrap/>
            <w:overflowPunct/>
            <w:topLinePunct w:val="0"/>
            <w:bidi w:val="0"/>
            <w:adjustRightInd/>
            <w:snapToGrid/>
            <w:spacing w:line="480" w:lineRule="exact"/>
            <w:textAlignment w:val="auto"/>
          </w:pPr>
          <w:r>
            <w:rPr>
              <w:rFonts w:hint="default" w:ascii="Times New Roman" w:hAnsi="Times New Roman" w:eastAsia="宋体" w:cs="Times New Roman"/>
              <w:b w:val="0"/>
              <w:bCs w:val="0"/>
              <w:sz w:val="24"/>
              <w:szCs w:val="24"/>
            </w:rPr>
            <w:fldChar w:fldCharType="end"/>
          </w:r>
        </w:p>
        <w:p w14:paraId="10A362BA">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b/>
              <w:bCs/>
              <w:color w:val="auto"/>
              <w:sz w:val="24"/>
              <w:szCs w:val="24"/>
              <w:highlight w:val="none"/>
              <w:lang w:val="en-US" w:eastAsia="zh-CN"/>
            </w:rPr>
          </w:pPr>
        </w:p>
      </w:sdtContent>
    </w:sdt>
    <w:p w14:paraId="775DE8C2">
      <w:pPr>
        <w:pStyle w:val="9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附图：</w:t>
      </w:r>
    </w:p>
    <w:p w14:paraId="59B7469C">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eastAsia"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附图</w:t>
      </w:r>
      <w:r>
        <w:rPr>
          <w:rFonts w:hint="eastAsia" w:cs="Times New Roman"/>
          <w:b w:val="0"/>
          <w:bCs w:val="0"/>
          <w:color w:val="auto"/>
          <w:sz w:val="24"/>
          <w:szCs w:val="24"/>
          <w:highlight w:val="none"/>
          <w:lang w:val="en-US" w:eastAsia="zh-CN"/>
        </w:rPr>
        <w:t>1</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项目与</w:t>
      </w:r>
      <w:r>
        <w:rPr>
          <w:rFonts w:ascii="宋体" w:hAnsi="宋体" w:eastAsia="宋体" w:cs="Times New Roman"/>
          <w:b w:val="0"/>
          <w:sz w:val="24"/>
          <w:szCs w:val="24"/>
          <w:highlight w:val="none"/>
          <w:lang w:val="en-US" w:eastAsia="zh-CN"/>
        </w:rPr>
        <w:t>乌苏工业园区</w:t>
      </w:r>
      <w:r>
        <w:rPr>
          <w:rFonts w:hint="eastAsia" w:ascii="宋体" w:hAnsi="宋体" w:cs="Times New Roman"/>
          <w:b w:val="0"/>
          <w:sz w:val="24"/>
          <w:szCs w:val="24"/>
          <w:highlight w:val="none"/>
          <w:lang w:val="en-US" w:eastAsia="zh-CN"/>
        </w:rPr>
        <w:t>产业和布局规划</w:t>
      </w:r>
      <w:r>
        <w:rPr>
          <w:rFonts w:hint="eastAsia" w:cs="Times New Roman"/>
          <w:b w:val="0"/>
          <w:bCs w:val="0"/>
          <w:color w:val="auto"/>
          <w:sz w:val="24"/>
          <w:szCs w:val="24"/>
          <w:highlight w:val="none"/>
          <w:lang w:val="en-US" w:eastAsia="zh-CN"/>
        </w:rPr>
        <w:t>位置关系图</w:t>
      </w:r>
    </w:p>
    <w:p w14:paraId="002BCBDE">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附图2、项</w:t>
      </w:r>
      <w:r>
        <w:rPr>
          <w:rFonts w:hint="eastAsia" w:ascii="宋体" w:hAnsi="宋体" w:eastAsia="宋体" w:cs="Times New Roman"/>
          <w:b w:val="0"/>
          <w:bCs w:val="0"/>
          <w:sz w:val="24"/>
          <w:szCs w:val="24"/>
          <w:highlight w:val="none"/>
          <w:lang w:val="en-US" w:eastAsia="zh-CN"/>
        </w:rPr>
        <w:t>目与塔城地区生态环境分区管控更新</w:t>
      </w:r>
      <w:r>
        <w:rPr>
          <w:rFonts w:hint="default" w:ascii="宋体" w:hAnsi="宋体" w:eastAsia="宋体" w:cs="Times New Roman"/>
          <w:b w:val="0"/>
          <w:bCs w:val="0"/>
          <w:sz w:val="24"/>
          <w:szCs w:val="24"/>
          <w:highlight w:val="none"/>
          <w:lang w:val="en-US" w:eastAsia="zh-CN"/>
        </w:rPr>
        <w:t>位置</w:t>
      </w:r>
      <w:r>
        <w:rPr>
          <w:rFonts w:hint="default" w:cs="Times New Roman"/>
          <w:b w:val="0"/>
          <w:bCs w:val="0"/>
          <w:color w:val="auto"/>
          <w:sz w:val="24"/>
          <w:szCs w:val="24"/>
          <w:highlight w:val="none"/>
          <w:lang w:val="en-US" w:eastAsia="zh-CN"/>
        </w:rPr>
        <w:t>关系图</w:t>
      </w:r>
    </w:p>
    <w:p w14:paraId="0CB1F6FE">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附图3、本项目</w:t>
      </w:r>
      <w:r>
        <w:rPr>
          <w:rFonts w:hint="default" w:ascii="Times New Roman" w:hAnsi="Times New Roman" w:eastAsia="宋体" w:cs="Times New Roman"/>
          <w:b w:val="0"/>
          <w:bCs w:val="0"/>
          <w:color w:val="auto"/>
          <w:sz w:val="24"/>
          <w:szCs w:val="24"/>
          <w:highlight w:val="none"/>
          <w:lang w:val="en-US" w:eastAsia="zh-CN"/>
        </w:rPr>
        <w:t>地理位置</w:t>
      </w:r>
      <w:r>
        <w:rPr>
          <w:rFonts w:hint="eastAsia" w:ascii="Times New Roman" w:hAnsi="Times New Roman" w:eastAsia="宋体" w:cs="Times New Roman"/>
          <w:b w:val="0"/>
          <w:bCs w:val="0"/>
          <w:color w:val="auto"/>
          <w:sz w:val="24"/>
          <w:szCs w:val="24"/>
          <w:highlight w:val="none"/>
          <w:lang w:val="en-US" w:eastAsia="zh-CN"/>
        </w:rPr>
        <w:t>图</w:t>
      </w:r>
    </w:p>
    <w:p w14:paraId="22D4A413">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附图</w:t>
      </w:r>
      <w:r>
        <w:rPr>
          <w:rFonts w:hint="eastAsia" w:cs="Times New Roman"/>
          <w:b w:val="0"/>
          <w:bCs w:val="0"/>
          <w:color w:val="auto"/>
          <w:sz w:val="24"/>
          <w:szCs w:val="24"/>
          <w:highlight w:val="none"/>
          <w:lang w:val="en-US" w:eastAsia="zh-CN"/>
        </w:rPr>
        <w:t>4</w:t>
      </w:r>
      <w:r>
        <w:rPr>
          <w:rFonts w:hint="eastAsia"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项目平面布置图</w:t>
      </w:r>
    </w:p>
    <w:p w14:paraId="3CCA00E7">
      <w:pPr>
        <w:pStyle w:val="9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附件：</w:t>
      </w:r>
    </w:p>
    <w:p w14:paraId="332A42BB">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附件1、</w:t>
      </w:r>
      <w:r>
        <w:rPr>
          <w:rFonts w:hint="eastAsia" w:cs="Times New Roman"/>
          <w:b w:val="0"/>
          <w:bCs w:val="0"/>
          <w:color w:val="auto"/>
          <w:sz w:val="24"/>
          <w:szCs w:val="24"/>
          <w:highlight w:val="none"/>
          <w:lang w:val="en-US" w:eastAsia="zh-CN"/>
        </w:rPr>
        <w:t>委托书</w:t>
      </w:r>
    </w:p>
    <w:p w14:paraId="335FE97E">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附件2、</w:t>
      </w:r>
      <w:r>
        <w:rPr>
          <w:rFonts w:hint="eastAsia" w:cs="Times New Roman"/>
          <w:b w:val="0"/>
          <w:bCs w:val="0"/>
          <w:color w:val="auto"/>
          <w:sz w:val="24"/>
          <w:szCs w:val="24"/>
          <w:highlight w:val="none"/>
          <w:lang w:val="en-US" w:eastAsia="zh-CN"/>
        </w:rPr>
        <w:t>备案文件</w:t>
      </w:r>
    </w:p>
    <w:p w14:paraId="1BD8FC23">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附件3、</w:t>
      </w:r>
      <w:r>
        <w:rPr>
          <w:rFonts w:hint="eastAsia" w:cs="Times New Roman"/>
          <w:b w:val="0"/>
          <w:bCs w:val="0"/>
          <w:color w:val="auto"/>
          <w:sz w:val="24"/>
          <w:szCs w:val="24"/>
          <w:highlight w:val="none"/>
          <w:lang w:val="en-US" w:eastAsia="zh-CN"/>
        </w:rPr>
        <w:t>厂房租赁协议</w:t>
      </w:r>
    </w:p>
    <w:p w14:paraId="1A23C245">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附件4、</w:t>
      </w:r>
      <w:r>
        <w:rPr>
          <w:rFonts w:hint="default" w:ascii="Times New Roman" w:hAnsi="Times New Roman" w:eastAsia="宋体" w:cs="Times New Roman"/>
          <w:b w:val="0"/>
          <w:bCs w:val="0"/>
          <w:color w:val="auto"/>
          <w:sz w:val="24"/>
          <w:szCs w:val="24"/>
          <w:highlight w:val="none"/>
          <w:lang w:val="en-US" w:eastAsia="zh-CN"/>
        </w:rPr>
        <w:t>环境质量现状监测报告</w:t>
      </w:r>
    </w:p>
    <w:p w14:paraId="03EB9A4A">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附件5、</w:t>
      </w:r>
      <w:r>
        <w:rPr>
          <w:rFonts w:hint="eastAsia" w:cs="Times New Roman"/>
          <w:b w:val="0"/>
          <w:bCs w:val="0"/>
          <w:color w:val="auto"/>
          <w:sz w:val="24"/>
          <w:szCs w:val="24"/>
          <w:highlight w:val="none"/>
          <w:lang w:val="en-US" w:eastAsia="zh-CN"/>
        </w:rPr>
        <w:t>营业执照</w:t>
      </w:r>
    </w:p>
    <w:p w14:paraId="19F974B3">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eastAsia" w:cs="Times New Roman"/>
          <w:b w:val="0"/>
          <w:bCs w:val="0"/>
          <w:color w:val="auto"/>
          <w:sz w:val="24"/>
          <w:szCs w:val="24"/>
          <w:highlight w:val="none"/>
          <w:lang w:val="en-US" w:eastAsia="zh-CN"/>
        </w:rPr>
      </w:pPr>
    </w:p>
    <w:p w14:paraId="303AEE89">
      <w:pPr>
        <w:pStyle w:val="90"/>
        <w:keepNext w:val="0"/>
        <w:keepLines w:val="0"/>
        <w:pageBreakBefore w:val="0"/>
        <w:widowControl/>
        <w:kinsoku/>
        <w:wordWrap/>
        <w:overflowPunct/>
        <w:topLinePunct w:val="0"/>
        <w:autoSpaceDE/>
        <w:autoSpaceDN/>
        <w:bidi w:val="0"/>
        <w:adjustRightInd/>
        <w:snapToGrid/>
        <w:spacing w:line="480" w:lineRule="exact"/>
        <w:ind w:firstLine="480" w:firstLineChars="200"/>
        <w:textAlignment w:val="auto"/>
        <w:rPr>
          <w:rFonts w:hint="default" w:cs="Times New Roman"/>
          <w:b w:val="0"/>
          <w:bCs w:val="0"/>
          <w:color w:val="auto"/>
          <w:sz w:val="24"/>
          <w:szCs w:val="24"/>
          <w:highlight w:val="none"/>
          <w:lang w:val="en-US" w:eastAsia="zh-CN"/>
        </w:rPr>
        <w:sectPr>
          <w:pgSz w:w="11905" w:h="16838"/>
          <w:pgMar w:top="1701" w:right="1531" w:bottom="1701" w:left="1531" w:header="850" w:footer="1077" w:gutter="0"/>
          <w:pgBorders>
            <w:top w:val="none" w:sz="0" w:space="0"/>
            <w:left w:val="none" w:sz="0" w:space="0"/>
            <w:bottom w:val="none" w:sz="0" w:space="0"/>
            <w:right w:val="none" w:sz="0" w:space="0"/>
          </w:pgBorders>
          <w:pgNumType w:fmt="decimal" w:start="1"/>
          <w:cols w:space="0" w:num="1"/>
          <w:titlePg/>
          <w:rtlGutter w:val="0"/>
          <w:docGrid w:linePitch="312" w:charSpace="0"/>
        </w:sectPr>
      </w:pPr>
    </w:p>
    <w:p w14:paraId="0A920862">
      <w:pPr>
        <w:pStyle w:val="24"/>
        <w:jc w:val="center"/>
        <w:rPr>
          <w:lang w:eastAsia="zh-CN"/>
        </w:rPr>
      </w:pPr>
      <w:bookmarkStart w:id="0" w:name="_Toc21609"/>
      <w:bookmarkStart w:id="1" w:name="_Toc30135"/>
      <w:r>
        <w:rPr>
          <w:lang w:eastAsia="zh-CN"/>
        </w:rPr>
        <w:t>一、建设项目基本情况</w:t>
      </w:r>
      <w:bookmarkEnd w:id="0"/>
      <w:bookmarkEnd w:id="1"/>
    </w:p>
    <w:tbl>
      <w:tblPr>
        <w:tblStyle w:val="3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44"/>
        <w:gridCol w:w="2111"/>
        <w:gridCol w:w="2828"/>
        <w:gridCol w:w="3582"/>
      </w:tblGrid>
      <w:tr w14:paraId="2EFA70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592" w:type="pct"/>
            <w:tcBorders>
              <w:bottom w:val="single" w:color="000000" w:sz="4" w:space="0"/>
              <w:right w:val="single" w:color="000000" w:sz="4" w:space="0"/>
            </w:tcBorders>
            <w:vAlign w:val="center"/>
          </w:tcPr>
          <w:p w14:paraId="1F5848C2">
            <w:pPr>
              <w:pStyle w:val="34"/>
              <w:ind w:right="142"/>
              <w:jc w:val="center"/>
              <w:rPr>
                <w:rFonts w:ascii="Times New Roman" w:hAnsi="Times New Roman" w:cs="Times New Roman"/>
                <w:b/>
                <w:bCs/>
                <w:sz w:val="24"/>
                <w:szCs w:val="24"/>
              </w:rPr>
            </w:pPr>
            <w:r>
              <w:rPr>
                <w:rFonts w:ascii="Times New Roman" w:hAnsi="Times New Roman" w:cs="Times New Roman"/>
                <w:b/>
                <w:bCs/>
                <w:sz w:val="24"/>
                <w:szCs w:val="24"/>
              </w:rPr>
              <w:t>建设项目名称</w:t>
            </w:r>
          </w:p>
        </w:tc>
        <w:tc>
          <w:tcPr>
            <w:tcW w:w="4408" w:type="pct"/>
            <w:gridSpan w:val="3"/>
            <w:tcBorders>
              <w:left w:val="single" w:color="000000" w:sz="4" w:space="0"/>
              <w:bottom w:val="single" w:color="000000" w:sz="4" w:space="0"/>
            </w:tcBorders>
            <w:vAlign w:val="center"/>
          </w:tcPr>
          <w:p w14:paraId="18EBF3F3">
            <w:pPr>
              <w:pStyle w:val="34"/>
              <w:ind w:right="144"/>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新疆纤艺纺科技有限公司年产3</w:t>
            </w:r>
            <w:r>
              <w:rPr>
                <w:rFonts w:hint="eastAsia" w:ascii="Times New Roman" w:hAnsi="Times New Roman" w:cs="Times New Roman"/>
                <w:sz w:val="24"/>
                <w:szCs w:val="24"/>
                <w:lang w:val="en-US" w:eastAsia="zh-CN"/>
              </w:rPr>
              <w:t>万</w:t>
            </w:r>
            <w:r>
              <w:rPr>
                <w:rFonts w:hint="eastAsia" w:ascii="Times New Roman" w:hAnsi="Times New Roman" w:cs="Times New Roman"/>
                <w:sz w:val="24"/>
                <w:szCs w:val="24"/>
                <w:lang w:eastAsia="zh-CN"/>
              </w:rPr>
              <w:t>吨高端面料项目</w:t>
            </w:r>
          </w:p>
        </w:tc>
      </w:tr>
      <w:tr w14:paraId="10720C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592" w:type="pct"/>
            <w:tcBorders>
              <w:top w:val="single" w:color="000000" w:sz="4" w:space="0"/>
              <w:bottom w:val="single" w:color="000000" w:sz="4" w:space="0"/>
              <w:right w:val="single" w:color="000000" w:sz="4" w:space="0"/>
            </w:tcBorders>
            <w:vAlign w:val="center"/>
          </w:tcPr>
          <w:p w14:paraId="58CC9CB4">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项目代码</w:t>
            </w:r>
          </w:p>
        </w:tc>
        <w:tc>
          <w:tcPr>
            <w:tcW w:w="4408" w:type="pct"/>
            <w:gridSpan w:val="3"/>
            <w:tcBorders>
              <w:top w:val="single" w:color="000000" w:sz="4" w:space="0"/>
              <w:left w:val="single" w:color="000000" w:sz="4" w:space="0"/>
              <w:bottom w:val="single" w:color="000000" w:sz="4" w:space="0"/>
            </w:tcBorders>
            <w:vAlign w:val="center"/>
          </w:tcPr>
          <w:p w14:paraId="3CA49196">
            <w:pPr>
              <w:pStyle w:val="34"/>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2603-654202-07-01-951163</w:t>
            </w:r>
          </w:p>
        </w:tc>
      </w:tr>
      <w:tr w14:paraId="2B38C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6" w:hRule="atLeast"/>
        </w:trPr>
        <w:tc>
          <w:tcPr>
            <w:tcW w:w="592" w:type="pct"/>
            <w:tcBorders>
              <w:top w:val="single" w:color="000000" w:sz="4" w:space="0"/>
              <w:bottom w:val="single" w:color="000000" w:sz="4" w:space="0"/>
              <w:right w:val="single" w:color="000000" w:sz="4" w:space="0"/>
            </w:tcBorders>
            <w:vAlign w:val="center"/>
          </w:tcPr>
          <w:p w14:paraId="0253586A">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建设单位联系人</w:t>
            </w:r>
          </w:p>
        </w:tc>
        <w:tc>
          <w:tcPr>
            <w:tcW w:w="1092" w:type="pct"/>
            <w:tcBorders>
              <w:top w:val="single" w:color="000000" w:sz="4" w:space="0"/>
              <w:left w:val="single" w:color="000000" w:sz="4" w:space="0"/>
              <w:bottom w:val="single" w:color="000000" w:sz="4" w:space="0"/>
              <w:right w:val="single" w:color="000000" w:sz="4" w:space="0"/>
            </w:tcBorders>
            <w:vAlign w:val="center"/>
          </w:tcPr>
          <w:p w14:paraId="5273916E">
            <w:pPr>
              <w:pStyle w:val="34"/>
              <w:ind w:right="144"/>
              <w:jc w:val="center"/>
              <w:rPr>
                <w:rFonts w:hint="default" w:ascii="Times New Roman" w:hAnsi="Times New Roman" w:cs="Times New Roman"/>
                <w:color w:val="000000" w:themeColor="text1"/>
                <w:sz w:val="24"/>
                <w:szCs w:val="24"/>
                <w:lang w:val="en-US" w:eastAsia="zh-CN"/>
              </w:rPr>
            </w:pPr>
            <w:r>
              <w:rPr>
                <w:rFonts w:hint="eastAsia" w:ascii="Times New Roman" w:hAnsi="Times New Roman" w:cs="Times New Roman"/>
                <w:color w:val="000000" w:themeColor="text1"/>
                <w:sz w:val="24"/>
                <w:szCs w:val="24"/>
                <w:lang w:val="en-US" w:eastAsia="zh-CN"/>
              </w:rPr>
              <w:t>***</w:t>
            </w:r>
          </w:p>
        </w:tc>
        <w:tc>
          <w:tcPr>
            <w:tcW w:w="1463" w:type="pct"/>
            <w:tcBorders>
              <w:top w:val="single" w:color="000000" w:sz="4" w:space="0"/>
              <w:left w:val="single" w:color="000000" w:sz="4" w:space="0"/>
              <w:bottom w:val="single" w:color="000000" w:sz="4" w:space="0"/>
              <w:right w:val="single" w:color="000000" w:sz="4" w:space="0"/>
            </w:tcBorders>
            <w:vAlign w:val="center"/>
          </w:tcPr>
          <w:p w14:paraId="369F0846">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联系方式</w:t>
            </w:r>
          </w:p>
        </w:tc>
        <w:tc>
          <w:tcPr>
            <w:tcW w:w="1853" w:type="pct"/>
            <w:tcBorders>
              <w:top w:val="single" w:color="000000" w:sz="4" w:space="0"/>
              <w:left w:val="single" w:color="000000" w:sz="4" w:space="0"/>
              <w:bottom w:val="single" w:color="000000" w:sz="4" w:space="0"/>
            </w:tcBorders>
            <w:vAlign w:val="center"/>
          </w:tcPr>
          <w:p w14:paraId="0E0D31B6">
            <w:pPr>
              <w:jc w:val="center"/>
              <w:rPr>
                <w:rFonts w:hint="default" w:ascii="Times New Roman" w:hAnsi="Times New Roman" w:cs="Times New Roman"/>
                <w:sz w:val="24"/>
                <w:szCs w:val="24"/>
                <w:lang w:val="en-US"/>
              </w:rPr>
            </w:pPr>
            <w:r>
              <w:rPr>
                <w:rFonts w:hint="eastAsia" w:ascii="Times New Roman" w:hAnsi="Times New Roman" w:cs="Times New Roman"/>
                <w:color w:val="000000"/>
                <w:sz w:val="24"/>
                <w:szCs w:val="24"/>
                <w:lang w:val="en-US" w:eastAsia="zh-CN" w:bidi="ar"/>
              </w:rPr>
              <w:t>***********</w:t>
            </w:r>
          </w:p>
        </w:tc>
      </w:tr>
      <w:tr w14:paraId="410173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592" w:type="pct"/>
            <w:tcBorders>
              <w:top w:val="single" w:color="000000" w:sz="4" w:space="0"/>
              <w:bottom w:val="single" w:color="000000" w:sz="4" w:space="0"/>
              <w:right w:val="single" w:color="000000" w:sz="4" w:space="0"/>
            </w:tcBorders>
            <w:vAlign w:val="center"/>
          </w:tcPr>
          <w:p w14:paraId="3BA34CD7">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建设地点</w:t>
            </w:r>
          </w:p>
        </w:tc>
        <w:tc>
          <w:tcPr>
            <w:tcW w:w="4408" w:type="pct"/>
            <w:gridSpan w:val="3"/>
            <w:tcBorders>
              <w:top w:val="single" w:color="000000" w:sz="4" w:space="0"/>
              <w:left w:val="single" w:color="000000" w:sz="4" w:space="0"/>
              <w:bottom w:val="single" w:color="000000" w:sz="4" w:space="0"/>
            </w:tcBorders>
            <w:vAlign w:val="center"/>
          </w:tcPr>
          <w:p w14:paraId="02C7AB40">
            <w:pPr>
              <w:pStyle w:val="34"/>
              <w:ind w:left="38"/>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u w:val="none"/>
                <w:lang w:val="en-US" w:eastAsia="zh-CN"/>
              </w:rPr>
              <w:t>****</w:t>
            </w:r>
          </w:p>
        </w:tc>
      </w:tr>
      <w:tr w14:paraId="3869DE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592" w:type="pct"/>
            <w:tcBorders>
              <w:top w:val="single" w:color="000000" w:sz="4" w:space="0"/>
              <w:bottom w:val="single" w:color="000000" w:sz="4" w:space="0"/>
              <w:right w:val="single" w:color="000000" w:sz="4" w:space="0"/>
            </w:tcBorders>
            <w:vAlign w:val="center"/>
          </w:tcPr>
          <w:p w14:paraId="6FAEE5D1">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地理坐标</w:t>
            </w:r>
          </w:p>
        </w:tc>
        <w:tc>
          <w:tcPr>
            <w:tcW w:w="4408" w:type="pct"/>
            <w:gridSpan w:val="3"/>
            <w:tcBorders>
              <w:top w:val="single" w:color="000000" w:sz="4" w:space="0"/>
              <w:left w:val="single" w:color="000000" w:sz="4" w:space="0"/>
              <w:bottom w:val="single" w:color="000000" w:sz="4" w:space="0"/>
            </w:tcBorders>
            <w:vAlign w:val="center"/>
          </w:tcPr>
          <w:p w14:paraId="23B38108">
            <w:pPr>
              <w:pStyle w:val="34"/>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w:t>
            </w:r>
          </w:p>
        </w:tc>
      </w:tr>
      <w:tr w14:paraId="0EF39E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3" w:hRule="atLeast"/>
        </w:trPr>
        <w:tc>
          <w:tcPr>
            <w:tcW w:w="592" w:type="pct"/>
            <w:tcBorders>
              <w:top w:val="single" w:color="000000" w:sz="4" w:space="0"/>
              <w:bottom w:val="single" w:color="000000" w:sz="4" w:space="0"/>
              <w:right w:val="single" w:color="000000" w:sz="4" w:space="0"/>
            </w:tcBorders>
            <w:vAlign w:val="center"/>
          </w:tcPr>
          <w:p w14:paraId="508429B7">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国民经济</w:t>
            </w:r>
          </w:p>
          <w:p w14:paraId="79413774">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行业类别</w:t>
            </w:r>
          </w:p>
        </w:tc>
        <w:tc>
          <w:tcPr>
            <w:tcW w:w="1092" w:type="pct"/>
            <w:tcBorders>
              <w:top w:val="single" w:color="000000" w:sz="4" w:space="0"/>
              <w:left w:val="single" w:color="000000" w:sz="4" w:space="0"/>
              <w:bottom w:val="single" w:color="000000" w:sz="4" w:space="0"/>
              <w:right w:val="single" w:color="000000" w:sz="4" w:space="0"/>
            </w:tcBorders>
            <w:vAlign w:val="center"/>
          </w:tcPr>
          <w:p w14:paraId="55F96582">
            <w:pPr>
              <w:jc w:val="center"/>
              <w:rPr>
                <w:rFonts w:hint="default" w:ascii="Times New Roman" w:hAnsi="Times New Roman" w:cs="Times New Roman"/>
                <w:sz w:val="24"/>
                <w:szCs w:val="24"/>
                <w:lang w:val="en-US" w:eastAsia="zh-CN"/>
              </w:rPr>
            </w:pPr>
            <w:r>
              <w:rPr>
                <w:rFonts w:hint="default" w:ascii="Times New Roman" w:hAnsi="Times New Roman" w:eastAsia="宋体" w:cs="Times New Roman"/>
                <w:sz w:val="24"/>
                <w:szCs w:val="24"/>
                <w:lang w:val="en-US" w:eastAsia="zh-CN"/>
              </w:rPr>
              <w:t>C</w:t>
            </w:r>
            <w:r>
              <w:rPr>
                <w:rFonts w:hint="eastAsia" w:ascii="Times New Roman" w:hAnsi="Times New Roman" w:cs="Times New Roman"/>
                <w:sz w:val="24"/>
                <w:szCs w:val="24"/>
                <w:lang w:val="en-US" w:eastAsia="zh-CN"/>
              </w:rPr>
              <w:t>1751化纤织造加工</w:t>
            </w:r>
          </w:p>
        </w:tc>
        <w:tc>
          <w:tcPr>
            <w:tcW w:w="1463" w:type="pct"/>
            <w:tcBorders>
              <w:top w:val="single" w:color="000000" w:sz="4" w:space="0"/>
              <w:left w:val="single" w:color="000000" w:sz="4" w:space="0"/>
              <w:bottom w:val="single" w:color="000000" w:sz="4" w:space="0"/>
              <w:right w:val="single" w:color="000000" w:sz="4" w:space="0"/>
            </w:tcBorders>
            <w:vAlign w:val="center"/>
          </w:tcPr>
          <w:p w14:paraId="5BB81C8B">
            <w:pPr>
              <w:pStyle w:val="34"/>
              <w:ind w:right="144"/>
              <w:jc w:val="center"/>
              <w:rPr>
                <w:rFonts w:ascii="Times New Roman" w:hAnsi="Times New Roman" w:cs="Times New Roman"/>
                <w:b/>
                <w:bCs/>
                <w:sz w:val="24"/>
                <w:szCs w:val="24"/>
              </w:rPr>
            </w:pPr>
            <w:bookmarkStart w:id="2" w:name="_Hlk49843745"/>
            <w:r>
              <w:rPr>
                <w:rFonts w:hint="eastAsia" w:ascii="Times New Roman" w:hAnsi="Times New Roman" w:cs="Times New Roman"/>
                <w:b/>
                <w:bCs/>
                <w:sz w:val="24"/>
                <w:szCs w:val="24"/>
              </w:rPr>
              <w:t>建设项目</w:t>
            </w:r>
          </w:p>
          <w:p w14:paraId="412BE50D">
            <w:pPr>
              <w:pStyle w:val="34"/>
              <w:ind w:right="144"/>
              <w:jc w:val="center"/>
              <w:rPr>
                <w:rFonts w:ascii="Times New Roman" w:hAnsi="Times New Roman" w:cs="Times New Roman"/>
                <w:b/>
                <w:bCs/>
                <w:sz w:val="24"/>
                <w:szCs w:val="24"/>
                <w:lang w:eastAsia="zh-CN"/>
              </w:rPr>
            </w:pPr>
            <w:r>
              <w:rPr>
                <w:rFonts w:hint="eastAsia" w:ascii="Times New Roman" w:hAnsi="Times New Roman" w:cs="Times New Roman"/>
                <w:b/>
                <w:bCs/>
                <w:sz w:val="24"/>
                <w:szCs w:val="24"/>
              </w:rPr>
              <w:t>行业类别</w:t>
            </w:r>
            <w:bookmarkEnd w:id="2"/>
          </w:p>
        </w:tc>
        <w:tc>
          <w:tcPr>
            <w:tcW w:w="1853" w:type="pct"/>
            <w:tcBorders>
              <w:top w:val="single" w:color="000000" w:sz="4" w:space="0"/>
              <w:left w:val="single" w:color="000000" w:sz="4" w:space="0"/>
              <w:bottom w:val="single" w:color="000000" w:sz="4" w:space="0"/>
            </w:tcBorders>
            <w:vAlign w:val="center"/>
          </w:tcPr>
          <w:p w14:paraId="4BFEF46C">
            <w:pPr>
              <w:jc w:val="left"/>
              <w:rPr>
                <w:rFonts w:hint="eastAsia"/>
                <w:sz w:val="21"/>
                <w:szCs w:val="21"/>
                <w:lang w:eastAsia="zh-CN"/>
              </w:rPr>
            </w:pPr>
            <w:r>
              <w:rPr>
                <w:rFonts w:hint="eastAsia" w:ascii="Times New Roman" w:hAnsi="Times New Roman" w:eastAsia="宋体" w:cs="Times New Roman"/>
                <w:sz w:val="24"/>
                <w:szCs w:val="24"/>
                <w:lang w:val="en-US" w:eastAsia="zh-CN"/>
              </w:rPr>
              <w:t>十三、纺织业；31、化纤制造及印染精加工175-</w:t>
            </w:r>
            <w:r>
              <w:rPr>
                <w:rFonts w:hint="default" w:ascii="Times New Roman" w:hAnsi="Times New Roman" w:eastAsia="宋体" w:cs="Times New Roman"/>
                <w:sz w:val="24"/>
                <w:szCs w:val="24"/>
                <w:lang w:val="en-US" w:eastAsia="zh-CN"/>
              </w:rPr>
              <w:t>有涤纶丝喷水织造或者水刺织造工艺的；年用10吨及以上有机溶剂的</w:t>
            </w:r>
          </w:p>
        </w:tc>
      </w:tr>
      <w:tr w14:paraId="23A0A4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11" w:hRule="atLeast"/>
        </w:trPr>
        <w:tc>
          <w:tcPr>
            <w:tcW w:w="592" w:type="pct"/>
            <w:tcBorders>
              <w:top w:val="single" w:color="000000" w:sz="4" w:space="0"/>
              <w:bottom w:val="single" w:color="000000" w:sz="4" w:space="0"/>
              <w:right w:val="single" w:color="000000" w:sz="4" w:space="0"/>
            </w:tcBorders>
            <w:vAlign w:val="center"/>
          </w:tcPr>
          <w:p w14:paraId="331E7C47">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建设性质</w:t>
            </w:r>
          </w:p>
        </w:tc>
        <w:tc>
          <w:tcPr>
            <w:tcW w:w="1092" w:type="pct"/>
            <w:tcBorders>
              <w:top w:val="single" w:color="000000" w:sz="4" w:space="0"/>
              <w:left w:val="single" w:color="000000" w:sz="4" w:space="0"/>
              <w:bottom w:val="single" w:color="000000" w:sz="4" w:space="0"/>
              <w:right w:val="single" w:color="000000" w:sz="4" w:space="0"/>
            </w:tcBorders>
          </w:tcPr>
          <w:p w14:paraId="339276AD">
            <w:pPr>
              <w:pStyle w:val="34"/>
              <w:spacing w:line="255" w:lineRule="exact"/>
              <w:ind w:left="-1"/>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新建（迁建）</w:t>
            </w:r>
          </w:p>
          <w:p w14:paraId="14DF9E3F">
            <w:pPr>
              <w:pStyle w:val="34"/>
              <w:spacing w:line="272" w:lineRule="exact"/>
              <w:ind w:left="-1"/>
              <w:rPr>
                <w:rFonts w:ascii="Times New Roman" w:hAnsi="Times New Roman" w:cs="Times New Roman"/>
                <w:sz w:val="24"/>
                <w:szCs w:val="24"/>
                <w:lang w:eastAsia="zh-CN"/>
              </w:rPr>
            </w:pPr>
            <w:r>
              <w:rPr>
                <w:rFonts w:ascii="Times New Roman" w:hAnsi="Times New Roman" w:cs="Times New Roman"/>
                <w:sz w:val="24"/>
                <w:szCs w:val="24"/>
                <w:lang w:eastAsia="zh-CN"/>
              </w:rPr>
              <w:t>□</w:t>
            </w: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改建</w:t>
            </w:r>
          </w:p>
          <w:p w14:paraId="61C690BB">
            <w:pPr>
              <w:pStyle w:val="34"/>
              <w:spacing w:line="272" w:lineRule="exact"/>
              <w:ind w:left="-1"/>
              <w:rPr>
                <w:rFonts w:ascii="Times New Roman" w:hAnsi="Times New Roman" w:cs="Times New Roman"/>
                <w:sz w:val="24"/>
                <w:szCs w:val="24"/>
                <w:lang w:eastAsia="zh-CN"/>
              </w:rPr>
            </w:pPr>
            <w:r>
              <w:rPr>
                <w:rFonts w:ascii="Times New Roman" w:hAnsi="Times New Roman" w:cs="Times New Roman"/>
                <w:sz w:val="24"/>
                <w:szCs w:val="24"/>
                <w:lang w:eastAsia="zh-CN"/>
              </w:rPr>
              <w:t>□  扩建</w:t>
            </w:r>
          </w:p>
          <w:p w14:paraId="19AB3878">
            <w:pPr>
              <w:pStyle w:val="34"/>
              <w:spacing w:line="274" w:lineRule="exact"/>
              <w:ind w:left="-1"/>
              <w:rPr>
                <w:rFonts w:ascii="Times New Roman" w:hAnsi="Times New Roman" w:cs="Times New Roman"/>
                <w:sz w:val="24"/>
                <w:szCs w:val="24"/>
                <w:lang w:eastAsia="zh-CN"/>
              </w:rPr>
            </w:pPr>
            <w:r>
              <w:rPr>
                <w:rFonts w:ascii="Times New Roman" w:hAnsi="Times New Roman" w:cs="Times New Roman"/>
                <w:sz w:val="24"/>
                <w:szCs w:val="24"/>
                <w:lang w:eastAsia="zh-CN"/>
              </w:rPr>
              <w:t>□  技术改造</w:t>
            </w:r>
          </w:p>
        </w:tc>
        <w:tc>
          <w:tcPr>
            <w:tcW w:w="1463" w:type="pct"/>
            <w:tcBorders>
              <w:top w:val="single" w:color="000000" w:sz="4" w:space="0"/>
              <w:left w:val="single" w:color="000000" w:sz="4" w:space="0"/>
              <w:bottom w:val="single" w:color="000000" w:sz="4" w:space="0"/>
              <w:right w:val="single" w:color="000000" w:sz="4" w:space="0"/>
            </w:tcBorders>
            <w:vAlign w:val="center"/>
          </w:tcPr>
          <w:p w14:paraId="58A20199">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建设项目申报情形</w:t>
            </w:r>
          </w:p>
        </w:tc>
        <w:tc>
          <w:tcPr>
            <w:tcW w:w="1853" w:type="pct"/>
            <w:tcBorders>
              <w:top w:val="single" w:color="000000" w:sz="4" w:space="0"/>
              <w:left w:val="single" w:color="000000" w:sz="4" w:space="0"/>
              <w:bottom w:val="single" w:color="000000" w:sz="4" w:space="0"/>
            </w:tcBorders>
          </w:tcPr>
          <w:p w14:paraId="5A2438A7">
            <w:pPr>
              <w:pStyle w:val="34"/>
              <w:spacing w:line="255" w:lineRule="exact"/>
              <w:ind w:left="-5"/>
              <w:rPr>
                <w:rFonts w:ascii="Times New Roman" w:hAnsi="Times New Roman" w:cs="Times New Roman"/>
                <w:sz w:val="24"/>
                <w:szCs w:val="24"/>
                <w:lang w:eastAsia="zh-CN"/>
              </w:rPr>
            </w:pPr>
            <w:r>
              <w:rPr>
                <w:rFonts w:ascii="Times New Roman" w:hAnsi="Times New Roman" w:cs="Times New Roman"/>
                <w:sz w:val="24"/>
                <w:szCs w:val="24"/>
                <w:lang w:eastAsia="zh-CN"/>
              </w:rPr>
              <w:t>√首次申报项目</w:t>
            </w:r>
          </w:p>
          <w:p w14:paraId="3A9E31FD">
            <w:pPr>
              <w:pStyle w:val="34"/>
              <w:spacing w:line="272" w:lineRule="exact"/>
              <w:ind w:left="-5"/>
              <w:rPr>
                <w:rFonts w:ascii="Times New Roman" w:hAnsi="Times New Roman" w:cs="Times New Roman"/>
                <w:sz w:val="24"/>
                <w:szCs w:val="24"/>
                <w:lang w:eastAsia="zh-CN"/>
              </w:rPr>
            </w:pPr>
            <w:r>
              <w:rPr>
                <w:rFonts w:ascii="Times New Roman" w:hAnsi="Times New Roman" w:cs="Times New Roman"/>
                <w:sz w:val="24"/>
                <w:szCs w:val="24"/>
                <w:lang w:eastAsia="zh-CN"/>
              </w:rPr>
              <w:t>□不予批准后再次申报项目</w:t>
            </w:r>
          </w:p>
          <w:p w14:paraId="61F09026">
            <w:pPr>
              <w:pStyle w:val="34"/>
              <w:spacing w:line="272" w:lineRule="exact"/>
              <w:ind w:left="-5"/>
              <w:rPr>
                <w:rFonts w:ascii="Times New Roman" w:hAnsi="Times New Roman" w:cs="Times New Roman"/>
                <w:sz w:val="24"/>
                <w:szCs w:val="24"/>
                <w:lang w:eastAsia="zh-CN"/>
              </w:rPr>
            </w:pPr>
            <w:r>
              <w:rPr>
                <w:rFonts w:ascii="Times New Roman" w:hAnsi="Times New Roman" w:cs="Times New Roman"/>
                <w:sz w:val="24"/>
                <w:szCs w:val="24"/>
                <w:lang w:eastAsia="zh-CN"/>
              </w:rPr>
              <w:t>□超五年重新审核项目</w:t>
            </w:r>
          </w:p>
          <w:p w14:paraId="64D6E874">
            <w:pPr>
              <w:pStyle w:val="34"/>
              <w:spacing w:line="274" w:lineRule="exact"/>
              <w:ind w:left="-5"/>
              <w:rPr>
                <w:rFonts w:ascii="Times New Roman" w:hAnsi="Times New Roman" w:cs="Times New Roman"/>
                <w:sz w:val="24"/>
                <w:szCs w:val="24"/>
                <w:lang w:eastAsia="zh-CN"/>
              </w:rPr>
            </w:pPr>
            <w:r>
              <w:rPr>
                <w:rFonts w:ascii="Times New Roman" w:hAnsi="Times New Roman" w:cs="Times New Roman"/>
                <w:sz w:val="24"/>
                <w:szCs w:val="24"/>
                <w:lang w:eastAsia="zh-CN"/>
              </w:rPr>
              <w:t>□重大变动重新报批项目</w:t>
            </w:r>
          </w:p>
        </w:tc>
      </w:tr>
      <w:tr w14:paraId="66D9E5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8" w:hRule="atLeast"/>
        </w:trPr>
        <w:tc>
          <w:tcPr>
            <w:tcW w:w="592" w:type="pct"/>
            <w:tcBorders>
              <w:top w:val="single" w:color="000000" w:sz="4" w:space="0"/>
              <w:bottom w:val="single" w:color="000000" w:sz="4" w:space="0"/>
              <w:right w:val="single" w:color="000000" w:sz="4" w:space="0"/>
            </w:tcBorders>
            <w:vAlign w:val="center"/>
          </w:tcPr>
          <w:p w14:paraId="64D38DBA">
            <w:pPr>
              <w:pStyle w:val="34"/>
              <w:ind w:right="126"/>
              <w:jc w:val="center"/>
              <w:rPr>
                <w:rFonts w:ascii="Times New Roman" w:hAnsi="Times New Roman" w:cs="Times New Roman"/>
                <w:b/>
                <w:bCs/>
                <w:sz w:val="24"/>
                <w:szCs w:val="24"/>
                <w:lang w:eastAsia="zh-CN"/>
              </w:rPr>
            </w:pPr>
            <w:r>
              <w:rPr>
                <w:rFonts w:ascii="Times New Roman" w:hAnsi="Times New Roman" w:cs="Times New Roman"/>
                <w:b/>
                <w:bCs/>
                <w:spacing w:val="-1"/>
                <w:sz w:val="24"/>
                <w:szCs w:val="24"/>
                <w:lang w:eastAsia="zh-CN"/>
              </w:rPr>
              <w:t>项目审批</w:t>
            </w:r>
            <w:r>
              <w:rPr>
                <w:rFonts w:ascii="Times New Roman" w:hAnsi="Times New Roman" w:cs="Times New Roman"/>
                <w:b/>
                <w:bCs/>
                <w:spacing w:val="-3"/>
                <w:sz w:val="24"/>
                <w:szCs w:val="24"/>
                <w:lang w:eastAsia="zh-CN"/>
              </w:rPr>
              <w:t>（</w:t>
            </w:r>
            <w:r>
              <w:rPr>
                <w:rFonts w:ascii="Times New Roman" w:hAnsi="Times New Roman" w:cs="Times New Roman"/>
                <w:b/>
                <w:bCs/>
                <w:spacing w:val="-2"/>
                <w:sz w:val="24"/>
                <w:szCs w:val="24"/>
                <w:lang w:eastAsia="zh-CN"/>
              </w:rPr>
              <w:t>核准</w:t>
            </w:r>
            <w:r>
              <w:rPr>
                <w:rFonts w:ascii="Times New Roman" w:hAnsi="Times New Roman" w:cs="Times New Roman"/>
                <w:b/>
                <w:bCs/>
                <w:spacing w:val="-3"/>
                <w:sz w:val="24"/>
                <w:szCs w:val="24"/>
                <w:lang w:eastAsia="zh-CN"/>
              </w:rPr>
              <w:t xml:space="preserve">/ </w:t>
            </w:r>
            <w:r>
              <w:rPr>
                <w:rFonts w:ascii="Times New Roman" w:hAnsi="Times New Roman" w:cs="Times New Roman"/>
                <w:b/>
                <w:bCs/>
                <w:sz w:val="24"/>
                <w:szCs w:val="24"/>
                <w:lang w:eastAsia="zh-CN"/>
              </w:rPr>
              <w:t>备案</w:t>
            </w:r>
            <w:r>
              <w:rPr>
                <w:rFonts w:ascii="Times New Roman" w:hAnsi="Times New Roman" w:cs="Times New Roman"/>
                <w:b/>
                <w:bCs/>
                <w:spacing w:val="-3"/>
                <w:sz w:val="24"/>
                <w:szCs w:val="24"/>
                <w:lang w:eastAsia="zh-CN"/>
              </w:rPr>
              <w:t>）</w:t>
            </w:r>
            <w:r>
              <w:rPr>
                <w:rFonts w:ascii="Times New Roman" w:hAnsi="Times New Roman" w:cs="Times New Roman"/>
                <w:b/>
                <w:bCs/>
                <w:spacing w:val="-2"/>
                <w:sz w:val="24"/>
                <w:szCs w:val="24"/>
                <w:lang w:eastAsia="zh-CN"/>
              </w:rPr>
              <w:t>部门</w:t>
            </w:r>
            <w:r>
              <w:rPr>
                <w:rFonts w:ascii="Times New Roman" w:hAnsi="Times New Roman" w:cs="Times New Roman"/>
                <w:b/>
                <w:bCs/>
                <w:sz w:val="24"/>
                <w:szCs w:val="24"/>
                <w:lang w:eastAsia="zh-CN"/>
              </w:rPr>
              <w:t>（</w:t>
            </w:r>
            <w:r>
              <w:rPr>
                <w:rFonts w:ascii="Times New Roman" w:hAnsi="Times New Roman" w:cs="Times New Roman"/>
                <w:b/>
                <w:bCs/>
                <w:spacing w:val="-2"/>
                <w:sz w:val="24"/>
                <w:szCs w:val="24"/>
                <w:lang w:eastAsia="zh-CN"/>
              </w:rPr>
              <w:t>选填</w:t>
            </w:r>
            <w:r>
              <w:rPr>
                <w:rFonts w:ascii="Times New Roman" w:hAnsi="Times New Roman" w:cs="Times New Roman"/>
                <w:b/>
                <w:bCs/>
                <w:spacing w:val="-3"/>
                <w:sz w:val="24"/>
                <w:szCs w:val="24"/>
                <w:lang w:eastAsia="zh-CN"/>
              </w:rPr>
              <w:t>）</w:t>
            </w:r>
          </w:p>
        </w:tc>
        <w:tc>
          <w:tcPr>
            <w:tcW w:w="1092" w:type="pct"/>
            <w:tcBorders>
              <w:top w:val="single" w:color="000000" w:sz="4" w:space="0"/>
              <w:left w:val="single" w:color="000000" w:sz="4" w:space="0"/>
              <w:bottom w:val="single" w:color="000000" w:sz="4" w:space="0"/>
              <w:right w:val="single" w:color="000000" w:sz="4" w:space="0"/>
            </w:tcBorders>
            <w:vAlign w:val="center"/>
          </w:tcPr>
          <w:p w14:paraId="22F1007F">
            <w:pPr>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乌苏市发展和改革委员会</w:t>
            </w:r>
          </w:p>
        </w:tc>
        <w:tc>
          <w:tcPr>
            <w:tcW w:w="1463" w:type="pct"/>
            <w:tcBorders>
              <w:top w:val="single" w:color="000000" w:sz="4" w:space="0"/>
              <w:left w:val="single" w:color="000000" w:sz="4" w:space="0"/>
              <w:bottom w:val="single" w:color="000000" w:sz="4" w:space="0"/>
              <w:right w:val="single" w:color="000000" w:sz="4" w:space="0"/>
            </w:tcBorders>
            <w:vAlign w:val="center"/>
          </w:tcPr>
          <w:p w14:paraId="12ACDF82">
            <w:pPr>
              <w:pStyle w:val="34"/>
              <w:ind w:right="126"/>
              <w:jc w:val="center"/>
              <w:rPr>
                <w:rFonts w:ascii="Times New Roman" w:hAnsi="Times New Roman" w:cs="Times New Roman"/>
                <w:b/>
                <w:bCs/>
                <w:sz w:val="24"/>
                <w:szCs w:val="24"/>
                <w:lang w:eastAsia="zh-CN"/>
              </w:rPr>
            </w:pPr>
            <w:r>
              <w:rPr>
                <w:rFonts w:ascii="Times New Roman" w:hAnsi="Times New Roman" w:cs="Times New Roman"/>
                <w:b/>
                <w:bCs/>
                <w:spacing w:val="-1"/>
                <w:sz w:val="24"/>
                <w:szCs w:val="24"/>
                <w:lang w:eastAsia="zh-CN"/>
              </w:rPr>
              <w:t>项目审批</w:t>
            </w:r>
            <w:r>
              <w:rPr>
                <w:rFonts w:ascii="Times New Roman" w:hAnsi="Times New Roman" w:cs="Times New Roman"/>
                <w:b/>
                <w:bCs/>
                <w:spacing w:val="-3"/>
                <w:sz w:val="24"/>
                <w:szCs w:val="24"/>
                <w:lang w:eastAsia="zh-CN"/>
              </w:rPr>
              <w:t>（</w:t>
            </w:r>
            <w:r>
              <w:rPr>
                <w:rFonts w:ascii="Times New Roman" w:hAnsi="Times New Roman" w:cs="Times New Roman"/>
                <w:b/>
                <w:bCs/>
                <w:spacing w:val="-2"/>
                <w:sz w:val="24"/>
                <w:szCs w:val="24"/>
                <w:lang w:eastAsia="zh-CN"/>
              </w:rPr>
              <w:t>核准</w:t>
            </w:r>
            <w:r>
              <w:rPr>
                <w:rFonts w:ascii="Times New Roman" w:hAnsi="Times New Roman" w:cs="Times New Roman"/>
                <w:b/>
                <w:bCs/>
                <w:spacing w:val="-3"/>
                <w:sz w:val="24"/>
                <w:szCs w:val="24"/>
                <w:lang w:eastAsia="zh-CN"/>
              </w:rPr>
              <w:t>/</w:t>
            </w:r>
            <w:r>
              <w:rPr>
                <w:rFonts w:ascii="Times New Roman" w:hAnsi="Times New Roman" w:cs="Times New Roman"/>
                <w:b/>
                <w:bCs/>
                <w:sz w:val="24"/>
                <w:szCs w:val="24"/>
                <w:lang w:eastAsia="zh-CN"/>
              </w:rPr>
              <w:t>备案</w:t>
            </w:r>
            <w:r>
              <w:rPr>
                <w:rFonts w:ascii="Times New Roman" w:hAnsi="Times New Roman" w:cs="Times New Roman"/>
                <w:b/>
                <w:bCs/>
                <w:spacing w:val="-3"/>
                <w:sz w:val="24"/>
                <w:szCs w:val="24"/>
                <w:lang w:eastAsia="zh-CN"/>
              </w:rPr>
              <w:t>）</w:t>
            </w:r>
            <w:r>
              <w:rPr>
                <w:rFonts w:ascii="Times New Roman" w:hAnsi="Times New Roman" w:cs="Times New Roman"/>
                <w:b/>
                <w:bCs/>
                <w:spacing w:val="-2"/>
                <w:sz w:val="24"/>
                <w:szCs w:val="24"/>
                <w:lang w:eastAsia="zh-CN"/>
              </w:rPr>
              <w:t>文号</w:t>
            </w:r>
            <w:r>
              <w:rPr>
                <w:rFonts w:ascii="Times New Roman" w:hAnsi="Times New Roman" w:cs="Times New Roman"/>
                <w:b/>
                <w:bCs/>
                <w:sz w:val="24"/>
                <w:szCs w:val="24"/>
                <w:lang w:eastAsia="zh-CN"/>
              </w:rPr>
              <w:t>（</w:t>
            </w:r>
            <w:r>
              <w:rPr>
                <w:rFonts w:ascii="Times New Roman" w:hAnsi="Times New Roman" w:cs="Times New Roman"/>
                <w:b/>
                <w:bCs/>
                <w:spacing w:val="-2"/>
                <w:sz w:val="24"/>
                <w:szCs w:val="24"/>
                <w:lang w:eastAsia="zh-CN"/>
              </w:rPr>
              <w:t>选填</w:t>
            </w:r>
            <w:r>
              <w:rPr>
                <w:rFonts w:ascii="Times New Roman" w:hAnsi="Times New Roman" w:cs="Times New Roman"/>
                <w:b/>
                <w:bCs/>
                <w:spacing w:val="-3"/>
                <w:sz w:val="24"/>
                <w:szCs w:val="24"/>
                <w:lang w:eastAsia="zh-CN"/>
              </w:rPr>
              <w:t>）</w:t>
            </w:r>
          </w:p>
        </w:tc>
        <w:tc>
          <w:tcPr>
            <w:tcW w:w="1853" w:type="pct"/>
            <w:tcBorders>
              <w:top w:val="single" w:color="000000" w:sz="4" w:space="0"/>
              <w:left w:val="single" w:color="000000" w:sz="4" w:space="0"/>
              <w:bottom w:val="single" w:color="000000" w:sz="4" w:space="0"/>
            </w:tcBorders>
            <w:vAlign w:val="center"/>
          </w:tcPr>
          <w:p w14:paraId="2892ACAA">
            <w:pPr>
              <w:jc w:val="center"/>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备案证号：</w:t>
            </w:r>
          </w:p>
          <w:p w14:paraId="0D0729C3">
            <w:pPr>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2603021865654202000040</w:t>
            </w:r>
          </w:p>
        </w:tc>
      </w:tr>
      <w:tr w14:paraId="15D592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9" w:hRule="exact"/>
        </w:trPr>
        <w:tc>
          <w:tcPr>
            <w:tcW w:w="592" w:type="pct"/>
            <w:tcBorders>
              <w:top w:val="single" w:color="000000" w:sz="4" w:space="0"/>
              <w:bottom w:val="single" w:color="000000" w:sz="4" w:space="0"/>
              <w:right w:val="single" w:color="000000" w:sz="4" w:space="0"/>
            </w:tcBorders>
            <w:vAlign w:val="center"/>
          </w:tcPr>
          <w:p w14:paraId="50509ECA">
            <w:pPr>
              <w:pStyle w:val="34"/>
              <w:ind w:right="144"/>
              <w:jc w:val="center"/>
              <w:rPr>
                <w:rFonts w:ascii="Times New Roman" w:hAnsi="Times New Roman" w:cs="Times New Roman"/>
                <w:b/>
                <w:bCs/>
                <w:sz w:val="24"/>
                <w:szCs w:val="24"/>
              </w:rPr>
            </w:pPr>
            <w:bookmarkStart w:id="3" w:name="_Hlk170235952"/>
            <w:r>
              <w:rPr>
                <w:rFonts w:ascii="Times New Roman" w:hAnsi="Times New Roman" w:cs="Times New Roman"/>
                <w:b/>
                <w:bCs/>
                <w:sz w:val="24"/>
                <w:szCs w:val="24"/>
              </w:rPr>
              <w:t>总投资（万元）</w:t>
            </w:r>
          </w:p>
        </w:tc>
        <w:tc>
          <w:tcPr>
            <w:tcW w:w="1092" w:type="pct"/>
            <w:tcBorders>
              <w:top w:val="single" w:color="000000" w:sz="4" w:space="0"/>
              <w:left w:val="single" w:color="000000" w:sz="4" w:space="0"/>
              <w:bottom w:val="single" w:color="000000" w:sz="4" w:space="0"/>
              <w:right w:val="single" w:color="000000" w:sz="4" w:space="0"/>
            </w:tcBorders>
            <w:vAlign w:val="center"/>
          </w:tcPr>
          <w:p w14:paraId="3FE89E9F">
            <w:pPr>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35000</w:t>
            </w:r>
          </w:p>
        </w:tc>
        <w:tc>
          <w:tcPr>
            <w:tcW w:w="1463" w:type="pct"/>
            <w:tcBorders>
              <w:top w:val="single" w:color="000000" w:sz="4" w:space="0"/>
              <w:left w:val="single" w:color="000000" w:sz="4" w:space="0"/>
              <w:bottom w:val="single" w:color="000000" w:sz="4" w:space="0"/>
              <w:right w:val="single" w:color="000000" w:sz="4" w:space="0"/>
            </w:tcBorders>
            <w:vAlign w:val="center"/>
          </w:tcPr>
          <w:p w14:paraId="5A1A2189">
            <w:pPr>
              <w:pStyle w:val="34"/>
              <w:ind w:right="199"/>
              <w:jc w:val="center"/>
              <w:rPr>
                <w:rFonts w:ascii="Times New Roman" w:hAnsi="Times New Roman" w:cs="Times New Roman"/>
                <w:b/>
                <w:bCs/>
                <w:sz w:val="24"/>
                <w:szCs w:val="24"/>
              </w:rPr>
            </w:pPr>
            <w:r>
              <w:rPr>
                <w:rFonts w:ascii="Times New Roman" w:hAnsi="Times New Roman" w:cs="Times New Roman"/>
                <w:b/>
                <w:bCs/>
                <w:sz w:val="24"/>
                <w:szCs w:val="24"/>
              </w:rPr>
              <w:t>环保投资（万元）</w:t>
            </w:r>
          </w:p>
        </w:tc>
        <w:tc>
          <w:tcPr>
            <w:tcW w:w="1853" w:type="pct"/>
            <w:tcBorders>
              <w:top w:val="single" w:color="000000" w:sz="4" w:space="0"/>
              <w:left w:val="single" w:color="000000" w:sz="4" w:space="0"/>
              <w:bottom w:val="single" w:color="000000" w:sz="4" w:space="0"/>
            </w:tcBorders>
            <w:vAlign w:val="center"/>
          </w:tcPr>
          <w:p w14:paraId="37857490">
            <w:pPr>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600</w:t>
            </w:r>
          </w:p>
        </w:tc>
      </w:tr>
      <w:tr w14:paraId="4A83F2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592" w:type="pct"/>
            <w:tcBorders>
              <w:top w:val="single" w:color="000000" w:sz="4" w:space="0"/>
              <w:bottom w:val="single" w:color="000000" w:sz="4" w:space="0"/>
              <w:right w:val="single" w:color="000000" w:sz="4" w:space="0"/>
            </w:tcBorders>
            <w:vAlign w:val="center"/>
          </w:tcPr>
          <w:p w14:paraId="3D603353">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环保投资占比（%）</w:t>
            </w:r>
          </w:p>
        </w:tc>
        <w:tc>
          <w:tcPr>
            <w:tcW w:w="1092" w:type="pct"/>
            <w:tcBorders>
              <w:top w:val="single" w:color="000000" w:sz="4" w:space="0"/>
              <w:left w:val="single" w:color="000000" w:sz="4" w:space="0"/>
              <w:bottom w:val="single" w:color="000000" w:sz="4" w:space="0"/>
              <w:right w:val="single" w:color="000000" w:sz="4" w:space="0"/>
            </w:tcBorders>
            <w:vAlign w:val="center"/>
          </w:tcPr>
          <w:p w14:paraId="2E9DC00F">
            <w:pPr>
              <w:jc w:val="center"/>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1.71</w:t>
            </w:r>
            <w:r>
              <w:rPr>
                <w:rFonts w:ascii="Times New Roman" w:hAnsi="Times New Roman" w:cs="Times New Roman"/>
                <w:sz w:val="24"/>
                <w:szCs w:val="24"/>
                <w:lang w:eastAsia="zh-CN"/>
              </w:rPr>
              <w:t>%</w:t>
            </w:r>
          </w:p>
        </w:tc>
        <w:tc>
          <w:tcPr>
            <w:tcW w:w="1463" w:type="pct"/>
            <w:tcBorders>
              <w:top w:val="single" w:color="000000" w:sz="4" w:space="0"/>
              <w:left w:val="single" w:color="000000" w:sz="4" w:space="0"/>
              <w:bottom w:val="single" w:color="000000" w:sz="4" w:space="0"/>
              <w:right w:val="single" w:color="000000" w:sz="4" w:space="0"/>
            </w:tcBorders>
            <w:vAlign w:val="center"/>
          </w:tcPr>
          <w:p w14:paraId="74DDCF2C">
            <w:pPr>
              <w:pStyle w:val="34"/>
              <w:ind w:right="198"/>
              <w:jc w:val="center"/>
              <w:rPr>
                <w:rFonts w:ascii="Times New Roman" w:hAnsi="Times New Roman" w:cs="Times New Roman"/>
                <w:b/>
                <w:bCs/>
                <w:sz w:val="24"/>
                <w:szCs w:val="24"/>
              </w:rPr>
            </w:pPr>
            <w:r>
              <w:rPr>
                <w:rFonts w:ascii="Times New Roman" w:hAnsi="Times New Roman" w:cs="Times New Roman"/>
                <w:b/>
                <w:bCs/>
                <w:sz w:val="24"/>
                <w:szCs w:val="24"/>
              </w:rPr>
              <w:t>施工工期</w:t>
            </w:r>
          </w:p>
        </w:tc>
        <w:tc>
          <w:tcPr>
            <w:tcW w:w="1853" w:type="pct"/>
            <w:tcBorders>
              <w:top w:val="single" w:color="000000" w:sz="4" w:space="0"/>
              <w:left w:val="single" w:color="000000" w:sz="4" w:space="0"/>
              <w:bottom w:val="single" w:color="000000" w:sz="4" w:space="0"/>
            </w:tcBorders>
            <w:vAlign w:val="center"/>
          </w:tcPr>
          <w:p w14:paraId="7C61AF03">
            <w:pPr>
              <w:jc w:val="center"/>
              <w:rPr>
                <w:rFonts w:ascii="Times New Roman" w:hAnsi="Times New Roman" w:cs="Times New Roman"/>
                <w:sz w:val="24"/>
                <w:szCs w:val="24"/>
                <w:lang w:eastAsia="zh-CN"/>
              </w:rPr>
            </w:pPr>
            <w:r>
              <w:rPr>
                <w:rFonts w:hint="eastAsia" w:ascii="Times New Roman" w:hAnsi="Times New Roman" w:cs="Times New Roman"/>
                <w:sz w:val="24"/>
                <w:szCs w:val="24"/>
                <w:lang w:val="en-US" w:eastAsia="zh-CN"/>
              </w:rPr>
              <w:t>12</w:t>
            </w:r>
            <w:r>
              <w:rPr>
                <w:rFonts w:hint="eastAsia" w:ascii="Times New Roman" w:hAnsi="Times New Roman" w:cs="Times New Roman"/>
                <w:sz w:val="24"/>
                <w:szCs w:val="24"/>
                <w:lang w:eastAsia="zh-CN"/>
              </w:rPr>
              <w:t>个月</w:t>
            </w:r>
          </w:p>
        </w:tc>
      </w:tr>
      <w:tr w14:paraId="76651A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592" w:type="pct"/>
            <w:tcBorders>
              <w:top w:val="single" w:color="000000" w:sz="4" w:space="0"/>
              <w:bottom w:val="single" w:color="000000" w:sz="4" w:space="0"/>
              <w:right w:val="single" w:color="000000" w:sz="4" w:space="0"/>
            </w:tcBorders>
            <w:vAlign w:val="center"/>
          </w:tcPr>
          <w:p w14:paraId="4306DE9E">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是否开工建设</w:t>
            </w:r>
          </w:p>
        </w:tc>
        <w:tc>
          <w:tcPr>
            <w:tcW w:w="1092" w:type="pct"/>
            <w:tcBorders>
              <w:top w:val="single" w:color="000000" w:sz="4" w:space="0"/>
              <w:left w:val="single" w:color="000000" w:sz="4" w:space="0"/>
              <w:bottom w:val="single" w:color="000000" w:sz="4" w:space="0"/>
              <w:right w:val="single" w:color="000000" w:sz="4" w:space="0"/>
            </w:tcBorders>
            <w:vAlign w:val="center"/>
          </w:tcPr>
          <w:p w14:paraId="7997310E">
            <w:pPr>
              <w:pStyle w:val="34"/>
              <w:spacing w:line="272" w:lineRule="exact"/>
              <w:ind w:left="-1"/>
              <w:rPr>
                <w:rFonts w:ascii="Times New Roman" w:hAnsi="Times New Roman" w:cs="Times New Roman"/>
                <w:sz w:val="24"/>
                <w:szCs w:val="24"/>
                <w:lang w:eastAsia="zh-CN"/>
              </w:rPr>
            </w:pPr>
            <w:r>
              <w:rPr>
                <w:rFonts w:ascii="Times New Roman" w:hAnsi="Times New Roman" w:cs="Times New Roman"/>
                <w:sz w:val="24"/>
                <w:szCs w:val="24"/>
                <w:lang w:eastAsia="zh-CN"/>
              </w:rPr>
              <w:t>√否：</w:t>
            </w:r>
          </w:p>
          <w:p w14:paraId="3841E83D">
            <w:pPr>
              <w:pStyle w:val="34"/>
              <w:spacing w:line="272" w:lineRule="exact"/>
              <w:ind w:left="-1"/>
              <w:rPr>
                <w:rFonts w:ascii="Times New Roman" w:hAnsi="Times New Roman" w:cs="Times New Roman"/>
                <w:sz w:val="24"/>
                <w:szCs w:val="24"/>
                <w:lang w:eastAsia="zh-CN"/>
              </w:rPr>
            </w:pPr>
            <w:r>
              <w:rPr>
                <w:rFonts w:ascii="Times New Roman" w:hAnsi="Times New Roman" w:cs="Times New Roman"/>
                <w:sz w:val="24"/>
                <w:szCs w:val="24"/>
                <w:lang w:eastAsia="zh-CN"/>
              </w:rPr>
              <w:t xml:space="preserve">□是： </w:t>
            </w:r>
          </w:p>
        </w:tc>
        <w:tc>
          <w:tcPr>
            <w:tcW w:w="1463" w:type="pct"/>
            <w:tcBorders>
              <w:top w:val="single" w:color="000000" w:sz="4" w:space="0"/>
              <w:left w:val="single" w:color="000000" w:sz="4" w:space="0"/>
              <w:bottom w:val="single" w:color="000000" w:sz="4" w:space="0"/>
              <w:right w:val="single" w:color="000000" w:sz="4" w:space="0"/>
            </w:tcBorders>
            <w:vAlign w:val="center"/>
          </w:tcPr>
          <w:p w14:paraId="53773344">
            <w:pPr>
              <w:pStyle w:val="34"/>
              <w:ind w:right="198"/>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用地（用海） 面积（m</w:t>
            </w:r>
            <w:r>
              <w:rPr>
                <w:rFonts w:ascii="Times New Roman" w:hAnsi="Times New Roman" w:cs="Times New Roman"/>
                <w:b/>
                <w:bCs/>
                <w:sz w:val="24"/>
                <w:szCs w:val="24"/>
                <w:vertAlign w:val="superscript"/>
                <w:lang w:eastAsia="zh-CN"/>
              </w:rPr>
              <w:t>2</w:t>
            </w:r>
            <w:r>
              <w:rPr>
                <w:rFonts w:ascii="Times New Roman" w:hAnsi="Times New Roman" w:cs="Times New Roman"/>
                <w:b/>
                <w:bCs/>
                <w:sz w:val="24"/>
                <w:szCs w:val="24"/>
                <w:lang w:eastAsia="zh-CN"/>
              </w:rPr>
              <w:t>）</w:t>
            </w:r>
          </w:p>
        </w:tc>
        <w:tc>
          <w:tcPr>
            <w:tcW w:w="1853" w:type="pct"/>
            <w:tcBorders>
              <w:top w:val="single" w:color="000000" w:sz="4" w:space="0"/>
              <w:left w:val="single" w:color="000000" w:sz="4" w:space="0"/>
              <w:bottom w:val="single" w:color="000000" w:sz="4" w:space="0"/>
            </w:tcBorders>
            <w:vAlign w:val="center"/>
          </w:tcPr>
          <w:p w14:paraId="1EF6A001">
            <w:pPr>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34364.02</w:t>
            </w:r>
          </w:p>
        </w:tc>
      </w:tr>
      <w:bookmarkEnd w:id="3"/>
      <w:tr w14:paraId="3A9CAD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592" w:type="pct"/>
            <w:tcBorders>
              <w:top w:val="single" w:color="000000" w:sz="4" w:space="0"/>
              <w:bottom w:val="single" w:color="000000" w:sz="4" w:space="0"/>
              <w:right w:val="single" w:color="000000" w:sz="4" w:space="0"/>
            </w:tcBorders>
            <w:vAlign w:val="center"/>
          </w:tcPr>
          <w:p w14:paraId="1FAB46E9">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专项评价设置情况</w:t>
            </w:r>
          </w:p>
        </w:tc>
        <w:tc>
          <w:tcPr>
            <w:tcW w:w="4408" w:type="pct"/>
            <w:gridSpan w:val="3"/>
            <w:tcBorders>
              <w:top w:val="single" w:color="000000" w:sz="4" w:space="0"/>
              <w:left w:val="single" w:color="000000" w:sz="4" w:space="0"/>
              <w:bottom w:val="single" w:color="000000" w:sz="4" w:space="0"/>
            </w:tcBorders>
            <w:vAlign w:val="center"/>
          </w:tcPr>
          <w:p w14:paraId="57E85C92">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根据《建设项目环境影响报告表编制技术指南 （污染影响类）（试行）》，专项评价设置原则见下表1-1。</w:t>
            </w:r>
          </w:p>
          <w:p w14:paraId="1F8B34CB">
            <w:pPr>
              <w:pStyle w:val="89"/>
              <w:spacing w:before="33" w:line="213" w:lineRule="auto"/>
              <w:jc w:val="center"/>
              <w:rPr>
                <w:rFonts w:ascii="Times New Roman" w:hAnsi="Times New Roman" w:cs="Times New Roman"/>
                <w:b/>
                <w:bCs/>
                <w:spacing w:val="-6"/>
                <w:kern w:val="0"/>
                <w:sz w:val="21"/>
                <w:szCs w:val="21"/>
                <w:lang w:eastAsia="zh-CN"/>
              </w:rPr>
            </w:pPr>
            <w:r>
              <w:rPr>
                <w:rFonts w:ascii="Times New Roman" w:hAnsi="Times New Roman" w:cs="Times New Roman"/>
                <w:b/>
                <w:bCs/>
                <w:spacing w:val="-6"/>
                <w:kern w:val="0"/>
                <w:sz w:val="21"/>
                <w:szCs w:val="21"/>
                <w:lang w:eastAsia="zh-CN"/>
              </w:rPr>
              <w:t>表 1-1</w:t>
            </w:r>
            <w:r>
              <w:rPr>
                <w:rFonts w:hint="eastAsia" w:ascii="Times New Roman" w:hAnsi="Times New Roman" w:cs="Times New Roman"/>
                <w:b/>
                <w:bCs/>
                <w:spacing w:val="-6"/>
                <w:kern w:val="0"/>
                <w:sz w:val="21"/>
                <w:szCs w:val="21"/>
                <w:lang w:val="en-US" w:eastAsia="zh-CN"/>
              </w:rPr>
              <w:t xml:space="preserve">  </w:t>
            </w:r>
            <w:r>
              <w:rPr>
                <w:rFonts w:ascii="Times New Roman" w:hAnsi="Times New Roman" w:cs="Times New Roman"/>
                <w:b/>
                <w:bCs/>
                <w:spacing w:val="-6"/>
                <w:kern w:val="0"/>
                <w:sz w:val="21"/>
                <w:szCs w:val="21"/>
                <w:lang w:eastAsia="zh-CN"/>
              </w:rPr>
              <w:t>专项评价设置原则表</w:t>
            </w:r>
          </w:p>
          <w:tbl>
            <w:tblPr>
              <w:tblStyle w:val="27"/>
              <w:tblW w:w="4998" w:type="pct"/>
              <w:tblInd w:w="-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075"/>
              <w:gridCol w:w="4284"/>
              <w:gridCol w:w="2127"/>
              <w:gridCol w:w="987"/>
            </w:tblGrid>
            <w:tr w14:paraId="7E2E62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634" w:type="pct"/>
                  <w:tcBorders>
                    <w:tl2br w:val="nil"/>
                    <w:tr2bl w:val="nil"/>
                  </w:tcBorders>
                  <w:noWrap w:val="0"/>
                  <w:vAlign w:val="center"/>
                </w:tcPr>
                <w:p w14:paraId="2B9ABA2E">
                  <w:pPr>
                    <w:adjustRightInd w:val="0"/>
                    <w:snapToGrid w:val="0"/>
                    <w:jc w:val="center"/>
                    <w:rPr>
                      <w:b w:val="0"/>
                      <w:bCs w:val="0"/>
                      <w:szCs w:val="21"/>
                    </w:rPr>
                  </w:pPr>
                  <w:r>
                    <w:rPr>
                      <w:b w:val="0"/>
                      <w:bCs w:val="0"/>
                      <w:szCs w:val="21"/>
                    </w:rPr>
                    <w:t>专项评价的类别</w:t>
                  </w:r>
                </w:p>
              </w:tc>
              <w:tc>
                <w:tcPr>
                  <w:tcW w:w="2527" w:type="pct"/>
                  <w:tcBorders>
                    <w:tl2br w:val="nil"/>
                    <w:tr2bl w:val="nil"/>
                  </w:tcBorders>
                  <w:noWrap w:val="0"/>
                  <w:vAlign w:val="center"/>
                </w:tcPr>
                <w:p w14:paraId="4139583B">
                  <w:pPr>
                    <w:adjustRightInd w:val="0"/>
                    <w:snapToGrid w:val="0"/>
                    <w:jc w:val="center"/>
                    <w:rPr>
                      <w:b w:val="0"/>
                      <w:bCs w:val="0"/>
                      <w:szCs w:val="21"/>
                    </w:rPr>
                  </w:pPr>
                  <w:r>
                    <w:rPr>
                      <w:b w:val="0"/>
                      <w:bCs w:val="0"/>
                      <w:szCs w:val="21"/>
                    </w:rPr>
                    <w:t>设置原则</w:t>
                  </w:r>
                </w:p>
              </w:tc>
              <w:tc>
                <w:tcPr>
                  <w:tcW w:w="1255" w:type="pct"/>
                  <w:tcBorders>
                    <w:tl2br w:val="nil"/>
                    <w:tr2bl w:val="nil"/>
                  </w:tcBorders>
                  <w:noWrap w:val="0"/>
                  <w:vAlign w:val="center"/>
                </w:tcPr>
                <w:p w14:paraId="78380E48">
                  <w:pPr>
                    <w:adjustRightInd w:val="0"/>
                    <w:snapToGrid w:val="0"/>
                    <w:jc w:val="center"/>
                    <w:rPr>
                      <w:b w:val="0"/>
                      <w:bCs w:val="0"/>
                      <w:szCs w:val="21"/>
                    </w:rPr>
                  </w:pPr>
                  <w:r>
                    <w:rPr>
                      <w:b w:val="0"/>
                      <w:bCs w:val="0"/>
                      <w:szCs w:val="21"/>
                    </w:rPr>
                    <w:t>本项目情况</w:t>
                  </w:r>
                </w:p>
              </w:tc>
              <w:tc>
                <w:tcPr>
                  <w:tcW w:w="582" w:type="pct"/>
                  <w:tcBorders>
                    <w:tl2br w:val="nil"/>
                    <w:tr2bl w:val="nil"/>
                  </w:tcBorders>
                  <w:noWrap w:val="0"/>
                  <w:vAlign w:val="center"/>
                </w:tcPr>
                <w:p w14:paraId="3B03DFAF">
                  <w:pPr>
                    <w:adjustRightInd w:val="0"/>
                    <w:snapToGrid w:val="0"/>
                    <w:jc w:val="center"/>
                    <w:rPr>
                      <w:b w:val="0"/>
                      <w:bCs w:val="0"/>
                      <w:szCs w:val="21"/>
                    </w:rPr>
                  </w:pPr>
                  <w:r>
                    <w:rPr>
                      <w:b w:val="0"/>
                      <w:bCs w:val="0"/>
                      <w:szCs w:val="21"/>
                    </w:rPr>
                    <w:t>设置情况</w:t>
                  </w:r>
                </w:p>
              </w:tc>
            </w:tr>
            <w:tr w14:paraId="4CAA41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634" w:type="pct"/>
                  <w:tcBorders>
                    <w:tl2br w:val="nil"/>
                    <w:tr2bl w:val="nil"/>
                  </w:tcBorders>
                  <w:noWrap w:val="0"/>
                  <w:vAlign w:val="center"/>
                </w:tcPr>
                <w:p w14:paraId="7E4008F6">
                  <w:pPr>
                    <w:adjustRightInd w:val="0"/>
                    <w:snapToGrid w:val="0"/>
                    <w:jc w:val="center"/>
                    <w:rPr>
                      <w:szCs w:val="21"/>
                    </w:rPr>
                  </w:pPr>
                  <w:r>
                    <w:rPr>
                      <w:szCs w:val="21"/>
                    </w:rPr>
                    <w:t>大气</w:t>
                  </w:r>
                </w:p>
              </w:tc>
              <w:tc>
                <w:tcPr>
                  <w:tcW w:w="2527" w:type="pct"/>
                  <w:tcBorders>
                    <w:tl2br w:val="nil"/>
                    <w:tr2bl w:val="nil"/>
                  </w:tcBorders>
                  <w:noWrap w:val="0"/>
                  <w:vAlign w:val="center"/>
                </w:tcPr>
                <w:p w14:paraId="7DC583BE">
                  <w:pPr>
                    <w:adjustRightInd w:val="0"/>
                    <w:snapToGrid w:val="0"/>
                    <w:jc w:val="center"/>
                    <w:rPr>
                      <w:szCs w:val="21"/>
                    </w:rPr>
                  </w:pPr>
                  <w:r>
                    <w:rPr>
                      <w:szCs w:val="21"/>
                    </w:rPr>
                    <w:t>排放废气含有毒有害污染物、二噁英、苯并[a]芘、氰化物、氯气且厂界外500m范围内有环境空气保护目标的建设项目</w:t>
                  </w:r>
                </w:p>
              </w:tc>
              <w:tc>
                <w:tcPr>
                  <w:tcW w:w="1255" w:type="pct"/>
                  <w:tcBorders>
                    <w:tl2br w:val="nil"/>
                    <w:tr2bl w:val="nil"/>
                  </w:tcBorders>
                  <w:noWrap w:val="0"/>
                  <w:vAlign w:val="center"/>
                </w:tcPr>
                <w:p w14:paraId="7E6092C9">
                  <w:pPr>
                    <w:adjustRightInd w:val="0"/>
                    <w:snapToGrid w:val="0"/>
                    <w:jc w:val="center"/>
                    <w:rPr>
                      <w:szCs w:val="21"/>
                    </w:rPr>
                  </w:pPr>
                  <w:r>
                    <w:rPr>
                      <w:szCs w:val="21"/>
                    </w:rPr>
                    <w:t>本项目排放废气中含有苯并[a]芘，且厂界外500m范围内有环境空气保护目标</w:t>
                  </w:r>
                </w:p>
              </w:tc>
              <w:tc>
                <w:tcPr>
                  <w:tcW w:w="582" w:type="pct"/>
                  <w:tcBorders>
                    <w:tl2br w:val="nil"/>
                    <w:tr2bl w:val="nil"/>
                  </w:tcBorders>
                  <w:noWrap w:val="0"/>
                  <w:vAlign w:val="center"/>
                </w:tcPr>
                <w:p w14:paraId="0EAB4ADD">
                  <w:pPr>
                    <w:adjustRightInd w:val="0"/>
                    <w:snapToGrid w:val="0"/>
                    <w:jc w:val="center"/>
                    <w:rPr>
                      <w:szCs w:val="21"/>
                    </w:rPr>
                  </w:pPr>
                </w:p>
                <w:p w14:paraId="44D50903">
                  <w:pPr>
                    <w:adjustRightInd w:val="0"/>
                    <w:snapToGrid w:val="0"/>
                    <w:jc w:val="center"/>
                    <w:rPr>
                      <w:szCs w:val="21"/>
                    </w:rPr>
                  </w:pPr>
                  <w:r>
                    <w:rPr>
                      <w:szCs w:val="21"/>
                    </w:rPr>
                    <w:t>不开展</w:t>
                  </w:r>
                </w:p>
              </w:tc>
            </w:tr>
            <w:tr w14:paraId="6C2BD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634" w:type="pct"/>
                  <w:tcBorders>
                    <w:tl2br w:val="nil"/>
                    <w:tr2bl w:val="nil"/>
                  </w:tcBorders>
                  <w:noWrap w:val="0"/>
                  <w:vAlign w:val="center"/>
                </w:tcPr>
                <w:p w14:paraId="3DDEC3F9">
                  <w:pPr>
                    <w:adjustRightInd w:val="0"/>
                    <w:snapToGrid w:val="0"/>
                    <w:jc w:val="center"/>
                    <w:rPr>
                      <w:szCs w:val="21"/>
                    </w:rPr>
                  </w:pPr>
                </w:p>
                <w:p w14:paraId="392FEE99">
                  <w:pPr>
                    <w:adjustRightInd w:val="0"/>
                    <w:snapToGrid w:val="0"/>
                    <w:jc w:val="center"/>
                    <w:rPr>
                      <w:szCs w:val="21"/>
                    </w:rPr>
                  </w:pPr>
                  <w:r>
                    <w:rPr>
                      <w:szCs w:val="21"/>
                    </w:rPr>
                    <w:t>地表水</w:t>
                  </w:r>
                </w:p>
              </w:tc>
              <w:tc>
                <w:tcPr>
                  <w:tcW w:w="2527" w:type="pct"/>
                  <w:tcBorders>
                    <w:tl2br w:val="nil"/>
                    <w:tr2bl w:val="nil"/>
                  </w:tcBorders>
                  <w:noWrap w:val="0"/>
                  <w:vAlign w:val="center"/>
                </w:tcPr>
                <w:p w14:paraId="03B70388">
                  <w:pPr>
                    <w:adjustRightInd w:val="0"/>
                    <w:snapToGrid w:val="0"/>
                    <w:jc w:val="center"/>
                    <w:rPr>
                      <w:szCs w:val="21"/>
                    </w:rPr>
                  </w:pPr>
                  <w:r>
                    <w:rPr>
                      <w:szCs w:val="21"/>
                    </w:rPr>
                    <w:t>新增工业废水直排建设项目</w:t>
                  </w:r>
                  <w:r>
                    <w:rPr>
                      <w:rFonts w:hint="eastAsia"/>
                      <w:szCs w:val="21"/>
                    </w:rPr>
                    <w:t>（</w:t>
                  </w:r>
                  <w:r>
                    <w:rPr>
                      <w:szCs w:val="21"/>
                    </w:rPr>
                    <w:t>槽罐车外送污水处理厂的除外</w:t>
                  </w:r>
                  <w:r>
                    <w:rPr>
                      <w:rFonts w:hint="eastAsia"/>
                      <w:szCs w:val="21"/>
                    </w:rPr>
                    <w:t>）</w:t>
                  </w:r>
                  <w:r>
                    <w:rPr>
                      <w:szCs w:val="21"/>
                    </w:rPr>
                    <w:t>；新增废水直排的污水集中处理厂</w:t>
                  </w:r>
                </w:p>
              </w:tc>
              <w:tc>
                <w:tcPr>
                  <w:tcW w:w="1255" w:type="pct"/>
                  <w:tcBorders>
                    <w:tl2br w:val="nil"/>
                    <w:tr2bl w:val="nil"/>
                  </w:tcBorders>
                  <w:noWrap w:val="0"/>
                  <w:vAlign w:val="center"/>
                </w:tcPr>
                <w:p w14:paraId="31DC27AA">
                  <w:pPr>
                    <w:adjustRightInd w:val="0"/>
                    <w:snapToGrid w:val="0"/>
                    <w:jc w:val="center"/>
                    <w:rPr>
                      <w:szCs w:val="21"/>
                    </w:rPr>
                  </w:pPr>
                  <w:r>
                    <w:rPr>
                      <w:szCs w:val="21"/>
                    </w:rPr>
                    <w:t>项目无</w:t>
                  </w:r>
                  <w:r>
                    <w:rPr>
                      <w:rFonts w:hint="eastAsia"/>
                      <w:szCs w:val="21"/>
                    </w:rPr>
                    <w:t>直排废水</w:t>
                  </w:r>
                </w:p>
              </w:tc>
              <w:tc>
                <w:tcPr>
                  <w:tcW w:w="582" w:type="pct"/>
                  <w:tcBorders>
                    <w:tl2br w:val="nil"/>
                    <w:tr2bl w:val="nil"/>
                  </w:tcBorders>
                  <w:noWrap w:val="0"/>
                  <w:vAlign w:val="center"/>
                </w:tcPr>
                <w:p w14:paraId="2C540FE4">
                  <w:pPr>
                    <w:adjustRightInd w:val="0"/>
                    <w:snapToGrid w:val="0"/>
                    <w:jc w:val="center"/>
                    <w:rPr>
                      <w:szCs w:val="21"/>
                    </w:rPr>
                  </w:pPr>
                </w:p>
                <w:p w14:paraId="5B60A96A">
                  <w:pPr>
                    <w:adjustRightInd w:val="0"/>
                    <w:snapToGrid w:val="0"/>
                    <w:jc w:val="center"/>
                    <w:rPr>
                      <w:szCs w:val="21"/>
                    </w:rPr>
                  </w:pPr>
                  <w:r>
                    <w:rPr>
                      <w:szCs w:val="21"/>
                    </w:rPr>
                    <w:t>不开展</w:t>
                  </w:r>
                </w:p>
              </w:tc>
            </w:tr>
            <w:tr w14:paraId="43F3AD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634" w:type="pct"/>
                  <w:tcBorders>
                    <w:tl2br w:val="nil"/>
                    <w:tr2bl w:val="nil"/>
                  </w:tcBorders>
                  <w:noWrap w:val="0"/>
                  <w:vAlign w:val="center"/>
                </w:tcPr>
                <w:p w14:paraId="5B3B13CD">
                  <w:pPr>
                    <w:adjustRightInd w:val="0"/>
                    <w:snapToGrid w:val="0"/>
                    <w:jc w:val="center"/>
                    <w:rPr>
                      <w:szCs w:val="21"/>
                    </w:rPr>
                  </w:pPr>
                  <w:r>
                    <w:rPr>
                      <w:szCs w:val="21"/>
                    </w:rPr>
                    <w:t>环境风险</w:t>
                  </w:r>
                </w:p>
              </w:tc>
              <w:tc>
                <w:tcPr>
                  <w:tcW w:w="2527" w:type="pct"/>
                  <w:tcBorders>
                    <w:tl2br w:val="nil"/>
                    <w:tr2bl w:val="nil"/>
                  </w:tcBorders>
                  <w:noWrap w:val="0"/>
                  <w:vAlign w:val="center"/>
                </w:tcPr>
                <w:p w14:paraId="3E7C258F">
                  <w:pPr>
                    <w:adjustRightInd w:val="0"/>
                    <w:snapToGrid w:val="0"/>
                    <w:jc w:val="center"/>
                    <w:rPr>
                      <w:szCs w:val="21"/>
                    </w:rPr>
                  </w:pPr>
                  <w:r>
                    <w:rPr>
                      <w:szCs w:val="21"/>
                    </w:rPr>
                    <w:t>有毒有害和易燃易爆危险物质存储量超过临界量的建设项目</w:t>
                  </w:r>
                </w:p>
              </w:tc>
              <w:tc>
                <w:tcPr>
                  <w:tcW w:w="1255" w:type="pct"/>
                  <w:tcBorders>
                    <w:tl2br w:val="nil"/>
                    <w:tr2bl w:val="nil"/>
                  </w:tcBorders>
                  <w:noWrap w:val="0"/>
                  <w:vAlign w:val="center"/>
                </w:tcPr>
                <w:p w14:paraId="5672C303">
                  <w:pPr>
                    <w:adjustRightInd w:val="0"/>
                    <w:snapToGrid w:val="0"/>
                    <w:jc w:val="center"/>
                    <w:rPr>
                      <w:szCs w:val="21"/>
                    </w:rPr>
                  </w:pPr>
                  <w:r>
                    <w:rPr>
                      <w:szCs w:val="21"/>
                    </w:rPr>
                    <w:t>未超过临界量</w:t>
                  </w:r>
                </w:p>
              </w:tc>
              <w:tc>
                <w:tcPr>
                  <w:tcW w:w="582" w:type="pct"/>
                  <w:tcBorders>
                    <w:tl2br w:val="nil"/>
                    <w:tr2bl w:val="nil"/>
                  </w:tcBorders>
                  <w:noWrap w:val="0"/>
                  <w:vAlign w:val="center"/>
                </w:tcPr>
                <w:p w14:paraId="0B4D5374">
                  <w:pPr>
                    <w:adjustRightInd w:val="0"/>
                    <w:snapToGrid w:val="0"/>
                    <w:jc w:val="center"/>
                    <w:rPr>
                      <w:szCs w:val="21"/>
                    </w:rPr>
                  </w:pPr>
                  <w:r>
                    <w:rPr>
                      <w:szCs w:val="21"/>
                    </w:rPr>
                    <w:t>不开展</w:t>
                  </w:r>
                </w:p>
              </w:tc>
            </w:tr>
            <w:tr w14:paraId="3BE966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634" w:type="pct"/>
                  <w:tcBorders>
                    <w:tl2br w:val="nil"/>
                    <w:tr2bl w:val="nil"/>
                  </w:tcBorders>
                  <w:noWrap w:val="0"/>
                  <w:vAlign w:val="center"/>
                </w:tcPr>
                <w:p w14:paraId="0F4B48D1">
                  <w:pPr>
                    <w:adjustRightInd w:val="0"/>
                    <w:snapToGrid w:val="0"/>
                    <w:jc w:val="center"/>
                    <w:rPr>
                      <w:szCs w:val="21"/>
                    </w:rPr>
                  </w:pPr>
                  <w:r>
                    <w:rPr>
                      <w:szCs w:val="21"/>
                    </w:rPr>
                    <w:t>生态</w:t>
                  </w:r>
                </w:p>
              </w:tc>
              <w:tc>
                <w:tcPr>
                  <w:tcW w:w="2527" w:type="pct"/>
                  <w:tcBorders>
                    <w:tl2br w:val="nil"/>
                    <w:tr2bl w:val="nil"/>
                  </w:tcBorders>
                  <w:noWrap w:val="0"/>
                  <w:vAlign w:val="center"/>
                </w:tcPr>
                <w:p w14:paraId="660E3610">
                  <w:pPr>
                    <w:adjustRightInd w:val="0"/>
                    <w:snapToGrid w:val="0"/>
                    <w:jc w:val="center"/>
                    <w:rPr>
                      <w:szCs w:val="21"/>
                    </w:rPr>
                  </w:pPr>
                  <w:r>
                    <w:rPr>
                      <w:szCs w:val="21"/>
                    </w:rPr>
                    <w:t>取水口下游500m范围内有重要水生生物的自然产卵场、索饵场、越冬场和洄游通道的新增河道取水的污染类建设项目</w:t>
                  </w:r>
                </w:p>
              </w:tc>
              <w:tc>
                <w:tcPr>
                  <w:tcW w:w="1255" w:type="pct"/>
                  <w:tcBorders>
                    <w:tl2br w:val="nil"/>
                    <w:tr2bl w:val="nil"/>
                  </w:tcBorders>
                  <w:noWrap w:val="0"/>
                  <w:vAlign w:val="center"/>
                </w:tcPr>
                <w:p w14:paraId="61D546E5">
                  <w:pPr>
                    <w:adjustRightInd w:val="0"/>
                    <w:snapToGrid w:val="0"/>
                    <w:jc w:val="center"/>
                    <w:rPr>
                      <w:szCs w:val="21"/>
                    </w:rPr>
                  </w:pPr>
                  <w:r>
                    <w:rPr>
                      <w:szCs w:val="21"/>
                    </w:rPr>
                    <w:t>不涉及</w:t>
                  </w:r>
                </w:p>
              </w:tc>
              <w:tc>
                <w:tcPr>
                  <w:tcW w:w="582" w:type="pct"/>
                  <w:tcBorders>
                    <w:tl2br w:val="nil"/>
                    <w:tr2bl w:val="nil"/>
                  </w:tcBorders>
                  <w:noWrap w:val="0"/>
                  <w:vAlign w:val="center"/>
                </w:tcPr>
                <w:p w14:paraId="12894AF5">
                  <w:pPr>
                    <w:adjustRightInd w:val="0"/>
                    <w:snapToGrid w:val="0"/>
                    <w:jc w:val="center"/>
                    <w:rPr>
                      <w:szCs w:val="21"/>
                    </w:rPr>
                  </w:pPr>
                </w:p>
                <w:p w14:paraId="54C7C206">
                  <w:pPr>
                    <w:adjustRightInd w:val="0"/>
                    <w:snapToGrid w:val="0"/>
                    <w:jc w:val="center"/>
                    <w:rPr>
                      <w:szCs w:val="21"/>
                    </w:rPr>
                  </w:pPr>
                  <w:r>
                    <w:rPr>
                      <w:szCs w:val="21"/>
                    </w:rPr>
                    <w:t>不开展</w:t>
                  </w:r>
                </w:p>
              </w:tc>
            </w:tr>
            <w:tr w14:paraId="439C40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634" w:type="pct"/>
                  <w:tcBorders>
                    <w:tl2br w:val="nil"/>
                    <w:tr2bl w:val="nil"/>
                  </w:tcBorders>
                  <w:noWrap w:val="0"/>
                  <w:vAlign w:val="center"/>
                </w:tcPr>
                <w:p w14:paraId="777BE8A6">
                  <w:pPr>
                    <w:adjustRightInd w:val="0"/>
                    <w:snapToGrid w:val="0"/>
                    <w:jc w:val="center"/>
                    <w:rPr>
                      <w:szCs w:val="21"/>
                    </w:rPr>
                  </w:pPr>
                  <w:r>
                    <w:rPr>
                      <w:szCs w:val="21"/>
                    </w:rPr>
                    <w:t>海洋</w:t>
                  </w:r>
                </w:p>
              </w:tc>
              <w:tc>
                <w:tcPr>
                  <w:tcW w:w="2527" w:type="pct"/>
                  <w:tcBorders>
                    <w:tl2br w:val="nil"/>
                    <w:tr2bl w:val="nil"/>
                  </w:tcBorders>
                  <w:noWrap w:val="0"/>
                  <w:vAlign w:val="center"/>
                </w:tcPr>
                <w:p w14:paraId="3DA129A1">
                  <w:pPr>
                    <w:adjustRightInd w:val="0"/>
                    <w:snapToGrid w:val="0"/>
                    <w:jc w:val="center"/>
                    <w:rPr>
                      <w:szCs w:val="21"/>
                    </w:rPr>
                  </w:pPr>
                  <w:r>
                    <w:rPr>
                      <w:szCs w:val="21"/>
                    </w:rPr>
                    <w:t>直接向海排放污染物的海洋工程建设项目</w:t>
                  </w:r>
                </w:p>
              </w:tc>
              <w:tc>
                <w:tcPr>
                  <w:tcW w:w="1255" w:type="pct"/>
                  <w:tcBorders>
                    <w:tl2br w:val="nil"/>
                    <w:tr2bl w:val="nil"/>
                  </w:tcBorders>
                  <w:noWrap w:val="0"/>
                  <w:vAlign w:val="center"/>
                </w:tcPr>
                <w:p w14:paraId="6624016B">
                  <w:pPr>
                    <w:adjustRightInd w:val="0"/>
                    <w:snapToGrid w:val="0"/>
                    <w:jc w:val="center"/>
                    <w:rPr>
                      <w:szCs w:val="21"/>
                    </w:rPr>
                  </w:pPr>
                  <w:r>
                    <w:rPr>
                      <w:szCs w:val="21"/>
                    </w:rPr>
                    <w:t>不涉及</w:t>
                  </w:r>
                </w:p>
              </w:tc>
              <w:tc>
                <w:tcPr>
                  <w:tcW w:w="582" w:type="pct"/>
                  <w:tcBorders>
                    <w:tl2br w:val="nil"/>
                    <w:tr2bl w:val="nil"/>
                  </w:tcBorders>
                  <w:noWrap w:val="0"/>
                  <w:vAlign w:val="center"/>
                </w:tcPr>
                <w:p w14:paraId="200124BE">
                  <w:pPr>
                    <w:adjustRightInd w:val="0"/>
                    <w:snapToGrid w:val="0"/>
                    <w:jc w:val="center"/>
                    <w:rPr>
                      <w:szCs w:val="21"/>
                    </w:rPr>
                  </w:pPr>
                  <w:r>
                    <w:rPr>
                      <w:szCs w:val="21"/>
                    </w:rPr>
                    <w:t>不开展</w:t>
                  </w:r>
                </w:p>
              </w:tc>
            </w:tr>
          </w:tbl>
          <w:p w14:paraId="2FFEAFF6">
            <w:pPr>
              <w:spacing w:line="360" w:lineRule="auto"/>
              <w:ind w:firstLine="48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注：1.废气中有毒有害污染物指纳入《有毒有害大气污染物名录》的污染物（不包括无排放标准的污染物）。</w:t>
            </w:r>
          </w:p>
          <w:p w14:paraId="3A3200E9">
            <w:pPr>
              <w:spacing w:line="360" w:lineRule="auto"/>
              <w:ind w:firstLine="48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2.环境空气保护目标指自然保护区、风景名胜区、居住区、文化区和农村地区中人群较集中的区域。</w:t>
            </w:r>
          </w:p>
          <w:p w14:paraId="756C1160">
            <w:pPr>
              <w:spacing w:line="360" w:lineRule="auto"/>
              <w:ind w:firstLine="480"/>
              <w:rPr>
                <w:rFonts w:ascii="Times New Roman" w:hAnsi="Times New Roman" w:cs="Times New Roman"/>
                <w:sz w:val="24"/>
                <w:szCs w:val="24"/>
                <w:lang w:eastAsia="zh-CN"/>
              </w:rPr>
            </w:pPr>
            <w:r>
              <w:rPr>
                <w:rFonts w:hint="eastAsia" w:ascii="Times New Roman" w:hAnsi="Times New Roman" w:eastAsia="宋体" w:cs="Times New Roman"/>
                <w:sz w:val="24"/>
                <w:szCs w:val="24"/>
                <w:lang w:eastAsia="zh-CN"/>
              </w:rPr>
              <w:t>3.临界量及其计算方法可参考《建设项目环境风险评价技术导则》（HJ 169）附录B 、附录C。</w:t>
            </w:r>
          </w:p>
        </w:tc>
      </w:tr>
      <w:tr w14:paraId="253CD7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592" w:type="pct"/>
            <w:tcBorders>
              <w:top w:val="single" w:color="000000" w:sz="4" w:space="0"/>
              <w:bottom w:val="single" w:color="000000" w:sz="4" w:space="0"/>
              <w:right w:val="single" w:color="000000" w:sz="4" w:space="0"/>
            </w:tcBorders>
            <w:vAlign w:val="center"/>
          </w:tcPr>
          <w:p w14:paraId="27A70FB5">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规划情况</w:t>
            </w:r>
          </w:p>
        </w:tc>
        <w:tc>
          <w:tcPr>
            <w:tcW w:w="4408" w:type="pct"/>
            <w:gridSpan w:val="3"/>
            <w:tcBorders>
              <w:top w:val="single" w:color="000000" w:sz="4" w:space="0"/>
              <w:left w:val="single" w:color="000000" w:sz="4" w:space="0"/>
              <w:bottom w:val="single" w:color="000000" w:sz="4" w:space="0"/>
            </w:tcBorders>
            <w:vAlign w:val="center"/>
          </w:tcPr>
          <w:p w14:paraId="137F3AF3">
            <w:pPr>
              <w:pStyle w:val="34"/>
              <w:jc w:val="center"/>
              <w:rPr>
                <w:rFonts w:hint="default"/>
                <w:color w:val="000000"/>
                <w:sz w:val="24"/>
                <w:lang w:val="en-US" w:eastAsia="zh-CN"/>
              </w:rPr>
            </w:pPr>
            <w:r>
              <w:rPr>
                <w:rFonts w:hint="eastAsia"/>
                <w:color w:val="000000"/>
                <w:sz w:val="24"/>
                <w:lang w:val="en-US" w:eastAsia="zh-CN"/>
              </w:rPr>
              <w:t>/</w:t>
            </w:r>
          </w:p>
        </w:tc>
      </w:tr>
      <w:tr w14:paraId="44513C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c>
          <w:tcPr>
            <w:tcW w:w="592" w:type="pct"/>
            <w:tcBorders>
              <w:top w:val="single" w:color="000000" w:sz="4" w:space="0"/>
              <w:bottom w:val="single" w:color="000000" w:sz="4" w:space="0"/>
              <w:right w:val="single" w:color="000000" w:sz="4" w:space="0"/>
            </w:tcBorders>
            <w:vAlign w:val="center"/>
          </w:tcPr>
          <w:p w14:paraId="2A1B4670">
            <w:pPr>
              <w:pStyle w:val="34"/>
              <w:ind w:right="144"/>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规划环境影响评价情况</w:t>
            </w:r>
          </w:p>
        </w:tc>
        <w:tc>
          <w:tcPr>
            <w:tcW w:w="4408" w:type="pct"/>
            <w:gridSpan w:val="3"/>
            <w:tcBorders>
              <w:top w:val="single" w:color="000000" w:sz="4" w:space="0"/>
              <w:left w:val="single" w:color="000000" w:sz="4" w:space="0"/>
              <w:bottom w:val="single" w:color="000000" w:sz="4" w:space="0"/>
            </w:tcBorders>
            <w:vAlign w:val="center"/>
          </w:tcPr>
          <w:p w14:paraId="2819BE56">
            <w:pPr>
              <w:pStyle w:val="34"/>
              <w:spacing w:line="360" w:lineRule="auto"/>
              <w:jc w:val="left"/>
              <w:rPr>
                <w:rFonts w:hint="default" w:ascii="Times New Roman" w:hAnsi="Times New Roman" w:cs="Times New Roman"/>
                <w:sz w:val="24"/>
                <w:szCs w:val="24"/>
                <w:lang w:val="en-US" w:eastAsia="zh-CN"/>
              </w:rPr>
            </w:pPr>
            <w:r>
              <w:rPr>
                <w:rFonts w:ascii="Times New Roman" w:hAnsi="Times New Roman" w:cs="Times New Roman"/>
                <w:b/>
                <w:bCs/>
                <w:spacing w:val="-1"/>
                <w:sz w:val="24"/>
                <w:szCs w:val="24"/>
                <w:lang w:eastAsia="zh-CN"/>
              </w:rPr>
              <w:t>规划名称</w:t>
            </w:r>
            <w:r>
              <w:rPr>
                <w:rFonts w:ascii="Times New Roman" w:hAnsi="Times New Roman" w:cs="Times New Roman"/>
                <w:sz w:val="24"/>
                <w:szCs w:val="24"/>
                <w:lang w:eastAsia="zh-CN"/>
              </w:rPr>
              <w:t>：</w:t>
            </w:r>
            <w:r>
              <w:rPr>
                <w:rFonts w:hint="eastAsia" w:ascii="Times New Roman" w:hAnsi="Times New Roman" w:cs="Times New Roman"/>
                <w:sz w:val="24"/>
                <w:szCs w:val="24"/>
                <w:lang w:val="en-US" w:eastAsia="zh-CN"/>
              </w:rPr>
              <w:t>***</w:t>
            </w:r>
          </w:p>
          <w:p w14:paraId="7EA7B750">
            <w:pPr>
              <w:pStyle w:val="34"/>
              <w:spacing w:line="360" w:lineRule="auto"/>
              <w:jc w:val="left"/>
              <w:rPr>
                <w:rFonts w:hint="default" w:ascii="Times New Roman" w:hAnsi="Times New Roman" w:cs="Times New Roman"/>
                <w:sz w:val="24"/>
                <w:szCs w:val="24"/>
                <w:lang w:val="en-US" w:eastAsia="zh-CN"/>
              </w:rPr>
            </w:pPr>
            <w:r>
              <w:rPr>
                <w:rFonts w:ascii="Times New Roman" w:hAnsi="Times New Roman" w:cs="Times New Roman"/>
                <w:b/>
                <w:bCs/>
                <w:spacing w:val="-1"/>
                <w:sz w:val="24"/>
                <w:szCs w:val="24"/>
                <w:lang w:eastAsia="zh-CN"/>
              </w:rPr>
              <w:t>审批机关</w:t>
            </w:r>
            <w:r>
              <w:rPr>
                <w:rFonts w:ascii="Times New Roman" w:hAnsi="Times New Roman" w:cs="Times New Roman"/>
                <w:sz w:val="24"/>
                <w:szCs w:val="24"/>
                <w:lang w:eastAsia="zh-CN"/>
              </w:rPr>
              <w:t>：</w:t>
            </w:r>
            <w:r>
              <w:rPr>
                <w:rFonts w:hint="eastAsia" w:ascii="Times New Roman" w:hAnsi="Times New Roman" w:cs="Times New Roman"/>
                <w:sz w:val="24"/>
                <w:szCs w:val="24"/>
                <w:lang w:val="en-US" w:eastAsia="zh-CN"/>
              </w:rPr>
              <w:t>***</w:t>
            </w:r>
          </w:p>
          <w:p w14:paraId="1DAB7CC4">
            <w:pPr>
              <w:pStyle w:val="34"/>
              <w:spacing w:line="360" w:lineRule="auto"/>
              <w:jc w:val="left"/>
              <w:rPr>
                <w:rFonts w:hint="default"/>
                <w:color w:val="000000"/>
                <w:sz w:val="24"/>
                <w:lang w:val="en-US" w:eastAsia="zh-CN"/>
              </w:rPr>
            </w:pPr>
            <w:r>
              <w:rPr>
                <w:rFonts w:ascii="Times New Roman" w:hAnsi="Times New Roman" w:cs="Times New Roman"/>
                <w:b/>
                <w:bCs/>
                <w:spacing w:val="-1"/>
                <w:sz w:val="24"/>
                <w:szCs w:val="24"/>
                <w:lang w:eastAsia="zh-CN"/>
              </w:rPr>
              <w:t>审批文件名称和文号</w:t>
            </w:r>
            <w:r>
              <w:rPr>
                <w:rFonts w:ascii="Times New Roman" w:hAnsi="Times New Roman" w:cs="Times New Roman"/>
                <w:sz w:val="24"/>
                <w:szCs w:val="24"/>
                <w:lang w:eastAsia="zh-CN"/>
              </w:rPr>
              <w:t>：</w:t>
            </w:r>
            <w:r>
              <w:rPr>
                <w:rFonts w:hint="eastAsia" w:ascii="Times New Roman" w:hAnsi="Times New Roman" w:cs="Times New Roman"/>
                <w:sz w:val="24"/>
                <w:szCs w:val="24"/>
                <w:lang w:val="en-US" w:eastAsia="zh-CN"/>
              </w:rPr>
              <w:t>***</w:t>
            </w:r>
          </w:p>
        </w:tc>
      </w:tr>
      <w:tr w14:paraId="1F1084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82" w:hRule="atLeast"/>
        </w:trPr>
        <w:tc>
          <w:tcPr>
            <w:tcW w:w="592" w:type="pct"/>
            <w:tcBorders>
              <w:top w:val="single" w:color="000000" w:sz="4" w:space="0"/>
              <w:bottom w:val="single" w:color="000000" w:sz="4" w:space="0"/>
              <w:right w:val="single" w:color="000000" w:sz="4" w:space="0"/>
            </w:tcBorders>
            <w:vAlign w:val="center"/>
          </w:tcPr>
          <w:p w14:paraId="7B781853">
            <w:pPr>
              <w:pStyle w:val="34"/>
              <w:ind w:right="41"/>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规划及规划环境影响评价符合性分析</w:t>
            </w:r>
          </w:p>
        </w:tc>
        <w:tc>
          <w:tcPr>
            <w:tcW w:w="4408" w:type="pct"/>
            <w:gridSpan w:val="3"/>
            <w:tcBorders>
              <w:top w:val="single" w:color="000000" w:sz="4" w:space="0"/>
              <w:left w:val="single" w:color="000000" w:sz="4" w:space="0"/>
              <w:bottom w:val="single" w:color="000000" w:sz="4" w:space="0"/>
            </w:tcBorders>
            <w:vAlign w:val="center"/>
          </w:tcPr>
          <w:p w14:paraId="4BAE83D5">
            <w:pPr>
              <w:pStyle w:val="2"/>
              <w:ind w:firstLine="480" w:firstLineChars="200"/>
              <w:outlineLvl w:val="9"/>
              <w:rPr>
                <w:rFonts w:hint="eastAsia" w:ascii="宋体" w:hAnsi="宋体" w:eastAsia="宋体" w:cs="Times New Roman"/>
                <w:b w:val="0"/>
                <w:sz w:val="24"/>
                <w:szCs w:val="24"/>
                <w:highlight w:val="none"/>
                <w:lang w:val="en-US" w:eastAsia="zh-CN"/>
              </w:rPr>
            </w:pPr>
            <w:r>
              <w:rPr>
                <w:rFonts w:ascii="宋体" w:hAnsi="宋体" w:eastAsia="宋体" w:cs="Times New Roman"/>
                <w:b w:val="0"/>
                <w:sz w:val="24"/>
                <w:szCs w:val="24"/>
                <w:highlight w:val="none"/>
                <w:lang w:val="en-US" w:eastAsia="zh-CN"/>
              </w:rPr>
              <w:t>项目位于</w:t>
            </w:r>
            <w:r>
              <w:rPr>
                <w:rFonts w:hint="eastAsia" w:ascii="宋体" w:hAnsi="宋体" w:cs="Times New Roman"/>
                <w:b w:val="0"/>
                <w:sz w:val="24"/>
                <w:szCs w:val="24"/>
                <w:highlight w:val="none"/>
                <w:lang w:val="en-US" w:eastAsia="zh-CN"/>
              </w:rPr>
              <w:t>***</w:t>
            </w:r>
            <w:r>
              <w:rPr>
                <w:rFonts w:ascii="宋体" w:hAnsi="宋体" w:eastAsia="宋体" w:cs="Times New Roman"/>
                <w:b w:val="0"/>
                <w:sz w:val="24"/>
                <w:szCs w:val="24"/>
                <w:highlight w:val="none"/>
                <w:lang w:val="en-US" w:eastAsia="zh-CN"/>
              </w:rPr>
              <w:t>，</w:t>
            </w:r>
            <w:r>
              <w:rPr>
                <w:rFonts w:hint="eastAsia" w:ascii="宋体" w:hAnsi="宋体" w:eastAsia="宋体" w:cs="Times New Roman"/>
                <w:b w:val="0"/>
                <w:sz w:val="24"/>
                <w:szCs w:val="24"/>
                <w:highlight w:val="none"/>
                <w:lang w:val="en-US" w:eastAsia="zh-CN"/>
              </w:rPr>
              <w:t>使用化纤材料进行纺织，</w:t>
            </w:r>
            <w:r>
              <w:rPr>
                <w:rFonts w:ascii="宋体" w:hAnsi="宋体" w:eastAsia="宋体" w:cs="Times New Roman"/>
                <w:b w:val="0"/>
                <w:sz w:val="24"/>
                <w:szCs w:val="24"/>
                <w:highlight w:val="none"/>
                <w:lang w:val="en-US" w:eastAsia="zh-CN"/>
              </w:rPr>
              <w:t>项目用地性质为工业用地，与《</w:t>
            </w:r>
            <w:r>
              <w:rPr>
                <w:rFonts w:hint="eastAsia" w:ascii="宋体" w:hAnsi="宋体" w:cs="Times New Roman"/>
                <w:b w:val="0"/>
                <w:sz w:val="24"/>
                <w:szCs w:val="24"/>
                <w:highlight w:val="none"/>
                <w:lang w:val="en-US" w:eastAsia="zh-CN"/>
              </w:rPr>
              <w:t>***</w:t>
            </w:r>
            <w:r>
              <w:rPr>
                <w:rFonts w:ascii="宋体" w:hAnsi="宋体" w:eastAsia="宋体" w:cs="Times New Roman"/>
                <w:b w:val="0"/>
                <w:sz w:val="24"/>
                <w:szCs w:val="24"/>
                <w:highlight w:val="none"/>
                <w:lang w:val="en-US" w:eastAsia="zh-CN"/>
              </w:rPr>
              <w:t>》规划的产业布局不冲突。</w:t>
            </w:r>
            <w:r>
              <w:rPr>
                <w:rFonts w:hint="eastAsia" w:ascii="宋体" w:hAnsi="宋体" w:eastAsia="宋体" w:cs="Times New Roman"/>
                <w:b w:val="0"/>
                <w:sz w:val="24"/>
                <w:szCs w:val="24"/>
                <w:highlight w:val="none"/>
                <w:lang w:val="en-US" w:eastAsia="zh-CN"/>
              </w:rPr>
              <w:t>本项目入园通知见附件，</w:t>
            </w:r>
            <w:r>
              <w:rPr>
                <w:rFonts w:ascii="宋体" w:hAnsi="宋体" w:eastAsia="宋体" w:cs="Times New Roman"/>
                <w:b w:val="0"/>
                <w:sz w:val="24"/>
                <w:szCs w:val="24"/>
                <w:highlight w:val="none"/>
                <w:lang w:val="en-US" w:eastAsia="zh-CN"/>
              </w:rPr>
              <w:t>本项目与规划环评及审查意见符合性分析详见下表。</w:t>
            </w:r>
          </w:p>
          <w:p w14:paraId="28BD333F">
            <w:pPr>
              <w:pStyle w:val="2"/>
              <w:spacing w:line="240" w:lineRule="auto"/>
              <w:ind w:firstLine="422" w:firstLineChars="200"/>
              <w:jc w:val="center"/>
              <w:outlineLvl w:val="9"/>
              <w:rPr>
                <w:rFonts w:hint="eastAsia" w:ascii="宋体" w:hAnsi="宋体" w:cs="Times New Roman"/>
                <w:bCs/>
                <w:sz w:val="21"/>
                <w:szCs w:val="21"/>
                <w:highlight w:val="none"/>
                <w:lang w:eastAsia="zh-CN"/>
              </w:rPr>
            </w:pPr>
            <w:r>
              <w:rPr>
                <w:rFonts w:ascii="宋体" w:hAnsi="宋体" w:cs="Times New Roman"/>
                <w:bCs/>
                <w:sz w:val="21"/>
                <w:szCs w:val="21"/>
                <w:highlight w:val="none"/>
                <w:lang w:eastAsia="zh-CN"/>
              </w:rPr>
              <w:t>表1</w:t>
            </w:r>
            <w:r>
              <w:rPr>
                <w:rFonts w:hint="eastAsia" w:ascii="宋体" w:hAnsi="宋体" w:cs="Times New Roman"/>
                <w:bCs/>
                <w:sz w:val="21"/>
                <w:szCs w:val="21"/>
                <w:highlight w:val="none"/>
                <w:lang w:eastAsia="zh-CN"/>
              </w:rPr>
              <w:t>-</w:t>
            </w:r>
            <w:r>
              <w:rPr>
                <w:rFonts w:hint="eastAsia" w:ascii="宋体" w:hAnsi="宋体" w:cs="Times New Roman"/>
                <w:bCs/>
                <w:sz w:val="21"/>
                <w:szCs w:val="21"/>
                <w:highlight w:val="none"/>
                <w:lang w:val="en-US" w:eastAsia="zh-CN"/>
              </w:rPr>
              <w:t xml:space="preserve">2  </w:t>
            </w:r>
            <w:r>
              <w:rPr>
                <w:rFonts w:ascii="宋体" w:hAnsi="宋体" w:cs="Times New Roman"/>
                <w:bCs/>
                <w:sz w:val="21"/>
                <w:szCs w:val="21"/>
                <w:highlight w:val="none"/>
                <w:lang w:eastAsia="zh-CN"/>
              </w:rPr>
              <w:t>项目与规划环评审查意见符合性分析</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56"/>
              <w:gridCol w:w="5048"/>
              <w:gridCol w:w="2486"/>
              <w:gridCol w:w="486"/>
            </w:tblGrid>
            <w:tr w14:paraId="53D65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6" w:type="dxa"/>
                  <w:vAlign w:val="center"/>
                </w:tcPr>
                <w:p w14:paraId="3D8152C2">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序号</w:t>
                  </w:r>
                </w:p>
              </w:tc>
              <w:tc>
                <w:tcPr>
                  <w:tcW w:w="5048" w:type="dxa"/>
                  <w:vAlign w:val="center"/>
                </w:tcPr>
                <w:p w14:paraId="2550C442">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审查意见</w:t>
                  </w:r>
                </w:p>
              </w:tc>
              <w:tc>
                <w:tcPr>
                  <w:tcW w:w="2486" w:type="dxa"/>
                  <w:vAlign w:val="center"/>
                </w:tcPr>
                <w:p w14:paraId="2685D20C">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本项目情况</w:t>
                  </w:r>
                </w:p>
              </w:tc>
              <w:tc>
                <w:tcPr>
                  <w:tcW w:w="486" w:type="dxa"/>
                  <w:vAlign w:val="center"/>
                </w:tcPr>
                <w:p w14:paraId="76D7E76E">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符合性</w:t>
                  </w:r>
                </w:p>
              </w:tc>
            </w:tr>
            <w:tr w14:paraId="6EB6F2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6" w:type="dxa"/>
                  <w:vAlign w:val="center"/>
                </w:tcPr>
                <w:p w14:paraId="609466C8">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1</w:t>
                  </w:r>
                </w:p>
              </w:tc>
              <w:tc>
                <w:tcPr>
                  <w:tcW w:w="5048" w:type="dxa"/>
                  <w:vAlign w:val="center"/>
                </w:tcPr>
                <w:p w14:paraId="3837FCBE">
                  <w:pPr>
                    <w:pStyle w:val="2"/>
                    <w:spacing w:line="240" w:lineRule="auto"/>
                    <w:jc w:val="left"/>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衔接生态环保要求，严格环境准入。按照规划产业布局入驻企业，结合区域发展定位、开发布局、生态环境保护目标，实行入园企业生态环境准入，不符合分区管控、产业政策、行业准入条件、生态环境准入清单及国家、自治区明令禁止的项目一律不得入驻。引进项目的生产工艺、设备、污染治理技术，以及单位产品能耗、物耗、污染物排放、碳排放总量与强度和资源利用率均需达到同行业国内先进水平。新建、改建、扩建“两高”项目须符合生态环境保护法律法规和相关法定规划，满足重点污染物排放总量控制、碳排放达峰目标、生态环境准入清单、相关规划环评和行业建设项目环境准入条件、环评文件审批原则等要求。</w:t>
                  </w:r>
                </w:p>
              </w:tc>
              <w:tc>
                <w:tcPr>
                  <w:tcW w:w="2486" w:type="dxa"/>
                  <w:vAlign w:val="center"/>
                </w:tcPr>
                <w:p w14:paraId="56E7E90D">
                  <w:pPr>
                    <w:pStyle w:val="2"/>
                    <w:spacing w:line="240" w:lineRule="auto"/>
                    <w:jc w:val="left"/>
                    <w:outlineLvl w:val="9"/>
                    <w:rPr>
                      <w:rFonts w:hint="eastAsia" w:ascii="宋体" w:hAnsi="宋体" w:cs="Times New Roman"/>
                      <w:b w:val="0"/>
                      <w:sz w:val="21"/>
                      <w:szCs w:val="21"/>
                      <w:highlight w:val="none"/>
                      <w:lang w:eastAsia="zh-CN"/>
                    </w:rPr>
                  </w:pPr>
                  <w:r>
                    <w:rPr>
                      <w:rFonts w:hint="eastAsia" w:ascii="宋体" w:hAnsi="宋体" w:eastAsia="宋体" w:cs="Times New Roman"/>
                      <w:b w:val="0"/>
                      <w:sz w:val="21"/>
                      <w:szCs w:val="21"/>
                      <w:highlight w:val="none"/>
                      <w:lang w:val="en-US" w:eastAsia="zh-CN"/>
                    </w:rPr>
                    <w:t>本项目属于</w:t>
                  </w:r>
                  <w:r>
                    <w:rPr>
                      <w:rFonts w:hint="eastAsia" w:ascii="宋体" w:hAnsi="宋体" w:eastAsia="宋体" w:cs="Times New Roman"/>
                      <w:b w:val="0"/>
                      <w:sz w:val="21"/>
                      <w:szCs w:val="21"/>
                      <w:highlight w:val="none"/>
                      <w:lang w:eastAsia="zh-CN"/>
                    </w:rPr>
                    <w:t>化纤纺织项目，</w:t>
                  </w:r>
                  <w:r>
                    <w:rPr>
                      <w:rFonts w:hint="eastAsia" w:ascii="宋体" w:hAnsi="宋体" w:eastAsia="宋体" w:cs="Times New Roman"/>
                      <w:b w:val="0"/>
                      <w:sz w:val="21"/>
                      <w:szCs w:val="21"/>
                      <w:highlight w:val="none"/>
                      <w:lang w:val="en-US" w:eastAsia="zh-CN"/>
                    </w:rPr>
                    <w:t>不属于</w:t>
                  </w:r>
                  <w:r>
                    <w:rPr>
                      <w:rFonts w:hint="eastAsia" w:ascii="宋体" w:hAnsi="宋体" w:cs="Times New Roman"/>
                      <w:b w:val="0"/>
                      <w:sz w:val="21"/>
                      <w:szCs w:val="21"/>
                      <w:highlight w:val="none"/>
                      <w:lang w:eastAsia="zh-CN"/>
                    </w:rPr>
                    <w:t>“两高”项目，</w:t>
                  </w:r>
                  <w:r>
                    <w:rPr>
                      <w:rFonts w:hint="eastAsia" w:ascii="宋体" w:hAnsi="宋体" w:cs="Times New Roman"/>
                      <w:b w:val="0"/>
                      <w:sz w:val="21"/>
                      <w:szCs w:val="21"/>
                      <w:highlight w:val="none"/>
                      <w:lang w:val="en-US" w:eastAsia="zh-CN"/>
                    </w:rPr>
                    <w:t>且</w:t>
                  </w:r>
                  <w:r>
                    <w:rPr>
                      <w:rFonts w:hint="eastAsia" w:ascii="宋体" w:hAnsi="宋体" w:eastAsia="宋体" w:cs="Times New Roman"/>
                      <w:b w:val="0"/>
                      <w:sz w:val="21"/>
                      <w:szCs w:val="21"/>
                      <w:highlight w:val="none"/>
                      <w:lang w:val="en-US" w:eastAsia="zh-CN"/>
                    </w:rPr>
                    <w:t>已取得园区管委会的入园通知</w:t>
                  </w:r>
                  <w:r>
                    <w:rPr>
                      <w:rFonts w:hint="default" w:ascii="宋体" w:hAnsi="宋体" w:eastAsia="宋体" w:cs="Times New Roman"/>
                      <w:b w:val="0"/>
                      <w:sz w:val="21"/>
                      <w:szCs w:val="21"/>
                      <w:highlight w:val="none"/>
                      <w:lang w:eastAsia="zh-CN"/>
                    </w:rPr>
                    <w:t>。喷水织机及相关设备不在限制类、淘汰类目录内，符合要求。</w:t>
                  </w:r>
                </w:p>
              </w:tc>
              <w:tc>
                <w:tcPr>
                  <w:tcW w:w="486" w:type="dxa"/>
                  <w:vAlign w:val="center"/>
                </w:tcPr>
                <w:p w14:paraId="19E4845F">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符合</w:t>
                  </w:r>
                </w:p>
              </w:tc>
            </w:tr>
            <w:tr w14:paraId="2AD5EF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56" w:type="dxa"/>
                  <w:vAlign w:val="center"/>
                </w:tcPr>
                <w:p w14:paraId="7B82D97D">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2</w:t>
                  </w:r>
                </w:p>
              </w:tc>
              <w:tc>
                <w:tcPr>
                  <w:tcW w:w="5048" w:type="dxa"/>
                  <w:vAlign w:val="center"/>
                </w:tcPr>
                <w:p w14:paraId="65DE964E">
                  <w:pPr>
                    <w:pStyle w:val="2"/>
                    <w:spacing w:line="240" w:lineRule="auto"/>
                    <w:jc w:val="left"/>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严格资源利用总量控制，加快基础设施建设。进一步推动集中供热，禁止新建、扩建、改建分散式燃煤锅炉。优先布局集约型、节水型产业，加强对工业废水的深度治理、提标改造，提高工业废水污染控制水平，减少新鲜水用量和废水排放量，最大限度提高水资源综合利用率。加强固体废物综合利用，推动固废在园区的协同循环利用，提高固废就地资源化效率。严格按照国家有关规定，依法合规处理处置危险废物。</w:t>
                  </w:r>
                </w:p>
              </w:tc>
              <w:tc>
                <w:tcPr>
                  <w:tcW w:w="2486" w:type="dxa"/>
                  <w:vAlign w:val="center"/>
                </w:tcPr>
                <w:p w14:paraId="27391EF4">
                  <w:pPr>
                    <w:pStyle w:val="2"/>
                    <w:spacing w:line="240" w:lineRule="auto"/>
                    <w:jc w:val="left"/>
                    <w:outlineLvl w:val="9"/>
                    <w:rPr>
                      <w:rFonts w:hint="default" w:ascii="宋体" w:hAnsi="宋体" w:cs="Times New Roman"/>
                      <w:b w:val="0"/>
                      <w:sz w:val="21"/>
                      <w:szCs w:val="21"/>
                      <w:highlight w:val="none"/>
                      <w:lang w:val="en-US" w:eastAsia="zh-CN"/>
                    </w:rPr>
                  </w:pPr>
                  <w:r>
                    <w:rPr>
                      <w:rFonts w:hint="eastAsia" w:ascii="宋体" w:hAnsi="宋体" w:cs="Times New Roman"/>
                      <w:b w:val="0"/>
                      <w:sz w:val="21"/>
                      <w:szCs w:val="21"/>
                      <w:highlight w:val="none"/>
                      <w:lang w:eastAsia="zh-CN"/>
                    </w:rPr>
                    <w:t>本项目</w:t>
                  </w:r>
                  <w:r>
                    <w:rPr>
                      <w:rFonts w:hint="eastAsia" w:ascii="宋体" w:hAnsi="宋体" w:eastAsia="宋体" w:cs="Times New Roman"/>
                      <w:b w:val="0"/>
                      <w:sz w:val="21"/>
                      <w:szCs w:val="21"/>
                      <w:highlight w:val="none"/>
                      <w:lang w:val="en-US" w:eastAsia="zh-CN"/>
                    </w:rPr>
                    <w:t>设置污水处理站，生产废水经污水处理站处理后全部回用，不外排，</w:t>
                  </w:r>
                  <w:r>
                    <w:rPr>
                      <w:rFonts w:hint="eastAsia" w:ascii="宋体" w:hAnsi="宋体" w:eastAsia="宋体" w:cs="Times New Roman"/>
                      <w:b w:val="0"/>
                      <w:sz w:val="21"/>
                      <w:szCs w:val="21"/>
                      <w:highlight w:val="none"/>
                      <w:lang w:eastAsia="zh-CN"/>
                    </w:rPr>
                    <w:t>固废等均能达到合理处置。</w:t>
                  </w:r>
                </w:p>
              </w:tc>
              <w:tc>
                <w:tcPr>
                  <w:tcW w:w="486" w:type="dxa"/>
                  <w:vAlign w:val="center"/>
                </w:tcPr>
                <w:p w14:paraId="556550B4">
                  <w:pPr>
                    <w:pStyle w:val="2"/>
                    <w:spacing w:line="240" w:lineRule="auto"/>
                    <w:jc w:val="center"/>
                    <w:outlineLvl w:val="9"/>
                    <w:rPr>
                      <w:rFonts w:hint="eastAsia" w:ascii="宋体" w:hAnsi="宋体" w:cs="Times New Roman"/>
                      <w:b w:val="0"/>
                      <w:sz w:val="21"/>
                      <w:szCs w:val="21"/>
                      <w:highlight w:val="none"/>
                      <w:lang w:eastAsia="zh-CN"/>
                    </w:rPr>
                  </w:pPr>
                  <w:r>
                    <w:rPr>
                      <w:rFonts w:hint="eastAsia" w:ascii="宋体" w:hAnsi="宋体" w:cs="Times New Roman"/>
                      <w:b w:val="0"/>
                      <w:sz w:val="21"/>
                      <w:szCs w:val="21"/>
                      <w:highlight w:val="none"/>
                      <w:lang w:eastAsia="zh-CN"/>
                    </w:rPr>
                    <w:t>符合</w:t>
                  </w:r>
                </w:p>
              </w:tc>
            </w:tr>
          </w:tbl>
          <w:p w14:paraId="6608668A">
            <w:pPr>
              <w:pStyle w:val="2"/>
              <w:ind w:firstLine="480" w:firstLineChars="200"/>
              <w:outlineLvl w:val="9"/>
              <w:rPr>
                <w:rFonts w:hint="eastAsia" w:ascii="宋体" w:hAnsi="宋体" w:cs="Times New Roman"/>
                <w:b w:val="0"/>
                <w:sz w:val="24"/>
                <w:szCs w:val="24"/>
                <w:lang w:eastAsia="zh-CN"/>
              </w:rPr>
            </w:pPr>
            <w:r>
              <w:rPr>
                <w:rFonts w:ascii="宋体" w:hAnsi="宋体" w:cs="Times New Roman"/>
                <w:b w:val="0"/>
                <w:sz w:val="24"/>
                <w:szCs w:val="24"/>
                <w:highlight w:val="none"/>
                <w:lang w:eastAsia="zh-CN"/>
              </w:rPr>
              <w:t>根据上表，本项目符</w:t>
            </w:r>
            <w:r>
              <w:rPr>
                <w:rFonts w:ascii="宋体" w:hAnsi="宋体" w:eastAsia="宋体" w:cs="Times New Roman"/>
                <w:b w:val="0"/>
                <w:sz w:val="24"/>
                <w:szCs w:val="24"/>
                <w:highlight w:val="none"/>
                <w:lang w:eastAsia="zh-CN"/>
              </w:rPr>
              <w:t>合《</w:t>
            </w:r>
            <w:r>
              <w:rPr>
                <w:rFonts w:hint="eastAsia" w:ascii="宋体" w:hAnsi="宋体" w:cs="Times New Roman"/>
                <w:b w:val="0"/>
                <w:sz w:val="24"/>
                <w:szCs w:val="24"/>
                <w:highlight w:val="none"/>
                <w:lang w:val="en-US" w:eastAsia="zh-CN"/>
              </w:rPr>
              <w:t>***</w:t>
            </w:r>
            <w:r>
              <w:rPr>
                <w:rFonts w:ascii="宋体" w:hAnsi="宋体" w:eastAsia="宋体" w:cs="Times New Roman"/>
                <w:b w:val="0"/>
                <w:sz w:val="24"/>
                <w:szCs w:val="24"/>
                <w:highlight w:val="none"/>
                <w:lang w:eastAsia="zh-CN"/>
              </w:rPr>
              <w:t>》的审查意</w:t>
            </w:r>
            <w:r>
              <w:rPr>
                <w:rFonts w:ascii="宋体" w:hAnsi="宋体" w:cs="Times New Roman"/>
                <w:b w:val="0"/>
                <w:sz w:val="24"/>
                <w:szCs w:val="24"/>
                <w:highlight w:val="none"/>
                <w:lang w:eastAsia="zh-CN"/>
              </w:rPr>
              <w:t>见，符合区域规划。</w:t>
            </w:r>
          </w:p>
        </w:tc>
      </w:tr>
      <w:tr w14:paraId="0E2798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449" w:hRule="atLeast"/>
        </w:trPr>
        <w:tc>
          <w:tcPr>
            <w:tcW w:w="592" w:type="pct"/>
            <w:tcBorders>
              <w:top w:val="single" w:color="000000" w:sz="4" w:space="0"/>
              <w:right w:val="single" w:color="000000" w:sz="4" w:space="0"/>
            </w:tcBorders>
            <w:vAlign w:val="center"/>
          </w:tcPr>
          <w:p w14:paraId="57CAC95B">
            <w:pPr>
              <w:pStyle w:val="34"/>
              <w:ind w:right="144"/>
              <w:jc w:val="center"/>
              <w:rPr>
                <w:rFonts w:ascii="Times New Roman" w:hAnsi="Times New Roman" w:cs="Times New Roman"/>
                <w:b/>
                <w:bCs/>
                <w:sz w:val="24"/>
                <w:szCs w:val="24"/>
              </w:rPr>
            </w:pPr>
            <w:r>
              <w:rPr>
                <w:rFonts w:ascii="Times New Roman" w:hAnsi="Times New Roman" w:cs="Times New Roman"/>
                <w:b/>
                <w:bCs/>
                <w:sz w:val="24"/>
                <w:szCs w:val="24"/>
              </w:rPr>
              <w:t>其他符合性分析</w:t>
            </w:r>
          </w:p>
        </w:tc>
        <w:tc>
          <w:tcPr>
            <w:tcW w:w="4408" w:type="pct"/>
            <w:gridSpan w:val="3"/>
            <w:tcBorders>
              <w:top w:val="single" w:color="000000" w:sz="4" w:space="0"/>
              <w:left w:val="single" w:color="000000" w:sz="4" w:space="0"/>
            </w:tcBorders>
          </w:tcPr>
          <w:p w14:paraId="38330CA6">
            <w:pPr>
              <w:pStyle w:val="2"/>
              <w:outlineLvl w:val="9"/>
              <w:rPr>
                <w:lang w:eastAsia="zh-CN"/>
              </w:rPr>
            </w:pPr>
            <w:r>
              <w:rPr>
                <w:rFonts w:ascii="宋体" w:hAnsi="宋体"/>
                <w:lang w:eastAsia="zh-CN"/>
              </w:rPr>
              <w:t>1</w:t>
            </w:r>
            <w:r>
              <w:rPr>
                <w:rFonts w:hint="eastAsia"/>
                <w:lang w:eastAsia="zh-CN"/>
              </w:rPr>
              <w:t>.</w:t>
            </w:r>
            <w:r>
              <w:rPr>
                <w:lang w:eastAsia="zh-CN"/>
              </w:rPr>
              <w:t>与国家产业政策相符性分析</w:t>
            </w:r>
          </w:p>
          <w:p w14:paraId="3AC3841C">
            <w:pPr>
              <w:pStyle w:val="2"/>
              <w:ind w:firstLine="480" w:firstLineChars="200"/>
              <w:outlineLvl w:val="9"/>
              <w:rPr>
                <w:rFonts w:hint="default" w:ascii="Times New Roman" w:hAnsi="Times New Roman" w:eastAsia="宋体" w:cs="Times New Roman"/>
                <w:b w:val="0"/>
                <w:sz w:val="24"/>
                <w:szCs w:val="24"/>
                <w:lang w:val="en-US" w:eastAsia="zh-CN" w:bidi="ar-SA"/>
              </w:rPr>
            </w:pPr>
            <w:r>
              <w:rPr>
                <w:rFonts w:hint="default" w:ascii="Times New Roman" w:hAnsi="Times New Roman" w:eastAsia="宋体" w:cs="Times New Roman"/>
                <w:b w:val="0"/>
                <w:sz w:val="24"/>
                <w:szCs w:val="24"/>
                <w:lang w:val="en-US" w:eastAsia="zh-CN" w:bidi="ar-SA"/>
              </w:rPr>
              <w:t>根据国家发展和改革委员会发布的《产业结构调整指导目录》（202</w:t>
            </w:r>
            <w:r>
              <w:rPr>
                <w:rFonts w:hint="eastAsia" w:ascii="Times New Roman" w:hAnsi="Times New Roman" w:eastAsia="宋体" w:cs="Times New Roman"/>
                <w:b w:val="0"/>
                <w:sz w:val="24"/>
                <w:szCs w:val="24"/>
                <w:lang w:val="en-US" w:eastAsia="zh-CN" w:bidi="ar-SA"/>
              </w:rPr>
              <w:t>4</w:t>
            </w:r>
            <w:r>
              <w:rPr>
                <w:rFonts w:hint="default" w:ascii="Times New Roman" w:hAnsi="Times New Roman" w:eastAsia="宋体" w:cs="Times New Roman"/>
                <w:b w:val="0"/>
                <w:sz w:val="24"/>
                <w:szCs w:val="24"/>
                <w:lang w:val="en-US" w:eastAsia="zh-CN" w:bidi="ar-SA"/>
              </w:rPr>
              <w:t>年</w:t>
            </w:r>
            <w:r>
              <w:rPr>
                <w:rFonts w:hint="eastAsia" w:ascii="Times New Roman" w:hAnsi="Times New Roman" w:eastAsia="宋体" w:cs="Times New Roman"/>
                <w:b w:val="0"/>
                <w:sz w:val="24"/>
                <w:szCs w:val="24"/>
                <w:lang w:val="en-US" w:eastAsia="zh-CN" w:bidi="ar-SA"/>
              </w:rPr>
              <w:t>本</w:t>
            </w:r>
            <w:r>
              <w:rPr>
                <w:rFonts w:hint="default" w:ascii="Times New Roman" w:hAnsi="Times New Roman" w:eastAsia="宋体" w:cs="Times New Roman"/>
                <w:b w:val="0"/>
                <w:sz w:val="24"/>
                <w:szCs w:val="24"/>
                <w:lang w:val="en-US" w:eastAsia="zh-CN" w:bidi="ar-SA"/>
              </w:rPr>
              <w:t>），本项目涉及设备、产品、工艺均不属于《产业结构调整指导名录》（202</w:t>
            </w:r>
            <w:r>
              <w:rPr>
                <w:rFonts w:hint="eastAsia" w:ascii="Times New Roman" w:hAnsi="Times New Roman" w:eastAsia="宋体" w:cs="Times New Roman"/>
                <w:b w:val="0"/>
                <w:sz w:val="24"/>
                <w:szCs w:val="24"/>
                <w:lang w:val="en-US" w:eastAsia="zh-CN" w:bidi="ar-SA"/>
              </w:rPr>
              <w:t>4</w:t>
            </w:r>
            <w:r>
              <w:rPr>
                <w:rFonts w:hint="default" w:ascii="Times New Roman" w:hAnsi="Times New Roman" w:eastAsia="宋体" w:cs="Times New Roman"/>
                <w:b w:val="0"/>
                <w:sz w:val="24"/>
                <w:szCs w:val="24"/>
                <w:lang w:val="en-US" w:eastAsia="zh-CN" w:bidi="ar-SA"/>
              </w:rPr>
              <w:t>年</w:t>
            </w:r>
            <w:r>
              <w:rPr>
                <w:rFonts w:hint="eastAsia" w:ascii="Times New Roman" w:hAnsi="Times New Roman" w:eastAsia="宋体" w:cs="Times New Roman"/>
                <w:b w:val="0"/>
                <w:sz w:val="24"/>
                <w:szCs w:val="24"/>
                <w:lang w:val="en-US" w:eastAsia="zh-CN" w:bidi="ar-SA"/>
              </w:rPr>
              <w:t>本</w:t>
            </w:r>
            <w:r>
              <w:rPr>
                <w:rFonts w:hint="default" w:ascii="Times New Roman" w:hAnsi="Times New Roman" w:eastAsia="宋体" w:cs="Times New Roman"/>
                <w:b w:val="0"/>
                <w:sz w:val="24"/>
                <w:szCs w:val="24"/>
                <w:lang w:val="en-US" w:eastAsia="zh-CN" w:bidi="ar-SA"/>
              </w:rPr>
              <w:t>）规定的限制类</w:t>
            </w:r>
            <w:r>
              <w:rPr>
                <w:rFonts w:hint="eastAsia" w:cs="Times New Roman"/>
                <w:b w:val="0"/>
                <w:sz w:val="24"/>
                <w:szCs w:val="24"/>
                <w:lang w:val="en-US" w:eastAsia="zh-CN" w:bidi="ar-SA"/>
              </w:rPr>
              <w:t>、</w:t>
            </w:r>
            <w:r>
              <w:rPr>
                <w:rFonts w:hint="default" w:ascii="Times New Roman" w:hAnsi="Times New Roman" w:eastAsia="宋体" w:cs="Times New Roman"/>
                <w:b w:val="0"/>
                <w:sz w:val="24"/>
                <w:szCs w:val="24"/>
                <w:lang w:val="en-US" w:eastAsia="zh-CN" w:bidi="ar-SA"/>
              </w:rPr>
              <w:t>淘汰类</w:t>
            </w:r>
            <w:r>
              <w:rPr>
                <w:rFonts w:hint="eastAsia" w:cs="Times New Roman"/>
                <w:b w:val="0"/>
                <w:sz w:val="24"/>
                <w:szCs w:val="24"/>
                <w:lang w:val="en-US" w:eastAsia="zh-CN" w:bidi="ar-SA"/>
              </w:rPr>
              <w:t>、禁止类</w:t>
            </w:r>
            <w:r>
              <w:rPr>
                <w:rFonts w:hint="default" w:ascii="Times New Roman" w:hAnsi="Times New Roman" w:eastAsia="宋体" w:cs="Times New Roman"/>
                <w:b w:val="0"/>
                <w:sz w:val="24"/>
                <w:szCs w:val="24"/>
                <w:lang w:val="en-US" w:eastAsia="zh-CN" w:bidi="ar-SA"/>
              </w:rPr>
              <w:t>。视为“允许类”，因此本项目符合国家的产业政策。</w:t>
            </w:r>
          </w:p>
          <w:p w14:paraId="669B210C">
            <w:pPr>
              <w:pStyle w:val="2"/>
              <w:outlineLvl w:val="9"/>
              <w:rPr>
                <w:rFonts w:hint="eastAsia"/>
                <w:lang w:eastAsia="zh-CN"/>
              </w:rPr>
            </w:pPr>
            <w:r>
              <w:rPr>
                <w:rFonts w:hint="eastAsia"/>
                <w:lang w:eastAsia="zh-CN"/>
              </w:rPr>
              <w:t>2. 选址合理性分析</w:t>
            </w:r>
          </w:p>
          <w:p w14:paraId="2BA15E4D">
            <w:pPr>
              <w:pStyle w:val="2"/>
              <w:keepNext w:val="0"/>
              <w:keepLines w:val="0"/>
              <w:pageBreakBefore w:val="0"/>
              <w:kinsoku/>
              <w:wordWrap/>
              <w:overflowPunct/>
              <w:topLinePunct w:val="0"/>
              <w:bidi w:val="0"/>
              <w:adjustRightInd/>
              <w:snapToGrid/>
              <w:ind w:firstLine="480" w:firstLineChars="200"/>
              <w:textAlignment w:val="auto"/>
              <w:outlineLvl w:val="9"/>
              <w:rPr>
                <w:rFonts w:hint="eastAsia" w:ascii="Times New Roman" w:hAnsi="Times New Roman" w:eastAsia="宋体" w:cs="Times New Roman"/>
                <w:b w:val="0"/>
                <w:sz w:val="24"/>
                <w:szCs w:val="24"/>
                <w:lang w:val="en-US" w:eastAsia="zh-CN" w:bidi="ar-SA"/>
              </w:rPr>
            </w:pPr>
            <w:r>
              <w:rPr>
                <w:rFonts w:hint="eastAsia" w:ascii="Times New Roman" w:hAnsi="Times New Roman" w:eastAsia="宋体" w:cs="Times New Roman"/>
                <w:b w:val="0"/>
                <w:sz w:val="24"/>
                <w:szCs w:val="24"/>
                <w:lang w:val="en-US" w:eastAsia="zh-CN" w:bidi="ar-SA"/>
              </w:rPr>
              <w:t>本项目位于</w:t>
            </w:r>
            <w:r>
              <w:rPr>
                <w:rFonts w:hint="eastAsia" w:cs="Times New Roman"/>
                <w:b w:val="0"/>
                <w:sz w:val="24"/>
                <w:szCs w:val="24"/>
                <w:lang w:val="en-US" w:eastAsia="zh-CN" w:bidi="ar-SA"/>
              </w:rPr>
              <w:t>***</w:t>
            </w:r>
            <w:r>
              <w:rPr>
                <w:rFonts w:hint="eastAsia" w:ascii="Times New Roman" w:hAnsi="Times New Roman" w:eastAsia="宋体" w:cs="Times New Roman"/>
                <w:b w:val="0"/>
                <w:sz w:val="24"/>
                <w:szCs w:val="24"/>
                <w:lang w:val="en-US" w:eastAsia="zh-CN" w:bidi="ar-SA"/>
              </w:rPr>
              <w:t>，主要从事化纤坯布生产。本项目周边均为工业企业，因此本项目与周边其他企业相容性较好。项目厂界外500米范围内不涉自然保护区、风景名胜区等环境保护目标，厂界外500米范围内无地下水集中式饮用水水源和热水、矿泉水、温泉等特殊地下水资源。本项目选址可行。</w:t>
            </w:r>
          </w:p>
          <w:p w14:paraId="46C9A88E">
            <w:pPr>
              <w:pStyle w:val="2"/>
              <w:keepNext w:val="0"/>
              <w:keepLines w:val="0"/>
              <w:pageBreakBefore w:val="0"/>
              <w:kinsoku/>
              <w:wordWrap/>
              <w:overflowPunct/>
              <w:topLinePunct w:val="0"/>
              <w:bidi w:val="0"/>
              <w:adjustRightInd/>
              <w:snapToGrid/>
              <w:textAlignment w:val="auto"/>
              <w:outlineLvl w:val="9"/>
              <w:rPr>
                <w:lang w:eastAsia="zh-CN"/>
              </w:rPr>
            </w:pPr>
            <w:r>
              <w:rPr>
                <w:rFonts w:hint="eastAsia"/>
                <w:lang w:eastAsia="zh-CN"/>
              </w:rPr>
              <w:t>3.</w:t>
            </w:r>
            <w:r>
              <w:rPr>
                <w:lang w:eastAsia="zh-CN"/>
              </w:rPr>
              <w:t>与“</w:t>
            </w:r>
            <w:r>
              <w:rPr>
                <w:rFonts w:hint="eastAsia"/>
                <w:lang w:eastAsia="zh-CN"/>
              </w:rPr>
              <w:t>生态环境分区管控</w:t>
            </w:r>
            <w:r>
              <w:rPr>
                <w:lang w:eastAsia="zh-CN"/>
              </w:rPr>
              <w:t>”符合性分析</w:t>
            </w:r>
          </w:p>
          <w:p w14:paraId="2772831C">
            <w:pPr>
              <w:pStyle w:val="34"/>
              <w:spacing w:line="360" w:lineRule="auto"/>
              <w:ind w:firstLine="480" w:firstLineChars="200"/>
              <w:rPr>
                <w:rFonts w:hint="eastAsia"/>
                <w:b/>
                <w:bCs/>
                <w:sz w:val="21"/>
                <w:szCs w:val="21"/>
                <w:highlight w:val="yellow"/>
                <w:lang w:eastAsia="zh-CN"/>
              </w:rPr>
            </w:pPr>
            <w:r>
              <w:rPr>
                <w:rFonts w:ascii="Times New Roman" w:hAnsi="Times New Roman" w:eastAsia="宋体" w:cs="Times New Roman"/>
                <w:sz w:val="24"/>
                <w:szCs w:val="24"/>
                <w:lang w:val="en-US" w:eastAsia="zh-CN" w:bidi="ar-SA"/>
              </w:rPr>
              <w:t>本项目位于</w:t>
            </w:r>
            <w:r>
              <w:rPr>
                <w:rFonts w:hint="eastAsia" w:ascii="Times New Roman" w:hAnsi="Times New Roman" w:cs="Times New Roman"/>
                <w:sz w:val="24"/>
                <w:szCs w:val="24"/>
                <w:lang w:val="en-US" w:eastAsia="zh-CN" w:bidi="ar-SA"/>
              </w:rPr>
              <w:t>***</w:t>
            </w:r>
            <w:r>
              <w:rPr>
                <w:rFonts w:ascii="Times New Roman" w:hAnsi="Times New Roman" w:eastAsia="宋体" w:cs="Times New Roman"/>
                <w:sz w:val="24"/>
                <w:szCs w:val="24"/>
                <w:lang w:val="en-US" w:eastAsia="zh-CN" w:bidi="ar-SA"/>
              </w:rPr>
              <w:t>，用地类型为三类工业用地。不位于生态保护红线区域和生态</w:t>
            </w:r>
            <w:r>
              <w:rPr>
                <w:rFonts w:ascii="宋体" w:hAnsi="宋体" w:eastAsia="宋体" w:cs="宋体"/>
                <w:sz w:val="24"/>
                <w:szCs w:val="24"/>
              </w:rPr>
              <w:t>保护红线区以外的饮用水水源保护区、水源涵养区、防风固沙区、土地沙化防控区、水土流失防控区等一般生态空间管控区，项目所在区域属于重点管控单元，具体符合性分析见下表。</w:t>
            </w:r>
            <w:bookmarkStart w:id="4" w:name="_Hlk194060577"/>
          </w:p>
          <w:p w14:paraId="2B258420">
            <w:pPr>
              <w:pStyle w:val="34"/>
              <w:spacing w:line="360" w:lineRule="auto"/>
              <w:ind w:firstLine="480" w:firstLineChars="200"/>
              <w:rPr>
                <w:rFonts w:hint="eastAsia" w:ascii="Times New Roman" w:hAnsi="Times New Roman" w:eastAsia="宋体" w:cs="Times New Roman"/>
                <w:sz w:val="24"/>
                <w:szCs w:val="24"/>
                <w:lang w:val="en-US" w:eastAsia="zh-CN" w:bidi="ar-SA"/>
              </w:rPr>
            </w:pPr>
            <w:r>
              <w:rPr>
                <w:rFonts w:hint="eastAsia" w:ascii="Times New Roman" w:hAnsi="Times New Roman" w:cs="Times New Roman"/>
                <w:sz w:val="24"/>
                <w:szCs w:val="24"/>
                <w:lang w:val="en-US" w:eastAsia="zh-CN" w:bidi="ar-SA"/>
              </w:rPr>
              <w:t>由此可见本项目</w:t>
            </w:r>
            <w:r>
              <w:rPr>
                <w:rFonts w:hint="eastAsia" w:ascii="Times New Roman" w:hAnsi="Times New Roman" w:eastAsia="宋体" w:cs="Times New Roman"/>
                <w:sz w:val="24"/>
                <w:szCs w:val="24"/>
                <w:lang w:val="en-US" w:eastAsia="zh-CN" w:bidi="ar-SA"/>
              </w:rPr>
              <w:t>符合塔城地区生态环境分区管控更新成果要求</w:t>
            </w:r>
            <w:r>
              <w:rPr>
                <w:rFonts w:hint="eastAsia" w:ascii="Times New Roman" w:hAnsi="Times New Roman" w:cs="Times New Roman"/>
                <w:sz w:val="24"/>
                <w:szCs w:val="24"/>
                <w:lang w:val="en-US" w:eastAsia="zh-CN" w:bidi="ar-SA"/>
              </w:rPr>
              <w:t>。</w:t>
            </w:r>
          </w:p>
          <w:bookmarkEnd w:id="4"/>
          <w:p w14:paraId="17B2201B">
            <w:pPr>
              <w:pStyle w:val="2"/>
              <w:keepNext w:val="0"/>
              <w:keepLines w:val="0"/>
              <w:pageBreakBefore w:val="0"/>
              <w:widowControl w:val="0"/>
              <w:kinsoku/>
              <w:wordWrap/>
              <w:overflowPunct/>
              <w:topLinePunct w:val="0"/>
              <w:autoSpaceDE w:val="0"/>
              <w:autoSpaceDN w:val="0"/>
              <w:bidi w:val="0"/>
              <w:adjustRightInd/>
              <w:snapToGrid/>
              <w:textAlignment w:val="auto"/>
              <w:outlineLvl w:val="9"/>
              <w:rPr>
                <w:color w:val="000000" w:themeColor="text1"/>
                <w:sz w:val="21"/>
                <w:szCs w:val="21"/>
                <w:lang w:eastAsia="zh-CN"/>
              </w:rPr>
            </w:pPr>
            <w:r>
              <w:rPr>
                <w:rFonts w:hint="eastAsia"/>
                <w:lang w:val="en-US" w:eastAsia="zh-CN"/>
              </w:rPr>
              <w:t>4</w:t>
            </w:r>
            <w:r>
              <w:rPr>
                <w:rFonts w:hint="eastAsia"/>
                <w:lang w:eastAsia="zh-CN"/>
              </w:rPr>
              <w:t>.</w:t>
            </w:r>
            <w:r>
              <w:rPr>
                <w:lang w:eastAsia="zh-CN"/>
              </w:rPr>
              <w:t>与</w:t>
            </w:r>
            <w:r>
              <w:rPr>
                <w:rFonts w:hint="eastAsia" w:cs="Times New Roman"/>
                <w:bCs/>
                <w:spacing w:val="4"/>
                <w:kern w:val="2"/>
                <w:szCs w:val="28"/>
                <w:lang w:eastAsia="zh-CN"/>
              </w:rPr>
              <w:t>《空气质量持续改善行动计划》</w:t>
            </w:r>
            <w:r>
              <w:rPr>
                <w:lang w:eastAsia="zh-CN"/>
              </w:rPr>
              <w:t>符合性分析</w:t>
            </w:r>
          </w:p>
          <w:p w14:paraId="29FB261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本项目符合《空气质量持续改善行动计划》</w:t>
            </w:r>
            <w:r>
              <w:rPr>
                <w:rFonts w:hint="eastAsia" w:ascii="Times New Roman" w:hAnsi="Times New Roman" w:cs="Times New Roman"/>
                <w:sz w:val="24"/>
                <w:szCs w:val="24"/>
                <w:lang w:val="en-US" w:eastAsia="zh-CN"/>
              </w:rPr>
              <w:t>要求</w:t>
            </w:r>
            <w:r>
              <w:rPr>
                <w:rFonts w:hint="default" w:ascii="Times New Roman" w:hAnsi="Times New Roman" w:cs="Times New Roman"/>
                <w:sz w:val="24"/>
                <w:szCs w:val="24"/>
                <w:lang w:eastAsia="zh-CN"/>
              </w:rPr>
              <w:t>。</w:t>
            </w:r>
          </w:p>
          <w:p w14:paraId="497F7685">
            <w:pPr>
              <w:pStyle w:val="2"/>
              <w:spacing w:before="120" w:beforeLines="50"/>
              <w:outlineLvl w:val="9"/>
              <w:rPr>
                <w:highlight w:val="none"/>
                <w:lang w:eastAsia="zh-CN"/>
              </w:rPr>
            </w:pPr>
            <w:r>
              <w:rPr>
                <w:rFonts w:hint="eastAsia"/>
                <w:highlight w:val="none"/>
                <w:lang w:val="en-US" w:eastAsia="zh-CN"/>
              </w:rPr>
              <w:t>5</w:t>
            </w:r>
            <w:r>
              <w:rPr>
                <w:rFonts w:hint="eastAsia"/>
                <w:highlight w:val="none"/>
                <w:lang w:eastAsia="zh-CN"/>
              </w:rPr>
              <w:t>.</w:t>
            </w:r>
            <w:r>
              <w:rPr>
                <w:highlight w:val="none"/>
                <w:lang w:eastAsia="zh-CN"/>
              </w:rPr>
              <w:t>与</w:t>
            </w:r>
            <w:r>
              <w:rPr>
                <w:rFonts w:hint="eastAsia" w:ascii="Times New Roman" w:hAnsi="Times New Roman" w:eastAsia="宋体"/>
                <w:highlight w:val="none"/>
                <w:lang w:val="en-US" w:eastAsia="zh-CN"/>
              </w:rPr>
              <w:t>《新疆维吾尔自治区大气污染防治条例》</w:t>
            </w:r>
            <w:r>
              <w:rPr>
                <w:rFonts w:ascii="Times New Roman" w:hAnsi="Times New Roman" w:eastAsia="宋体"/>
                <w:highlight w:val="none"/>
                <w:lang w:eastAsia="zh-CN"/>
              </w:rPr>
              <w:t>符</w:t>
            </w:r>
            <w:r>
              <w:rPr>
                <w:highlight w:val="none"/>
                <w:lang w:eastAsia="zh-CN"/>
              </w:rPr>
              <w:t>合性分析</w:t>
            </w:r>
          </w:p>
          <w:p w14:paraId="0347C956">
            <w:pPr>
              <w:pStyle w:val="2"/>
              <w:keepNext w:val="0"/>
              <w:keepLines w:val="0"/>
              <w:pageBreakBefore w:val="0"/>
              <w:widowControl w:val="0"/>
              <w:kinsoku/>
              <w:wordWrap/>
              <w:overflowPunct/>
              <w:topLinePunct w:val="0"/>
              <w:autoSpaceDE w:val="0"/>
              <w:autoSpaceDN w:val="0"/>
              <w:bidi w:val="0"/>
              <w:adjustRightInd/>
              <w:snapToGrid/>
              <w:ind w:firstLine="480" w:firstLineChars="200"/>
              <w:textAlignment w:val="auto"/>
              <w:outlineLvl w:val="9"/>
              <w:rPr>
                <w:rFonts w:hint="eastAsia" w:ascii="宋体" w:hAnsi="宋体" w:cs="宋体"/>
                <w:b w:val="0"/>
                <w:color w:val="000000" w:themeColor="text1"/>
                <w:sz w:val="24"/>
                <w:szCs w:val="24"/>
                <w:highlight w:val="none"/>
                <w:lang w:eastAsia="zh-CN"/>
              </w:rPr>
            </w:pPr>
            <w:r>
              <w:rPr>
                <w:rFonts w:hint="eastAsia" w:ascii="宋体" w:hAnsi="宋体" w:cs="宋体"/>
                <w:b w:val="0"/>
                <w:color w:val="000000" w:themeColor="text1"/>
                <w:sz w:val="24"/>
                <w:szCs w:val="24"/>
                <w:highlight w:val="none"/>
                <w:lang w:eastAsia="zh-CN"/>
              </w:rPr>
              <w:t>本项目符合</w:t>
            </w:r>
            <w:r>
              <w:rPr>
                <w:rFonts w:hint="eastAsia" w:ascii="宋体" w:hAnsi="宋体" w:eastAsia="宋体" w:cs="宋体"/>
                <w:b w:val="0"/>
                <w:color w:val="000000" w:themeColor="text1"/>
                <w:sz w:val="24"/>
                <w:szCs w:val="24"/>
                <w:highlight w:val="none"/>
                <w:lang w:val="en-US" w:eastAsia="zh-CN"/>
              </w:rPr>
              <w:t>《</w:t>
            </w:r>
            <w:r>
              <w:rPr>
                <w:rFonts w:hint="eastAsia" w:ascii="宋体" w:hAnsi="宋体" w:eastAsia="宋体" w:cs="宋体"/>
                <w:b w:val="0"/>
                <w:color w:val="000000" w:themeColor="text1"/>
                <w:sz w:val="24"/>
                <w:szCs w:val="24"/>
                <w:highlight w:val="none"/>
                <w:lang w:val="en-US" w:eastAsia="zh-CN"/>
              </w:rPr>
              <w:fldChar w:fldCharType="begin"/>
            </w:r>
            <w:r>
              <w:rPr>
                <w:rFonts w:hint="eastAsia" w:ascii="宋体" w:hAnsi="宋体" w:eastAsia="宋体" w:cs="宋体"/>
                <w:b w:val="0"/>
                <w:color w:val="000000" w:themeColor="text1"/>
                <w:sz w:val="24"/>
                <w:szCs w:val="24"/>
                <w:highlight w:val="none"/>
                <w:lang w:val="en-US" w:eastAsia="zh-CN"/>
              </w:rPr>
              <w:instrText xml:space="preserve"> HYPERLINK "https://baike.baidu.com/item/%E6%96%B0%E7%96%86%E7%BB%B4%E5%90%BE%E5%B0%94%E8%87%AA%E6%B2%BB%E5%8C%BA/906636?fromModule=lemma_inlink" \t "https://baike.baidu.com/item/%E6%96%B0%E7%96%86%E7%BB%B4%E5%90%BE%E5%B0%94%E8%87%AA%E6%B2%BB%E5%8C%BA%E5%A4%A7%E6%B0%94%E6%B1%A1%E6%9F%93%E9%98%B2%E6%B2%BB%E6%9D%A1%E4%BE%8B/_blank" </w:instrText>
            </w:r>
            <w:r>
              <w:rPr>
                <w:rFonts w:hint="eastAsia" w:ascii="宋体" w:hAnsi="宋体" w:eastAsia="宋体" w:cs="宋体"/>
                <w:b w:val="0"/>
                <w:color w:val="000000" w:themeColor="text1"/>
                <w:sz w:val="24"/>
                <w:szCs w:val="24"/>
                <w:highlight w:val="none"/>
                <w:lang w:val="en-US" w:eastAsia="zh-CN"/>
              </w:rPr>
              <w:fldChar w:fldCharType="separate"/>
            </w:r>
            <w:r>
              <w:rPr>
                <w:rFonts w:hint="default" w:ascii="宋体" w:hAnsi="宋体" w:eastAsia="宋体" w:cs="宋体"/>
                <w:b w:val="0"/>
                <w:color w:val="000000" w:themeColor="text1"/>
                <w:sz w:val="24"/>
                <w:szCs w:val="24"/>
                <w:highlight w:val="none"/>
                <w:lang w:val="en-US" w:eastAsia="zh-CN"/>
              </w:rPr>
              <w:t>新疆维吾尔自治区</w:t>
            </w:r>
            <w:r>
              <w:rPr>
                <w:rFonts w:hint="default" w:ascii="宋体" w:hAnsi="宋体" w:eastAsia="宋体" w:cs="宋体"/>
                <w:b w:val="0"/>
                <w:color w:val="000000" w:themeColor="text1"/>
                <w:sz w:val="24"/>
                <w:szCs w:val="24"/>
                <w:highlight w:val="none"/>
                <w:lang w:val="en-US" w:eastAsia="zh-CN"/>
              </w:rPr>
              <w:fldChar w:fldCharType="end"/>
            </w:r>
            <w:r>
              <w:rPr>
                <w:rFonts w:hint="default" w:ascii="宋体" w:hAnsi="宋体" w:eastAsia="宋体" w:cs="宋体"/>
                <w:b w:val="0"/>
                <w:color w:val="000000" w:themeColor="text1"/>
                <w:sz w:val="24"/>
                <w:szCs w:val="24"/>
                <w:highlight w:val="none"/>
                <w:lang w:val="en-US" w:eastAsia="zh-CN"/>
              </w:rPr>
              <w:t>大气污染防治条例</w:t>
            </w:r>
            <w:r>
              <w:rPr>
                <w:rFonts w:hint="eastAsia" w:ascii="宋体" w:hAnsi="宋体" w:eastAsia="宋体" w:cs="宋体"/>
                <w:b w:val="0"/>
                <w:color w:val="000000" w:themeColor="text1"/>
                <w:sz w:val="24"/>
                <w:szCs w:val="24"/>
                <w:highlight w:val="none"/>
                <w:lang w:val="en-US" w:eastAsia="zh-CN"/>
              </w:rPr>
              <w:t>》</w:t>
            </w:r>
            <w:r>
              <w:rPr>
                <w:rFonts w:hint="eastAsia" w:ascii="宋体" w:hAnsi="宋体" w:cs="宋体"/>
                <w:b w:val="0"/>
                <w:color w:val="000000" w:themeColor="text1"/>
                <w:sz w:val="24"/>
                <w:szCs w:val="24"/>
                <w:highlight w:val="none"/>
                <w:lang w:val="en-US" w:eastAsia="zh-CN"/>
              </w:rPr>
              <w:t>要求</w:t>
            </w:r>
            <w:r>
              <w:rPr>
                <w:rFonts w:hint="eastAsia" w:ascii="宋体" w:hAnsi="宋体" w:cs="宋体"/>
                <w:b w:val="0"/>
                <w:color w:val="000000" w:themeColor="text1"/>
                <w:sz w:val="24"/>
                <w:szCs w:val="24"/>
                <w:highlight w:val="none"/>
                <w:lang w:eastAsia="zh-CN"/>
              </w:rPr>
              <w:t>。</w:t>
            </w:r>
          </w:p>
          <w:p w14:paraId="4B725EE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
                <w:bCs/>
                <w:color w:val="auto"/>
                <w:kern w:val="0"/>
                <w:sz w:val="28"/>
                <w:szCs w:val="28"/>
                <w:highlight w:val="none"/>
                <w:lang w:val="en-US" w:eastAsia="zh-CN" w:bidi="ar-SA"/>
              </w:rPr>
            </w:pPr>
            <w:r>
              <w:rPr>
                <w:rFonts w:hint="eastAsia" w:ascii="Times New Roman" w:hAnsi="Times New Roman" w:cs="Times New Roman"/>
                <w:b/>
                <w:bCs/>
                <w:color w:val="auto"/>
                <w:kern w:val="0"/>
                <w:sz w:val="28"/>
                <w:szCs w:val="28"/>
                <w:highlight w:val="none"/>
                <w:lang w:val="en-US" w:eastAsia="zh-CN" w:bidi="ar-SA"/>
              </w:rPr>
              <w:t>6</w:t>
            </w:r>
            <w:r>
              <w:rPr>
                <w:rFonts w:hint="eastAsia" w:ascii="Times New Roman" w:hAnsi="Times New Roman" w:eastAsia="宋体" w:cs="Times New Roman"/>
                <w:b/>
                <w:bCs/>
                <w:color w:val="auto"/>
                <w:kern w:val="0"/>
                <w:sz w:val="28"/>
                <w:szCs w:val="28"/>
                <w:highlight w:val="none"/>
                <w:lang w:val="en-US" w:eastAsia="zh-CN" w:bidi="ar-SA"/>
              </w:rPr>
              <w:t>.与《</w:t>
            </w:r>
            <w:r>
              <w:rPr>
                <w:rFonts w:hint="eastAsia" w:ascii="Times New Roman" w:hAnsi="Times New Roman" w:cs="Times New Roman"/>
                <w:b/>
                <w:bCs/>
                <w:color w:val="auto"/>
                <w:kern w:val="0"/>
                <w:sz w:val="28"/>
                <w:szCs w:val="28"/>
                <w:highlight w:val="none"/>
                <w:lang w:val="en-US" w:eastAsia="zh-CN" w:bidi="ar-SA"/>
              </w:rPr>
              <w:t>中共中央、国务院</w:t>
            </w:r>
            <w:r>
              <w:rPr>
                <w:rFonts w:hint="eastAsia" w:ascii="Times New Roman" w:hAnsi="Times New Roman" w:eastAsia="宋体" w:cs="Times New Roman"/>
                <w:b/>
                <w:bCs/>
                <w:color w:val="auto"/>
                <w:kern w:val="0"/>
                <w:sz w:val="28"/>
                <w:szCs w:val="28"/>
                <w:highlight w:val="none"/>
                <w:lang w:val="en-US" w:eastAsia="zh-CN" w:bidi="ar-SA"/>
              </w:rPr>
              <w:t>关于深入打好污染防治攻坚战的意见》符合性分析</w:t>
            </w:r>
          </w:p>
          <w:p w14:paraId="4D9F7E29">
            <w:pPr>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bidi="ar-SA"/>
              </w:rPr>
              <w:t>本项目</w:t>
            </w:r>
            <w:r>
              <w:rPr>
                <w:rFonts w:hint="eastAsia" w:ascii="Times New Roman" w:hAnsi="Times New Roman" w:cs="Times New Roman"/>
                <w:b w:val="0"/>
                <w:bCs w:val="0"/>
                <w:color w:val="auto"/>
                <w:sz w:val="24"/>
                <w:szCs w:val="24"/>
                <w:highlight w:val="none"/>
                <w:lang w:val="en-US" w:eastAsia="zh-CN" w:bidi="ar-SA"/>
              </w:rPr>
              <w:t>符合</w:t>
            </w:r>
            <w:r>
              <w:rPr>
                <w:rFonts w:hint="eastAsia" w:ascii="Times New Roman" w:hAnsi="Times New Roman" w:eastAsia="宋体" w:cs="Times New Roman"/>
                <w:b/>
                <w:bCs/>
                <w:color w:val="auto"/>
                <w:kern w:val="0"/>
                <w:sz w:val="28"/>
                <w:szCs w:val="28"/>
                <w:highlight w:val="none"/>
                <w:lang w:val="en-US" w:eastAsia="zh-CN" w:bidi="ar-SA"/>
              </w:rPr>
              <w:t>《</w:t>
            </w:r>
            <w:r>
              <w:rPr>
                <w:rFonts w:hint="eastAsia" w:ascii="Times New Roman" w:hAnsi="Times New Roman" w:cs="Times New Roman"/>
                <w:b/>
                <w:bCs/>
                <w:color w:val="auto"/>
                <w:kern w:val="0"/>
                <w:sz w:val="28"/>
                <w:szCs w:val="28"/>
                <w:highlight w:val="none"/>
                <w:lang w:val="en-US" w:eastAsia="zh-CN" w:bidi="ar-SA"/>
              </w:rPr>
              <w:t>中共中央、国务院</w:t>
            </w:r>
            <w:r>
              <w:rPr>
                <w:rFonts w:hint="eastAsia" w:ascii="Times New Roman" w:hAnsi="Times New Roman" w:eastAsia="宋体" w:cs="Times New Roman"/>
                <w:b/>
                <w:bCs/>
                <w:color w:val="auto"/>
                <w:kern w:val="0"/>
                <w:sz w:val="28"/>
                <w:szCs w:val="28"/>
                <w:highlight w:val="none"/>
                <w:lang w:val="en-US" w:eastAsia="zh-CN" w:bidi="ar-SA"/>
              </w:rPr>
              <w:t>关于深入打好污染防治攻坚战的意见》</w:t>
            </w:r>
            <w:r>
              <w:rPr>
                <w:rFonts w:hint="eastAsia" w:ascii="宋体" w:hAnsi="宋体" w:eastAsia="宋体" w:cs="宋体"/>
                <w:b w:val="0"/>
                <w:color w:val="000000" w:themeColor="text1"/>
                <w:sz w:val="24"/>
                <w:szCs w:val="24"/>
                <w:highlight w:val="none"/>
                <w:lang w:val="en-US" w:eastAsia="zh-CN" w:bidi="ar-SA"/>
              </w:rPr>
              <w:t>要求</w:t>
            </w:r>
            <w:r>
              <w:rPr>
                <w:rFonts w:hint="eastAsia" w:ascii="宋体" w:hAnsi="宋体" w:eastAsia="宋体" w:cs="宋体"/>
                <w:color w:val="auto"/>
                <w:kern w:val="0"/>
                <w:sz w:val="24"/>
                <w:szCs w:val="24"/>
                <w:highlight w:val="none"/>
                <w:lang w:val="en-US" w:eastAsia="zh-CN"/>
              </w:rPr>
              <w:t>。</w:t>
            </w:r>
          </w:p>
          <w:p w14:paraId="500B26AE">
            <w:pPr>
              <w:pStyle w:val="19"/>
              <w:ind w:left="0" w:leftChars="0" w:firstLine="0" w:firstLineChars="0"/>
              <w:rPr>
                <w:rFonts w:hint="default"/>
                <w:lang w:val="en-US" w:eastAsia="zh-CN"/>
              </w:rPr>
            </w:pPr>
          </w:p>
        </w:tc>
      </w:tr>
    </w:tbl>
    <w:p w14:paraId="2003638F">
      <w:pPr>
        <w:rPr>
          <w:rFonts w:ascii="Times New Roman" w:hAnsi="Times New Roman" w:cs="Times New Roman"/>
          <w:sz w:val="21"/>
          <w:lang w:eastAsia="zh-CN"/>
        </w:rPr>
        <w:sectPr>
          <w:pgSz w:w="11913" w:h="16840"/>
          <w:pgMar w:top="1134" w:right="1134" w:bottom="1134" w:left="1134" w:header="0" w:footer="1043" w:gutter="0"/>
          <w:pgBorders>
            <w:top w:val="none" w:sz="0" w:space="0"/>
            <w:left w:val="none" w:sz="0" w:space="0"/>
            <w:bottom w:val="none" w:sz="0" w:space="0"/>
            <w:right w:val="none" w:sz="0" w:space="0"/>
          </w:pgBorders>
          <w:pgNumType w:start="1"/>
          <w:cols w:space="720" w:num="1"/>
          <w:docGrid w:linePitch="299" w:charSpace="0"/>
        </w:sectPr>
      </w:pPr>
    </w:p>
    <w:p w14:paraId="3D0F2251">
      <w:pPr>
        <w:pStyle w:val="24"/>
        <w:rPr>
          <w:rFonts w:hint="eastAsia" w:ascii="黑体" w:hAnsi="黑体"/>
          <w:szCs w:val="30"/>
          <w:lang w:eastAsia="zh-CN"/>
        </w:rPr>
      </w:pPr>
      <w:bookmarkStart w:id="5" w:name="_Toc31916"/>
      <w:bookmarkStart w:id="6" w:name="_Toc22656"/>
      <w:r>
        <w:rPr>
          <w:rFonts w:ascii="黑体" w:hAnsi="黑体"/>
          <w:szCs w:val="30"/>
          <w:lang w:eastAsia="zh-CN"/>
        </w:rPr>
        <w:t>二、</w:t>
      </w:r>
      <w:r>
        <w:rPr>
          <w:rFonts w:hint="eastAsia" w:ascii="黑体" w:hAnsi="黑体"/>
          <w:snapToGrid w:val="0"/>
          <w:szCs w:val="30"/>
          <w:lang w:eastAsia="zh-CN"/>
        </w:rPr>
        <w:t>建设项目工程分析</w:t>
      </w:r>
      <w:bookmarkEnd w:id="5"/>
      <w:bookmarkEnd w:id="6"/>
    </w:p>
    <w:tbl>
      <w:tblPr>
        <w:tblStyle w:val="32"/>
        <w:tblW w:w="513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6"/>
        <w:gridCol w:w="9660"/>
      </w:tblGrid>
      <w:tr w14:paraId="595880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0" w:hRule="atLeast"/>
        </w:trPr>
        <w:tc>
          <w:tcPr>
            <w:tcW w:w="129" w:type="pct"/>
            <w:tcBorders>
              <w:top w:val="single" w:color="000000" w:sz="4" w:space="0"/>
              <w:bottom w:val="single" w:color="000000" w:sz="4" w:space="0"/>
              <w:right w:val="single" w:color="000000" w:sz="4" w:space="0"/>
            </w:tcBorders>
            <w:vAlign w:val="center"/>
          </w:tcPr>
          <w:p w14:paraId="08A44E34">
            <w:pPr>
              <w:pStyle w:val="34"/>
              <w:pageBreakBefore w:val="0"/>
              <w:kinsoku/>
              <w:wordWrap/>
              <w:bidi w:val="0"/>
              <w:jc w:val="center"/>
              <w:rPr>
                <w:rFonts w:ascii="Times New Roman" w:hAnsi="Times New Roman" w:cs="Times New Roman"/>
                <w:b/>
                <w:bCs/>
                <w:sz w:val="24"/>
                <w:szCs w:val="24"/>
              </w:rPr>
            </w:pPr>
            <w:r>
              <w:rPr>
                <w:rFonts w:hint="eastAsia" w:ascii="Times New Roman" w:hAnsi="Times New Roman" w:cs="Times New Roman"/>
                <w:b/>
                <w:bCs/>
                <w:sz w:val="24"/>
                <w:szCs w:val="24"/>
                <w:lang w:eastAsia="zh-CN"/>
              </w:rPr>
              <w:t>建设内容</w:t>
            </w:r>
          </w:p>
        </w:tc>
        <w:tc>
          <w:tcPr>
            <w:tcW w:w="4871" w:type="pct"/>
            <w:tcBorders>
              <w:top w:val="single" w:color="000000" w:sz="4" w:space="0"/>
              <w:left w:val="single" w:color="000000" w:sz="4" w:space="0"/>
              <w:bottom w:val="single" w:color="000000" w:sz="4" w:space="0"/>
            </w:tcBorders>
            <w:vAlign w:val="top"/>
          </w:tcPr>
          <w:p w14:paraId="2258CD07">
            <w:pPr>
              <w:pStyle w:val="2"/>
              <w:pageBreakBefore w:val="0"/>
              <w:kinsoku/>
              <w:wordWrap/>
              <w:bidi w:val="0"/>
              <w:ind w:right="220" w:rightChars="0"/>
              <w:outlineLvl w:val="9"/>
              <w:rPr>
                <w:lang w:eastAsia="zh-CN"/>
              </w:rPr>
            </w:pPr>
            <w:r>
              <w:rPr>
                <w:rFonts w:hint="eastAsia"/>
                <w:lang w:eastAsia="zh-CN"/>
              </w:rPr>
              <w:t>1.</w:t>
            </w:r>
            <w:r>
              <w:rPr>
                <w:lang w:eastAsia="zh-CN"/>
              </w:rPr>
              <w:t>项目背景</w:t>
            </w:r>
          </w:p>
          <w:p w14:paraId="3EF0BE70">
            <w:pPr>
              <w:pStyle w:val="2"/>
              <w:pageBreakBefore w:val="0"/>
              <w:kinsoku/>
              <w:wordWrap/>
              <w:bidi w:val="0"/>
              <w:jc w:val="center"/>
              <w:outlineLvl w:val="9"/>
              <w:rPr>
                <w:rFonts w:hint="default"/>
                <w:lang w:val="en-US" w:eastAsia="zh-CN"/>
              </w:rPr>
            </w:pPr>
            <w:r>
              <w:rPr>
                <w:rFonts w:hint="eastAsia"/>
                <w:lang w:val="en-US" w:eastAsia="zh-CN"/>
              </w:rPr>
              <w:t>略</w:t>
            </w:r>
          </w:p>
          <w:p w14:paraId="738A2764">
            <w:pPr>
              <w:pStyle w:val="2"/>
              <w:pageBreakBefore w:val="0"/>
              <w:kinsoku/>
              <w:wordWrap/>
              <w:bidi w:val="0"/>
              <w:outlineLvl w:val="9"/>
              <w:rPr>
                <w:lang w:eastAsia="zh-CN"/>
              </w:rPr>
            </w:pPr>
            <w:r>
              <w:rPr>
                <w:lang w:eastAsia="zh-CN"/>
              </w:rPr>
              <w:t>2</w:t>
            </w:r>
            <w:r>
              <w:rPr>
                <w:rFonts w:hint="eastAsia"/>
                <w:lang w:eastAsia="zh-CN"/>
              </w:rPr>
              <w:t xml:space="preserve">. </w:t>
            </w:r>
            <w:r>
              <w:rPr>
                <w:lang w:eastAsia="zh-CN"/>
              </w:rPr>
              <w:t>项目组成及规模</w:t>
            </w:r>
          </w:p>
          <w:p w14:paraId="0F5E5008">
            <w:pPr>
              <w:pStyle w:val="2"/>
              <w:pageBreakBefore w:val="0"/>
              <w:kinsoku/>
              <w:wordWrap/>
              <w:bidi w:val="0"/>
              <w:jc w:val="center"/>
              <w:outlineLvl w:val="9"/>
              <w:rPr>
                <w:lang w:eastAsia="zh-CN"/>
              </w:rPr>
            </w:pPr>
            <w:r>
              <w:rPr>
                <w:rFonts w:hint="eastAsia"/>
                <w:lang w:val="en-US" w:eastAsia="zh-CN"/>
              </w:rPr>
              <w:t>略</w:t>
            </w:r>
          </w:p>
          <w:p w14:paraId="413EDF4D">
            <w:pPr>
              <w:pStyle w:val="2"/>
              <w:pageBreakBefore w:val="0"/>
              <w:kinsoku/>
              <w:wordWrap/>
              <w:bidi w:val="0"/>
              <w:outlineLvl w:val="9"/>
              <w:rPr>
                <w:rFonts w:hint="eastAsia"/>
                <w:lang w:eastAsia="zh-CN"/>
              </w:rPr>
            </w:pPr>
            <w:r>
              <w:rPr>
                <w:rFonts w:hint="eastAsia"/>
                <w:lang w:eastAsia="zh-CN"/>
              </w:rPr>
              <w:t>3.主要产品及产能</w:t>
            </w:r>
          </w:p>
          <w:p w14:paraId="557E4FB5">
            <w:pPr>
              <w:pStyle w:val="2"/>
              <w:pageBreakBefore w:val="0"/>
              <w:kinsoku/>
              <w:wordWrap/>
              <w:bidi w:val="0"/>
              <w:jc w:val="center"/>
              <w:outlineLvl w:val="9"/>
              <w:rPr>
                <w:rFonts w:hint="eastAsia"/>
                <w:lang w:eastAsia="zh-CN"/>
              </w:rPr>
            </w:pPr>
            <w:r>
              <w:rPr>
                <w:rFonts w:hint="eastAsia"/>
                <w:lang w:val="en-US" w:eastAsia="zh-CN"/>
              </w:rPr>
              <w:t>略</w:t>
            </w:r>
          </w:p>
          <w:p w14:paraId="7ACC3A53">
            <w:pPr>
              <w:pStyle w:val="2"/>
              <w:pageBreakBefore w:val="0"/>
              <w:kinsoku/>
              <w:wordWrap/>
              <w:bidi w:val="0"/>
              <w:outlineLvl w:val="9"/>
              <w:rPr>
                <w:lang w:eastAsia="zh-CN" w:bidi="ar"/>
              </w:rPr>
            </w:pPr>
            <w:bookmarkStart w:id="7" w:name="_Hlk194064036"/>
            <w:r>
              <w:rPr>
                <w:lang w:val="en-GB" w:eastAsia="zh-CN" w:bidi="ar"/>
              </w:rPr>
              <w:t>4</w:t>
            </w:r>
            <w:r>
              <w:rPr>
                <w:rFonts w:hint="eastAsia"/>
                <w:lang w:val="en-GB" w:eastAsia="zh-CN" w:bidi="ar"/>
              </w:rPr>
              <w:t>.</w:t>
            </w:r>
            <w:r>
              <w:rPr>
                <w:lang w:val="en-GB" w:eastAsia="zh-CN" w:bidi="ar"/>
              </w:rPr>
              <w:t>主要原辅材料</w:t>
            </w:r>
            <w:r>
              <w:rPr>
                <w:rFonts w:hint="eastAsia"/>
                <w:lang w:eastAsia="zh-CN" w:bidi="ar"/>
              </w:rPr>
              <w:t>及能源消耗</w:t>
            </w:r>
          </w:p>
          <w:p w14:paraId="07E682A8">
            <w:pPr>
              <w:pageBreakBefore w:val="0"/>
              <w:kinsoku/>
              <w:wordWrap/>
              <w:bidi w:val="0"/>
              <w:spacing w:line="360" w:lineRule="auto"/>
              <w:ind w:firstLine="480" w:firstLineChars="200"/>
              <w:rPr>
                <w:rFonts w:hint="eastAsia"/>
                <w:sz w:val="24"/>
                <w:szCs w:val="24"/>
                <w:lang w:val="en-GB" w:eastAsia="zh-CN"/>
              </w:rPr>
            </w:pPr>
            <w:r>
              <w:rPr>
                <w:rFonts w:cs="Times New Roman"/>
                <w:sz w:val="24"/>
                <w:szCs w:val="24"/>
                <w:lang w:val="en-GB" w:eastAsia="zh-CN"/>
              </w:rPr>
              <w:t>项目主要原辅材料用量</w:t>
            </w:r>
            <w:r>
              <w:rPr>
                <w:rFonts w:cs="Times New Roman"/>
                <w:sz w:val="24"/>
                <w:szCs w:val="24"/>
                <w:lang w:eastAsia="zh-CN"/>
              </w:rPr>
              <w:t>及能源</w:t>
            </w:r>
            <w:r>
              <w:rPr>
                <w:rFonts w:cs="Times New Roman"/>
                <w:sz w:val="24"/>
                <w:szCs w:val="24"/>
                <w:lang w:val="en-GB" w:eastAsia="zh-CN"/>
              </w:rPr>
              <w:t>消耗一览</w:t>
            </w:r>
            <w:r>
              <w:rPr>
                <w:rFonts w:ascii="Times New Roman" w:hAnsi="Times New Roman" w:cs="Times New Roman"/>
                <w:sz w:val="24"/>
                <w:szCs w:val="24"/>
                <w:lang w:val="en-GB" w:eastAsia="zh-CN"/>
              </w:rPr>
              <w:t>表见表</w:t>
            </w:r>
            <w:r>
              <w:rPr>
                <w:rFonts w:ascii="Times New Roman" w:hAnsi="Times New Roman" w:cs="Times New Roman"/>
                <w:sz w:val="24"/>
                <w:szCs w:val="24"/>
                <w:lang w:eastAsia="zh-CN"/>
              </w:rPr>
              <w:t>2-3</w:t>
            </w:r>
            <w:r>
              <w:rPr>
                <w:rFonts w:ascii="Times New Roman" w:hAnsi="Times New Roman" w:cs="Times New Roman"/>
                <w:sz w:val="24"/>
                <w:szCs w:val="24"/>
                <w:lang w:val="en-GB" w:eastAsia="zh-CN"/>
              </w:rPr>
              <w:t>。</w:t>
            </w:r>
          </w:p>
          <w:p w14:paraId="312F2E4A">
            <w:pPr>
              <w:pageBreakBefore w:val="0"/>
              <w:kinsoku/>
              <w:wordWrap/>
              <w:autoSpaceDE/>
              <w:autoSpaceDN/>
              <w:bidi w:val="0"/>
              <w:jc w:val="center"/>
              <w:rPr>
                <w:rFonts w:ascii="Times New Roman" w:hAnsi="Times New Roman" w:cs="Times New Roman"/>
                <w:b/>
                <w:sz w:val="21"/>
                <w:szCs w:val="21"/>
                <w:lang w:eastAsia="zh-CN"/>
              </w:rPr>
            </w:pPr>
            <w:r>
              <w:rPr>
                <w:rFonts w:ascii="Times New Roman" w:hAnsi="Times New Roman" w:cs="Times New Roman"/>
                <w:b/>
                <w:bCs/>
                <w:sz w:val="21"/>
                <w:szCs w:val="21"/>
                <w:lang w:eastAsia="zh-CN"/>
              </w:rPr>
              <w:t>表</w:t>
            </w:r>
            <w:r>
              <w:rPr>
                <w:rFonts w:hint="eastAsia"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2-</w:t>
            </w:r>
            <w:r>
              <w:rPr>
                <w:rFonts w:hint="eastAsia" w:ascii="Times New Roman" w:hAnsi="Times New Roman" w:cs="Times New Roman"/>
                <w:b/>
                <w:bCs/>
                <w:sz w:val="21"/>
                <w:szCs w:val="21"/>
                <w:lang w:eastAsia="zh-CN"/>
              </w:rPr>
              <w:t>3</w:t>
            </w:r>
            <w:r>
              <w:rPr>
                <w:rFonts w:ascii="Times New Roman" w:hAnsi="Times New Roman" w:cs="Times New Roman"/>
                <w:b/>
                <w:bCs/>
                <w:sz w:val="21"/>
                <w:szCs w:val="21"/>
                <w:lang w:eastAsia="zh-CN"/>
              </w:rPr>
              <w:t xml:space="preserve"> 主要原辅材料用量</w:t>
            </w:r>
            <w:r>
              <w:rPr>
                <w:rFonts w:ascii="Times New Roman" w:hAnsi="Times New Roman" w:cs="Times New Roman"/>
                <w:b/>
                <w:sz w:val="21"/>
                <w:szCs w:val="21"/>
                <w:lang w:eastAsia="zh-CN"/>
              </w:rPr>
              <w:t>及能源消耗一览表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7"/>
              <w:gridCol w:w="1443"/>
              <w:gridCol w:w="708"/>
              <w:gridCol w:w="1006"/>
              <w:gridCol w:w="756"/>
              <w:gridCol w:w="1217"/>
              <w:gridCol w:w="3260"/>
              <w:gridCol w:w="798"/>
            </w:tblGrid>
            <w:tr w14:paraId="3FDAC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jc w:val="center"/>
              </w:trPr>
              <w:tc>
                <w:tcPr>
                  <w:tcW w:w="427" w:type="dxa"/>
                  <w:vAlign w:val="center"/>
                </w:tcPr>
                <w:p w14:paraId="7A0F9CC1">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bookmarkStart w:id="8" w:name="_Hlk187073902"/>
                  <w:r>
                    <w:rPr>
                      <w:rFonts w:hAnsi="Times New Roman"/>
                      <w:b/>
                      <w:sz w:val="21"/>
                      <w:szCs w:val="21"/>
                      <w:highlight w:val="none"/>
                    </w:rPr>
                    <w:t>序号</w:t>
                  </w:r>
                </w:p>
              </w:tc>
              <w:tc>
                <w:tcPr>
                  <w:tcW w:w="1443" w:type="dxa"/>
                  <w:vAlign w:val="center"/>
                </w:tcPr>
                <w:p w14:paraId="43FD8A14">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物料名称</w:t>
                  </w:r>
                </w:p>
              </w:tc>
              <w:tc>
                <w:tcPr>
                  <w:tcW w:w="708" w:type="dxa"/>
                  <w:vAlign w:val="center"/>
                </w:tcPr>
                <w:p w14:paraId="70A705BE">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单位</w:t>
                  </w:r>
                </w:p>
              </w:tc>
              <w:tc>
                <w:tcPr>
                  <w:tcW w:w="1006" w:type="dxa"/>
                  <w:vAlign w:val="center"/>
                </w:tcPr>
                <w:p w14:paraId="52943A1E">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年消</w:t>
                  </w:r>
                </w:p>
                <w:p w14:paraId="1B86608D">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耗量</w:t>
                  </w:r>
                </w:p>
              </w:tc>
              <w:tc>
                <w:tcPr>
                  <w:tcW w:w="756" w:type="dxa"/>
                  <w:vAlign w:val="center"/>
                </w:tcPr>
                <w:p w14:paraId="0D32B7EC">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运输方式</w:t>
                  </w:r>
                </w:p>
              </w:tc>
              <w:tc>
                <w:tcPr>
                  <w:tcW w:w="1217" w:type="dxa"/>
                  <w:vAlign w:val="center"/>
                </w:tcPr>
                <w:p w14:paraId="6DC6A323">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物质状态/包装形式</w:t>
                  </w:r>
                </w:p>
              </w:tc>
              <w:tc>
                <w:tcPr>
                  <w:tcW w:w="3260" w:type="dxa"/>
                  <w:vAlign w:val="center"/>
                </w:tcPr>
                <w:p w14:paraId="786D5DB6">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储存</w:t>
                  </w:r>
                </w:p>
                <w:p w14:paraId="16B113D1">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方式</w:t>
                  </w:r>
                </w:p>
              </w:tc>
              <w:tc>
                <w:tcPr>
                  <w:tcW w:w="798" w:type="dxa"/>
                  <w:vAlign w:val="center"/>
                </w:tcPr>
                <w:p w14:paraId="225206C7">
                  <w:pPr>
                    <w:pStyle w:val="56"/>
                    <w:keepNext w:val="0"/>
                    <w:keepLines w:val="0"/>
                    <w:pageBreakBefore w:val="0"/>
                    <w:kinsoku/>
                    <w:wordWrap/>
                    <w:overflowPunct/>
                    <w:topLinePunct w:val="0"/>
                    <w:bidi w:val="0"/>
                    <w:spacing w:line="300" w:lineRule="exact"/>
                    <w:ind w:firstLine="0" w:firstLineChars="0"/>
                    <w:jc w:val="center"/>
                    <w:rPr>
                      <w:rFonts w:hAnsi="Times New Roman"/>
                      <w:b/>
                      <w:sz w:val="21"/>
                      <w:szCs w:val="21"/>
                      <w:highlight w:val="none"/>
                    </w:rPr>
                  </w:pPr>
                  <w:r>
                    <w:rPr>
                      <w:rFonts w:hAnsi="Times New Roman"/>
                      <w:b/>
                      <w:sz w:val="21"/>
                      <w:szCs w:val="21"/>
                      <w:highlight w:val="none"/>
                    </w:rPr>
                    <w:t>来源</w:t>
                  </w:r>
                </w:p>
              </w:tc>
            </w:tr>
            <w:tr w14:paraId="055D0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exact"/>
                <w:jc w:val="center"/>
              </w:trPr>
              <w:tc>
                <w:tcPr>
                  <w:tcW w:w="427" w:type="dxa"/>
                  <w:vAlign w:val="center"/>
                </w:tcPr>
                <w:p w14:paraId="4859CE42">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1</w:t>
                  </w:r>
                </w:p>
              </w:tc>
              <w:tc>
                <w:tcPr>
                  <w:tcW w:w="1443" w:type="dxa"/>
                  <w:vAlign w:val="center"/>
                </w:tcPr>
                <w:p w14:paraId="384A98FD">
                  <w:pPr>
                    <w:keepNext w:val="0"/>
                    <w:keepLines w:val="0"/>
                    <w:pageBreakBefore w:val="0"/>
                    <w:widowControl/>
                    <w:kinsoku/>
                    <w:wordWrap/>
                    <w:overflowPunct/>
                    <w:topLinePunct w:val="0"/>
                    <w:bidi w:val="0"/>
                    <w:spacing w:line="300" w:lineRule="exact"/>
                    <w:jc w:val="center"/>
                    <w:rPr>
                      <w:rFonts w:hint="eastAsia" w:ascii="Times New Roman" w:hAnsi="Times New Roman" w:eastAsia="宋体" w:cs="Times New Roman"/>
                      <w:sz w:val="21"/>
                      <w:szCs w:val="21"/>
                      <w:highlight w:val="none"/>
                      <w:lang w:eastAsia="zh-CN"/>
                    </w:rPr>
                  </w:pPr>
                  <w:r>
                    <w:rPr>
                      <w:rFonts w:hint="eastAsia" w:ascii="Times New Roman" w:hAnsi="Times New Roman" w:cs="Times New Roman"/>
                      <w:color w:val="auto"/>
                      <w:kern w:val="0"/>
                      <w:sz w:val="21"/>
                      <w:szCs w:val="21"/>
                      <w:highlight w:val="none"/>
                      <w:lang w:val="en-US" w:eastAsia="zh-CN"/>
                    </w:rPr>
                    <w:t>涤纶</w:t>
                  </w:r>
                </w:p>
              </w:tc>
              <w:tc>
                <w:tcPr>
                  <w:tcW w:w="708" w:type="dxa"/>
                  <w:vAlign w:val="center"/>
                </w:tcPr>
                <w:p w14:paraId="20DBE1AD">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吨</w:t>
                  </w:r>
                </w:p>
              </w:tc>
              <w:tc>
                <w:tcPr>
                  <w:tcW w:w="1006" w:type="dxa"/>
                  <w:vAlign w:val="center"/>
                </w:tcPr>
                <w:p w14:paraId="2E6D736E">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56" w:type="dxa"/>
                  <w:vAlign w:val="center"/>
                </w:tcPr>
                <w:p w14:paraId="37F204AD">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汽车运输</w:t>
                  </w:r>
                </w:p>
              </w:tc>
              <w:tc>
                <w:tcPr>
                  <w:tcW w:w="1217" w:type="dxa"/>
                  <w:vAlign w:val="center"/>
                </w:tcPr>
                <w:p w14:paraId="4B925209">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val="en-US" w:eastAsia="zh-CN"/>
                    </w:rPr>
                    <w:t>固体</w:t>
                  </w:r>
                  <w:r>
                    <w:rPr>
                      <w:rFonts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箱</w:t>
                  </w:r>
                  <w:r>
                    <w:rPr>
                      <w:rFonts w:hint="eastAsia" w:ascii="Times New Roman" w:hAnsi="Times New Roman" w:cs="Times New Roman"/>
                      <w:sz w:val="21"/>
                      <w:szCs w:val="21"/>
                      <w:highlight w:val="none"/>
                      <w:lang w:eastAsia="zh-CN"/>
                    </w:rPr>
                    <w:t>装</w:t>
                  </w:r>
                </w:p>
              </w:tc>
              <w:tc>
                <w:tcPr>
                  <w:tcW w:w="3260" w:type="dxa"/>
                  <w:vAlign w:val="center"/>
                </w:tcPr>
                <w:p w14:paraId="47621250">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原料</w:t>
                  </w:r>
                  <w:r>
                    <w:rPr>
                      <w:rFonts w:hint="default" w:ascii="Times New Roman" w:hAnsi="Times New Roman" w:eastAsia="宋体" w:cs="Times New Roman"/>
                      <w:color w:val="auto"/>
                      <w:sz w:val="21"/>
                      <w:szCs w:val="21"/>
                      <w:highlight w:val="none"/>
                      <w:lang w:val="en-US" w:eastAsia="zh-CN"/>
                    </w:rPr>
                    <w:t>库</w:t>
                  </w:r>
                </w:p>
              </w:tc>
              <w:tc>
                <w:tcPr>
                  <w:tcW w:w="798" w:type="dxa"/>
                  <w:vAlign w:val="center"/>
                </w:tcPr>
                <w:p w14:paraId="1865683F">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外购</w:t>
                  </w:r>
                </w:p>
              </w:tc>
            </w:tr>
            <w:tr w14:paraId="2C153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exact"/>
                <w:jc w:val="center"/>
              </w:trPr>
              <w:tc>
                <w:tcPr>
                  <w:tcW w:w="427" w:type="dxa"/>
                  <w:vAlign w:val="center"/>
                </w:tcPr>
                <w:p w14:paraId="5C45B687">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2</w:t>
                  </w:r>
                </w:p>
              </w:tc>
              <w:tc>
                <w:tcPr>
                  <w:tcW w:w="1443" w:type="dxa"/>
                  <w:vAlign w:val="center"/>
                </w:tcPr>
                <w:p w14:paraId="79784BFB">
                  <w:pPr>
                    <w:keepNext w:val="0"/>
                    <w:keepLines w:val="0"/>
                    <w:pageBreakBefore w:val="0"/>
                    <w:widowControl/>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棉纶</w:t>
                  </w:r>
                </w:p>
              </w:tc>
              <w:tc>
                <w:tcPr>
                  <w:tcW w:w="708" w:type="dxa"/>
                  <w:vAlign w:val="center"/>
                </w:tcPr>
                <w:p w14:paraId="1707CE74">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吨</w:t>
                  </w:r>
                </w:p>
              </w:tc>
              <w:tc>
                <w:tcPr>
                  <w:tcW w:w="1006" w:type="dxa"/>
                  <w:vAlign w:val="center"/>
                </w:tcPr>
                <w:p w14:paraId="2187EBC5">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56" w:type="dxa"/>
                  <w:vAlign w:val="center"/>
                </w:tcPr>
                <w:p w14:paraId="766C9DCF">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汽车运输</w:t>
                  </w:r>
                </w:p>
              </w:tc>
              <w:tc>
                <w:tcPr>
                  <w:tcW w:w="1217" w:type="dxa"/>
                  <w:vAlign w:val="center"/>
                </w:tcPr>
                <w:p w14:paraId="4FBAE62A">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固体</w:t>
                  </w:r>
                  <w:r>
                    <w:rPr>
                      <w:rFonts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箱</w:t>
                  </w:r>
                  <w:r>
                    <w:rPr>
                      <w:rFonts w:hint="eastAsia" w:ascii="Times New Roman" w:hAnsi="Times New Roman" w:cs="Times New Roman"/>
                      <w:sz w:val="21"/>
                      <w:szCs w:val="21"/>
                      <w:highlight w:val="none"/>
                      <w:lang w:eastAsia="zh-CN"/>
                    </w:rPr>
                    <w:t>装</w:t>
                  </w:r>
                </w:p>
              </w:tc>
              <w:tc>
                <w:tcPr>
                  <w:tcW w:w="3260" w:type="dxa"/>
                  <w:vAlign w:val="center"/>
                </w:tcPr>
                <w:p w14:paraId="501CCB4C">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原料</w:t>
                  </w:r>
                  <w:r>
                    <w:rPr>
                      <w:rFonts w:hint="default" w:ascii="Times New Roman" w:hAnsi="Times New Roman" w:eastAsia="宋体" w:cs="Times New Roman"/>
                      <w:color w:val="auto"/>
                      <w:sz w:val="21"/>
                      <w:szCs w:val="21"/>
                      <w:highlight w:val="none"/>
                      <w:lang w:val="en-US" w:eastAsia="zh-CN"/>
                    </w:rPr>
                    <w:t>库</w:t>
                  </w:r>
                </w:p>
              </w:tc>
              <w:tc>
                <w:tcPr>
                  <w:tcW w:w="798" w:type="dxa"/>
                  <w:vAlign w:val="center"/>
                </w:tcPr>
                <w:p w14:paraId="7BB00DFA">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外购</w:t>
                  </w:r>
                </w:p>
              </w:tc>
            </w:tr>
            <w:tr w14:paraId="2C5C7D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2" w:hRule="exact"/>
                <w:jc w:val="center"/>
              </w:trPr>
              <w:tc>
                <w:tcPr>
                  <w:tcW w:w="427" w:type="dxa"/>
                  <w:vAlign w:val="center"/>
                </w:tcPr>
                <w:p w14:paraId="458C7495">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3</w:t>
                  </w:r>
                </w:p>
              </w:tc>
              <w:tc>
                <w:tcPr>
                  <w:tcW w:w="1443" w:type="dxa"/>
                  <w:vAlign w:val="center"/>
                </w:tcPr>
                <w:p w14:paraId="3861514B">
                  <w:pPr>
                    <w:keepNext w:val="0"/>
                    <w:keepLines w:val="0"/>
                    <w:pageBreakBefore w:val="0"/>
                    <w:widowControl/>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eastAsia" w:ascii="Times New Roman" w:hAnsi="Times New Roman" w:cs="Times New Roman"/>
                      <w:color w:val="auto"/>
                      <w:kern w:val="0"/>
                      <w:sz w:val="21"/>
                      <w:szCs w:val="21"/>
                      <w:highlight w:val="none"/>
                      <w:lang w:val="en-US" w:eastAsia="zh-CN"/>
                    </w:rPr>
                    <w:t>氨纶</w:t>
                  </w:r>
                </w:p>
              </w:tc>
              <w:tc>
                <w:tcPr>
                  <w:tcW w:w="708" w:type="dxa"/>
                  <w:vAlign w:val="center"/>
                </w:tcPr>
                <w:p w14:paraId="087889EF">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吨</w:t>
                  </w:r>
                </w:p>
              </w:tc>
              <w:tc>
                <w:tcPr>
                  <w:tcW w:w="1006" w:type="dxa"/>
                  <w:vAlign w:val="center"/>
                </w:tcPr>
                <w:p w14:paraId="13504794">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56" w:type="dxa"/>
                  <w:vAlign w:val="center"/>
                </w:tcPr>
                <w:p w14:paraId="09D6C39F">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汽车运输</w:t>
                  </w:r>
                </w:p>
              </w:tc>
              <w:tc>
                <w:tcPr>
                  <w:tcW w:w="1217" w:type="dxa"/>
                  <w:vAlign w:val="center"/>
                </w:tcPr>
                <w:p w14:paraId="2A9E9D71">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val="en-US" w:eastAsia="zh-CN"/>
                    </w:rPr>
                    <w:t>固体</w:t>
                  </w:r>
                  <w:r>
                    <w:rPr>
                      <w:rFonts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箱</w:t>
                  </w:r>
                  <w:r>
                    <w:rPr>
                      <w:rFonts w:hint="eastAsia" w:ascii="Times New Roman" w:hAnsi="Times New Roman" w:cs="Times New Roman"/>
                      <w:sz w:val="21"/>
                      <w:szCs w:val="21"/>
                      <w:highlight w:val="none"/>
                      <w:lang w:eastAsia="zh-CN"/>
                    </w:rPr>
                    <w:t>装</w:t>
                  </w:r>
                </w:p>
              </w:tc>
              <w:tc>
                <w:tcPr>
                  <w:tcW w:w="3260" w:type="dxa"/>
                  <w:vAlign w:val="center"/>
                </w:tcPr>
                <w:p w14:paraId="220AC814">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原料</w:t>
                  </w:r>
                  <w:r>
                    <w:rPr>
                      <w:rFonts w:hint="default" w:ascii="Times New Roman" w:hAnsi="Times New Roman" w:eastAsia="宋体" w:cs="Times New Roman"/>
                      <w:color w:val="auto"/>
                      <w:sz w:val="21"/>
                      <w:szCs w:val="21"/>
                      <w:highlight w:val="none"/>
                      <w:lang w:val="en-US" w:eastAsia="zh-CN"/>
                    </w:rPr>
                    <w:t>库</w:t>
                  </w:r>
                </w:p>
              </w:tc>
              <w:tc>
                <w:tcPr>
                  <w:tcW w:w="798" w:type="dxa"/>
                  <w:vAlign w:val="center"/>
                </w:tcPr>
                <w:p w14:paraId="12AA5A72">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外购</w:t>
                  </w:r>
                </w:p>
              </w:tc>
            </w:tr>
            <w:tr w14:paraId="03D42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2" w:hRule="exact"/>
                <w:jc w:val="center"/>
              </w:trPr>
              <w:tc>
                <w:tcPr>
                  <w:tcW w:w="427" w:type="dxa"/>
                  <w:vAlign w:val="center"/>
                </w:tcPr>
                <w:p w14:paraId="3B0AF027">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4</w:t>
                  </w:r>
                </w:p>
              </w:tc>
              <w:tc>
                <w:tcPr>
                  <w:tcW w:w="1443" w:type="dxa"/>
                  <w:vAlign w:val="center"/>
                </w:tcPr>
                <w:p w14:paraId="4748A162">
                  <w:pPr>
                    <w:keepNext w:val="0"/>
                    <w:keepLines w:val="0"/>
                    <w:pageBreakBefore w:val="0"/>
                    <w:widowControl/>
                    <w:kinsoku/>
                    <w:wordWrap/>
                    <w:overflowPunct/>
                    <w:topLinePunct w:val="0"/>
                    <w:bidi w:val="0"/>
                    <w:spacing w:line="300" w:lineRule="exact"/>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加弹油剂</w:t>
                  </w:r>
                </w:p>
              </w:tc>
              <w:tc>
                <w:tcPr>
                  <w:tcW w:w="708" w:type="dxa"/>
                  <w:vAlign w:val="center"/>
                </w:tcPr>
                <w:p w14:paraId="3587C57F">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吨</w:t>
                  </w:r>
                </w:p>
              </w:tc>
              <w:tc>
                <w:tcPr>
                  <w:tcW w:w="1006" w:type="dxa"/>
                  <w:vAlign w:val="center"/>
                </w:tcPr>
                <w:p w14:paraId="7AA5C706">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56" w:type="dxa"/>
                  <w:vAlign w:val="center"/>
                </w:tcPr>
                <w:p w14:paraId="46630DEF">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汽车运输</w:t>
                  </w:r>
                </w:p>
              </w:tc>
              <w:tc>
                <w:tcPr>
                  <w:tcW w:w="1217" w:type="dxa"/>
                  <w:vAlign w:val="center"/>
                </w:tcPr>
                <w:p w14:paraId="7B437CBB">
                  <w:pPr>
                    <w:keepNext w:val="0"/>
                    <w:keepLines w:val="0"/>
                    <w:pageBreakBefore w:val="0"/>
                    <w:kinsoku/>
                    <w:wordWrap/>
                    <w:overflowPunct/>
                    <w:topLinePunct w:val="0"/>
                    <w:bidi w:val="0"/>
                    <w:spacing w:line="300" w:lineRule="exact"/>
                    <w:jc w:val="center"/>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液体</w:t>
                  </w:r>
                  <w:r>
                    <w:rPr>
                      <w:rFonts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桶</w:t>
                  </w:r>
                  <w:r>
                    <w:rPr>
                      <w:rFonts w:hint="eastAsia" w:ascii="Times New Roman" w:hAnsi="Times New Roman" w:cs="Times New Roman"/>
                      <w:sz w:val="21"/>
                      <w:szCs w:val="21"/>
                      <w:highlight w:val="none"/>
                      <w:lang w:eastAsia="zh-CN"/>
                    </w:rPr>
                    <w:t>装</w:t>
                  </w:r>
                </w:p>
              </w:tc>
              <w:tc>
                <w:tcPr>
                  <w:tcW w:w="3260" w:type="dxa"/>
                  <w:vAlign w:val="center"/>
                </w:tcPr>
                <w:p w14:paraId="7117BBAD">
                  <w:pPr>
                    <w:keepNext w:val="0"/>
                    <w:keepLines w:val="0"/>
                    <w:pageBreakBefore w:val="0"/>
                    <w:kinsoku/>
                    <w:wordWrap/>
                    <w:overflowPunct/>
                    <w:topLinePunct w:val="0"/>
                    <w:bidi w:val="0"/>
                    <w:spacing w:line="300" w:lineRule="exact"/>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原料</w:t>
                  </w:r>
                  <w:r>
                    <w:rPr>
                      <w:rFonts w:hint="default" w:ascii="Times New Roman" w:hAnsi="Times New Roman" w:eastAsia="宋体" w:cs="Times New Roman"/>
                      <w:color w:val="auto"/>
                      <w:sz w:val="21"/>
                      <w:szCs w:val="21"/>
                      <w:highlight w:val="none"/>
                      <w:lang w:val="en-US" w:eastAsia="zh-CN"/>
                    </w:rPr>
                    <w:t>库</w:t>
                  </w:r>
                </w:p>
              </w:tc>
              <w:tc>
                <w:tcPr>
                  <w:tcW w:w="798" w:type="dxa"/>
                  <w:vAlign w:val="center"/>
                </w:tcPr>
                <w:p w14:paraId="0C0B00F0">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外购</w:t>
                  </w:r>
                </w:p>
              </w:tc>
            </w:tr>
            <w:tr w14:paraId="3E6AA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3" w:hRule="atLeast"/>
                <w:jc w:val="center"/>
              </w:trPr>
              <w:tc>
                <w:tcPr>
                  <w:tcW w:w="427" w:type="dxa"/>
                  <w:vAlign w:val="center"/>
                </w:tcPr>
                <w:p w14:paraId="688B46C1">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5</w:t>
                  </w:r>
                </w:p>
              </w:tc>
              <w:tc>
                <w:tcPr>
                  <w:tcW w:w="1443" w:type="dxa"/>
                  <w:shd w:val="clear" w:color="auto" w:fill="auto"/>
                  <w:vAlign w:val="center"/>
                </w:tcPr>
                <w:p w14:paraId="725243F2">
                  <w:pPr>
                    <w:keepNext w:val="0"/>
                    <w:keepLines w:val="0"/>
                    <w:pageBreakBefore w:val="0"/>
                    <w:widowControl/>
                    <w:kinsoku/>
                    <w:wordWrap/>
                    <w:overflowPunct/>
                    <w:topLinePunct w:val="0"/>
                    <w:bidi w:val="0"/>
                    <w:spacing w:line="300" w:lineRule="exact"/>
                    <w:jc w:val="center"/>
                    <w:rPr>
                      <w:rFonts w:hint="default" w:ascii="Times New Roman" w:hAnsi="Times New Roman"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电</w:t>
                  </w:r>
                </w:p>
              </w:tc>
              <w:tc>
                <w:tcPr>
                  <w:tcW w:w="708" w:type="dxa"/>
                  <w:vAlign w:val="center"/>
                </w:tcPr>
                <w:p w14:paraId="08C8B849">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napToGrid w:val="0"/>
                      <w:sz w:val="21"/>
                      <w:szCs w:val="21"/>
                      <w:highlight w:val="none"/>
                      <w:lang w:eastAsia="zh-CN"/>
                    </w:rPr>
                    <w:t>万千瓦时</w:t>
                  </w:r>
                </w:p>
              </w:tc>
              <w:tc>
                <w:tcPr>
                  <w:tcW w:w="1006" w:type="dxa"/>
                  <w:shd w:val="clear" w:color="auto" w:fill="auto"/>
                  <w:vAlign w:val="center"/>
                </w:tcPr>
                <w:p w14:paraId="6A812F3B">
                  <w:pPr>
                    <w:keepNext w:val="0"/>
                    <w:keepLines w:val="0"/>
                    <w:pageBreakBefore w:val="0"/>
                    <w:kinsoku/>
                    <w:wordWrap/>
                    <w:overflowPunct/>
                    <w:topLinePunct w:val="0"/>
                    <w:bidi w:val="0"/>
                    <w:spacing w:line="300" w:lineRule="exact"/>
                    <w:jc w:val="center"/>
                    <w:rPr>
                      <w:rFonts w:hint="default" w:ascii="Times New Roman" w:hAnsi="Times New Roman" w:cs="Times New Roman"/>
                      <w:snapToGrid w:val="0"/>
                      <w:sz w:val="21"/>
                      <w:szCs w:val="21"/>
                      <w:highlight w:val="none"/>
                      <w:lang w:val="en-US" w:eastAsia="zh-CN"/>
                    </w:rPr>
                  </w:pPr>
                  <w:r>
                    <w:rPr>
                      <w:rFonts w:hint="eastAsia" w:ascii="Times New Roman" w:hAnsi="Times New Roman" w:cs="Times New Roman"/>
                      <w:snapToGrid w:val="0"/>
                      <w:sz w:val="21"/>
                      <w:szCs w:val="21"/>
                      <w:highlight w:val="none"/>
                      <w:lang w:val="en-US" w:eastAsia="zh-CN"/>
                    </w:rPr>
                    <w:t>***</w:t>
                  </w:r>
                </w:p>
              </w:tc>
              <w:tc>
                <w:tcPr>
                  <w:tcW w:w="756" w:type="dxa"/>
                  <w:shd w:val="clear" w:color="auto" w:fill="auto"/>
                  <w:vAlign w:val="center"/>
                </w:tcPr>
                <w:p w14:paraId="05045D98">
                  <w:pPr>
                    <w:keepNext w:val="0"/>
                    <w:keepLines w:val="0"/>
                    <w:pageBreakBefore w:val="0"/>
                    <w:kinsoku/>
                    <w:wordWrap/>
                    <w:overflowPunct/>
                    <w:topLinePunct w:val="0"/>
                    <w:bidi w:val="0"/>
                    <w:spacing w:line="300" w:lineRule="exact"/>
                    <w:jc w:val="center"/>
                    <w:rPr>
                      <w:rFonts w:hint="eastAsia"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val="en-US" w:eastAsia="zh-CN"/>
                    </w:rPr>
                    <w:t>园区</w:t>
                  </w:r>
                  <w:r>
                    <w:rPr>
                      <w:rFonts w:ascii="Times New Roman" w:hAnsi="Times New Roman" w:cs="Times New Roman"/>
                      <w:sz w:val="21"/>
                      <w:szCs w:val="21"/>
                      <w:highlight w:val="none"/>
                      <w:lang w:eastAsia="zh-CN"/>
                    </w:rPr>
                    <w:t>电网</w:t>
                  </w:r>
                </w:p>
              </w:tc>
              <w:tc>
                <w:tcPr>
                  <w:tcW w:w="1217" w:type="dxa"/>
                  <w:shd w:val="clear" w:color="auto" w:fill="auto"/>
                  <w:vAlign w:val="center"/>
                </w:tcPr>
                <w:p w14:paraId="3DB498A7">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3260" w:type="dxa"/>
                  <w:shd w:val="clear" w:color="auto" w:fill="auto"/>
                  <w:vAlign w:val="center"/>
                </w:tcPr>
                <w:p w14:paraId="27FCBD97">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98" w:type="dxa"/>
                  <w:shd w:val="clear" w:color="auto" w:fill="auto"/>
                  <w:vAlign w:val="center"/>
                </w:tcPr>
                <w:p w14:paraId="20CC39BD">
                  <w:pPr>
                    <w:keepNext w:val="0"/>
                    <w:keepLines w:val="0"/>
                    <w:pageBreakBefore w:val="0"/>
                    <w:kinsoku/>
                    <w:wordWrap/>
                    <w:overflowPunct/>
                    <w:topLinePunct w:val="0"/>
                    <w:bidi w:val="0"/>
                    <w:spacing w:line="300" w:lineRule="exact"/>
                    <w:jc w:val="center"/>
                    <w:rPr>
                      <w:rFonts w:hint="eastAsia"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外购</w:t>
                  </w:r>
                </w:p>
              </w:tc>
            </w:tr>
            <w:tr w14:paraId="2E1B38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7" w:type="dxa"/>
                  <w:vAlign w:val="center"/>
                </w:tcPr>
                <w:p w14:paraId="288D6947">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6</w:t>
                  </w:r>
                </w:p>
              </w:tc>
              <w:tc>
                <w:tcPr>
                  <w:tcW w:w="1443" w:type="dxa"/>
                  <w:shd w:val="clear" w:color="auto" w:fill="auto"/>
                  <w:vAlign w:val="center"/>
                </w:tcPr>
                <w:p w14:paraId="540C9BD0">
                  <w:pPr>
                    <w:keepNext w:val="0"/>
                    <w:keepLines w:val="0"/>
                    <w:pageBreakBefore w:val="0"/>
                    <w:widowControl/>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default" w:ascii="Times New Roman" w:hAnsi="Times New Roman" w:cs="Times New Roman"/>
                      <w:color w:val="auto"/>
                      <w:kern w:val="0"/>
                      <w:sz w:val="21"/>
                      <w:szCs w:val="21"/>
                      <w:highlight w:val="none"/>
                      <w:lang w:val="en-US" w:eastAsia="zh-CN"/>
                    </w:rPr>
                    <w:t>水</w:t>
                  </w:r>
                </w:p>
              </w:tc>
              <w:tc>
                <w:tcPr>
                  <w:tcW w:w="708" w:type="dxa"/>
                  <w:vAlign w:val="center"/>
                </w:tcPr>
                <w:p w14:paraId="02C25E4C">
                  <w:pPr>
                    <w:keepNext w:val="0"/>
                    <w:keepLines w:val="0"/>
                    <w:pageBreakBefore w:val="0"/>
                    <w:kinsoku/>
                    <w:wordWrap/>
                    <w:overflowPunct/>
                    <w:topLinePunct w:val="0"/>
                    <w:bidi w:val="0"/>
                    <w:spacing w:line="300" w:lineRule="exact"/>
                    <w:jc w:val="center"/>
                    <w:rPr>
                      <w:rFonts w:ascii="Times New Roman" w:hAnsi="Times New Roman" w:cs="Times New Roman"/>
                      <w:snapToGrid w:val="0"/>
                      <w:sz w:val="21"/>
                      <w:szCs w:val="21"/>
                      <w:highlight w:val="none"/>
                      <w:lang w:eastAsia="zh-CN"/>
                    </w:rPr>
                  </w:pPr>
                  <w:r>
                    <w:rPr>
                      <w:rFonts w:hint="eastAsia" w:ascii="Times New Roman" w:hAnsi="Times New Roman" w:cs="Times New Roman"/>
                      <w:snapToGrid w:val="0"/>
                      <w:sz w:val="21"/>
                      <w:szCs w:val="21"/>
                      <w:highlight w:val="none"/>
                      <w:lang w:val="en-US" w:eastAsia="zh-CN"/>
                    </w:rPr>
                    <w:t>吨</w:t>
                  </w:r>
                </w:p>
              </w:tc>
              <w:tc>
                <w:tcPr>
                  <w:tcW w:w="1006" w:type="dxa"/>
                  <w:shd w:val="clear" w:color="auto" w:fill="auto"/>
                  <w:vAlign w:val="center"/>
                </w:tcPr>
                <w:p w14:paraId="75A83404">
                  <w:pPr>
                    <w:keepNext w:val="0"/>
                    <w:keepLines w:val="0"/>
                    <w:pageBreakBefore w:val="0"/>
                    <w:kinsoku/>
                    <w:wordWrap/>
                    <w:overflowPunct/>
                    <w:topLinePunct w:val="0"/>
                    <w:bidi w:val="0"/>
                    <w:spacing w:line="300" w:lineRule="exact"/>
                    <w:jc w:val="center"/>
                    <w:rPr>
                      <w:rFonts w:hint="default" w:ascii="Times New Roman" w:hAnsi="Times New Roman" w:cs="Times New Roman"/>
                      <w:snapToGrid w:val="0"/>
                      <w:sz w:val="21"/>
                      <w:szCs w:val="21"/>
                      <w:highlight w:val="none"/>
                      <w:lang w:val="en-US" w:eastAsia="zh-CN"/>
                    </w:rPr>
                  </w:pPr>
                  <w:r>
                    <w:rPr>
                      <w:rFonts w:hint="eastAsia" w:ascii="Times New Roman" w:hAnsi="Times New Roman" w:cs="Times New Roman"/>
                      <w:color w:val="auto"/>
                      <w:highlight w:val="none"/>
                      <w:lang w:val="en-US" w:eastAsia="zh-CN"/>
                    </w:rPr>
                    <w:t>***</w:t>
                  </w:r>
                </w:p>
              </w:tc>
              <w:tc>
                <w:tcPr>
                  <w:tcW w:w="756" w:type="dxa"/>
                  <w:shd w:val="clear" w:color="auto" w:fill="auto"/>
                  <w:vAlign w:val="center"/>
                </w:tcPr>
                <w:p w14:paraId="50E07650">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hint="eastAsia" w:ascii="Times New Roman" w:hAnsi="Times New Roman" w:cs="Times New Roman"/>
                      <w:sz w:val="21"/>
                      <w:szCs w:val="21"/>
                      <w:highlight w:val="none"/>
                      <w:lang w:val="en-US" w:eastAsia="zh-CN"/>
                    </w:rPr>
                    <w:t>赢取水</w:t>
                  </w:r>
                  <w:r>
                    <w:rPr>
                      <w:rFonts w:ascii="Times New Roman" w:hAnsi="Times New Roman" w:cs="Times New Roman"/>
                      <w:sz w:val="21"/>
                      <w:szCs w:val="21"/>
                      <w:highlight w:val="none"/>
                      <w:lang w:eastAsia="zh-CN"/>
                    </w:rPr>
                    <w:t>网</w:t>
                  </w:r>
                </w:p>
              </w:tc>
              <w:tc>
                <w:tcPr>
                  <w:tcW w:w="1217" w:type="dxa"/>
                  <w:shd w:val="clear" w:color="auto" w:fill="auto"/>
                  <w:vAlign w:val="center"/>
                </w:tcPr>
                <w:p w14:paraId="4E27CB61">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w:t>
                  </w:r>
                </w:p>
              </w:tc>
              <w:tc>
                <w:tcPr>
                  <w:tcW w:w="3260" w:type="dxa"/>
                  <w:shd w:val="clear" w:color="auto" w:fill="auto"/>
                  <w:vAlign w:val="center"/>
                </w:tcPr>
                <w:p w14:paraId="67B22CCA">
                  <w:pPr>
                    <w:keepNext w:val="0"/>
                    <w:keepLines w:val="0"/>
                    <w:pageBreakBefore w:val="0"/>
                    <w:kinsoku/>
                    <w:wordWrap/>
                    <w:overflowPunct/>
                    <w:topLinePunct w:val="0"/>
                    <w:bidi w:val="0"/>
                    <w:spacing w:line="300" w:lineRule="exact"/>
                    <w:jc w:val="center"/>
                    <w:rPr>
                      <w:rFonts w:ascii="Times New Roman" w:hAnsi="Times New Roman" w:cs="Times New Roman"/>
                      <w:sz w:val="21"/>
                      <w:szCs w:val="21"/>
                      <w:highlight w:val="none"/>
                      <w:lang w:eastAsia="zh-CN"/>
                    </w:rPr>
                  </w:pPr>
                  <w:r>
                    <w:rPr>
                      <w:rFonts w:ascii="Times New Roman" w:hAnsi="Times New Roman" w:cs="Times New Roman"/>
                      <w:sz w:val="21"/>
                      <w:szCs w:val="21"/>
                      <w:highlight w:val="none"/>
                      <w:lang w:eastAsia="zh-CN"/>
                    </w:rPr>
                    <w:t>/</w:t>
                  </w:r>
                </w:p>
              </w:tc>
              <w:tc>
                <w:tcPr>
                  <w:tcW w:w="798" w:type="dxa"/>
                  <w:shd w:val="clear" w:color="auto" w:fill="auto"/>
                  <w:vAlign w:val="center"/>
                </w:tcPr>
                <w:p w14:paraId="396D3872">
                  <w:pPr>
                    <w:keepNext w:val="0"/>
                    <w:keepLines w:val="0"/>
                    <w:pageBreakBefore w:val="0"/>
                    <w:kinsoku/>
                    <w:wordWrap/>
                    <w:overflowPunct/>
                    <w:topLinePunct w:val="0"/>
                    <w:bidi w:val="0"/>
                    <w:spacing w:line="300" w:lineRule="exact"/>
                    <w:jc w:val="center"/>
                    <w:rPr>
                      <w:rFonts w:hint="default" w:ascii="Times New Roman" w:hAnsi="Times New Roman" w:cs="Times New Roman"/>
                      <w:sz w:val="21"/>
                      <w:szCs w:val="21"/>
                      <w:highlight w:val="none"/>
                      <w:lang w:val="en-US" w:eastAsia="zh-CN"/>
                    </w:rPr>
                  </w:pPr>
                  <w:r>
                    <w:rPr>
                      <w:rFonts w:ascii="Times New Roman" w:hAnsi="Times New Roman" w:cs="Times New Roman"/>
                      <w:sz w:val="21"/>
                      <w:szCs w:val="21"/>
                      <w:highlight w:val="none"/>
                      <w:lang w:eastAsia="zh-CN"/>
                    </w:rPr>
                    <w:t>外购</w:t>
                  </w:r>
                </w:p>
              </w:tc>
            </w:tr>
            <w:bookmarkEnd w:id="7"/>
            <w:bookmarkEnd w:id="8"/>
          </w:tbl>
          <w:p w14:paraId="656452FC">
            <w:pPr>
              <w:pageBreakBefore w:val="0"/>
              <w:kinsoku/>
              <w:wordWrap/>
              <w:bidi w:val="0"/>
              <w:spacing w:line="360" w:lineRule="auto"/>
              <w:ind w:firstLine="480" w:firstLineChars="200"/>
              <w:rPr>
                <w:rFonts w:ascii="Times New Roman" w:hAnsi="Times New Roman" w:cs="Times New Roman"/>
                <w:sz w:val="24"/>
                <w:szCs w:val="24"/>
                <w:lang w:val="en-GB" w:eastAsia="zh-CN"/>
              </w:rPr>
            </w:pPr>
            <w:r>
              <w:rPr>
                <w:rFonts w:cs="Times New Roman"/>
                <w:sz w:val="24"/>
                <w:szCs w:val="24"/>
                <w:lang w:val="en-GB" w:eastAsia="zh-CN"/>
              </w:rPr>
              <w:t>原辅材料</w:t>
            </w:r>
            <w:r>
              <w:rPr>
                <w:rFonts w:hint="eastAsia" w:cs="Times New Roman"/>
                <w:sz w:val="24"/>
                <w:szCs w:val="24"/>
                <w:lang w:val="en-GB" w:eastAsia="zh-CN"/>
              </w:rPr>
              <w:t>理化性质</w:t>
            </w:r>
            <w:r>
              <w:rPr>
                <w:rFonts w:ascii="Times New Roman" w:hAnsi="Times New Roman" w:cs="Times New Roman"/>
                <w:sz w:val="24"/>
                <w:szCs w:val="24"/>
                <w:lang w:val="en-GB" w:eastAsia="zh-CN"/>
              </w:rPr>
              <w:t>见表</w:t>
            </w:r>
            <w:r>
              <w:rPr>
                <w:rFonts w:ascii="Times New Roman" w:hAnsi="Times New Roman" w:cs="Times New Roman"/>
                <w:sz w:val="24"/>
                <w:szCs w:val="24"/>
                <w:lang w:eastAsia="zh-CN"/>
              </w:rPr>
              <w:t>2-</w:t>
            </w:r>
            <w:r>
              <w:rPr>
                <w:rFonts w:hint="eastAsia" w:ascii="Times New Roman" w:hAnsi="Times New Roman" w:cs="Times New Roman"/>
                <w:sz w:val="24"/>
                <w:szCs w:val="24"/>
                <w:lang w:eastAsia="zh-CN"/>
              </w:rPr>
              <w:t>4</w:t>
            </w:r>
            <w:r>
              <w:rPr>
                <w:rFonts w:ascii="Times New Roman" w:hAnsi="Times New Roman" w:cs="Times New Roman"/>
                <w:sz w:val="24"/>
                <w:szCs w:val="24"/>
                <w:lang w:val="en-GB" w:eastAsia="zh-CN"/>
              </w:rPr>
              <w:t>。</w:t>
            </w:r>
          </w:p>
          <w:p w14:paraId="54D07ACB">
            <w:pPr>
              <w:pageBreakBefore w:val="0"/>
              <w:kinsoku/>
              <w:wordWrap/>
              <w:bidi w:val="0"/>
              <w:ind w:firstLine="422" w:firstLineChars="200"/>
              <w:jc w:val="center"/>
              <w:rPr>
                <w:rFonts w:hint="eastAsia"/>
                <w:b/>
                <w:bCs/>
                <w:sz w:val="21"/>
                <w:szCs w:val="21"/>
                <w:lang w:val="en-GB" w:eastAsia="zh-CN"/>
              </w:rPr>
            </w:pPr>
            <w:r>
              <w:rPr>
                <w:rFonts w:hint="eastAsia"/>
                <w:b/>
                <w:bCs/>
                <w:sz w:val="21"/>
                <w:szCs w:val="21"/>
                <w:lang w:val="en-GB" w:eastAsia="zh-CN"/>
              </w:rPr>
              <w:t>表2-4  原辅材料理化性质一览表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79"/>
              <w:gridCol w:w="8021"/>
            </w:tblGrid>
            <w:tr w14:paraId="7FD2B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79" w:type="dxa"/>
                  <w:vAlign w:val="center"/>
                </w:tcPr>
                <w:p w14:paraId="5D039124">
                  <w:pPr>
                    <w:pStyle w:val="2"/>
                    <w:pageBreakBefore w:val="0"/>
                    <w:kinsoku/>
                    <w:wordWrap/>
                    <w:bidi w:val="0"/>
                    <w:spacing w:line="300" w:lineRule="atLeast"/>
                    <w:jc w:val="center"/>
                    <w:outlineLvl w:val="9"/>
                    <w:rPr>
                      <w:rFonts w:hint="eastAsia" w:ascii="宋体" w:hAnsi="宋体" w:cs="Times New Roman"/>
                      <w:b w:val="0"/>
                      <w:bCs/>
                      <w:sz w:val="21"/>
                      <w:szCs w:val="21"/>
                      <w:lang w:val="en-GB" w:eastAsia="zh-CN"/>
                    </w:rPr>
                  </w:pPr>
                  <w:r>
                    <w:rPr>
                      <w:rFonts w:hint="eastAsia" w:ascii="宋体" w:hAnsi="宋体" w:cs="Times New Roman"/>
                      <w:b w:val="0"/>
                      <w:bCs/>
                      <w:sz w:val="21"/>
                      <w:szCs w:val="21"/>
                      <w:lang w:val="en-GB" w:eastAsia="zh-CN"/>
                    </w:rPr>
                    <w:t>名称</w:t>
                  </w:r>
                </w:p>
              </w:tc>
              <w:tc>
                <w:tcPr>
                  <w:tcW w:w="8021" w:type="dxa"/>
                  <w:vAlign w:val="center"/>
                </w:tcPr>
                <w:p w14:paraId="6CE3F249">
                  <w:pPr>
                    <w:pStyle w:val="2"/>
                    <w:pageBreakBefore w:val="0"/>
                    <w:kinsoku/>
                    <w:wordWrap/>
                    <w:bidi w:val="0"/>
                    <w:spacing w:line="300" w:lineRule="atLeast"/>
                    <w:jc w:val="center"/>
                    <w:outlineLvl w:val="9"/>
                    <w:rPr>
                      <w:rFonts w:hint="eastAsia" w:ascii="宋体" w:hAnsi="宋体" w:cs="Times New Roman"/>
                      <w:b w:val="0"/>
                      <w:bCs/>
                      <w:sz w:val="21"/>
                      <w:szCs w:val="21"/>
                      <w:lang w:val="en-GB" w:eastAsia="zh-CN"/>
                    </w:rPr>
                  </w:pPr>
                  <w:r>
                    <w:rPr>
                      <w:rFonts w:hint="eastAsia" w:ascii="宋体" w:hAnsi="宋体" w:cs="Times New Roman"/>
                      <w:b w:val="0"/>
                      <w:bCs/>
                      <w:sz w:val="21"/>
                      <w:szCs w:val="21"/>
                      <w:lang w:val="en-GB" w:eastAsia="zh-CN"/>
                    </w:rPr>
                    <w:t>理化性质</w:t>
                  </w:r>
                </w:p>
              </w:tc>
            </w:tr>
            <w:tr w14:paraId="56E442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79" w:type="dxa"/>
                  <w:vAlign w:val="center"/>
                </w:tcPr>
                <w:p w14:paraId="52AB702B">
                  <w:pPr>
                    <w:pStyle w:val="2"/>
                    <w:pageBreakBefore w:val="0"/>
                    <w:kinsoku/>
                    <w:wordWrap/>
                    <w:bidi w:val="0"/>
                    <w:spacing w:line="300" w:lineRule="atLeast"/>
                    <w:jc w:val="center"/>
                    <w:outlineLvl w:val="9"/>
                    <w:rPr>
                      <w:rFonts w:hint="default" w:ascii="宋体" w:hAnsi="宋体" w:cs="Times New Roman"/>
                      <w:b w:val="0"/>
                      <w:bCs/>
                      <w:sz w:val="21"/>
                      <w:szCs w:val="21"/>
                      <w:lang w:val="en-US" w:eastAsia="zh-CN"/>
                    </w:rPr>
                  </w:pPr>
                  <w:r>
                    <w:rPr>
                      <w:rFonts w:hint="eastAsia" w:ascii="宋体" w:hAnsi="宋体" w:cs="Times New Roman"/>
                      <w:b w:val="0"/>
                      <w:bCs/>
                      <w:sz w:val="21"/>
                      <w:szCs w:val="21"/>
                      <w:lang w:val="en-US" w:eastAsia="zh-CN"/>
                    </w:rPr>
                    <w:t>涤纶</w:t>
                  </w:r>
                </w:p>
              </w:tc>
              <w:tc>
                <w:tcPr>
                  <w:tcW w:w="8021" w:type="dxa"/>
                  <w:vAlign w:val="center"/>
                </w:tcPr>
                <w:p w14:paraId="15FAF060">
                  <w:pPr>
                    <w:pStyle w:val="2"/>
                    <w:pageBreakBefore w:val="0"/>
                    <w:kinsoku/>
                    <w:wordWrap/>
                    <w:bidi w:val="0"/>
                    <w:spacing w:line="300" w:lineRule="atLeast"/>
                    <w:jc w:val="left"/>
                    <w:outlineLvl w:val="9"/>
                    <w:rPr>
                      <w:rFonts w:hint="eastAsia" w:ascii="宋体" w:hAnsi="宋体" w:cs="Times New Roman"/>
                      <w:b w:val="0"/>
                      <w:bCs/>
                      <w:sz w:val="21"/>
                      <w:szCs w:val="21"/>
                      <w:lang w:eastAsia="zh-CN"/>
                    </w:rPr>
                  </w:pPr>
                  <w:r>
                    <w:rPr>
                      <w:rFonts w:hint="default" w:ascii="Times New Roman" w:hAnsi="Times New Roman" w:eastAsia="宋体" w:cs="Times New Roman"/>
                      <w:b w:val="0"/>
                      <w:bCs w:val="0"/>
                      <w:color w:val="000000"/>
                      <w:kern w:val="2"/>
                      <w:sz w:val="21"/>
                      <w:szCs w:val="21"/>
                      <w:lang w:val="en-US" w:eastAsia="zh-CN" w:bidi="ar-SA"/>
                    </w:rPr>
                    <w:t>涤纶，学名聚对苯二甲酸乙二醇酯（PET），CAS号为25038-59-9，是一种应用极为广泛的合成纤维。从基本物性上看，其纤维表面光滑，横截面近圆形，密度约为1.38至1.40 g/cm³，熔点处于255至260℃之间，玻璃化转变温度约为70℃。在物理性能方面，涤纶强度高，断裂强度可达3.5至5.5克/旦，耐磨性优良，仅次于锦纶，同时弹性好、尺寸稳定性佳，因此织物挺括、抗皱且不易变形；其热塑性好，可通过热定型稳定形态，在210℃下加热2小时体积无变化；但由于吸湿性差，标准回潮率仅约0.4%，是优良的电绝缘材料，也容易产生静电并吸附灰尘，产品虽易洗快干，但穿着时透气性和吸汗性较差。在化学性质上，涤纶对酸（尤其是有机酸）很稳定，在100℃的5%盐酸中浸泡24小时强度无明显损失，但耐碱性较差，分子中的酯键在碱液中会发生水解，导致纤维受损；对一般非强极性有机溶剂、漂白剂、肥皂、洗涤剂等稳定性好，且不霉、不蛀。</w:t>
                  </w:r>
                </w:p>
              </w:tc>
            </w:tr>
            <w:tr w14:paraId="722B9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79" w:type="dxa"/>
                  <w:vAlign w:val="center"/>
                </w:tcPr>
                <w:p w14:paraId="0DDEE2B5">
                  <w:pPr>
                    <w:pStyle w:val="2"/>
                    <w:pageBreakBefore w:val="0"/>
                    <w:kinsoku/>
                    <w:wordWrap/>
                    <w:bidi w:val="0"/>
                    <w:spacing w:line="300" w:lineRule="atLeast"/>
                    <w:jc w:val="center"/>
                    <w:outlineLvl w:val="9"/>
                    <w:rPr>
                      <w:rFonts w:hint="default" w:ascii="宋体" w:hAnsi="宋体" w:cs="Times New Roman"/>
                      <w:b w:val="0"/>
                      <w:bCs/>
                      <w:sz w:val="21"/>
                      <w:szCs w:val="21"/>
                      <w:lang w:val="en-US" w:eastAsia="zh-CN"/>
                    </w:rPr>
                  </w:pPr>
                  <w:r>
                    <w:rPr>
                      <w:rFonts w:hint="eastAsia" w:ascii="宋体" w:hAnsi="宋体" w:cs="Times New Roman"/>
                      <w:b w:val="0"/>
                      <w:bCs/>
                      <w:sz w:val="21"/>
                      <w:szCs w:val="21"/>
                      <w:lang w:val="en-US" w:eastAsia="zh-CN"/>
                    </w:rPr>
                    <w:t>棉纶</w:t>
                  </w:r>
                </w:p>
              </w:tc>
              <w:tc>
                <w:tcPr>
                  <w:tcW w:w="8021" w:type="dxa"/>
                  <w:vAlign w:val="center"/>
                </w:tcPr>
                <w:p w14:paraId="3AABF6E5">
                  <w:pPr>
                    <w:pStyle w:val="2"/>
                    <w:pageBreakBefore w:val="0"/>
                    <w:kinsoku/>
                    <w:wordWrap/>
                    <w:bidi w:val="0"/>
                    <w:spacing w:line="300" w:lineRule="atLeast"/>
                    <w:jc w:val="left"/>
                    <w:outlineLvl w:val="9"/>
                    <w:rPr>
                      <w:rFonts w:hint="eastAsia" w:ascii="宋体" w:hAnsi="宋体" w:cs="Times New Roman"/>
                      <w:b w:val="0"/>
                      <w:bCs/>
                      <w:sz w:val="21"/>
                      <w:szCs w:val="21"/>
                      <w:lang w:eastAsia="zh-CN"/>
                    </w:rPr>
                  </w:pPr>
                  <w:r>
                    <w:rPr>
                      <w:rFonts w:hint="default" w:ascii="Times New Roman" w:hAnsi="Times New Roman" w:eastAsia="宋体" w:cs="Times New Roman"/>
                      <w:b w:val="0"/>
                      <w:bCs w:val="0"/>
                      <w:color w:val="000000"/>
                      <w:kern w:val="2"/>
                      <w:sz w:val="21"/>
                      <w:szCs w:val="21"/>
                      <w:lang w:val="en-US" w:eastAsia="zh-CN" w:bidi="ar-SA"/>
                    </w:rPr>
                    <w:t>锦纶，学名聚酰胺纤维（Polyamide, PA），是一类分子主链上含有重复酰胺基团的合成高分子材料总称，常见品种为锦纶6（PA6）和锦纶66（PA66）</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"http://polymer.cn/industry/industry976.html"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。从基本物性上看，锦纶6的密度约为1.13至1.15 g/cm³，熔点约为215至225℃；锦纶66的密度约为1.14 g/cm³，熔点较高，约为255至260℃。在物理性能方面，锦纶强度高，干强度可达0.45至0.75牛/特</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"https://www.lookchem.cn/dictionary/71014.html"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，湿强度约为干强度的85%至90%</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"http://book.foodmate.net/wiki/%E9%94%A6%E7%BA%B6"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；其最突出的优点是耐磨性极高，在纺织纤维中居于首位</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"http://polymer.cn/industry/industry976.html"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，回弹性好，并具有良好的吸湿性，吸湿率约为4%至4.5%</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"http://book.foodmate.net/wiki/%E9%94%A6%E7%BA%B6"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，穿着舒适度优于涤纶；但锦纶的耐光性和耐热性较差，初始模量较低</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"http://polymer.cn/industry/industry976.html"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，且易产生静电。在化学性质上，锦纶可溶于苯酚、甲酸等极性溶剂，耐酸、碱等化学品腐蚀的能力尚可</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"http://book.foodmate.net/wiki/%E9%94%A6%E7%BA%B6"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"https://www.lookchem.cn/dictionary/71014.html"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eastAsia" w:ascii="Times New Roman" w:hAnsi="Times New Roman" w:eastAsia="宋体" w:cs="Times New Roman"/>
                      <w:b w:val="0"/>
                      <w:bCs w:val="0"/>
                      <w:color w:val="000000"/>
                      <w:kern w:val="2"/>
                      <w:sz w:val="21"/>
                      <w:szCs w:val="21"/>
                      <w:lang w:val="en-US" w:eastAsia="zh-CN" w:bidi="ar-SA"/>
                    </w:rPr>
                    <w:t>。</w:t>
                  </w:r>
                </w:p>
              </w:tc>
            </w:tr>
            <w:tr w14:paraId="5715FF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79" w:type="dxa"/>
                  <w:vAlign w:val="center"/>
                </w:tcPr>
                <w:p w14:paraId="0C76BB19">
                  <w:pPr>
                    <w:pStyle w:val="2"/>
                    <w:pageBreakBefore w:val="0"/>
                    <w:kinsoku/>
                    <w:wordWrap/>
                    <w:bidi w:val="0"/>
                    <w:spacing w:line="300" w:lineRule="atLeast"/>
                    <w:jc w:val="center"/>
                    <w:outlineLvl w:val="9"/>
                    <w:rPr>
                      <w:rFonts w:hint="default" w:ascii="宋体" w:hAnsi="宋体" w:cs="Times New Roman"/>
                      <w:b w:val="0"/>
                      <w:bCs/>
                      <w:sz w:val="21"/>
                      <w:szCs w:val="21"/>
                      <w:lang w:val="en-US" w:eastAsia="zh-CN"/>
                    </w:rPr>
                  </w:pPr>
                  <w:r>
                    <w:rPr>
                      <w:rFonts w:hint="eastAsia" w:ascii="宋体" w:hAnsi="宋体" w:cs="Times New Roman"/>
                      <w:b w:val="0"/>
                      <w:bCs/>
                      <w:sz w:val="21"/>
                      <w:szCs w:val="21"/>
                      <w:lang w:val="en-US" w:eastAsia="zh-CN"/>
                    </w:rPr>
                    <w:t>氨纶</w:t>
                  </w:r>
                </w:p>
              </w:tc>
              <w:tc>
                <w:tcPr>
                  <w:tcW w:w="8021" w:type="dxa"/>
                  <w:vAlign w:val="center"/>
                </w:tcPr>
                <w:p w14:paraId="41F4600F">
                  <w:pPr>
                    <w:pStyle w:val="2"/>
                    <w:pageBreakBefore w:val="0"/>
                    <w:kinsoku/>
                    <w:wordWrap/>
                    <w:bidi w:val="0"/>
                    <w:spacing w:line="300" w:lineRule="atLeast"/>
                    <w:jc w:val="left"/>
                    <w:outlineLvl w:val="9"/>
                    <w:rPr>
                      <w:rFonts w:hint="eastAsia" w:ascii="宋体" w:hAnsi="宋体" w:cs="Times New Roman"/>
                      <w:b w:val="0"/>
                      <w:bCs/>
                      <w:sz w:val="21"/>
                      <w:szCs w:val="21"/>
                      <w:lang w:eastAsia="zh-CN"/>
                    </w:rPr>
                  </w:pPr>
                  <w:r>
                    <w:rPr>
                      <w:rFonts w:hint="default" w:ascii="Times New Roman" w:hAnsi="Times New Roman" w:eastAsia="宋体" w:cs="Times New Roman"/>
                      <w:b w:val="0"/>
                      <w:bCs w:val="0"/>
                      <w:color w:val="000000"/>
                      <w:kern w:val="2"/>
                      <w:sz w:val="21"/>
                      <w:szCs w:val="21"/>
                      <w:lang w:val="en-US" w:eastAsia="zh-CN" w:bidi="ar-SA"/>
                    </w:rPr>
                    <w:t>氨纶，学名聚氨基甲酸酯纤维（Spandex），是一种高弹性纤维</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"https://baike.baidu.com/item/%E6%B0%A8%E7%B6%B8/2077532"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。从基本物性上看，其密度约为1.0至1.3 g/cm³，常见值为1.20至1.21 g/cm³</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"http://www.cuzhiwang.com/forum.php?mod=viewthread&amp;tid=7275&amp;extra=&amp;ordertype=1"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；其软化点约为200℃</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"http://www.cuzhiwang.com/forum.php?mod=viewthread&amp;tid=7275&amp;extra=&amp;ordertype=1"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，分解温度约为270℃。在物理性能方面，氨纶最核心的特性是拥有极高的断裂伸长率，可达500%至800%</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"http://www.cuzhiwang.com/forum.php?mod=viewthread&amp;tid=7275&amp;extra=&amp;ordertype=1"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，并具有优异的弹性回复率，在伸长500%时回复率仍可达95%以上</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"http://www.cuzhiwang.com/forum.php?mod=viewthread&amp;tid=7275&amp;extra=&amp;ordertype=1"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；但其断裂强度较低，在所有纺织纤维中几乎是最低的。在吸湿性方面，其在标准状态下的回潮率约为1.1%，优于涤纶但低于棉和锦纶</w:t>
                  </w:r>
                  <w:r>
                    <w:rPr>
                      <w:rFonts w:hint="default" w:ascii="Times New Roman" w:hAnsi="Times New Roman" w:eastAsia="宋体" w:cs="Times New Roman"/>
                      <w:b w:val="0"/>
                      <w:bCs w:val="0"/>
                      <w:color w:val="000000"/>
                      <w:kern w:val="2"/>
                      <w:sz w:val="21"/>
                      <w:szCs w:val="21"/>
                      <w:lang w:val="en-US" w:eastAsia="zh-CN" w:bidi="ar-SA"/>
                    </w:rPr>
                    <w:fldChar w:fldCharType="begin"/>
                  </w:r>
                  <w:r>
                    <w:rPr>
                      <w:rFonts w:hint="default" w:ascii="Times New Roman" w:hAnsi="Times New Roman" w:eastAsia="宋体" w:cs="Times New Roman"/>
                      <w:b w:val="0"/>
                      <w:bCs w:val="0"/>
                      <w:color w:val="000000"/>
                      <w:kern w:val="2"/>
                      <w:sz w:val="21"/>
                      <w:szCs w:val="21"/>
                      <w:lang w:val="en-US" w:eastAsia="zh-CN" w:bidi="ar-SA"/>
                    </w:rPr>
                    <w:instrText xml:space="preserve"> HYPERLINK "http://www.cuzhiwang.com/forum.php?mod=viewthread&amp;tid=7275&amp;extra=&amp;ordertype=1" \t "https://chat.deepseek.com/a/chat/s/_blank" </w:instrText>
                  </w:r>
                  <w:r>
                    <w:rPr>
                      <w:rFonts w:hint="default" w:ascii="Times New Roman" w:hAnsi="Times New Roman" w:eastAsia="宋体" w:cs="Times New Roman"/>
                      <w:b w:val="0"/>
                      <w:bCs w:val="0"/>
                      <w:color w:val="000000"/>
                      <w:kern w:val="2"/>
                      <w:sz w:val="21"/>
                      <w:szCs w:val="21"/>
                      <w:lang w:val="en-US" w:eastAsia="zh-CN" w:bidi="ar-SA"/>
                    </w:rPr>
                    <w:fldChar w:fldCharType="separate"/>
                  </w:r>
                  <w:r>
                    <w:rPr>
                      <w:rFonts w:hint="default" w:ascii="Times New Roman" w:hAnsi="Times New Roman" w:eastAsia="宋体" w:cs="Times New Roman"/>
                      <w:b w:val="0"/>
                      <w:bCs w:val="0"/>
                      <w:color w:val="000000"/>
                      <w:kern w:val="2"/>
                      <w:sz w:val="21"/>
                      <w:szCs w:val="21"/>
                      <w:lang w:val="en-US" w:eastAsia="zh-CN" w:bidi="ar-SA"/>
                    </w:rPr>
                    <w:fldChar w:fldCharType="end"/>
                  </w:r>
                  <w:r>
                    <w:rPr>
                      <w:rFonts w:hint="default" w:ascii="Times New Roman" w:hAnsi="Times New Roman" w:eastAsia="宋体" w:cs="Times New Roman"/>
                      <w:b w:val="0"/>
                      <w:bCs w:val="0"/>
                      <w:color w:val="000000"/>
                      <w:kern w:val="2"/>
                      <w:sz w:val="21"/>
                      <w:szCs w:val="21"/>
                      <w:lang w:val="en-US" w:eastAsia="zh-CN" w:bidi="ar-SA"/>
                    </w:rPr>
                    <w:t>。</w:t>
                  </w:r>
                </w:p>
              </w:tc>
            </w:tr>
            <w:tr w14:paraId="5FF78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579" w:type="dxa"/>
                  <w:vAlign w:val="center"/>
                </w:tcPr>
                <w:p w14:paraId="5DC72021">
                  <w:pPr>
                    <w:pStyle w:val="2"/>
                    <w:pageBreakBefore w:val="0"/>
                    <w:kinsoku/>
                    <w:wordWrap/>
                    <w:bidi w:val="0"/>
                    <w:spacing w:line="300" w:lineRule="atLeast"/>
                    <w:jc w:val="center"/>
                    <w:outlineLvl w:val="9"/>
                    <w:rPr>
                      <w:rFonts w:hint="default" w:ascii="宋体" w:hAnsi="宋体" w:cs="Times New Roman"/>
                      <w:b w:val="0"/>
                      <w:bCs/>
                      <w:sz w:val="21"/>
                      <w:szCs w:val="21"/>
                      <w:lang w:val="en-US" w:eastAsia="zh-CN"/>
                    </w:rPr>
                  </w:pPr>
                  <w:r>
                    <w:rPr>
                      <w:rFonts w:hint="eastAsia" w:ascii="宋体" w:hAnsi="宋体" w:cs="Times New Roman"/>
                      <w:b w:val="0"/>
                      <w:bCs/>
                      <w:sz w:val="21"/>
                      <w:szCs w:val="21"/>
                      <w:lang w:val="en-US" w:eastAsia="zh-CN"/>
                    </w:rPr>
                    <w:t>加弹油剂</w:t>
                  </w:r>
                </w:p>
              </w:tc>
              <w:tc>
                <w:tcPr>
                  <w:tcW w:w="8021" w:type="dxa"/>
                  <w:vAlign w:val="center"/>
                </w:tcPr>
                <w:p w14:paraId="125ED876">
                  <w:pPr>
                    <w:pStyle w:val="2"/>
                    <w:pageBreakBefore w:val="0"/>
                    <w:kinsoku/>
                    <w:wordWrap/>
                    <w:bidi w:val="0"/>
                    <w:spacing w:line="300" w:lineRule="atLeast"/>
                    <w:jc w:val="left"/>
                    <w:outlineLvl w:val="9"/>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color w:val="000000"/>
                      <w:kern w:val="2"/>
                      <w:sz w:val="21"/>
                      <w:szCs w:val="21"/>
                      <w:lang w:val="en-US" w:eastAsia="zh-CN" w:bidi="ar-SA"/>
                    </w:rPr>
                    <w:t>加弹油剂是一种无色至淡黄色透明液体，近中性（pH值6.0~8.0），运动粘度依型号在15~110 mm²/s之间，闪点≥150℃，有效含量≥98.5%，主要由平滑剂、乳化剂、抗静电剂等复配而成，无毒、非危化品，高温下不易发烟结焦。</w:t>
                  </w:r>
                </w:p>
              </w:tc>
            </w:tr>
          </w:tbl>
          <w:p w14:paraId="640601A6">
            <w:pPr>
              <w:pStyle w:val="2"/>
              <w:pageBreakBefore w:val="0"/>
              <w:kinsoku/>
              <w:wordWrap/>
              <w:bidi w:val="0"/>
              <w:outlineLvl w:val="9"/>
              <w:rPr>
                <w:lang w:eastAsia="zh-CN"/>
              </w:rPr>
            </w:pPr>
            <w:r>
              <w:rPr>
                <w:rFonts w:hint="eastAsia"/>
                <w:lang w:eastAsia="zh-CN"/>
              </w:rPr>
              <w:t>5.主要生产设备及设施</w:t>
            </w:r>
          </w:p>
          <w:p w14:paraId="5A7B59D2">
            <w:pPr>
              <w:pStyle w:val="2"/>
              <w:pageBreakBefore w:val="0"/>
              <w:kinsoku/>
              <w:wordWrap/>
              <w:bidi w:val="0"/>
              <w:jc w:val="center"/>
              <w:outlineLvl w:val="9"/>
              <w:rPr>
                <w:lang w:eastAsia="zh-CN"/>
              </w:rPr>
            </w:pPr>
            <w:r>
              <w:rPr>
                <w:rFonts w:hint="eastAsia"/>
                <w:lang w:val="en-US" w:eastAsia="zh-CN"/>
              </w:rPr>
              <w:t>略</w:t>
            </w:r>
          </w:p>
          <w:p w14:paraId="60459B69">
            <w:pPr>
              <w:pStyle w:val="2"/>
              <w:pageBreakBefore w:val="0"/>
              <w:kinsoku/>
              <w:wordWrap/>
              <w:bidi w:val="0"/>
              <w:outlineLvl w:val="9"/>
              <w:rPr>
                <w:lang w:eastAsia="zh-CN"/>
              </w:rPr>
            </w:pPr>
            <w:r>
              <w:rPr>
                <w:rFonts w:hint="eastAsia"/>
                <w:lang w:eastAsia="zh-CN"/>
              </w:rPr>
              <w:t>6.厂区平面布置</w:t>
            </w:r>
          </w:p>
          <w:p w14:paraId="680C851A">
            <w:pPr>
              <w:pStyle w:val="2"/>
              <w:pageBreakBefore w:val="0"/>
              <w:kinsoku/>
              <w:wordWrap/>
              <w:bidi w:val="0"/>
              <w:jc w:val="center"/>
              <w:outlineLvl w:val="9"/>
              <w:rPr>
                <w:lang w:eastAsia="zh-CN"/>
              </w:rPr>
            </w:pPr>
            <w:r>
              <w:rPr>
                <w:rFonts w:hint="eastAsia"/>
                <w:lang w:val="en-US" w:eastAsia="zh-CN"/>
              </w:rPr>
              <w:t>略</w:t>
            </w:r>
          </w:p>
          <w:p w14:paraId="7BBC70FB">
            <w:pPr>
              <w:pStyle w:val="2"/>
              <w:pageBreakBefore w:val="0"/>
              <w:kinsoku/>
              <w:wordWrap/>
              <w:bidi w:val="0"/>
              <w:outlineLvl w:val="9"/>
              <w:rPr>
                <w:lang w:eastAsia="zh-CN"/>
              </w:rPr>
            </w:pPr>
            <w:r>
              <w:rPr>
                <w:rFonts w:hint="eastAsia"/>
                <w:lang w:eastAsia="zh-CN"/>
              </w:rPr>
              <w:t>7.劳动定员及工作制度</w:t>
            </w:r>
          </w:p>
          <w:p w14:paraId="09C079AC">
            <w:pPr>
              <w:pStyle w:val="2"/>
              <w:pageBreakBefore w:val="0"/>
              <w:kinsoku/>
              <w:wordWrap/>
              <w:bidi w:val="0"/>
              <w:jc w:val="center"/>
              <w:outlineLvl w:val="9"/>
              <w:rPr>
                <w:lang w:eastAsia="zh-CN"/>
              </w:rPr>
            </w:pPr>
            <w:r>
              <w:rPr>
                <w:rFonts w:hint="eastAsia"/>
                <w:lang w:val="en-US" w:eastAsia="zh-CN"/>
              </w:rPr>
              <w:t>略</w:t>
            </w:r>
          </w:p>
          <w:p w14:paraId="64EA4B28">
            <w:pPr>
              <w:pStyle w:val="2"/>
              <w:pageBreakBefore w:val="0"/>
              <w:kinsoku/>
              <w:wordWrap/>
              <w:bidi w:val="0"/>
              <w:outlineLvl w:val="9"/>
              <w:rPr>
                <w:rFonts w:cs="Times New Roman"/>
                <w:bCs/>
                <w:spacing w:val="4"/>
                <w:lang w:eastAsia="zh-CN"/>
              </w:rPr>
            </w:pPr>
            <w:r>
              <w:rPr>
                <w:rFonts w:cs="Times New Roman"/>
                <w:lang w:eastAsia="zh-CN"/>
              </w:rPr>
              <w:t>8.工程进度</w:t>
            </w:r>
          </w:p>
          <w:p w14:paraId="24A522F4">
            <w:pPr>
              <w:pStyle w:val="2"/>
              <w:pageBreakBefore w:val="0"/>
              <w:kinsoku/>
              <w:wordWrap/>
              <w:bidi w:val="0"/>
              <w:jc w:val="center"/>
              <w:outlineLvl w:val="9"/>
              <w:rPr>
                <w:lang w:eastAsia="zh-CN"/>
              </w:rPr>
            </w:pPr>
            <w:r>
              <w:rPr>
                <w:rFonts w:hint="eastAsia"/>
                <w:lang w:val="en-US" w:eastAsia="zh-CN"/>
              </w:rPr>
              <w:t>略</w:t>
            </w:r>
          </w:p>
          <w:p w14:paraId="69F80AEB">
            <w:pPr>
              <w:pStyle w:val="2"/>
              <w:pageBreakBefore w:val="0"/>
              <w:kinsoku/>
              <w:wordWrap/>
              <w:bidi w:val="0"/>
              <w:outlineLvl w:val="9"/>
              <w:rPr>
                <w:lang w:eastAsia="zh-CN"/>
              </w:rPr>
            </w:pPr>
            <w:r>
              <w:rPr>
                <w:rFonts w:hint="eastAsia"/>
                <w:lang w:eastAsia="zh-CN"/>
              </w:rPr>
              <w:t>9.公用工程</w:t>
            </w:r>
          </w:p>
          <w:p w14:paraId="6BC7D3E0">
            <w:pPr>
              <w:pStyle w:val="2"/>
              <w:pageBreakBefore w:val="0"/>
              <w:kinsoku/>
              <w:wordWrap/>
              <w:bidi w:val="0"/>
              <w:ind w:firstLine="241" w:firstLineChars="100"/>
              <w:outlineLvl w:val="9"/>
              <w:rPr>
                <w:bCs/>
                <w:spacing w:val="4"/>
                <w:sz w:val="24"/>
                <w:szCs w:val="24"/>
                <w:lang w:eastAsia="zh-CN"/>
              </w:rPr>
            </w:pPr>
            <w:r>
              <w:rPr>
                <w:sz w:val="24"/>
                <w:szCs w:val="24"/>
                <w:lang w:eastAsia="zh-CN"/>
              </w:rPr>
              <w:t>（1）给</w:t>
            </w:r>
            <w:r>
              <w:rPr>
                <w:rFonts w:hAnsi="宋体"/>
                <w:bCs/>
                <w:spacing w:val="4"/>
                <w:sz w:val="24"/>
                <w:szCs w:val="24"/>
                <w:lang w:eastAsia="zh-CN"/>
              </w:rPr>
              <w:t>水</w:t>
            </w:r>
          </w:p>
          <w:p w14:paraId="721C6699">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本项目</w:t>
            </w:r>
            <w:r>
              <w:rPr>
                <w:rFonts w:hint="default" w:ascii="Times New Roman" w:hAnsi="Times New Roman" w:eastAsia="宋体" w:cs="Times New Roman"/>
                <w:color w:val="auto"/>
                <w:kern w:val="2"/>
                <w:sz w:val="24"/>
                <w:szCs w:val="24"/>
                <w:lang w:val="en-US" w:eastAsia="zh-CN"/>
              </w:rPr>
              <w:t>用水由</w:t>
            </w:r>
            <w:r>
              <w:rPr>
                <w:rFonts w:hint="default" w:ascii="Times New Roman" w:hAnsi="Times New Roman" w:cs="Times New Roman"/>
                <w:color w:val="auto"/>
                <w:kern w:val="2"/>
                <w:sz w:val="24"/>
                <w:szCs w:val="24"/>
                <w:lang w:val="en-US" w:eastAsia="zh-CN"/>
              </w:rPr>
              <w:t>园区</w:t>
            </w:r>
            <w:r>
              <w:rPr>
                <w:rFonts w:hint="default" w:ascii="Times New Roman" w:hAnsi="Times New Roman" w:eastAsia="宋体" w:cs="Times New Roman"/>
                <w:color w:val="auto"/>
                <w:kern w:val="2"/>
                <w:sz w:val="24"/>
                <w:szCs w:val="24"/>
                <w:lang w:val="en-US" w:eastAsia="zh-CN"/>
              </w:rPr>
              <w:t>供水管网供给，</w:t>
            </w:r>
            <w:r>
              <w:rPr>
                <w:rFonts w:hint="default" w:ascii="Times New Roman" w:hAnsi="Times New Roman" w:eastAsia="宋体" w:cs="Times New Roman"/>
                <w:color w:val="auto"/>
                <w:kern w:val="0"/>
                <w:sz w:val="24"/>
                <w:szCs w:val="24"/>
                <w:lang w:val="en-US" w:eastAsia="zh-CN" w:bidi="ar"/>
              </w:rPr>
              <w:t>运营期用水主要为</w:t>
            </w:r>
            <w:r>
              <w:rPr>
                <w:rFonts w:hint="default" w:ascii="Times New Roman" w:hAnsi="Times New Roman" w:cs="Times New Roman"/>
                <w:color w:val="auto"/>
                <w:kern w:val="0"/>
                <w:sz w:val="24"/>
                <w:szCs w:val="24"/>
                <w:lang w:val="en-US" w:eastAsia="zh-CN" w:bidi="ar"/>
              </w:rPr>
              <w:t>喷水织机用水、水洗机用水、员工生活用水</w:t>
            </w:r>
            <w:r>
              <w:rPr>
                <w:rFonts w:hint="default" w:ascii="Times New Roman" w:hAnsi="Times New Roman" w:eastAsia="宋体" w:cs="Times New Roman"/>
                <w:color w:val="auto"/>
                <w:kern w:val="0"/>
                <w:sz w:val="24"/>
                <w:szCs w:val="24"/>
                <w:lang w:val="en-US" w:eastAsia="zh-CN" w:bidi="ar"/>
              </w:rPr>
              <w:t>，水质及水量可满足项目所需。</w:t>
            </w:r>
            <w:r>
              <w:rPr>
                <w:rFonts w:hint="default" w:ascii="Times New Roman" w:hAnsi="Times New Roman" w:eastAsia="宋体" w:cs="Times New Roman"/>
                <w:color w:val="auto"/>
                <w:sz w:val="24"/>
                <w:szCs w:val="24"/>
                <w:lang w:val="en-US" w:eastAsia="zh-CN"/>
              </w:rPr>
              <w:t>用水情况如下：</w:t>
            </w:r>
          </w:p>
          <w:p w14:paraId="1524E213">
            <w:pPr>
              <w:keepNext w:val="0"/>
              <w:keepLines w:val="0"/>
              <w:pageBreakBefore w:val="0"/>
              <w:widowControl w:val="0"/>
              <w:numPr>
                <w:ilvl w:val="0"/>
                <w:numId w:val="1"/>
              </w:numPr>
              <w:suppressLineNumbers w:val="0"/>
              <w:kinsoku/>
              <w:wordWrap/>
              <w:bidi w:val="0"/>
              <w:spacing w:before="0" w:beforeAutospacing="0" w:after="0" w:afterAutospacing="0" w:line="360" w:lineRule="auto"/>
              <w:ind w:left="0" w:right="0"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喷水织机用水：织造用水量为</w:t>
            </w:r>
            <w:r>
              <w:rPr>
                <w:rFonts w:hint="eastAsia" w:ascii="Times New Roman" w:hAnsi="Times New Roman" w:cs="Times New Roman"/>
                <w:color w:val="auto"/>
                <w:sz w:val="24"/>
                <w:szCs w:val="24"/>
                <w:lang w:val="en-US" w:eastAsia="zh-CN"/>
              </w:rPr>
              <w:t>3500</w:t>
            </w:r>
            <w:r>
              <w:rPr>
                <w:rFonts w:hint="default" w:ascii="Times New Roman" w:hAnsi="Times New Roman" w:cs="Times New Roman"/>
                <w:color w:val="auto"/>
                <w:sz w:val="24"/>
                <w:szCs w:val="24"/>
                <w:lang w:val="en-US" w:eastAsia="zh-CN"/>
              </w:rPr>
              <w:t>t/d，织造废水产生量为</w:t>
            </w:r>
            <w:r>
              <w:rPr>
                <w:rFonts w:hint="eastAsia" w:ascii="Times New Roman" w:hAnsi="Times New Roman" w:cs="Times New Roman"/>
                <w:color w:val="auto"/>
                <w:sz w:val="24"/>
                <w:szCs w:val="24"/>
                <w:lang w:val="en-US" w:eastAsia="zh-CN"/>
              </w:rPr>
              <w:t>2975</w:t>
            </w:r>
            <w:r>
              <w:rPr>
                <w:rFonts w:hint="default" w:ascii="Times New Roman" w:hAnsi="Times New Roman" w:cs="Times New Roman"/>
                <w:color w:val="auto"/>
                <w:sz w:val="24"/>
                <w:szCs w:val="24"/>
                <w:lang w:val="en-US" w:eastAsia="zh-CN"/>
              </w:rPr>
              <w:t>t/d，损耗量为</w:t>
            </w:r>
            <w:r>
              <w:rPr>
                <w:rFonts w:hint="eastAsia" w:ascii="Times New Roman" w:hAnsi="Times New Roman" w:cs="Times New Roman"/>
                <w:color w:val="auto"/>
                <w:sz w:val="24"/>
                <w:szCs w:val="24"/>
                <w:lang w:val="en-US" w:eastAsia="zh-CN"/>
              </w:rPr>
              <w:t>525</w:t>
            </w:r>
            <w:r>
              <w:rPr>
                <w:rFonts w:hint="default" w:ascii="Times New Roman" w:hAnsi="Times New Roman" w:cs="Times New Roman"/>
                <w:color w:val="auto"/>
                <w:sz w:val="24"/>
                <w:szCs w:val="24"/>
                <w:lang w:val="en-US" w:eastAsia="zh-CN"/>
              </w:rPr>
              <w:t>t/d，损耗部分定期补充，织造废水经自建污水处理站处理后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回用于生产，则回用水为</w:t>
            </w:r>
            <w:r>
              <w:rPr>
                <w:rFonts w:hint="eastAsia" w:ascii="Times New Roman" w:hAnsi="Times New Roman" w:cs="Times New Roman"/>
                <w:color w:val="auto"/>
                <w:sz w:val="24"/>
                <w:szCs w:val="24"/>
                <w:lang w:val="en-US" w:eastAsia="zh-CN"/>
              </w:rPr>
              <w:t>2975</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1041250</w:t>
            </w:r>
            <w:r>
              <w:rPr>
                <w:rFonts w:hint="default" w:ascii="Times New Roman" w:hAnsi="Times New Roman" w:cs="Times New Roman"/>
                <w:color w:val="auto"/>
                <w:sz w:val="24"/>
                <w:szCs w:val="24"/>
                <w:lang w:val="en-US" w:eastAsia="zh-CN"/>
              </w:rPr>
              <w:t>t/a）。</w:t>
            </w:r>
          </w:p>
          <w:p w14:paraId="53D263A1">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本项目综丝清洗用水量为</w:t>
            </w:r>
            <w:r>
              <w:rPr>
                <w:rFonts w:hint="eastAsia" w:ascii="Times New Roman" w:hAnsi="Times New Roman" w:cs="Times New Roman"/>
                <w:color w:val="auto"/>
                <w:sz w:val="24"/>
                <w:szCs w:val="24"/>
                <w:lang w:val="en-US" w:eastAsia="zh-CN"/>
              </w:rPr>
              <w:t>300</w:t>
            </w:r>
            <w:r>
              <w:rPr>
                <w:rFonts w:hint="default" w:ascii="Times New Roman" w:hAnsi="Times New Roman" w:cs="Times New Roman"/>
                <w:color w:val="auto"/>
                <w:sz w:val="24"/>
                <w:szCs w:val="24"/>
                <w:lang w:val="en-US" w:eastAsia="zh-CN"/>
              </w:rPr>
              <w:t>t/a，产生的综丝清洗废水为</w:t>
            </w:r>
            <w:r>
              <w:rPr>
                <w:rFonts w:hint="eastAsia" w:ascii="Times New Roman" w:hAnsi="Times New Roman" w:cs="Times New Roman"/>
                <w:color w:val="auto"/>
                <w:sz w:val="24"/>
                <w:szCs w:val="24"/>
                <w:lang w:val="en-US" w:eastAsia="zh-CN"/>
              </w:rPr>
              <w:t>285</w:t>
            </w:r>
            <w:r>
              <w:rPr>
                <w:rFonts w:hint="default" w:ascii="Times New Roman" w:hAnsi="Times New Roman" w:cs="Times New Roman"/>
                <w:color w:val="auto"/>
                <w:sz w:val="24"/>
                <w:szCs w:val="24"/>
                <w:lang w:val="en-US" w:eastAsia="zh-CN"/>
              </w:rPr>
              <w:t>t/a，全年工作日按</w:t>
            </w:r>
            <w:r>
              <w:rPr>
                <w:rFonts w:hint="eastAsia" w:ascii="Times New Roman" w:hAnsi="Times New Roman" w:cs="Times New Roman"/>
                <w:color w:val="auto"/>
                <w:sz w:val="24"/>
                <w:szCs w:val="24"/>
                <w:lang w:val="en-US" w:eastAsia="zh-CN"/>
              </w:rPr>
              <w:t>350</w:t>
            </w:r>
            <w:r>
              <w:rPr>
                <w:rFonts w:hint="default" w:ascii="Times New Roman" w:hAnsi="Times New Roman" w:cs="Times New Roman"/>
                <w:color w:val="auto"/>
                <w:sz w:val="24"/>
                <w:szCs w:val="24"/>
                <w:lang w:val="en-US" w:eastAsia="zh-CN"/>
              </w:rPr>
              <w:t>天计，平均日产清洗废水0.</w:t>
            </w:r>
            <w:r>
              <w:rPr>
                <w:rFonts w:hint="eastAsia" w:ascii="Times New Roman" w:hAnsi="Times New Roman" w:cs="Times New Roman"/>
                <w:color w:val="auto"/>
                <w:sz w:val="24"/>
                <w:szCs w:val="24"/>
                <w:lang w:val="en-US" w:eastAsia="zh-CN"/>
              </w:rPr>
              <w:t>81</w:t>
            </w:r>
            <w:r>
              <w:rPr>
                <w:rFonts w:hint="default" w:ascii="Times New Roman" w:hAnsi="Times New Roman" w:cs="Times New Roman"/>
                <w:color w:val="auto"/>
                <w:sz w:val="24"/>
                <w:szCs w:val="24"/>
                <w:lang w:val="en-US" w:eastAsia="zh-CN"/>
              </w:rPr>
              <w:t>t/d。损耗量为</w:t>
            </w:r>
            <w:r>
              <w:rPr>
                <w:rFonts w:hint="eastAsia" w:ascii="Times New Roman" w:hAnsi="Times New Roman" w:cs="Times New Roman"/>
                <w:color w:val="auto"/>
                <w:sz w:val="24"/>
                <w:szCs w:val="24"/>
                <w:lang w:val="en-US" w:eastAsia="zh-CN"/>
              </w:rPr>
              <w:t>0.04</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15</w:t>
            </w:r>
            <w:r>
              <w:rPr>
                <w:rFonts w:hint="default" w:ascii="Times New Roman" w:hAnsi="Times New Roman" w:cs="Times New Roman"/>
                <w:color w:val="auto"/>
                <w:sz w:val="24"/>
                <w:szCs w:val="24"/>
                <w:lang w:val="en-US" w:eastAsia="zh-CN"/>
              </w:rPr>
              <w:t>t/a），损耗部分定期补充。清洗废水经自建污水处理站处理后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回用于生产</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则回用水为</w:t>
            </w:r>
            <w:r>
              <w:rPr>
                <w:rFonts w:hint="eastAsia" w:ascii="Times New Roman" w:hAnsi="Times New Roman" w:cs="Times New Roman"/>
                <w:color w:val="auto"/>
                <w:sz w:val="24"/>
                <w:szCs w:val="24"/>
                <w:lang w:val="en-US" w:eastAsia="zh-CN"/>
              </w:rPr>
              <w:t>0.81</w:t>
            </w:r>
            <w:r>
              <w:rPr>
                <w:rFonts w:hint="default" w:ascii="Times New Roman" w:hAnsi="Times New Roman" w:cs="Times New Roman"/>
                <w:color w:val="auto"/>
                <w:sz w:val="24"/>
                <w:szCs w:val="24"/>
                <w:lang w:val="en-US" w:eastAsia="zh-CN"/>
              </w:rPr>
              <w:t>t/</w:t>
            </w:r>
            <w:r>
              <w:rPr>
                <w:rFonts w:hint="eastAsia" w:ascii="Times New Roman" w:hAnsi="Times New Roman" w:cs="Times New Roman"/>
                <w:color w:val="auto"/>
                <w:sz w:val="24"/>
                <w:szCs w:val="24"/>
                <w:lang w:val="en-US" w:eastAsia="zh-CN"/>
              </w:rPr>
              <w:t>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285</w:t>
            </w:r>
            <w:r>
              <w:rPr>
                <w:rFonts w:hint="default" w:ascii="Times New Roman" w:hAnsi="Times New Roman" w:cs="Times New Roman"/>
                <w:color w:val="auto"/>
                <w:sz w:val="24"/>
                <w:szCs w:val="24"/>
                <w:lang w:val="en-US" w:eastAsia="zh-CN"/>
              </w:rPr>
              <w:t>t/</w:t>
            </w:r>
            <w:r>
              <w:rPr>
                <w:rFonts w:hint="eastAsia"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lang w:val="en-US" w:eastAsia="zh-CN"/>
              </w:rPr>
              <w:t>）。</w:t>
            </w:r>
          </w:p>
          <w:p w14:paraId="28D4A152">
            <w:pPr>
              <w:keepNext w:val="0"/>
              <w:keepLines w:val="0"/>
              <w:pageBreakBefore w:val="0"/>
              <w:widowControl w:val="0"/>
              <w:numPr>
                <w:ilvl w:val="0"/>
                <w:numId w:val="1"/>
              </w:numPr>
              <w:suppressLineNumbers w:val="0"/>
              <w:kinsoku/>
              <w:wordWrap/>
              <w:bidi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水洗机用水</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计算可得</w:t>
            </w:r>
            <w:r>
              <w:rPr>
                <w:rFonts w:hint="eastAsia" w:ascii="Times New Roman" w:hAnsi="Times New Roman" w:cs="Times New Roman"/>
                <w:color w:val="auto"/>
                <w:sz w:val="24"/>
                <w:szCs w:val="24"/>
                <w:lang w:val="en-US" w:eastAsia="zh-CN"/>
              </w:rPr>
              <w:t>水洗</w:t>
            </w:r>
            <w:r>
              <w:rPr>
                <w:rFonts w:hint="default" w:ascii="Times New Roman" w:hAnsi="Times New Roman" w:cs="Times New Roman"/>
                <w:color w:val="auto"/>
                <w:sz w:val="24"/>
                <w:szCs w:val="24"/>
                <w:lang w:val="en-US" w:eastAsia="zh-CN"/>
              </w:rPr>
              <w:t>用水量为</w:t>
            </w:r>
            <w:r>
              <w:rPr>
                <w:rFonts w:hint="eastAsia" w:ascii="Times New Roman" w:hAnsi="Times New Roman" w:cs="Times New Roman"/>
                <w:color w:val="auto"/>
                <w:sz w:val="24"/>
                <w:szCs w:val="24"/>
                <w:lang w:val="en-US" w:eastAsia="zh-CN"/>
              </w:rPr>
              <w:t>120</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蒸发量估算为总用水量的5</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，则水洗</w:t>
            </w:r>
            <w:r>
              <w:rPr>
                <w:rFonts w:hint="default" w:ascii="Times New Roman" w:hAnsi="Times New Roman" w:cs="Times New Roman"/>
                <w:color w:val="auto"/>
                <w:sz w:val="24"/>
                <w:szCs w:val="24"/>
                <w:lang w:val="en-US" w:eastAsia="zh-CN"/>
              </w:rPr>
              <w:t>废水产生量为</w:t>
            </w:r>
            <w:r>
              <w:rPr>
                <w:rFonts w:hint="eastAsia" w:ascii="Times New Roman" w:hAnsi="Times New Roman" w:cs="Times New Roman"/>
                <w:color w:val="auto"/>
                <w:sz w:val="24"/>
                <w:szCs w:val="24"/>
                <w:lang w:val="en-US" w:eastAsia="zh-CN"/>
              </w:rPr>
              <w:t>114</w:t>
            </w:r>
            <w:r>
              <w:rPr>
                <w:rFonts w:hint="default" w:ascii="Times New Roman" w:hAnsi="Times New Roman" w:cs="Times New Roman"/>
                <w:color w:val="auto"/>
                <w:sz w:val="24"/>
                <w:szCs w:val="24"/>
                <w:lang w:val="en-US" w:eastAsia="zh-CN"/>
              </w:rPr>
              <w:t>t/d，损耗量为</w:t>
            </w:r>
            <w:r>
              <w:rPr>
                <w:rFonts w:hint="eastAsia"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lang w:val="en-US" w:eastAsia="zh-CN"/>
              </w:rPr>
              <w:t>t/d，损耗部分定期补充，</w:t>
            </w:r>
            <w:r>
              <w:rPr>
                <w:rFonts w:hint="eastAsia" w:ascii="Times New Roman" w:hAnsi="Times New Roman" w:cs="Times New Roman"/>
                <w:color w:val="auto"/>
                <w:sz w:val="24"/>
                <w:szCs w:val="24"/>
                <w:lang w:val="en-US" w:eastAsia="zh-CN"/>
              </w:rPr>
              <w:t>水洗废水</w:t>
            </w:r>
            <w:r>
              <w:rPr>
                <w:rFonts w:hint="default" w:ascii="Times New Roman" w:hAnsi="Times New Roman" w:cs="Times New Roman"/>
                <w:color w:val="auto"/>
                <w:sz w:val="24"/>
                <w:szCs w:val="24"/>
                <w:lang w:val="en-US" w:eastAsia="zh-CN"/>
              </w:rPr>
              <w:t>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回用于生产，则回用水为</w:t>
            </w:r>
            <w:r>
              <w:rPr>
                <w:rFonts w:hint="eastAsia" w:ascii="Times New Roman" w:hAnsi="Times New Roman" w:cs="Times New Roman"/>
                <w:color w:val="auto"/>
                <w:sz w:val="24"/>
                <w:szCs w:val="24"/>
                <w:lang w:val="en-US" w:eastAsia="zh-CN"/>
              </w:rPr>
              <w:t>114</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39900</w:t>
            </w:r>
            <w:r>
              <w:rPr>
                <w:rFonts w:hint="default" w:ascii="Times New Roman" w:hAnsi="Times New Roman" w:cs="Times New Roman"/>
                <w:color w:val="auto"/>
                <w:sz w:val="24"/>
                <w:szCs w:val="24"/>
                <w:lang w:val="en-US" w:eastAsia="zh-CN"/>
              </w:rPr>
              <w:t>t/a）。</w:t>
            </w:r>
          </w:p>
          <w:p w14:paraId="6C9EDBF2">
            <w:pPr>
              <w:keepNext w:val="0"/>
              <w:keepLines w:val="0"/>
              <w:pageBreakBefore w:val="0"/>
              <w:widowControl w:val="0"/>
              <w:numPr>
                <w:ilvl w:val="0"/>
                <w:numId w:val="1"/>
              </w:numPr>
              <w:suppressLineNumbers w:val="0"/>
              <w:kinsoku/>
              <w:wordWrap/>
              <w:bidi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水喷淋用水量为</w:t>
            </w:r>
            <w:r>
              <w:rPr>
                <w:rFonts w:hint="eastAsia" w:ascii="Times New Roman" w:hAnsi="Times New Roman" w:cs="Times New Roman"/>
                <w:color w:val="auto"/>
                <w:sz w:val="24"/>
                <w:szCs w:val="24"/>
                <w:lang w:val="en-US" w:eastAsia="zh-CN"/>
              </w:rPr>
              <w:t>252</w:t>
            </w:r>
            <w:r>
              <w:rPr>
                <w:rFonts w:hint="default" w:ascii="Times New Roman" w:hAnsi="Times New Roman" w:eastAsia="宋体" w:cs="Times New Roman"/>
                <w:color w:val="auto"/>
                <w:sz w:val="24"/>
                <w:szCs w:val="24"/>
                <w:lang w:val="en-US" w:eastAsia="zh-CN"/>
              </w:rPr>
              <w:t>000</w:t>
            </w:r>
            <w:r>
              <w:rPr>
                <w:rFonts w:hint="eastAsia" w:ascii="Times New Roman" w:hAnsi="Times New Roman"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/a，水喷淋用水循环使用，一方面废气与水接触发生损耗，约有5%水量被带走，则带走水量为</w:t>
            </w:r>
            <w:r>
              <w:rPr>
                <w:rFonts w:hint="eastAsia" w:ascii="Times New Roman" w:hAnsi="Times New Roman" w:cs="Times New Roman"/>
                <w:color w:val="auto"/>
                <w:sz w:val="24"/>
                <w:szCs w:val="24"/>
                <w:lang w:val="en-US" w:eastAsia="zh-CN"/>
              </w:rPr>
              <w:t>126</w:t>
            </w:r>
            <w:r>
              <w:rPr>
                <w:rFonts w:hint="default" w:ascii="Times New Roman" w:hAnsi="Times New Roman" w:eastAsia="宋体" w:cs="Times New Roman"/>
                <w:color w:val="auto"/>
                <w:sz w:val="24"/>
                <w:szCs w:val="24"/>
                <w:lang w:val="en-US" w:eastAsia="zh-CN"/>
              </w:rPr>
              <w:t>00</w:t>
            </w:r>
            <w:r>
              <w:rPr>
                <w:rFonts w:hint="eastAsia" w:ascii="Times New Roman" w:hAnsi="Times New Roman"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/a，另一方面，约5%的水喷淋用水需定期更换，保持水质，则喷淋废水量为</w:t>
            </w:r>
            <w:r>
              <w:rPr>
                <w:rFonts w:hint="eastAsia" w:ascii="Times New Roman" w:hAnsi="Times New Roman" w:cs="Times New Roman"/>
                <w:color w:val="auto"/>
                <w:sz w:val="24"/>
                <w:szCs w:val="24"/>
                <w:lang w:val="en-US" w:eastAsia="zh-CN"/>
              </w:rPr>
              <w:t>126</w:t>
            </w:r>
            <w:r>
              <w:rPr>
                <w:rFonts w:hint="default" w:ascii="Times New Roman" w:hAnsi="Times New Roman" w:eastAsia="宋体" w:cs="Times New Roman"/>
                <w:color w:val="auto"/>
                <w:sz w:val="24"/>
                <w:szCs w:val="24"/>
                <w:lang w:val="en-US" w:eastAsia="zh-CN"/>
              </w:rPr>
              <w:t>00</w:t>
            </w:r>
            <w:r>
              <w:rPr>
                <w:rFonts w:hint="eastAsia" w:ascii="Times New Roman" w:hAnsi="Times New Roman"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/a</w:t>
            </w:r>
            <w:r>
              <w:rPr>
                <w:rFonts w:hint="eastAsia" w:ascii="Times New Roman" w:hAnsi="Times New Roman" w:cs="Times New Roman"/>
                <w:color w:val="auto"/>
                <w:sz w:val="24"/>
                <w:szCs w:val="24"/>
                <w:lang w:val="en-US" w:eastAsia="zh-CN"/>
              </w:rPr>
              <w:t>，喷淋废水</w:t>
            </w:r>
            <w:r>
              <w:rPr>
                <w:rFonts w:hint="default" w:ascii="Times New Roman" w:hAnsi="Times New Roman" w:cs="Times New Roman"/>
                <w:color w:val="auto"/>
                <w:sz w:val="24"/>
                <w:szCs w:val="24"/>
                <w:lang w:val="en-US" w:eastAsia="zh-CN"/>
              </w:rPr>
              <w:t>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w:t>
            </w:r>
          </w:p>
          <w:p w14:paraId="1331AA3E">
            <w:pPr>
              <w:keepNext w:val="0"/>
              <w:keepLines w:val="0"/>
              <w:pageBreakBefore w:val="0"/>
              <w:widowControl w:val="0"/>
              <w:numPr>
                <w:ilvl w:val="0"/>
                <w:numId w:val="1"/>
              </w:numPr>
              <w:suppressLineNumbers w:val="0"/>
              <w:kinsoku/>
              <w:wordWrap/>
              <w:bidi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员工生活用水：</w:t>
            </w:r>
            <w:r>
              <w:rPr>
                <w:rFonts w:hint="default" w:ascii="Times New Roman" w:hAnsi="Times New Roman" w:eastAsia="宋体" w:cs="Times New Roman"/>
                <w:color w:val="auto"/>
                <w:sz w:val="24"/>
                <w:szCs w:val="24"/>
                <w:lang w:val="en-US" w:eastAsia="zh-CN"/>
              </w:rPr>
              <w:t>生活用水量约为</w:t>
            </w:r>
            <w:r>
              <w:rPr>
                <w:rFonts w:hint="default" w:ascii="Times New Roman" w:hAnsi="Times New Roman" w:cs="Times New Roman"/>
                <w:color w:val="auto"/>
                <w:sz w:val="24"/>
                <w:szCs w:val="24"/>
                <w:lang w:val="en-US" w:eastAsia="zh-CN"/>
              </w:rPr>
              <w:t>10.5</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default" w:ascii="Times New Roman" w:hAnsi="Times New Roman" w:cs="Times New Roman"/>
                <w:color w:val="auto"/>
                <w:sz w:val="24"/>
                <w:szCs w:val="24"/>
                <w:lang w:val="en-US" w:eastAsia="zh-CN"/>
              </w:rPr>
              <w:t>3675</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p>
          <w:p w14:paraId="782578C0">
            <w:pPr>
              <w:pStyle w:val="2"/>
              <w:pageBreakBefore w:val="0"/>
              <w:kinsoku/>
              <w:wordWrap/>
              <w:bidi w:val="0"/>
              <w:ind w:firstLine="241" w:firstLineChars="100"/>
              <w:outlineLvl w:val="9"/>
              <w:rPr>
                <w:sz w:val="24"/>
                <w:szCs w:val="24"/>
                <w:lang w:eastAsia="zh-CN"/>
              </w:rPr>
            </w:pPr>
            <w:r>
              <w:rPr>
                <w:rFonts w:hint="eastAsia"/>
                <w:sz w:val="24"/>
                <w:szCs w:val="24"/>
                <w:lang w:eastAsia="zh-CN"/>
              </w:rPr>
              <w:t>（2）排水</w:t>
            </w:r>
          </w:p>
          <w:p w14:paraId="6332F82A">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r>
              <w:rPr>
                <w:rFonts w:hint="default" w:ascii="Times New Roman" w:hAnsi="Times New Roman" w:cs="Times New Roman"/>
                <w:color w:val="auto"/>
                <w:sz w:val="24"/>
                <w:szCs w:val="24"/>
                <w:lang w:val="en-US" w:eastAsia="zh-CN"/>
              </w:rPr>
              <w:t>喷水织机废水：</w:t>
            </w:r>
            <w:r>
              <w:rPr>
                <w:rFonts w:hint="default" w:ascii="Times New Roman" w:hAnsi="Times New Roman" w:eastAsia="宋体" w:cs="Times New Roman"/>
                <w:color w:val="auto"/>
                <w:sz w:val="24"/>
                <w:szCs w:val="24"/>
                <w:lang w:val="en-US" w:eastAsia="zh-CN"/>
              </w:rPr>
              <w:t>本项目</w:t>
            </w:r>
            <w:r>
              <w:rPr>
                <w:rFonts w:hint="default" w:ascii="Times New Roman" w:hAnsi="Times New Roman" w:cs="Times New Roman"/>
                <w:color w:val="auto"/>
                <w:sz w:val="24"/>
                <w:szCs w:val="24"/>
                <w:lang w:val="en-US" w:eastAsia="zh-CN"/>
              </w:rPr>
              <w:t>喷水织机废水经</w:t>
            </w:r>
            <w:r>
              <w:rPr>
                <w:rFonts w:hint="eastAsia" w:ascii="Times New Roman" w:hAnsi="Times New Roman" w:cs="Times New Roman"/>
                <w:color w:val="auto"/>
                <w:sz w:val="24"/>
                <w:szCs w:val="24"/>
                <w:lang w:val="en-US" w:eastAsia="zh-CN"/>
              </w:rPr>
              <w:t>自建</w:t>
            </w:r>
            <w:r>
              <w:rPr>
                <w:rFonts w:hint="default" w:ascii="Times New Roman" w:hAnsi="Times New Roman" w:cs="Times New Roman"/>
                <w:color w:val="auto"/>
                <w:sz w:val="24"/>
                <w:szCs w:val="24"/>
                <w:lang w:val="en-US" w:eastAsia="zh-CN"/>
              </w:rPr>
              <w:t>污水处理站处理后全部回用</w:t>
            </w:r>
            <w:r>
              <w:rPr>
                <w:rFonts w:hint="default" w:ascii="Times New Roman" w:hAnsi="Times New Roman" w:eastAsia="宋体" w:cs="Times New Roman"/>
                <w:color w:val="auto"/>
                <w:sz w:val="24"/>
                <w:szCs w:val="24"/>
                <w:lang w:val="en-US" w:eastAsia="zh-CN"/>
              </w:rPr>
              <w:t>，不外排。</w:t>
            </w:r>
          </w:p>
          <w:p w14:paraId="73FA2741">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2）水洗机废水：本项目</w:t>
            </w:r>
            <w:r>
              <w:rPr>
                <w:rFonts w:hint="default" w:ascii="Times New Roman" w:hAnsi="Times New Roman" w:cs="Times New Roman"/>
                <w:color w:val="auto"/>
                <w:sz w:val="24"/>
                <w:szCs w:val="24"/>
                <w:lang w:val="en-US" w:eastAsia="zh-CN"/>
              </w:rPr>
              <w:t>水洗机废水经</w:t>
            </w:r>
            <w:r>
              <w:rPr>
                <w:rFonts w:hint="eastAsia" w:ascii="Times New Roman" w:hAnsi="Times New Roman" w:cs="Times New Roman"/>
                <w:color w:val="auto"/>
                <w:sz w:val="24"/>
                <w:szCs w:val="24"/>
                <w:lang w:val="en-US" w:eastAsia="zh-CN"/>
              </w:rPr>
              <w:t>自建</w:t>
            </w:r>
            <w:r>
              <w:rPr>
                <w:rFonts w:hint="default" w:ascii="Times New Roman" w:hAnsi="Times New Roman" w:cs="Times New Roman"/>
                <w:color w:val="auto"/>
                <w:sz w:val="24"/>
                <w:szCs w:val="24"/>
                <w:lang w:val="en-US" w:eastAsia="zh-CN"/>
              </w:rPr>
              <w:t>污水处理站处理后全部回用</w:t>
            </w:r>
            <w:r>
              <w:rPr>
                <w:rFonts w:hint="default" w:ascii="Times New Roman" w:hAnsi="Times New Roman" w:eastAsia="宋体" w:cs="Times New Roman"/>
                <w:color w:val="auto"/>
                <w:sz w:val="24"/>
                <w:szCs w:val="24"/>
                <w:lang w:val="en-US" w:eastAsia="zh-CN"/>
              </w:rPr>
              <w:t>，不外排。</w:t>
            </w:r>
          </w:p>
          <w:p w14:paraId="65EB12E5">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喷淋废水：本项目喷淋水循环使用，喷淋废水自建</w:t>
            </w:r>
            <w:r>
              <w:rPr>
                <w:rFonts w:hint="default" w:ascii="Times New Roman" w:hAnsi="Times New Roman" w:cs="Times New Roman"/>
                <w:color w:val="auto"/>
                <w:sz w:val="24"/>
                <w:szCs w:val="24"/>
                <w:lang w:val="en-US" w:eastAsia="zh-CN"/>
              </w:rPr>
              <w:t>污水处理站处理后全部回用</w:t>
            </w:r>
            <w:r>
              <w:rPr>
                <w:rFonts w:hint="default" w:ascii="Times New Roman" w:hAnsi="Times New Roman" w:eastAsia="宋体" w:cs="Times New Roman"/>
                <w:color w:val="auto"/>
                <w:sz w:val="24"/>
                <w:szCs w:val="24"/>
                <w:lang w:val="en-US" w:eastAsia="zh-CN"/>
              </w:rPr>
              <w:t>，不外排。</w:t>
            </w:r>
          </w:p>
          <w:p w14:paraId="5491E9E0">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）生活污水：本项目生活污水排放量按照用水量的85%计，则生活污水排放量为</w:t>
            </w:r>
            <w:r>
              <w:rPr>
                <w:rFonts w:hint="default" w:ascii="Times New Roman" w:hAnsi="Times New Roman" w:cs="Times New Roman"/>
                <w:color w:val="auto"/>
                <w:sz w:val="24"/>
                <w:szCs w:val="24"/>
                <w:lang w:val="en-US" w:eastAsia="zh-CN"/>
              </w:rPr>
              <w:t>8.925</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default" w:ascii="Times New Roman" w:hAnsi="Times New Roman" w:cs="Times New Roman"/>
                <w:color w:val="auto"/>
                <w:sz w:val="24"/>
                <w:szCs w:val="24"/>
                <w:lang w:val="en-US" w:eastAsia="zh-CN"/>
              </w:rPr>
              <w:t>3123.75</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p>
          <w:p w14:paraId="376F9155">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hint="default" w:ascii="Times New Roman" w:hAnsi="Times New Roman" w:cs="Times New Roman"/>
                <w:color w:val="auto"/>
                <w:sz w:val="24"/>
                <w:szCs w:val="24"/>
                <w:lang w:val="en-US" w:eastAsia="zh-CN"/>
              </w:rPr>
              <w:t>喷水织机废水经污水处理站达标处理全部回用</w:t>
            </w:r>
            <w:r>
              <w:rPr>
                <w:rFonts w:hint="default" w:ascii="Times New Roman" w:hAnsi="Times New Roman" w:eastAsia="宋体" w:cs="Times New Roman"/>
                <w:color w:val="auto"/>
                <w:sz w:val="24"/>
                <w:szCs w:val="24"/>
                <w:lang w:val="en-US" w:eastAsia="zh-CN"/>
              </w:rPr>
              <w:t>，不外排；</w:t>
            </w:r>
            <w:r>
              <w:rPr>
                <w:rFonts w:hint="default" w:ascii="Times New Roman" w:hAnsi="Times New Roman" w:cs="Times New Roman"/>
                <w:color w:val="auto"/>
                <w:sz w:val="24"/>
                <w:szCs w:val="24"/>
                <w:lang w:val="en-US" w:eastAsia="zh-CN"/>
              </w:rPr>
              <w:t>水洗机废水经污水处理站达标处理全部回用</w:t>
            </w:r>
            <w:r>
              <w:rPr>
                <w:rFonts w:hint="default" w:ascii="Times New Roman" w:hAnsi="Times New Roman" w:eastAsia="宋体" w:cs="Times New Roman"/>
                <w:color w:val="auto"/>
                <w:sz w:val="24"/>
                <w:szCs w:val="24"/>
                <w:lang w:val="en-US" w:eastAsia="zh-CN"/>
              </w:rPr>
              <w:t>，不外排；</w:t>
            </w:r>
            <w:r>
              <w:rPr>
                <w:rFonts w:hint="eastAsia" w:ascii="Times New Roman" w:hAnsi="Times New Roman" w:cs="Times New Roman"/>
                <w:color w:val="auto"/>
                <w:sz w:val="24"/>
                <w:szCs w:val="24"/>
                <w:lang w:val="en-US" w:eastAsia="zh-CN"/>
              </w:rPr>
              <w:t>喷淋水循环使用，喷淋废水</w:t>
            </w:r>
            <w:r>
              <w:rPr>
                <w:rFonts w:hint="default" w:ascii="Times New Roman" w:hAnsi="Times New Roman" w:cs="Times New Roman"/>
                <w:color w:val="auto"/>
                <w:sz w:val="24"/>
                <w:szCs w:val="24"/>
                <w:lang w:val="en-US" w:eastAsia="zh-CN"/>
              </w:rPr>
              <w:t>经污水处理站达标处理全部回用</w:t>
            </w:r>
            <w:r>
              <w:rPr>
                <w:rFonts w:hint="eastAsia"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生活污水排入园区下水管网。</w:t>
            </w:r>
          </w:p>
          <w:p w14:paraId="7AA489DE">
            <w:pPr>
              <w:keepNext w:val="0"/>
              <w:keepLines w:val="0"/>
              <w:pageBreakBefore w:val="0"/>
              <w:widowControl w:val="0"/>
              <w:suppressLineNumbers w:val="0"/>
              <w:kinsoku/>
              <w:wordWrap/>
              <w:topLinePunct/>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本项目给、排水平衡详见表</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p>
          <w:p w14:paraId="5675BD35">
            <w:pPr>
              <w:pStyle w:val="3"/>
              <w:keepNext/>
              <w:keepLines/>
              <w:pageBreakBefore w:val="0"/>
              <w:widowControl w:val="0"/>
              <w:kinsoku/>
              <w:wordWrap/>
              <w:overflowPunct/>
              <w:topLinePunct w:val="0"/>
              <w:autoSpaceDE w:val="0"/>
              <w:autoSpaceDN w:val="0"/>
              <w:bidi w:val="0"/>
              <w:adjustRightInd/>
              <w:snapToGrid/>
              <w:spacing w:before="0" w:after="0" w:line="240" w:lineRule="auto"/>
              <w:jc w:val="center"/>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表2-6  </w:t>
            </w:r>
            <w:r>
              <w:rPr>
                <w:rFonts w:hint="default" w:ascii="宋体" w:hAnsi="宋体" w:eastAsia="宋体" w:cs="宋体"/>
                <w:color w:val="auto"/>
                <w:sz w:val="21"/>
                <w:szCs w:val="21"/>
                <w:highlight w:val="none"/>
                <w:lang w:val="en-US" w:eastAsia="zh-CN"/>
              </w:rPr>
              <w:t>本项目给、排水平衡</w:t>
            </w:r>
            <w:r>
              <w:rPr>
                <w:rFonts w:hint="eastAsia" w:ascii="宋体" w:hAnsi="宋体" w:eastAsia="宋体" w:cs="宋体"/>
                <w:color w:val="auto"/>
                <w:sz w:val="21"/>
                <w:szCs w:val="21"/>
                <w:highlight w:val="none"/>
                <w:lang w:val="en-US" w:eastAsia="zh-CN"/>
              </w:rPr>
              <w:t>表</w:t>
            </w:r>
          </w:p>
          <w:p w14:paraId="664C142E">
            <w:pPr>
              <w:pageBreakBefore w:val="0"/>
              <w:widowControl w:val="0"/>
              <w:kinsoku/>
              <w:wordWrap/>
              <w:autoSpaceDE w:val="0"/>
              <w:autoSpaceDN w:val="0"/>
              <w:bidi w:val="0"/>
              <w:spacing w:line="360" w:lineRule="auto"/>
              <w:outlineLvl w:val="9"/>
              <w:rPr>
                <w:rFonts w:hint="eastAsia" w:ascii="Times New Roman" w:hAnsi="Times New Roman" w:eastAsia="宋体" w:cs="微软雅黑"/>
                <w:b/>
                <w:sz w:val="24"/>
                <w:szCs w:val="24"/>
                <w:lang w:val="en-US" w:eastAsia="zh-CN" w:bidi="ar-SA"/>
              </w:rPr>
            </w:pPr>
          </w:p>
          <w:p w14:paraId="2FB6D865">
            <w:pPr>
              <w:pStyle w:val="2"/>
              <w:pageBreakBefore w:val="0"/>
              <w:numPr>
                <w:ilvl w:val="0"/>
                <w:numId w:val="2"/>
              </w:numPr>
              <w:kinsoku/>
              <w:wordWrap/>
              <w:bidi w:val="0"/>
              <w:ind w:firstLine="281" w:firstLineChars="100"/>
              <w:outlineLvl w:val="9"/>
              <w:rPr>
                <w:rFonts w:hint="eastAsia"/>
                <w:sz w:val="24"/>
                <w:szCs w:val="24"/>
                <w:highlight w:val="none"/>
                <w:lang w:eastAsia="zh-CN"/>
              </w:rPr>
            </w:pPr>
            <w:r>
              <w:drawing>
                <wp:anchor distT="0" distB="0" distL="114300" distR="114300" simplePos="0" relativeHeight="251663360" behindDoc="0" locked="0" layoutInCell="1" allowOverlap="1">
                  <wp:simplePos x="0" y="0"/>
                  <wp:positionH relativeFrom="column">
                    <wp:posOffset>179705</wp:posOffset>
                  </wp:positionH>
                  <wp:positionV relativeFrom="paragraph">
                    <wp:posOffset>524510</wp:posOffset>
                  </wp:positionV>
                  <wp:extent cx="5433695" cy="6757035"/>
                  <wp:effectExtent l="0" t="0" r="14605" b="5715"/>
                  <wp:wrapTopAndBottom/>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9"/>
                          <a:stretch>
                            <a:fillRect/>
                          </a:stretch>
                        </pic:blipFill>
                        <pic:spPr>
                          <a:xfrm>
                            <a:off x="0" y="0"/>
                            <a:ext cx="5433695" cy="6757035"/>
                          </a:xfrm>
                          <a:prstGeom prst="rect">
                            <a:avLst/>
                          </a:prstGeom>
                          <a:noFill/>
                          <a:ln>
                            <a:noFill/>
                          </a:ln>
                        </pic:spPr>
                      </pic:pic>
                    </a:graphicData>
                  </a:graphic>
                </wp:anchor>
              </w:drawing>
            </w:r>
            <w:r>
              <w:rPr>
                <w:rFonts w:hint="eastAsia"/>
                <w:sz w:val="24"/>
                <w:szCs w:val="24"/>
                <w:highlight w:val="none"/>
                <w:lang w:eastAsia="zh-CN"/>
              </w:rPr>
              <w:t>水平衡</w:t>
            </w:r>
          </w:p>
          <w:p w14:paraId="7D64E50A">
            <w:pPr>
              <w:pStyle w:val="2"/>
              <w:pageBreakBefore w:val="0"/>
              <w:tabs>
                <w:tab w:val="left" w:pos="1878"/>
                <w:tab w:val="center" w:pos="4822"/>
              </w:tabs>
              <w:kinsoku/>
              <w:wordWrap/>
              <w:bidi w:val="0"/>
              <w:jc w:val="center"/>
              <w:outlineLvl w:val="9"/>
              <w:rPr>
                <w:rFonts w:hint="eastAsia" w:ascii="宋体" w:hAnsi="宋体"/>
                <w:sz w:val="21"/>
                <w:szCs w:val="21"/>
                <w:highlight w:val="none"/>
                <w:lang w:eastAsia="zh-CN"/>
              </w:rPr>
            </w:pPr>
            <w:r>
              <w:rPr>
                <w:rFonts w:hint="eastAsia" w:ascii="宋体" w:hAnsi="宋体"/>
                <w:sz w:val="21"/>
                <w:szCs w:val="21"/>
                <w:highlight w:val="none"/>
                <w:lang w:eastAsia="zh-CN"/>
              </w:rPr>
              <w:t>图2-1 给排水水平衡图  单位（m</w:t>
            </w:r>
            <w:r>
              <w:rPr>
                <w:rFonts w:hint="eastAsia" w:ascii="宋体" w:hAnsi="宋体"/>
                <w:sz w:val="21"/>
                <w:szCs w:val="21"/>
                <w:highlight w:val="none"/>
                <w:vertAlign w:val="superscript"/>
                <w:lang w:eastAsia="zh-CN"/>
              </w:rPr>
              <w:t>3</w:t>
            </w:r>
            <w:r>
              <w:rPr>
                <w:rFonts w:hint="eastAsia" w:ascii="宋体" w:hAnsi="宋体"/>
                <w:sz w:val="21"/>
                <w:szCs w:val="21"/>
                <w:highlight w:val="none"/>
                <w:lang w:eastAsia="zh-CN"/>
              </w:rPr>
              <w:t>/d）</w:t>
            </w:r>
          </w:p>
          <w:p w14:paraId="22B3A825">
            <w:pPr>
              <w:pStyle w:val="2"/>
              <w:pageBreakBefore w:val="0"/>
              <w:kinsoku/>
              <w:wordWrap/>
              <w:bidi w:val="0"/>
              <w:ind w:firstLine="241" w:firstLineChars="100"/>
              <w:outlineLvl w:val="9"/>
              <w:rPr>
                <w:sz w:val="24"/>
                <w:szCs w:val="24"/>
                <w:lang w:eastAsia="zh-CN"/>
              </w:rPr>
            </w:pPr>
            <w:r>
              <w:rPr>
                <w:rFonts w:hint="eastAsia"/>
                <w:sz w:val="24"/>
                <w:szCs w:val="24"/>
                <w:lang w:eastAsia="zh-CN"/>
              </w:rPr>
              <w:t>（4）供电</w:t>
            </w:r>
          </w:p>
          <w:p w14:paraId="6146627D">
            <w:pPr>
              <w:pStyle w:val="2"/>
              <w:pageBreakBefore w:val="0"/>
              <w:kinsoku/>
              <w:wordWrap/>
              <w:bidi w:val="0"/>
              <w:ind w:firstLine="480" w:firstLineChars="200"/>
              <w:outlineLvl w:val="9"/>
              <w:rPr>
                <w:rFonts w:cs="Times New Roman"/>
                <w:b w:val="0"/>
                <w:sz w:val="24"/>
                <w:szCs w:val="24"/>
                <w:lang w:eastAsia="zh-CN"/>
              </w:rPr>
            </w:pPr>
            <w:r>
              <w:rPr>
                <w:rFonts w:cs="Times New Roman"/>
                <w:b w:val="0"/>
                <w:sz w:val="24"/>
                <w:szCs w:val="24"/>
                <w:lang w:eastAsia="zh-CN"/>
              </w:rPr>
              <w:t>项目年用电量约</w:t>
            </w:r>
            <w:r>
              <w:rPr>
                <w:rFonts w:hint="eastAsia" w:cs="Times New Roman"/>
                <w:b w:val="0"/>
                <w:sz w:val="24"/>
                <w:szCs w:val="24"/>
                <w:lang w:val="en-US" w:eastAsia="zh-CN"/>
              </w:rPr>
              <w:t>2000</w:t>
            </w:r>
            <w:r>
              <w:rPr>
                <w:rFonts w:cs="Times New Roman"/>
                <w:b w:val="0"/>
                <w:sz w:val="24"/>
                <w:szCs w:val="24"/>
                <w:lang w:eastAsia="zh-CN"/>
              </w:rPr>
              <w:t>万kW</w:t>
            </w:r>
            <w:r>
              <w:rPr>
                <w:rFonts w:hint="eastAsia" w:cs="Times New Roman"/>
                <w:b w:val="0"/>
                <w:sz w:val="24"/>
                <w:szCs w:val="24"/>
                <w:lang w:eastAsia="zh-CN"/>
              </w:rPr>
              <w:t>·</w:t>
            </w:r>
            <w:r>
              <w:rPr>
                <w:rFonts w:cs="Times New Roman"/>
                <w:b w:val="0"/>
                <w:sz w:val="24"/>
                <w:szCs w:val="24"/>
                <w:lang w:eastAsia="zh-CN"/>
              </w:rPr>
              <w:t>h，由</w:t>
            </w:r>
            <w:r>
              <w:rPr>
                <w:rFonts w:hint="eastAsia" w:cs="Times New Roman"/>
                <w:b w:val="0"/>
                <w:sz w:val="24"/>
                <w:szCs w:val="24"/>
                <w:lang w:val="en-US" w:eastAsia="zh-CN"/>
              </w:rPr>
              <w:t>园区</w:t>
            </w:r>
            <w:r>
              <w:rPr>
                <w:rFonts w:cs="Times New Roman"/>
                <w:b w:val="0"/>
                <w:sz w:val="24"/>
                <w:szCs w:val="24"/>
                <w:lang w:eastAsia="zh-CN"/>
              </w:rPr>
              <w:t>供电，可以满足项目生产及生活需求。</w:t>
            </w:r>
          </w:p>
          <w:p w14:paraId="643D4773">
            <w:pPr>
              <w:pStyle w:val="2"/>
              <w:pageBreakBefore w:val="0"/>
              <w:kinsoku/>
              <w:wordWrap/>
              <w:bidi w:val="0"/>
              <w:spacing w:before="120" w:beforeLines="50"/>
              <w:outlineLvl w:val="9"/>
              <w:rPr>
                <w:lang w:eastAsia="zh-CN"/>
              </w:rPr>
            </w:pPr>
            <w:r>
              <w:rPr>
                <w:rFonts w:hint="eastAsia"/>
                <w:lang w:eastAsia="zh-CN"/>
              </w:rPr>
              <w:t>10.其他</w:t>
            </w:r>
          </w:p>
          <w:p w14:paraId="181DE7CB">
            <w:pPr>
              <w:pStyle w:val="2"/>
              <w:pageBreakBefore w:val="0"/>
              <w:kinsoku/>
              <w:wordWrap/>
              <w:bidi w:val="0"/>
              <w:ind w:firstLine="480" w:firstLineChars="200"/>
              <w:outlineLvl w:val="9"/>
              <w:rPr>
                <w:rFonts w:hint="default" w:ascii="Times New Roman" w:hAnsi="Times New Roman" w:eastAsia="宋体" w:cs="Times New Roman"/>
                <w:b w:val="0"/>
                <w:sz w:val="24"/>
                <w:szCs w:val="24"/>
                <w:highlight w:val="yellow"/>
                <w:lang w:val="en-US" w:eastAsia="zh-CN"/>
              </w:rPr>
            </w:pPr>
            <w:r>
              <w:rPr>
                <w:rFonts w:hint="eastAsia" w:cs="Times New Roman"/>
                <w:b w:val="0"/>
                <w:sz w:val="24"/>
                <w:szCs w:val="24"/>
                <w:lang w:eastAsia="zh-CN"/>
              </w:rPr>
              <w:t>本项目不设食堂、洗浴及宿舍等配套设施。</w:t>
            </w:r>
          </w:p>
        </w:tc>
      </w:tr>
      <w:tr w14:paraId="671800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0" w:hRule="atLeast"/>
        </w:trPr>
        <w:tc>
          <w:tcPr>
            <w:tcW w:w="129" w:type="pct"/>
            <w:tcBorders>
              <w:top w:val="single" w:color="000000" w:sz="4" w:space="0"/>
              <w:bottom w:val="single" w:color="000000" w:sz="4" w:space="0"/>
              <w:right w:val="single" w:color="000000" w:sz="4" w:space="0"/>
            </w:tcBorders>
            <w:vAlign w:val="center"/>
          </w:tcPr>
          <w:p w14:paraId="33525958">
            <w:pPr>
              <w:pStyle w:val="34"/>
              <w:pageBreakBefore w:val="0"/>
              <w:kinsoku/>
              <w:wordWrap/>
              <w:bidi w:val="0"/>
              <w:jc w:val="center"/>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工艺流程和产排污环节</w:t>
            </w:r>
          </w:p>
        </w:tc>
        <w:tc>
          <w:tcPr>
            <w:tcW w:w="4871" w:type="pct"/>
            <w:tcBorders>
              <w:top w:val="single" w:color="000000" w:sz="4" w:space="0"/>
              <w:left w:val="single" w:color="000000" w:sz="4" w:space="0"/>
              <w:bottom w:val="single" w:color="000000" w:sz="4" w:space="0"/>
            </w:tcBorders>
          </w:tcPr>
          <w:p w14:paraId="06D15ACF">
            <w:pPr>
              <w:pageBreakBefore w:val="0"/>
              <w:numPr>
                <w:ilvl w:val="0"/>
                <w:numId w:val="0"/>
              </w:numPr>
              <w:kinsoku/>
              <w:wordWrap/>
              <w:bidi w:val="0"/>
              <w:adjustRightInd w:val="0"/>
              <w:spacing w:line="360" w:lineRule="auto"/>
              <w:jc w:val="both"/>
              <w:rPr>
                <w:lang w:eastAsia="zh-CN"/>
              </w:rPr>
            </w:pPr>
            <w:r>
              <w:rPr>
                <w:rFonts w:hint="eastAsia" w:ascii="Times New Roman" w:hAnsi="Times New Roman" w:cs="微软雅黑"/>
                <w:b/>
                <w:sz w:val="28"/>
                <w:szCs w:val="36"/>
                <w:lang w:val="en-US" w:eastAsia="zh-CN"/>
              </w:rPr>
              <w:t>1.</w:t>
            </w:r>
            <w:r>
              <w:rPr>
                <w:rFonts w:hint="eastAsia" w:ascii="Times New Roman" w:hAnsi="Times New Roman" w:cs="微软雅黑"/>
                <w:b/>
                <w:sz w:val="28"/>
                <w:szCs w:val="36"/>
                <w:lang w:eastAsia="zh-CN"/>
              </w:rPr>
              <w:t>施工工序及产污节点</w:t>
            </w:r>
          </w:p>
          <w:p w14:paraId="471AF4F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施工期主要</w:t>
            </w:r>
            <w:r>
              <w:rPr>
                <w:rFonts w:hint="eastAsia" w:ascii="宋体" w:hAnsi="宋体" w:eastAsia="宋体" w:cs="宋体"/>
                <w:b/>
                <w:bCs/>
                <w:color w:val="auto"/>
                <w:sz w:val="24"/>
                <w:szCs w:val="24"/>
                <w:lang w:eastAsia="zh-CN"/>
              </w:rPr>
              <w:t>工艺流程</w:t>
            </w:r>
            <w:r>
              <w:rPr>
                <w:rFonts w:hint="eastAsia" w:ascii="宋体" w:hAnsi="宋体" w:eastAsia="宋体" w:cs="宋体"/>
                <w:b/>
                <w:bCs/>
                <w:color w:val="auto"/>
                <w:sz w:val="24"/>
                <w:szCs w:val="24"/>
              </w:rPr>
              <w:t>及产污节点</w:t>
            </w:r>
          </w:p>
          <w:p w14:paraId="7806F5DA">
            <w:pPr>
              <w:keepNext w:val="0"/>
              <w:keepLines w:val="0"/>
              <w:pageBreakBefore w:val="0"/>
              <w:widowControl w:val="0"/>
              <w:numPr>
                <w:ilvl w:val="0"/>
                <w:numId w:val="3"/>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工艺流程</w:t>
            </w:r>
          </w:p>
          <w:p w14:paraId="6F7C6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b/>
                <w:bCs w:val="0"/>
                <w:color w:val="auto"/>
                <w:kern w:val="0"/>
                <w:sz w:val="24"/>
                <w:szCs w:val="24"/>
                <w:lang w:val="en-US" w:eastAsia="zh-CN" w:bidi="ar"/>
              </w:rPr>
            </w:pPr>
            <w:r>
              <w:rPr>
                <w:rFonts w:hint="eastAsia" w:ascii="宋体" w:hAnsi="宋体" w:eastAsia="宋体" w:cs="宋体"/>
                <w:color w:val="auto"/>
                <w:kern w:val="2"/>
                <w:sz w:val="24"/>
                <w:szCs w:val="24"/>
                <w:lang w:val="en-US" w:eastAsia="zh-CN" w:bidi="ar"/>
              </w:rPr>
              <w:t>施工期主要工艺流程及产污环节见下图。</w:t>
            </w:r>
          </w:p>
          <w:p w14:paraId="039F1777">
            <w:pPr>
              <w:pStyle w:val="3"/>
              <w:pageBreakBefore w:val="0"/>
              <w:kinsoku/>
              <w:wordWrap/>
              <w:bidi w:val="0"/>
              <w:jc w:val="center"/>
              <w:outlineLvl w:val="9"/>
              <w:rPr>
                <w:rFonts w:hint="eastAsia" w:cs="微软雅黑"/>
                <w:b/>
                <w:sz w:val="21"/>
                <w:szCs w:val="21"/>
                <w:lang w:eastAsia="zh-CN"/>
              </w:rPr>
            </w:pPr>
            <w:r>
              <w:drawing>
                <wp:anchor distT="0" distB="0" distL="114300" distR="114300" simplePos="0" relativeHeight="251662336" behindDoc="0" locked="0" layoutInCell="1" allowOverlap="1">
                  <wp:simplePos x="0" y="0"/>
                  <wp:positionH relativeFrom="column">
                    <wp:posOffset>902970</wp:posOffset>
                  </wp:positionH>
                  <wp:positionV relativeFrom="paragraph">
                    <wp:posOffset>165100</wp:posOffset>
                  </wp:positionV>
                  <wp:extent cx="3986530" cy="1012825"/>
                  <wp:effectExtent l="0" t="0" r="13970" b="15875"/>
                  <wp:wrapTopAndBottom/>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0"/>
                          <a:stretch>
                            <a:fillRect/>
                          </a:stretch>
                        </pic:blipFill>
                        <pic:spPr>
                          <a:xfrm>
                            <a:off x="0" y="0"/>
                            <a:ext cx="3986530" cy="1012825"/>
                          </a:xfrm>
                          <a:prstGeom prst="rect">
                            <a:avLst/>
                          </a:prstGeom>
                          <a:noFill/>
                          <a:ln>
                            <a:noFill/>
                          </a:ln>
                        </pic:spPr>
                      </pic:pic>
                    </a:graphicData>
                  </a:graphic>
                </wp:anchor>
              </w:drawing>
            </w:r>
            <w:r>
              <w:rPr>
                <w:rFonts w:hint="eastAsia" w:cs="微软雅黑"/>
                <w:b/>
                <w:sz w:val="21"/>
                <w:szCs w:val="21"/>
                <w:lang w:eastAsia="zh-CN"/>
              </w:rPr>
              <w:t>图</w:t>
            </w:r>
            <w:r>
              <w:rPr>
                <w:rFonts w:hint="default" w:ascii="Times New Roman" w:hAnsi="Times New Roman" w:cs="Times New Roman"/>
                <w:b/>
                <w:sz w:val="21"/>
                <w:szCs w:val="21"/>
                <w:lang w:eastAsia="zh-CN"/>
              </w:rPr>
              <w:t>2-2</w:t>
            </w:r>
            <w:r>
              <w:rPr>
                <w:rFonts w:hint="eastAsia" w:cs="微软雅黑"/>
                <w:b/>
                <w:sz w:val="21"/>
                <w:szCs w:val="21"/>
                <w:lang w:eastAsia="zh-CN"/>
              </w:rPr>
              <w:t xml:space="preserve"> 生产工艺流程及产污节点图</w:t>
            </w:r>
          </w:p>
          <w:p w14:paraId="002BF322">
            <w:pPr>
              <w:keepNext w:val="0"/>
              <w:keepLines w:val="0"/>
              <w:pageBreakBefore w:val="0"/>
              <w:widowControl w:val="0"/>
              <w:numPr>
                <w:ilvl w:val="0"/>
                <w:numId w:val="3"/>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产污环节分析</w:t>
            </w:r>
          </w:p>
          <w:p w14:paraId="3D505F3A">
            <w:pPr>
              <w:pStyle w:val="23"/>
              <w:keepNext w:val="0"/>
              <w:keepLines w:val="0"/>
              <w:pageBreakBefore w:val="0"/>
              <w:widowControl w:val="0"/>
              <w:suppressLineNumbers w:val="0"/>
              <w:kinsoku/>
              <w:wordWrap/>
              <w:bidi w:val="0"/>
              <w:spacing w:before="0" w:beforeAutospacing="0" w:after="0" w:afterAutospacing="0" w:line="360" w:lineRule="auto"/>
              <w:ind w:left="0" w:right="0" w:firstLine="460" w:firstLineChars="192"/>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废气：土建工程的土方挖填、运输过程产生的扬尘及施工设备和运输设备产生的废气。</w:t>
            </w:r>
          </w:p>
          <w:p w14:paraId="457649F7">
            <w:pPr>
              <w:pStyle w:val="23"/>
              <w:keepNext w:val="0"/>
              <w:keepLines w:val="0"/>
              <w:pageBreakBefore w:val="0"/>
              <w:widowControl w:val="0"/>
              <w:suppressLineNumbers w:val="0"/>
              <w:kinsoku/>
              <w:wordWrap/>
              <w:bidi w:val="0"/>
              <w:spacing w:before="0" w:beforeAutospacing="0" w:after="0" w:afterAutospacing="0" w:line="360" w:lineRule="auto"/>
              <w:ind w:left="0" w:right="0" w:firstLine="460" w:firstLineChars="192"/>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废水：主要为施工废水。施工废水主要来源于清洗机具、运输车辆等少量废水。</w:t>
            </w:r>
          </w:p>
          <w:p w14:paraId="41C0F2E9">
            <w:pPr>
              <w:pStyle w:val="23"/>
              <w:keepNext w:val="0"/>
              <w:keepLines w:val="0"/>
              <w:pageBreakBefore w:val="0"/>
              <w:widowControl w:val="0"/>
              <w:suppressLineNumbers w:val="0"/>
              <w:kinsoku/>
              <w:wordWrap/>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噪声：运输车辆产生的噪声、设备安装</w:t>
            </w:r>
            <w:r>
              <w:rPr>
                <w:rFonts w:hint="default" w:ascii="Times New Roman" w:hAnsi="Times New Roman" w:eastAsia="宋体" w:cs="Times New Roman"/>
                <w:color w:val="auto"/>
                <w:kern w:val="2"/>
                <w:sz w:val="24"/>
                <w:szCs w:val="24"/>
                <w:lang w:val="en-US" w:eastAsia="zh-CN" w:bidi="ar"/>
              </w:rPr>
              <w:t>过程中产生的噪声。</w:t>
            </w:r>
          </w:p>
          <w:p w14:paraId="2FDA9279">
            <w:pPr>
              <w:keepNext w:val="0"/>
              <w:keepLines w:val="0"/>
              <w:pageBreakBefore w:val="0"/>
              <w:widowControl w:val="0"/>
              <w:suppressLineNumbers w:val="0"/>
              <w:kinsoku/>
              <w:wordWrap/>
              <w:topLinePunct/>
              <w:bidi w:val="0"/>
              <w:adjustRightInd w:val="0"/>
              <w:spacing w:before="0" w:beforeAutospacing="0" w:after="0" w:afterAutospacing="0" w:line="360" w:lineRule="auto"/>
              <w:ind w:left="0" w:right="0" w:firstLine="480" w:firstLineChars="200"/>
              <w:jc w:val="both"/>
              <w:rPr>
                <w:rFonts w:hint="default" w:ascii="Times New Roman" w:hAnsi="Times New Roman" w:eastAsia="宋体" w:cs="Times New Roman"/>
                <w:bCs/>
                <w:color w:val="auto"/>
                <w:kern w:val="0"/>
                <w:sz w:val="24"/>
                <w:szCs w:val="24"/>
              </w:rPr>
            </w:pPr>
            <w:r>
              <w:rPr>
                <w:rFonts w:hint="default" w:ascii="Times New Roman" w:hAnsi="Times New Roman" w:eastAsia="宋体" w:cs="Times New Roman"/>
                <w:color w:val="auto"/>
                <w:kern w:val="2"/>
                <w:sz w:val="24"/>
                <w:szCs w:val="24"/>
                <w:lang w:val="en-US" w:eastAsia="zh-CN" w:bidi="ar"/>
              </w:rPr>
              <w:t>废渣：主要来源于施工过程中开挖的土石方、建筑垃圾及施工人员产生的生活垃圾。</w:t>
            </w:r>
          </w:p>
          <w:p w14:paraId="3BAA4D51">
            <w:pPr>
              <w:keepNext w:val="0"/>
              <w:keepLines w:val="0"/>
              <w:pageBreakBefore w:val="0"/>
              <w:widowControl w:val="0"/>
              <w:suppressLineNumbers w:val="0"/>
              <w:kinsoku/>
              <w:wordWrap/>
              <w:topLinePunct/>
              <w:bidi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项目施工期主要污染源分析</w:t>
            </w:r>
            <w:r>
              <w:rPr>
                <w:rFonts w:hint="eastAsia" w:ascii="Times New Roman" w:hAnsi="Times New Roman" w:cs="Times New Roman"/>
                <w:color w:val="auto"/>
                <w:kern w:val="0"/>
                <w:sz w:val="24"/>
                <w:szCs w:val="24"/>
                <w:lang w:val="en-US" w:eastAsia="zh-CN" w:bidi="ar"/>
              </w:rPr>
              <w:t>见</w:t>
            </w:r>
            <w:r>
              <w:rPr>
                <w:rFonts w:hint="default" w:ascii="Times New Roman" w:hAnsi="Times New Roman" w:eastAsia="宋体" w:cs="Times New Roman"/>
                <w:color w:val="auto"/>
                <w:kern w:val="0"/>
                <w:sz w:val="24"/>
                <w:szCs w:val="24"/>
                <w:lang w:val="en-US" w:eastAsia="zh-CN" w:bidi="ar"/>
              </w:rPr>
              <w:t>表2-</w:t>
            </w:r>
            <w:r>
              <w:rPr>
                <w:rFonts w:hint="eastAsia" w:ascii="Times New Roman" w:hAnsi="Times New Roman" w:cs="Times New Roman"/>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w:t>
            </w:r>
          </w:p>
          <w:p w14:paraId="7000B4DC">
            <w:pPr>
              <w:pStyle w:val="3"/>
              <w:keepNext/>
              <w:keepLines/>
              <w:pageBreakBefore w:val="0"/>
              <w:widowControl w:val="0"/>
              <w:kinsoku/>
              <w:wordWrap/>
              <w:overflowPunct/>
              <w:topLinePunct w:val="0"/>
              <w:autoSpaceDE w:val="0"/>
              <w:autoSpaceDN w:val="0"/>
              <w:bidi w:val="0"/>
              <w:adjustRightInd/>
              <w:snapToGrid/>
              <w:spacing w:before="0" w:after="0" w:line="240" w:lineRule="auto"/>
              <w:jc w:val="center"/>
              <w:textAlignment w:val="auto"/>
              <w:outlineLvl w:val="9"/>
              <w:rPr>
                <w:rFonts w:hint="default"/>
                <w:b/>
                <w:bCs/>
                <w:sz w:val="21"/>
                <w:szCs w:val="21"/>
                <w:lang w:val="en-US"/>
              </w:rPr>
            </w:pPr>
            <w:r>
              <w:rPr>
                <w:rFonts w:hint="default" w:ascii="Times New Roman" w:hAnsi="Times New Roman" w:eastAsia="宋体" w:cs="Times New Roman"/>
                <w:b/>
                <w:bCs/>
                <w:color w:val="auto"/>
                <w:kern w:val="0"/>
                <w:sz w:val="21"/>
                <w:szCs w:val="21"/>
                <w:lang w:val="en-US" w:eastAsia="zh-CN" w:bidi="ar"/>
              </w:rPr>
              <w:t>表2-7</w:t>
            </w:r>
            <w:r>
              <w:rPr>
                <w:rFonts w:hint="eastAsia" w:ascii="宋体" w:hAnsi="宋体" w:eastAsia="宋体" w:cs="宋体"/>
                <w:b/>
                <w:bCs/>
                <w:color w:val="auto"/>
                <w:kern w:val="0"/>
                <w:sz w:val="21"/>
                <w:szCs w:val="21"/>
                <w:lang w:val="en-US" w:eastAsia="zh-CN" w:bidi="ar"/>
              </w:rPr>
              <w:t xml:space="preserve">  施工期主要污染源</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02"/>
              <w:gridCol w:w="2404"/>
              <w:gridCol w:w="2404"/>
              <w:gridCol w:w="2405"/>
            </w:tblGrid>
            <w:tr w14:paraId="380E62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tcBorders>
                    <w:tl2br w:val="nil"/>
                    <w:tr2bl w:val="nil"/>
                  </w:tcBorders>
                  <w:vAlign w:val="center"/>
                </w:tcPr>
                <w:p w14:paraId="661490B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 w:val="0"/>
                      <w:bCs w:val="0"/>
                      <w:color w:val="auto"/>
                      <w:kern w:val="0"/>
                      <w:sz w:val="24"/>
                      <w:szCs w:val="24"/>
                      <w:vertAlign w:val="baseline"/>
                    </w:rPr>
                  </w:pPr>
                  <w:r>
                    <w:rPr>
                      <w:rFonts w:hint="default" w:ascii="Times New Roman" w:hAnsi="Times New Roman" w:cs="Times New Roman"/>
                      <w:b w:val="0"/>
                      <w:bCs w:val="0"/>
                      <w:color w:val="auto"/>
                      <w:kern w:val="2"/>
                      <w:sz w:val="21"/>
                      <w:szCs w:val="21"/>
                      <w:lang w:val="en-US" w:eastAsia="zh-CN" w:bidi="ar"/>
                    </w:rPr>
                    <w:t>污染类别</w:t>
                  </w:r>
                </w:p>
              </w:tc>
              <w:tc>
                <w:tcPr>
                  <w:tcW w:w="2409" w:type="dxa"/>
                  <w:tcBorders>
                    <w:tl2br w:val="nil"/>
                    <w:tr2bl w:val="nil"/>
                  </w:tcBorders>
                  <w:vAlign w:val="center"/>
                </w:tcPr>
                <w:p w14:paraId="69A34FE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 w:val="0"/>
                      <w:bCs w:val="0"/>
                      <w:color w:val="auto"/>
                      <w:kern w:val="0"/>
                      <w:sz w:val="24"/>
                      <w:szCs w:val="24"/>
                      <w:vertAlign w:val="baseline"/>
                    </w:rPr>
                  </w:pPr>
                  <w:r>
                    <w:rPr>
                      <w:rFonts w:hint="default" w:ascii="Times New Roman" w:hAnsi="Times New Roman" w:cs="Times New Roman"/>
                      <w:b w:val="0"/>
                      <w:bCs w:val="0"/>
                      <w:color w:val="auto"/>
                      <w:kern w:val="2"/>
                      <w:sz w:val="21"/>
                      <w:szCs w:val="21"/>
                      <w:lang w:val="en-US" w:eastAsia="zh-CN" w:bidi="ar"/>
                    </w:rPr>
                    <w:t>污染源名称</w:t>
                  </w:r>
                </w:p>
              </w:tc>
              <w:tc>
                <w:tcPr>
                  <w:tcW w:w="2409" w:type="dxa"/>
                  <w:tcBorders>
                    <w:tl2br w:val="nil"/>
                    <w:tr2bl w:val="nil"/>
                  </w:tcBorders>
                  <w:vAlign w:val="center"/>
                </w:tcPr>
                <w:p w14:paraId="1FE84BB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 w:val="0"/>
                      <w:bCs w:val="0"/>
                      <w:color w:val="auto"/>
                      <w:kern w:val="0"/>
                      <w:sz w:val="24"/>
                      <w:szCs w:val="24"/>
                      <w:vertAlign w:val="baseline"/>
                    </w:rPr>
                  </w:pPr>
                  <w:r>
                    <w:rPr>
                      <w:rFonts w:hint="default" w:ascii="Times New Roman" w:hAnsi="Times New Roman" w:cs="Times New Roman"/>
                      <w:b w:val="0"/>
                      <w:bCs w:val="0"/>
                      <w:color w:val="auto"/>
                      <w:kern w:val="2"/>
                      <w:sz w:val="21"/>
                      <w:szCs w:val="21"/>
                      <w:lang w:val="en-US" w:eastAsia="zh-CN" w:bidi="ar"/>
                    </w:rPr>
                    <w:t>产生工序</w:t>
                  </w:r>
                </w:p>
              </w:tc>
              <w:tc>
                <w:tcPr>
                  <w:tcW w:w="2409" w:type="dxa"/>
                  <w:tcBorders>
                    <w:tl2br w:val="nil"/>
                    <w:tr2bl w:val="nil"/>
                  </w:tcBorders>
                  <w:vAlign w:val="center"/>
                </w:tcPr>
                <w:p w14:paraId="3B0D5A9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 w:val="0"/>
                      <w:bCs w:val="0"/>
                      <w:color w:val="auto"/>
                      <w:kern w:val="0"/>
                      <w:sz w:val="24"/>
                      <w:szCs w:val="24"/>
                      <w:vertAlign w:val="baseline"/>
                    </w:rPr>
                  </w:pPr>
                  <w:r>
                    <w:rPr>
                      <w:rFonts w:hint="default" w:ascii="Times New Roman" w:hAnsi="Times New Roman" w:cs="Times New Roman"/>
                      <w:b w:val="0"/>
                      <w:bCs w:val="0"/>
                      <w:color w:val="auto"/>
                      <w:kern w:val="2"/>
                      <w:sz w:val="21"/>
                      <w:szCs w:val="21"/>
                      <w:lang w:val="en-US" w:eastAsia="zh-CN" w:bidi="ar"/>
                    </w:rPr>
                    <w:t>主要污染因子</w:t>
                  </w:r>
                </w:p>
              </w:tc>
            </w:tr>
            <w:tr w14:paraId="0FADF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restart"/>
                  <w:tcBorders>
                    <w:tl2br w:val="nil"/>
                    <w:tr2bl w:val="nil"/>
                  </w:tcBorders>
                  <w:vAlign w:val="center"/>
                </w:tcPr>
                <w:p w14:paraId="60F5962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废气</w:t>
                  </w:r>
                </w:p>
              </w:tc>
              <w:tc>
                <w:tcPr>
                  <w:tcW w:w="2409" w:type="dxa"/>
                  <w:tcBorders>
                    <w:tl2br w:val="nil"/>
                    <w:tr2bl w:val="nil"/>
                  </w:tcBorders>
                  <w:vAlign w:val="center"/>
                </w:tcPr>
                <w:p w14:paraId="770BE46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堆场、施工场地</w:t>
                  </w:r>
                </w:p>
              </w:tc>
              <w:tc>
                <w:tcPr>
                  <w:tcW w:w="2409" w:type="dxa"/>
                  <w:tcBorders>
                    <w:tl2br w:val="nil"/>
                    <w:tr2bl w:val="nil"/>
                  </w:tcBorders>
                  <w:vAlign w:val="center"/>
                </w:tcPr>
                <w:p w14:paraId="3C5C9F6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施工过程</w:t>
                  </w:r>
                </w:p>
              </w:tc>
              <w:tc>
                <w:tcPr>
                  <w:tcW w:w="2409" w:type="dxa"/>
                  <w:tcBorders>
                    <w:tl2br w:val="nil"/>
                    <w:tr2bl w:val="nil"/>
                  </w:tcBorders>
                  <w:vAlign w:val="center"/>
                </w:tcPr>
                <w:p w14:paraId="6C9BCAD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粉尘</w:t>
                  </w:r>
                </w:p>
              </w:tc>
            </w:tr>
            <w:tr w14:paraId="1B9814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continue"/>
                  <w:tcBorders>
                    <w:tl2br w:val="nil"/>
                    <w:tr2bl w:val="nil"/>
                  </w:tcBorders>
                  <w:vAlign w:val="center"/>
                </w:tcPr>
                <w:p w14:paraId="7BFAD4E3">
                  <w:pPr>
                    <w:keepNext w:val="0"/>
                    <w:keepLines w:val="0"/>
                    <w:pageBreakBefore w:val="0"/>
                    <w:widowControl w:val="0"/>
                    <w:kinsoku/>
                    <w:wordWrap/>
                    <w:overflowPunct/>
                    <w:topLinePunct w:val="0"/>
                    <w:autoSpaceDE w:val="0"/>
                    <w:autoSpaceDN w:val="0"/>
                    <w:bidi w:val="0"/>
                    <w:adjustRightInd/>
                    <w:snapToGrid/>
                    <w:spacing w:line="300" w:lineRule="atLeast"/>
                    <w:jc w:val="center"/>
                    <w:textAlignment w:val="auto"/>
                    <w:rPr>
                      <w:rFonts w:hint="eastAsia" w:ascii="宋体" w:hAnsi="宋体" w:eastAsia="宋体" w:cs="宋体"/>
                      <w:bCs/>
                      <w:color w:val="auto"/>
                      <w:kern w:val="0"/>
                      <w:sz w:val="24"/>
                      <w:szCs w:val="24"/>
                      <w:vertAlign w:val="baseline"/>
                    </w:rPr>
                  </w:pPr>
                </w:p>
              </w:tc>
              <w:tc>
                <w:tcPr>
                  <w:tcW w:w="2409" w:type="dxa"/>
                  <w:tcBorders>
                    <w:tl2br w:val="nil"/>
                    <w:tr2bl w:val="nil"/>
                  </w:tcBorders>
                  <w:vAlign w:val="center"/>
                </w:tcPr>
                <w:p w14:paraId="6F7C1DA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机械动力设备</w:t>
                  </w:r>
                </w:p>
              </w:tc>
              <w:tc>
                <w:tcPr>
                  <w:tcW w:w="2409" w:type="dxa"/>
                  <w:tcBorders>
                    <w:tl2br w:val="nil"/>
                    <w:tr2bl w:val="nil"/>
                  </w:tcBorders>
                  <w:vAlign w:val="center"/>
                </w:tcPr>
                <w:p w14:paraId="6ABBBD9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机械设备运行</w:t>
                  </w:r>
                </w:p>
              </w:tc>
              <w:tc>
                <w:tcPr>
                  <w:tcW w:w="2409" w:type="dxa"/>
                  <w:tcBorders>
                    <w:tl2br w:val="nil"/>
                    <w:tr2bl w:val="nil"/>
                  </w:tcBorders>
                  <w:vAlign w:val="center"/>
                </w:tcPr>
                <w:p w14:paraId="0151795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尾气</w:t>
                  </w:r>
                  <w:r>
                    <w:rPr>
                      <w:rFonts w:hint="eastAsia" w:ascii="Times New Roman" w:hAnsi="Times New Roman" w:cs="Times New Roman"/>
                      <w:color w:val="auto"/>
                      <w:kern w:val="2"/>
                      <w:sz w:val="21"/>
                      <w:szCs w:val="21"/>
                      <w:lang w:val="en-US" w:eastAsia="zh-CN" w:bidi="ar"/>
                    </w:rPr>
                    <w:t>（</w:t>
                  </w:r>
                  <w:r>
                    <w:rPr>
                      <w:rFonts w:hint="default" w:ascii="Times New Roman" w:hAnsi="Times New Roman" w:cs="Times New Roman"/>
                      <w:color w:val="auto"/>
                      <w:kern w:val="2"/>
                      <w:sz w:val="21"/>
                      <w:szCs w:val="21"/>
                      <w:lang w:val="en-US" w:eastAsia="zh-CN" w:bidi="ar"/>
                    </w:rPr>
                    <w:t>SO</w:t>
                  </w:r>
                  <w:r>
                    <w:rPr>
                      <w:rFonts w:hint="default" w:ascii="Times New Roman" w:hAnsi="Times New Roman" w:cs="Times New Roman"/>
                      <w:color w:val="auto"/>
                      <w:kern w:val="2"/>
                      <w:sz w:val="21"/>
                      <w:szCs w:val="21"/>
                      <w:vertAlign w:val="subscript"/>
                      <w:lang w:val="en-US" w:eastAsia="zh-CN" w:bidi="ar"/>
                    </w:rPr>
                    <w:t>2</w:t>
                  </w:r>
                  <w:r>
                    <w:rPr>
                      <w:rFonts w:hint="default" w:ascii="Times New Roman" w:hAnsi="Times New Roman" w:cs="Times New Roman"/>
                      <w:color w:val="auto"/>
                      <w:kern w:val="2"/>
                      <w:sz w:val="21"/>
                      <w:szCs w:val="21"/>
                      <w:lang w:val="en-US" w:eastAsia="zh-CN" w:bidi="ar"/>
                    </w:rPr>
                    <w:t>、颗粒物、总烃、CO</w:t>
                  </w:r>
                  <w:r>
                    <w:rPr>
                      <w:rFonts w:hint="eastAsia" w:ascii="宋体" w:hAnsi="宋体" w:eastAsia="宋体" w:cs="宋体"/>
                      <w:color w:val="auto"/>
                      <w:kern w:val="2"/>
                      <w:sz w:val="21"/>
                      <w:szCs w:val="21"/>
                      <w:lang w:val="en-US" w:eastAsia="zh-CN" w:bidi="ar"/>
                    </w:rPr>
                    <w:t>、</w:t>
                  </w:r>
                  <w:r>
                    <w:rPr>
                      <w:rFonts w:hint="default" w:ascii="Times New Roman" w:hAnsi="Times New Roman" w:cs="Times New Roman"/>
                      <w:color w:val="auto"/>
                      <w:kern w:val="2"/>
                      <w:sz w:val="21"/>
                      <w:szCs w:val="21"/>
                      <w:lang w:val="en-US" w:eastAsia="zh-CN" w:bidi="ar"/>
                    </w:rPr>
                    <w:t>NO</w:t>
                  </w:r>
                  <w:r>
                    <w:rPr>
                      <w:rFonts w:hint="eastAsia" w:ascii="Times New Roman" w:hAnsi="Times New Roman" w:cs="Times New Roman"/>
                      <w:color w:val="auto"/>
                      <w:kern w:val="2"/>
                      <w:sz w:val="21"/>
                      <w:szCs w:val="21"/>
                      <w:lang w:val="en-US" w:eastAsia="zh-CN" w:bidi="ar"/>
                    </w:rPr>
                    <w:t>x）</w:t>
                  </w:r>
                </w:p>
              </w:tc>
            </w:tr>
            <w:tr w14:paraId="5D4EEC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tcBorders>
                    <w:tl2br w:val="nil"/>
                    <w:tr2bl w:val="nil"/>
                  </w:tcBorders>
                  <w:vAlign w:val="center"/>
                </w:tcPr>
                <w:p w14:paraId="73680E3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废水</w:t>
                  </w:r>
                </w:p>
              </w:tc>
              <w:tc>
                <w:tcPr>
                  <w:tcW w:w="2409" w:type="dxa"/>
                  <w:tcBorders>
                    <w:tl2br w:val="nil"/>
                    <w:tr2bl w:val="nil"/>
                  </w:tcBorders>
                  <w:vAlign w:val="center"/>
                </w:tcPr>
                <w:p w14:paraId="6094797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施工废水</w:t>
                  </w:r>
                </w:p>
              </w:tc>
              <w:tc>
                <w:tcPr>
                  <w:tcW w:w="2409" w:type="dxa"/>
                  <w:tcBorders>
                    <w:tl2br w:val="nil"/>
                    <w:tr2bl w:val="nil"/>
                  </w:tcBorders>
                  <w:vAlign w:val="center"/>
                </w:tcPr>
                <w:p w14:paraId="6AC2ACC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施工作业过程</w:t>
                  </w:r>
                </w:p>
              </w:tc>
              <w:tc>
                <w:tcPr>
                  <w:tcW w:w="2409" w:type="dxa"/>
                  <w:tcBorders>
                    <w:tl2br w:val="nil"/>
                    <w:tr2bl w:val="nil"/>
                  </w:tcBorders>
                  <w:vAlign w:val="center"/>
                </w:tcPr>
                <w:p w14:paraId="3193E4C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SS</w:t>
                  </w:r>
                </w:p>
              </w:tc>
            </w:tr>
            <w:tr w14:paraId="57EA8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restart"/>
                  <w:tcBorders>
                    <w:tl2br w:val="nil"/>
                    <w:tr2bl w:val="nil"/>
                  </w:tcBorders>
                  <w:vAlign w:val="center"/>
                </w:tcPr>
                <w:p w14:paraId="40BA2BE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噪声</w:t>
                  </w:r>
                </w:p>
              </w:tc>
              <w:tc>
                <w:tcPr>
                  <w:tcW w:w="2409" w:type="dxa"/>
                  <w:tcBorders>
                    <w:tl2br w:val="nil"/>
                    <w:tr2bl w:val="nil"/>
                  </w:tcBorders>
                  <w:vAlign w:val="center"/>
                </w:tcPr>
                <w:p w14:paraId="2AE07CB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施工设备</w:t>
                  </w:r>
                </w:p>
              </w:tc>
              <w:tc>
                <w:tcPr>
                  <w:tcW w:w="2409" w:type="dxa"/>
                  <w:tcBorders>
                    <w:tl2br w:val="nil"/>
                    <w:tr2bl w:val="nil"/>
                  </w:tcBorders>
                  <w:vAlign w:val="center"/>
                </w:tcPr>
                <w:p w14:paraId="2A71680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施工设备运行</w:t>
                  </w:r>
                </w:p>
              </w:tc>
              <w:tc>
                <w:tcPr>
                  <w:tcW w:w="2409" w:type="dxa"/>
                  <w:tcBorders>
                    <w:tl2br w:val="nil"/>
                    <w:tr2bl w:val="nil"/>
                  </w:tcBorders>
                  <w:vAlign w:val="center"/>
                </w:tcPr>
                <w:p w14:paraId="2302132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机械噪声</w:t>
                  </w:r>
                </w:p>
              </w:tc>
            </w:tr>
            <w:tr w14:paraId="37EDCC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continue"/>
                  <w:tcBorders>
                    <w:tl2br w:val="nil"/>
                    <w:tr2bl w:val="nil"/>
                  </w:tcBorders>
                  <w:vAlign w:val="center"/>
                </w:tcPr>
                <w:p w14:paraId="5B011689">
                  <w:pPr>
                    <w:keepNext w:val="0"/>
                    <w:keepLines w:val="0"/>
                    <w:pageBreakBefore w:val="0"/>
                    <w:widowControl w:val="0"/>
                    <w:kinsoku/>
                    <w:wordWrap/>
                    <w:overflowPunct/>
                    <w:topLinePunct w:val="0"/>
                    <w:autoSpaceDE w:val="0"/>
                    <w:autoSpaceDN w:val="0"/>
                    <w:bidi w:val="0"/>
                    <w:adjustRightInd/>
                    <w:snapToGrid/>
                    <w:spacing w:line="300" w:lineRule="atLeast"/>
                    <w:jc w:val="center"/>
                    <w:textAlignment w:val="auto"/>
                    <w:rPr>
                      <w:rFonts w:hint="eastAsia" w:ascii="宋体" w:hAnsi="宋体" w:eastAsia="宋体" w:cs="宋体"/>
                      <w:bCs/>
                      <w:color w:val="auto"/>
                      <w:kern w:val="0"/>
                      <w:sz w:val="24"/>
                      <w:szCs w:val="24"/>
                      <w:vertAlign w:val="baseline"/>
                    </w:rPr>
                  </w:pPr>
                </w:p>
              </w:tc>
              <w:tc>
                <w:tcPr>
                  <w:tcW w:w="2409" w:type="dxa"/>
                  <w:tcBorders>
                    <w:tl2br w:val="nil"/>
                    <w:tr2bl w:val="nil"/>
                  </w:tcBorders>
                  <w:vAlign w:val="center"/>
                </w:tcPr>
                <w:p w14:paraId="4CF5DF86">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运输车辆</w:t>
                  </w:r>
                </w:p>
              </w:tc>
              <w:tc>
                <w:tcPr>
                  <w:tcW w:w="2409" w:type="dxa"/>
                  <w:tcBorders>
                    <w:tl2br w:val="nil"/>
                    <w:tr2bl w:val="nil"/>
                  </w:tcBorders>
                  <w:vAlign w:val="center"/>
                </w:tcPr>
                <w:p w14:paraId="1B5BB54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运输车辆行驶</w:t>
                  </w:r>
                </w:p>
              </w:tc>
              <w:tc>
                <w:tcPr>
                  <w:tcW w:w="2409" w:type="dxa"/>
                  <w:tcBorders>
                    <w:tl2br w:val="nil"/>
                    <w:tr2bl w:val="nil"/>
                  </w:tcBorders>
                  <w:vAlign w:val="center"/>
                </w:tcPr>
                <w:p w14:paraId="0D72DA9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交通噪声</w:t>
                  </w:r>
                </w:p>
              </w:tc>
            </w:tr>
            <w:tr w14:paraId="7588E0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continue"/>
                  <w:tcBorders>
                    <w:tl2br w:val="nil"/>
                    <w:tr2bl w:val="nil"/>
                  </w:tcBorders>
                  <w:vAlign w:val="center"/>
                </w:tcPr>
                <w:p w14:paraId="22419A6B">
                  <w:pPr>
                    <w:keepNext w:val="0"/>
                    <w:keepLines w:val="0"/>
                    <w:pageBreakBefore w:val="0"/>
                    <w:widowControl w:val="0"/>
                    <w:kinsoku/>
                    <w:wordWrap/>
                    <w:overflowPunct/>
                    <w:topLinePunct w:val="0"/>
                    <w:autoSpaceDE w:val="0"/>
                    <w:autoSpaceDN w:val="0"/>
                    <w:bidi w:val="0"/>
                    <w:adjustRightInd/>
                    <w:snapToGrid/>
                    <w:spacing w:line="300" w:lineRule="atLeast"/>
                    <w:jc w:val="center"/>
                    <w:textAlignment w:val="auto"/>
                    <w:rPr>
                      <w:rFonts w:hint="eastAsia" w:ascii="宋体" w:hAnsi="宋体" w:eastAsia="宋体" w:cs="宋体"/>
                      <w:bCs/>
                      <w:color w:val="auto"/>
                      <w:kern w:val="0"/>
                      <w:sz w:val="24"/>
                      <w:szCs w:val="24"/>
                      <w:vertAlign w:val="baseline"/>
                    </w:rPr>
                  </w:pPr>
                </w:p>
              </w:tc>
              <w:tc>
                <w:tcPr>
                  <w:tcW w:w="2409" w:type="dxa"/>
                  <w:tcBorders>
                    <w:tl2br w:val="nil"/>
                    <w:tr2bl w:val="nil"/>
                  </w:tcBorders>
                  <w:vAlign w:val="center"/>
                </w:tcPr>
                <w:p w14:paraId="617B01B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施工人员</w:t>
                  </w:r>
                </w:p>
              </w:tc>
              <w:tc>
                <w:tcPr>
                  <w:tcW w:w="2409" w:type="dxa"/>
                  <w:tcBorders>
                    <w:tl2br w:val="nil"/>
                    <w:tr2bl w:val="nil"/>
                  </w:tcBorders>
                  <w:vAlign w:val="center"/>
                </w:tcPr>
                <w:p w14:paraId="63C107A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人员施工、生活</w:t>
                  </w:r>
                </w:p>
              </w:tc>
              <w:tc>
                <w:tcPr>
                  <w:tcW w:w="2409" w:type="dxa"/>
                  <w:tcBorders>
                    <w:tl2br w:val="nil"/>
                    <w:tr2bl w:val="nil"/>
                  </w:tcBorders>
                  <w:vAlign w:val="center"/>
                </w:tcPr>
                <w:p w14:paraId="4F5D41E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生活噪声</w:t>
                  </w:r>
                </w:p>
              </w:tc>
            </w:tr>
            <w:tr w14:paraId="53818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restart"/>
                  <w:tcBorders>
                    <w:tl2br w:val="nil"/>
                    <w:tr2bl w:val="nil"/>
                  </w:tcBorders>
                  <w:vAlign w:val="center"/>
                </w:tcPr>
                <w:p w14:paraId="7A32834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固体废物</w:t>
                  </w:r>
                </w:p>
              </w:tc>
              <w:tc>
                <w:tcPr>
                  <w:tcW w:w="2409" w:type="dxa"/>
                  <w:tcBorders>
                    <w:tl2br w:val="nil"/>
                    <w:tr2bl w:val="nil"/>
                  </w:tcBorders>
                  <w:vAlign w:val="center"/>
                </w:tcPr>
                <w:p w14:paraId="205CA11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建筑垃圾</w:t>
                  </w:r>
                </w:p>
              </w:tc>
              <w:tc>
                <w:tcPr>
                  <w:tcW w:w="2409" w:type="dxa"/>
                  <w:tcBorders>
                    <w:tl2br w:val="nil"/>
                    <w:tr2bl w:val="nil"/>
                  </w:tcBorders>
                  <w:vAlign w:val="center"/>
                </w:tcPr>
                <w:p w14:paraId="75E8A0B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施工过程</w:t>
                  </w:r>
                </w:p>
              </w:tc>
              <w:tc>
                <w:tcPr>
                  <w:tcW w:w="2409" w:type="dxa"/>
                  <w:tcBorders>
                    <w:tl2br w:val="nil"/>
                    <w:tr2bl w:val="nil"/>
                  </w:tcBorders>
                  <w:vAlign w:val="center"/>
                </w:tcPr>
                <w:p w14:paraId="556BFCB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土石方、建材等建筑垃圾</w:t>
                  </w:r>
                </w:p>
              </w:tc>
            </w:tr>
            <w:tr w14:paraId="3A6AB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vMerge w:val="continue"/>
                  <w:tcBorders>
                    <w:tl2br w:val="nil"/>
                    <w:tr2bl w:val="nil"/>
                  </w:tcBorders>
                  <w:vAlign w:val="center"/>
                </w:tcPr>
                <w:p w14:paraId="7A672CA6">
                  <w:pPr>
                    <w:keepNext w:val="0"/>
                    <w:keepLines w:val="0"/>
                    <w:pageBreakBefore w:val="0"/>
                    <w:widowControl w:val="0"/>
                    <w:kinsoku/>
                    <w:wordWrap/>
                    <w:overflowPunct/>
                    <w:topLinePunct w:val="0"/>
                    <w:autoSpaceDE w:val="0"/>
                    <w:autoSpaceDN w:val="0"/>
                    <w:bidi w:val="0"/>
                    <w:adjustRightInd/>
                    <w:snapToGrid/>
                    <w:spacing w:line="300" w:lineRule="atLeast"/>
                    <w:jc w:val="center"/>
                    <w:textAlignment w:val="auto"/>
                    <w:rPr>
                      <w:rFonts w:hint="eastAsia" w:ascii="宋体" w:hAnsi="宋体" w:eastAsia="宋体" w:cs="宋体"/>
                      <w:bCs/>
                      <w:color w:val="auto"/>
                      <w:kern w:val="0"/>
                      <w:sz w:val="24"/>
                      <w:szCs w:val="24"/>
                      <w:vertAlign w:val="baseline"/>
                    </w:rPr>
                  </w:pPr>
                </w:p>
              </w:tc>
              <w:tc>
                <w:tcPr>
                  <w:tcW w:w="2409" w:type="dxa"/>
                  <w:tcBorders>
                    <w:tl2br w:val="nil"/>
                    <w:tr2bl w:val="nil"/>
                  </w:tcBorders>
                  <w:vAlign w:val="center"/>
                </w:tcPr>
                <w:p w14:paraId="74D193B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生活固废</w:t>
                  </w:r>
                </w:p>
              </w:tc>
              <w:tc>
                <w:tcPr>
                  <w:tcW w:w="2409" w:type="dxa"/>
                  <w:tcBorders>
                    <w:tl2br w:val="nil"/>
                    <w:tr2bl w:val="nil"/>
                  </w:tcBorders>
                  <w:vAlign w:val="center"/>
                </w:tcPr>
                <w:p w14:paraId="60CECD0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施工人员生活</w:t>
                  </w:r>
                </w:p>
              </w:tc>
              <w:tc>
                <w:tcPr>
                  <w:tcW w:w="2409" w:type="dxa"/>
                  <w:tcBorders>
                    <w:tl2br w:val="nil"/>
                    <w:tr2bl w:val="nil"/>
                  </w:tcBorders>
                  <w:vAlign w:val="center"/>
                </w:tcPr>
                <w:p w14:paraId="4A9B621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生活垃圾</w:t>
                  </w:r>
                </w:p>
              </w:tc>
            </w:tr>
            <w:tr w14:paraId="6D3F33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tcBorders>
                    <w:tl2br w:val="nil"/>
                    <w:tr2bl w:val="nil"/>
                  </w:tcBorders>
                  <w:vAlign w:val="center"/>
                </w:tcPr>
                <w:p w14:paraId="038FBCB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生态</w:t>
                  </w:r>
                </w:p>
              </w:tc>
              <w:tc>
                <w:tcPr>
                  <w:tcW w:w="7227" w:type="dxa"/>
                  <w:gridSpan w:val="3"/>
                  <w:tcBorders>
                    <w:tl2br w:val="nil"/>
                    <w:tr2bl w:val="nil"/>
                  </w:tcBorders>
                  <w:vAlign w:val="center"/>
                </w:tcPr>
                <w:p w14:paraId="788D78E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00" w:lineRule="atLeast"/>
                    <w:ind w:left="0" w:leftChars="0" w:right="0" w:rightChars="0"/>
                    <w:jc w:val="center"/>
                    <w:textAlignment w:val="auto"/>
                    <w:rPr>
                      <w:rFonts w:hint="eastAsia" w:ascii="宋体" w:hAnsi="宋体" w:eastAsia="宋体" w:cs="宋体"/>
                      <w:bCs/>
                      <w:color w:val="auto"/>
                      <w:kern w:val="0"/>
                      <w:sz w:val="24"/>
                      <w:szCs w:val="24"/>
                      <w:vertAlign w:val="baseline"/>
                    </w:rPr>
                  </w:pPr>
                  <w:r>
                    <w:rPr>
                      <w:rFonts w:hint="default" w:ascii="Times New Roman" w:hAnsi="Times New Roman" w:cs="Times New Roman"/>
                      <w:color w:val="auto"/>
                      <w:kern w:val="2"/>
                      <w:sz w:val="21"/>
                      <w:szCs w:val="21"/>
                      <w:lang w:val="en-US" w:eastAsia="zh-CN" w:bidi="ar"/>
                    </w:rPr>
                    <w:t>本项目建于</w:t>
                  </w:r>
                  <w:r>
                    <w:rPr>
                      <w:rFonts w:hint="eastAsia" w:ascii="Times New Roman" w:hAnsi="Times New Roman" w:cs="Times New Roman"/>
                      <w:color w:val="auto"/>
                      <w:kern w:val="2"/>
                      <w:sz w:val="21"/>
                      <w:szCs w:val="21"/>
                      <w:lang w:val="en-US" w:eastAsia="zh-CN" w:bidi="ar"/>
                    </w:rPr>
                    <w:t>工业用</w:t>
                  </w:r>
                  <w:r>
                    <w:rPr>
                      <w:rFonts w:hint="default" w:ascii="Times New Roman" w:hAnsi="Times New Roman" w:cs="Times New Roman"/>
                      <w:color w:val="auto"/>
                      <w:kern w:val="2"/>
                      <w:sz w:val="21"/>
                      <w:szCs w:val="21"/>
                      <w:lang w:val="en-US" w:eastAsia="zh-CN" w:bidi="ar"/>
                    </w:rPr>
                    <w:t>地上</w:t>
                  </w:r>
                </w:p>
              </w:tc>
            </w:tr>
          </w:tbl>
          <w:p w14:paraId="51987E4F">
            <w:pPr>
              <w:keepNext w:val="0"/>
              <w:keepLines w:val="0"/>
              <w:pageBreakBefore w:val="0"/>
              <w:widowControl w:val="0"/>
              <w:suppressLineNumbers w:val="0"/>
              <w:kinsoku/>
              <w:wordWrap/>
              <w:topLinePunct/>
              <w:bidi w:val="0"/>
              <w:adjustRightInd w:val="0"/>
              <w:snapToGrid w:val="0"/>
              <w:spacing w:before="0" w:beforeAutospacing="0" w:after="0" w:afterAutospacing="0" w:line="360" w:lineRule="auto"/>
              <w:ind w:left="0" w:right="0" w:firstLine="480" w:firstLineChars="200"/>
              <w:jc w:val="both"/>
              <w:rPr>
                <w:rFonts w:hint="eastAsia" w:ascii="宋体" w:hAnsi="宋体" w:eastAsia="宋体" w:cs="宋体"/>
                <w:bCs/>
                <w:color w:val="auto"/>
                <w:kern w:val="0"/>
                <w:sz w:val="24"/>
                <w:szCs w:val="24"/>
              </w:rPr>
            </w:pPr>
          </w:p>
          <w:p w14:paraId="4359BF1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运营期工艺流程和产污环节</w:t>
            </w:r>
          </w:p>
          <w:p w14:paraId="329BB129">
            <w:pPr>
              <w:pStyle w:val="3"/>
              <w:pageBreakBefore w:val="0"/>
              <w:numPr>
                <w:ilvl w:val="0"/>
                <w:numId w:val="0"/>
              </w:numPr>
              <w:tabs>
                <w:tab w:val="left" w:pos="1686"/>
              </w:tabs>
              <w:kinsoku/>
              <w:wordWrap/>
              <w:overflowPunct w:val="0"/>
              <w:topLinePunct w:val="0"/>
              <w:autoSpaceDE/>
              <w:autoSpaceDN/>
              <w:bidi w:val="0"/>
              <w:adjustRightInd/>
              <w:spacing w:before="0" w:beforeLines="0" w:after="0" w:afterLines="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本项目主要</w:t>
            </w:r>
            <w:r>
              <w:rPr>
                <w:rFonts w:hint="default" w:ascii="Times New Roman" w:hAnsi="Times New Roman" w:eastAsia="宋体" w:cs="Times New Roman"/>
                <w:b w:val="0"/>
                <w:bCs w:val="0"/>
                <w:color w:val="auto"/>
                <w:kern w:val="2"/>
                <w:sz w:val="24"/>
                <w:szCs w:val="24"/>
                <w:lang w:val="en-US" w:eastAsia="zh-CN" w:bidi="ar"/>
              </w:rPr>
              <w:t>生产工艺流程及产污环节见</w:t>
            </w:r>
            <w:r>
              <w:rPr>
                <w:rFonts w:hint="eastAsia" w:ascii="Times New Roman" w:hAnsi="Times New Roman" w:eastAsia="宋体" w:cs="Times New Roman"/>
                <w:b w:val="0"/>
                <w:bCs w:val="0"/>
                <w:color w:val="auto"/>
                <w:kern w:val="2"/>
                <w:sz w:val="24"/>
                <w:szCs w:val="24"/>
                <w:lang w:val="en-US" w:eastAsia="zh-CN" w:bidi="ar"/>
              </w:rPr>
              <w:t>下</w:t>
            </w:r>
            <w:r>
              <w:rPr>
                <w:rFonts w:hint="default" w:ascii="Times New Roman" w:hAnsi="Times New Roman" w:eastAsia="宋体" w:cs="Times New Roman"/>
                <w:b w:val="0"/>
                <w:bCs w:val="0"/>
                <w:color w:val="auto"/>
                <w:kern w:val="2"/>
                <w:sz w:val="24"/>
                <w:szCs w:val="24"/>
                <w:lang w:val="en-US" w:eastAsia="zh-CN" w:bidi="ar"/>
              </w:rPr>
              <w:t>图</w:t>
            </w:r>
            <w:r>
              <w:rPr>
                <w:rFonts w:hint="eastAsia" w:ascii="Times New Roman" w:hAnsi="Times New Roman" w:eastAsia="宋体" w:cs="Times New Roman"/>
                <w:b w:val="0"/>
                <w:bCs w:val="0"/>
                <w:color w:val="auto"/>
                <w:kern w:val="2"/>
                <w:sz w:val="24"/>
                <w:szCs w:val="24"/>
                <w:lang w:val="en-US" w:eastAsia="zh-CN" w:bidi="ar"/>
              </w:rPr>
              <w:t>。</w:t>
            </w:r>
          </w:p>
          <w:p w14:paraId="5B26FCAE">
            <w:pPr>
              <w:pageBreakBefore w:val="0"/>
              <w:kinsoku/>
              <w:wordWrap/>
              <w:bidi w:val="0"/>
              <w:rPr>
                <w:rFonts w:hint="eastAsia"/>
                <w:lang w:val="en-US" w:eastAsia="zh-CN"/>
              </w:rPr>
            </w:pPr>
          </w:p>
          <w:p w14:paraId="2C77AC37">
            <w:pPr>
              <w:pStyle w:val="2"/>
              <w:pageBreakBefore w:val="0"/>
              <w:kinsoku/>
              <w:wordWrap/>
              <w:bidi w:val="0"/>
              <w:jc w:val="center"/>
              <w:outlineLvl w:val="9"/>
              <w:rPr>
                <w:lang w:eastAsia="zh-CN"/>
              </w:rPr>
            </w:pPr>
            <w:r>
              <w:rPr>
                <w:rFonts w:hint="eastAsia"/>
                <w:lang w:val="en-US" w:eastAsia="zh-CN"/>
              </w:rPr>
              <w:t>略</w:t>
            </w:r>
          </w:p>
          <w:p w14:paraId="5A8D3CCF">
            <w:pPr>
              <w:pageBreakBefore w:val="0"/>
              <w:tabs>
                <w:tab w:val="left" w:pos="823"/>
              </w:tabs>
              <w:kinsoku/>
              <w:wordWrap/>
              <w:bidi w:val="0"/>
              <w:spacing w:line="360" w:lineRule="auto"/>
              <w:jc w:val="center"/>
              <w:rPr>
                <w:rFonts w:hint="default" w:ascii="宋体" w:hAnsi="宋体" w:eastAsia="宋体" w:cs="宋体"/>
                <w:b/>
                <w:bCs/>
                <w:sz w:val="21"/>
                <w:szCs w:val="21"/>
                <w:lang w:val="en-US" w:eastAsia="zh-CN"/>
              </w:rPr>
            </w:pPr>
          </w:p>
          <w:p w14:paraId="0953DBB1">
            <w:pPr>
              <w:pageBreakBefore w:val="0"/>
              <w:tabs>
                <w:tab w:val="left" w:pos="823"/>
              </w:tabs>
              <w:kinsoku/>
              <w:wordWrap/>
              <w:bidi w:val="0"/>
              <w:spacing w:line="360" w:lineRule="auto"/>
              <w:rPr>
                <w:rFonts w:hint="eastAsia"/>
                <w:b/>
                <w:bCs/>
                <w:sz w:val="24"/>
                <w:highlight w:val="none"/>
                <w:lang w:eastAsia="zh-CN"/>
              </w:rPr>
            </w:pPr>
            <w:r>
              <w:rPr>
                <w:rFonts w:hint="eastAsia"/>
                <w:b/>
                <w:bCs/>
                <w:sz w:val="24"/>
                <w:highlight w:val="none"/>
                <w:lang w:eastAsia="zh-CN"/>
              </w:rPr>
              <w:t>工艺流程简述：</w:t>
            </w:r>
          </w:p>
          <w:p w14:paraId="14A05CF5">
            <w:pPr>
              <w:pStyle w:val="2"/>
              <w:pageBreakBefore w:val="0"/>
              <w:kinsoku/>
              <w:wordWrap/>
              <w:bidi w:val="0"/>
              <w:jc w:val="center"/>
              <w:outlineLvl w:val="9"/>
              <w:rPr>
                <w:lang w:eastAsia="zh-CN"/>
              </w:rPr>
            </w:pPr>
            <w:r>
              <w:rPr>
                <w:rFonts w:hint="eastAsia"/>
                <w:lang w:val="en-US" w:eastAsia="zh-CN"/>
              </w:rPr>
              <w:t>略</w:t>
            </w:r>
          </w:p>
          <w:p w14:paraId="14E67A5F">
            <w:pPr>
              <w:pageBreakBefore w:val="0"/>
              <w:kinsoku/>
              <w:wordWrap/>
              <w:bidi w:val="0"/>
              <w:spacing w:line="360" w:lineRule="auto"/>
              <w:ind w:firstLine="480" w:firstLineChars="200"/>
              <w:rPr>
                <w:rFonts w:ascii="Times New Roman" w:hAnsi="Times New Roman" w:cs="Times New Roman"/>
                <w:kern w:val="2"/>
                <w:sz w:val="24"/>
                <w:szCs w:val="24"/>
                <w:lang w:eastAsia="zh-CN"/>
              </w:rPr>
            </w:pPr>
            <w:r>
              <w:rPr>
                <w:rFonts w:ascii="Times New Roman" w:hAnsi="Times New Roman" w:cs="Times New Roman"/>
                <w:bCs/>
                <w:kern w:val="2"/>
                <w:sz w:val="24"/>
                <w:szCs w:val="24"/>
                <w:lang w:eastAsia="zh-CN"/>
              </w:rPr>
              <w:t>本项目工艺中产污节点汇总见下表。</w:t>
            </w:r>
          </w:p>
          <w:p w14:paraId="68F144D5">
            <w:pPr>
              <w:pStyle w:val="2"/>
              <w:pageBreakBefore w:val="0"/>
              <w:kinsoku/>
              <w:wordWrap/>
              <w:bidi w:val="0"/>
              <w:spacing w:line="240" w:lineRule="auto"/>
              <w:jc w:val="center"/>
              <w:outlineLvl w:val="9"/>
              <w:rPr>
                <w:sz w:val="21"/>
                <w:szCs w:val="21"/>
                <w:lang w:eastAsia="zh-CN"/>
              </w:rPr>
            </w:pPr>
            <w:r>
              <w:rPr>
                <w:sz w:val="21"/>
                <w:szCs w:val="21"/>
                <w:lang w:eastAsia="zh-CN"/>
              </w:rPr>
              <w:t>表</w:t>
            </w:r>
            <w:r>
              <w:rPr>
                <w:rFonts w:hint="eastAsia"/>
                <w:sz w:val="21"/>
                <w:szCs w:val="21"/>
                <w:lang w:eastAsia="zh-CN"/>
              </w:rPr>
              <w:t>2-</w:t>
            </w:r>
            <w:r>
              <w:rPr>
                <w:rFonts w:hint="eastAsia"/>
                <w:sz w:val="21"/>
                <w:szCs w:val="21"/>
                <w:lang w:val="en-US" w:eastAsia="zh-CN"/>
              </w:rPr>
              <w:t>8</w:t>
            </w:r>
            <w:r>
              <w:rPr>
                <w:rFonts w:hint="eastAsia"/>
                <w:sz w:val="21"/>
                <w:szCs w:val="21"/>
                <w:lang w:eastAsia="zh-CN"/>
              </w:rPr>
              <w:t xml:space="preserve"> </w:t>
            </w:r>
            <w:r>
              <w:rPr>
                <w:sz w:val="21"/>
                <w:szCs w:val="21"/>
                <w:lang w:eastAsia="zh-CN"/>
              </w:rPr>
              <w:t xml:space="preserve"> </w:t>
            </w:r>
            <w:r>
              <w:rPr>
                <w:rFonts w:hint="eastAsia"/>
                <w:sz w:val="21"/>
                <w:szCs w:val="21"/>
                <w:lang w:eastAsia="zh-CN"/>
              </w:rPr>
              <w:t>运营期污染环节统计表</w:t>
            </w:r>
          </w:p>
          <w:tbl>
            <w:tblPr>
              <w:tblStyle w:val="27"/>
              <w:tblW w:w="500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04"/>
              <w:gridCol w:w="3333"/>
              <w:gridCol w:w="1560"/>
              <w:gridCol w:w="3918"/>
            </w:tblGrid>
            <w:tr w14:paraId="074FC6A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Align w:val="center"/>
                </w:tcPr>
                <w:p w14:paraId="0AEA93AC">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内容</w:t>
                  </w:r>
                </w:p>
              </w:tc>
              <w:tc>
                <w:tcPr>
                  <w:tcW w:w="1733" w:type="pct"/>
                  <w:vAlign w:val="center"/>
                </w:tcPr>
                <w:p w14:paraId="642FDD5D">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来源</w:t>
                  </w:r>
                </w:p>
              </w:tc>
              <w:tc>
                <w:tcPr>
                  <w:tcW w:w="811" w:type="pct"/>
                  <w:vAlign w:val="center"/>
                </w:tcPr>
                <w:p w14:paraId="1B4C1540">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污染物</w:t>
                  </w:r>
                </w:p>
              </w:tc>
              <w:tc>
                <w:tcPr>
                  <w:tcW w:w="2037" w:type="pct"/>
                  <w:vAlign w:val="center"/>
                </w:tcPr>
                <w:p w14:paraId="50D7F145">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主要污染因子</w:t>
                  </w:r>
                </w:p>
              </w:tc>
            </w:tr>
            <w:tr w14:paraId="4411B8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restart"/>
                  <w:vAlign w:val="center"/>
                </w:tcPr>
                <w:p w14:paraId="1A858FD3">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废水</w:t>
                  </w:r>
                </w:p>
              </w:tc>
              <w:tc>
                <w:tcPr>
                  <w:tcW w:w="1733" w:type="pct"/>
                  <w:vAlign w:val="center"/>
                </w:tcPr>
                <w:p w14:paraId="10EB553E">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员工</w:t>
                  </w:r>
                </w:p>
              </w:tc>
              <w:tc>
                <w:tcPr>
                  <w:tcW w:w="811" w:type="pct"/>
                  <w:vAlign w:val="center"/>
                </w:tcPr>
                <w:p w14:paraId="2F31D8DB">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生活污水</w:t>
                  </w:r>
                </w:p>
              </w:tc>
              <w:tc>
                <w:tcPr>
                  <w:tcW w:w="2037" w:type="pct"/>
                  <w:vAlign w:val="center"/>
                </w:tcPr>
                <w:p w14:paraId="26591F47">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COD、氨氮</w:t>
                  </w:r>
                </w:p>
              </w:tc>
            </w:tr>
            <w:tr w14:paraId="311423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70" w:hRule="atLeast"/>
                <w:jc w:val="center"/>
              </w:trPr>
              <w:tc>
                <w:tcPr>
                  <w:tcW w:w="418" w:type="pct"/>
                  <w:vMerge w:val="continue"/>
                  <w:vAlign w:val="center"/>
                </w:tcPr>
                <w:p w14:paraId="28D1CB2A">
                  <w:pPr>
                    <w:pageBreakBefore w:val="0"/>
                    <w:kinsoku/>
                    <w:wordWrap/>
                    <w:bidi w:val="0"/>
                    <w:snapToGrid w:val="0"/>
                    <w:spacing w:line="300" w:lineRule="atLeast"/>
                    <w:jc w:val="center"/>
                    <w:rPr>
                      <w:rFonts w:hint="default" w:ascii="Times New Roman" w:hAnsi="Times New Roman" w:eastAsia="宋体" w:cs="Times New Roman"/>
                      <w:sz w:val="21"/>
                      <w:szCs w:val="21"/>
                    </w:rPr>
                  </w:pPr>
                </w:p>
              </w:tc>
              <w:tc>
                <w:tcPr>
                  <w:tcW w:w="1733" w:type="pct"/>
                  <w:vAlign w:val="center"/>
                </w:tcPr>
                <w:p w14:paraId="0D5DA4E4">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喷水织机织造废水</w:t>
                  </w:r>
                </w:p>
              </w:tc>
              <w:tc>
                <w:tcPr>
                  <w:tcW w:w="811" w:type="pct"/>
                  <w:vMerge w:val="restart"/>
                  <w:vAlign w:val="center"/>
                </w:tcPr>
                <w:p w14:paraId="3AA19149">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w:t>
                  </w:r>
                </w:p>
              </w:tc>
              <w:tc>
                <w:tcPr>
                  <w:tcW w:w="2037" w:type="pct"/>
                  <w:vMerge w:val="restart"/>
                  <w:vAlign w:val="center"/>
                </w:tcPr>
                <w:p w14:paraId="6DA98EF9">
                  <w:pPr>
                    <w:pageBreakBefore w:val="0"/>
                    <w:kinsoku/>
                    <w:wordWrap/>
                    <w:bidi w:val="0"/>
                    <w:snapToGrid w:val="0"/>
                    <w:spacing w:line="300" w:lineRule="atLeast"/>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sz w:val="21"/>
                      <w:szCs w:val="21"/>
                      <w:highlight w:val="none"/>
                    </w:rPr>
                    <w:t>COD、BOD₅、SS、石油类、</w:t>
                  </w:r>
                  <w:r>
                    <w:rPr>
                      <w:rFonts w:hint="eastAsia" w:ascii="Times New Roman" w:hAnsi="Times New Roman" w:eastAsia="宋体" w:cs="Times New Roman"/>
                      <w:sz w:val="21"/>
                      <w:szCs w:val="21"/>
                      <w:highlight w:val="none"/>
                      <w:lang w:val="en-US" w:eastAsia="zh-CN"/>
                    </w:rPr>
                    <w:t>NH</w:t>
                  </w:r>
                  <w:r>
                    <w:rPr>
                      <w:rFonts w:hint="eastAsia" w:ascii="Times New Roman" w:hAnsi="Times New Roman" w:eastAsia="宋体" w:cs="Times New Roman"/>
                      <w:sz w:val="21"/>
                      <w:szCs w:val="21"/>
                      <w:highlight w:val="none"/>
                      <w:vertAlign w:val="subscript"/>
                      <w:lang w:val="en-US" w:eastAsia="zh-CN"/>
                    </w:rPr>
                    <w:t>3</w:t>
                  </w:r>
                  <w:r>
                    <w:rPr>
                      <w:rFonts w:hint="eastAsia" w:ascii="Times New Roman" w:hAnsi="Times New Roman" w:eastAsia="宋体" w:cs="Times New Roman"/>
                      <w:sz w:val="21"/>
                      <w:szCs w:val="21"/>
                      <w:highlight w:val="none"/>
                      <w:vertAlign w:val="baseline"/>
                      <w:lang w:val="en-US" w:eastAsia="zh-CN"/>
                    </w:rPr>
                    <w:t>-N</w:t>
                  </w:r>
                  <w:r>
                    <w:rPr>
                      <w:rFonts w:hint="default" w:ascii="Times New Roman" w:hAnsi="Times New Roman" w:eastAsia="宋体" w:cs="Times New Roman"/>
                      <w:sz w:val="21"/>
                      <w:szCs w:val="21"/>
                      <w:highlight w:val="none"/>
                    </w:rPr>
                    <w:t>、总氮、总磷</w:t>
                  </w:r>
                </w:p>
              </w:tc>
            </w:tr>
            <w:tr w14:paraId="03EA4B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70" w:hRule="atLeast"/>
                <w:jc w:val="center"/>
              </w:trPr>
              <w:tc>
                <w:tcPr>
                  <w:tcW w:w="418" w:type="pct"/>
                  <w:vMerge w:val="continue"/>
                  <w:vAlign w:val="center"/>
                </w:tcPr>
                <w:p w14:paraId="133F523F">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pPr>
                </w:p>
              </w:tc>
              <w:tc>
                <w:tcPr>
                  <w:tcW w:w="1733" w:type="pct"/>
                  <w:vAlign w:val="center"/>
                </w:tcPr>
                <w:p w14:paraId="5E24D50C">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喷水清洗织造废水</w:t>
                  </w:r>
                </w:p>
              </w:tc>
              <w:tc>
                <w:tcPr>
                  <w:tcW w:w="811" w:type="pct"/>
                  <w:vMerge w:val="continue"/>
                  <w:vAlign w:val="center"/>
                </w:tcPr>
                <w:p w14:paraId="076B395D">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2037" w:type="pct"/>
                  <w:vMerge w:val="continue"/>
                  <w:vAlign w:val="center"/>
                </w:tcPr>
                <w:p w14:paraId="3471E2F7">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highlight w:val="none"/>
                    </w:rPr>
                  </w:pPr>
                </w:p>
              </w:tc>
            </w:tr>
            <w:tr w14:paraId="248A2C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21EE136D">
                  <w:pPr>
                    <w:pageBreakBefore w:val="0"/>
                    <w:kinsoku/>
                    <w:wordWrap/>
                    <w:bidi w:val="0"/>
                    <w:snapToGrid w:val="0"/>
                    <w:spacing w:line="300" w:lineRule="atLeast"/>
                    <w:jc w:val="center"/>
                    <w:rPr>
                      <w:rFonts w:hint="default" w:ascii="Times New Roman" w:hAnsi="Times New Roman" w:eastAsia="宋体" w:cs="Times New Roman"/>
                      <w:sz w:val="21"/>
                      <w:szCs w:val="21"/>
                    </w:rPr>
                  </w:pPr>
                </w:p>
              </w:tc>
              <w:tc>
                <w:tcPr>
                  <w:tcW w:w="1733" w:type="pct"/>
                  <w:vAlign w:val="center"/>
                </w:tcPr>
                <w:p w14:paraId="1F191272">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织物水洗废水</w:t>
                  </w:r>
                </w:p>
              </w:tc>
              <w:tc>
                <w:tcPr>
                  <w:tcW w:w="811" w:type="pct"/>
                  <w:vMerge w:val="continue"/>
                  <w:vAlign w:val="center"/>
                </w:tcPr>
                <w:p w14:paraId="18E960A9">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p>
              </w:tc>
              <w:tc>
                <w:tcPr>
                  <w:tcW w:w="2037" w:type="pct"/>
                  <w:vMerge w:val="continue"/>
                  <w:vAlign w:val="center"/>
                </w:tcPr>
                <w:p w14:paraId="44E7D368">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
                    </w:rPr>
                  </w:pPr>
                </w:p>
              </w:tc>
            </w:tr>
            <w:tr w14:paraId="44002A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restart"/>
                  <w:vAlign w:val="center"/>
                </w:tcPr>
                <w:p w14:paraId="2AD29706">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废气</w:t>
                  </w:r>
                </w:p>
              </w:tc>
              <w:tc>
                <w:tcPr>
                  <w:tcW w:w="1733" w:type="pct"/>
                  <w:vAlign w:val="center"/>
                </w:tcPr>
                <w:p w14:paraId="0E998E4D">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加弹废气</w:t>
                  </w:r>
                </w:p>
              </w:tc>
              <w:tc>
                <w:tcPr>
                  <w:tcW w:w="811" w:type="pct"/>
                  <w:vAlign w:val="center"/>
                </w:tcPr>
                <w:p w14:paraId="16EBB38E">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G1</w:t>
                  </w:r>
                </w:p>
              </w:tc>
              <w:tc>
                <w:tcPr>
                  <w:tcW w:w="2037" w:type="pct"/>
                  <w:vAlign w:val="center"/>
                </w:tcPr>
                <w:p w14:paraId="0B2200FB">
                  <w:pPr>
                    <w:pageBreakBefore w:val="0"/>
                    <w:kinsoku/>
                    <w:wordWrap/>
                    <w:bidi w:val="0"/>
                    <w:snapToGrid w:val="0"/>
                    <w:spacing w:line="300" w:lineRule="atLeast"/>
                    <w:jc w:val="center"/>
                    <w:rPr>
                      <w:rFonts w:hint="default" w:ascii="Times New Roman" w:hAnsi="Times New Roman" w:eastAsia="宋体" w:cs="Times New Roman"/>
                      <w:color w:val="auto"/>
                      <w:kern w:val="2"/>
                      <w:sz w:val="21"/>
                      <w:szCs w:val="21"/>
                      <w:highlight w:val="none"/>
                      <w:lang w:val="en-US" w:eastAsia="zh-CN" w:bidi="ar"/>
                    </w:rPr>
                  </w:pPr>
                  <w:r>
                    <w:rPr>
                      <w:rFonts w:hint="eastAsia" w:ascii="Times New Roman" w:hAnsi="Times New Roman" w:cs="Times New Roman"/>
                      <w:sz w:val="21"/>
                      <w:szCs w:val="21"/>
                      <w:highlight w:val="none"/>
                      <w:lang w:val="en-US" w:eastAsia="zh-CN"/>
                    </w:rPr>
                    <w:t>NMHC</w:t>
                  </w:r>
                </w:p>
              </w:tc>
            </w:tr>
            <w:tr w14:paraId="001C5E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76ECE5F8">
                  <w:pPr>
                    <w:pageBreakBefore w:val="0"/>
                    <w:kinsoku/>
                    <w:wordWrap/>
                    <w:bidi w:val="0"/>
                    <w:snapToGrid w:val="0"/>
                    <w:spacing w:line="300" w:lineRule="atLeast"/>
                    <w:jc w:val="center"/>
                    <w:rPr>
                      <w:rFonts w:hint="default" w:ascii="Times New Roman" w:hAnsi="Times New Roman" w:eastAsia="宋体" w:cs="Times New Roman"/>
                      <w:sz w:val="21"/>
                      <w:szCs w:val="21"/>
                    </w:rPr>
                  </w:pPr>
                </w:p>
              </w:tc>
              <w:tc>
                <w:tcPr>
                  <w:tcW w:w="1733" w:type="pct"/>
                  <w:vAlign w:val="center"/>
                </w:tcPr>
                <w:p w14:paraId="793F6170">
                  <w:pPr>
                    <w:pageBreakBefore w:val="0"/>
                    <w:kinsoku/>
                    <w:wordWrap/>
                    <w:bidi w:val="0"/>
                    <w:snapToGrid w:val="0"/>
                    <w:spacing w:line="300" w:lineRule="atLeast"/>
                    <w:jc w:val="center"/>
                    <w:rPr>
                      <w:rFonts w:hint="default" w:ascii="Times New Roman" w:hAnsi="Times New Roman" w:eastAsia="宋体" w:cs="Times New Roman"/>
                      <w:sz w:val="21"/>
                      <w:szCs w:val="21"/>
                      <w:lang w:val="en-US"/>
                    </w:rPr>
                  </w:pPr>
                  <w:r>
                    <w:rPr>
                      <w:rFonts w:hint="eastAsia" w:ascii="Times New Roman" w:hAnsi="Times New Roman" w:cs="Times New Roman"/>
                      <w:sz w:val="21"/>
                      <w:szCs w:val="21"/>
                      <w:lang w:val="en-US" w:eastAsia="zh-CN"/>
                    </w:rPr>
                    <w:t>塑形废气</w:t>
                  </w:r>
                </w:p>
              </w:tc>
              <w:tc>
                <w:tcPr>
                  <w:tcW w:w="811" w:type="pct"/>
                  <w:vAlign w:val="center"/>
                </w:tcPr>
                <w:p w14:paraId="0F89F9C1">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G2</w:t>
                  </w:r>
                </w:p>
              </w:tc>
              <w:tc>
                <w:tcPr>
                  <w:tcW w:w="2037" w:type="pct"/>
                  <w:vAlign w:val="center"/>
                </w:tcPr>
                <w:p w14:paraId="3B3F2287">
                  <w:pPr>
                    <w:pageBreakBefore w:val="0"/>
                    <w:kinsoku/>
                    <w:wordWrap/>
                    <w:bidi w:val="0"/>
                    <w:snapToGrid w:val="0"/>
                    <w:spacing w:line="300" w:lineRule="atLeast"/>
                    <w:jc w:val="center"/>
                    <w:rPr>
                      <w:rFonts w:hint="default" w:ascii="Times New Roman" w:hAnsi="Times New Roman" w:eastAsia="宋体" w:cs="Times New Roman"/>
                      <w:sz w:val="21"/>
                      <w:szCs w:val="21"/>
                      <w:lang w:val="en-US"/>
                    </w:rPr>
                  </w:pPr>
                  <w:r>
                    <w:rPr>
                      <w:rFonts w:hint="eastAsia" w:ascii="Times New Roman" w:hAnsi="Times New Roman" w:cs="Times New Roman"/>
                      <w:sz w:val="21"/>
                      <w:szCs w:val="21"/>
                      <w:highlight w:val="none"/>
                      <w:lang w:val="en-US" w:eastAsia="zh-CN"/>
                    </w:rPr>
                    <w:t>NMHC、颗粒物、SO</w:t>
                  </w:r>
                  <w:r>
                    <w:rPr>
                      <w:rFonts w:hint="eastAsia" w:ascii="Times New Roman" w:hAnsi="Times New Roman" w:cs="Times New Roman"/>
                      <w:sz w:val="21"/>
                      <w:szCs w:val="21"/>
                      <w:highlight w:val="none"/>
                      <w:vertAlign w:val="subscript"/>
                      <w:lang w:val="en-US" w:eastAsia="zh-CN"/>
                    </w:rPr>
                    <w:t>2</w:t>
                  </w:r>
                  <w:r>
                    <w:rPr>
                      <w:rFonts w:hint="eastAsia" w:ascii="Times New Roman" w:hAnsi="Times New Roman" w:cs="Times New Roman"/>
                      <w:sz w:val="21"/>
                      <w:szCs w:val="21"/>
                      <w:highlight w:val="none"/>
                      <w:lang w:val="en-US" w:eastAsia="zh-CN"/>
                    </w:rPr>
                    <w:t>、NO</w:t>
                  </w:r>
                  <w:r>
                    <w:rPr>
                      <w:rFonts w:hint="eastAsia" w:ascii="Times New Roman" w:hAnsi="Times New Roman" w:cs="Times New Roman"/>
                      <w:sz w:val="21"/>
                      <w:szCs w:val="21"/>
                      <w:highlight w:val="none"/>
                      <w:vertAlign w:val="subscript"/>
                      <w:lang w:val="en-US" w:eastAsia="zh-CN"/>
                    </w:rPr>
                    <w:t>X</w:t>
                  </w:r>
                  <w:r>
                    <w:rPr>
                      <w:rFonts w:hint="eastAsia" w:ascii="Times New Roman" w:hAnsi="Times New Roman" w:cs="Times New Roman"/>
                      <w:sz w:val="21"/>
                      <w:szCs w:val="21"/>
                      <w:highlight w:val="none"/>
                      <w:lang w:val="en-US" w:eastAsia="zh-CN"/>
                    </w:rPr>
                    <w:t>、烟尘</w:t>
                  </w:r>
                </w:p>
              </w:tc>
            </w:tr>
            <w:tr w14:paraId="0B130E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79E5BCAE">
                  <w:pPr>
                    <w:pageBreakBefore w:val="0"/>
                    <w:kinsoku/>
                    <w:wordWrap/>
                    <w:bidi w:val="0"/>
                    <w:snapToGrid w:val="0"/>
                    <w:spacing w:line="300" w:lineRule="atLeast"/>
                    <w:jc w:val="center"/>
                    <w:rPr>
                      <w:rFonts w:hint="default" w:ascii="Times New Roman" w:hAnsi="Times New Roman" w:eastAsia="宋体" w:cs="Times New Roman"/>
                      <w:sz w:val="21"/>
                      <w:szCs w:val="21"/>
                    </w:rPr>
                  </w:pPr>
                </w:p>
              </w:tc>
              <w:tc>
                <w:tcPr>
                  <w:tcW w:w="1733" w:type="pct"/>
                  <w:vAlign w:val="center"/>
                </w:tcPr>
                <w:p w14:paraId="2DD9FFCA">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污水处理站</w:t>
                  </w:r>
                </w:p>
              </w:tc>
              <w:tc>
                <w:tcPr>
                  <w:tcW w:w="811" w:type="pct"/>
                  <w:vAlign w:val="center"/>
                </w:tcPr>
                <w:p w14:paraId="016239A5">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2037" w:type="pct"/>
                  <w:vAlign w:val="center"/>
                </w:tcPr>
                <w:p w14:paraId="32AB0264">
                  <w:pPr>
                    <w:pageBreakBefore w:val="0"/>
                    <w:kinsoku/>
                    <w:wordWrap/>
                    <w:bidi w:val="0"/>
                    <w:snapToGrid w:val="0"/>
                    <w:spacing w:line="300" w:lineRule="atLeas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H</w:t>
                  </w:r>
                  <w:r>
                    <w:rPr>
                      <w:rFonts w:hint="eastAsia" w:ascii="Times New Roman" w:hAnsi="Times New Roman" w:cs="Times New Roman"/>
                      <w:sz w:val="21"/>
                      <w:szCs w:val="21"/>
                      <w:vertAlign w:val="subscript"/>
                      <w:lang w:val="en-US" w:eastAsia="zh-CN"/>
                    </w:rPr>
                    <w:t>2</w:t>
                  </w:r>
                  <w:r>
                    <w:rPr>
                      <w:rFonts w:hint="eastAsia" w:ascii="Times New Roman" w:hAnsi="Times New Roman" w:cs="Times New Roman"/>
                      <w:sz w:val="21"/>
                      <w:szCs w:val="21"/>
                      <w:lang w:val="en-US" w:eastAsia="zh-CN"/>
                    </w:rPr>
                    <w:t>S、NH</w:t>
                  </w:r>
                  <w:r>
                    <w:rPr>
                      <w:rFonts w:hint="eastAsia" w:ascii="Times New Roman" w:hAnsi="Times New Roman" w:cs="Times New Roman"/>
                      <w:sz w:val="21"/>
                      <w:szCs w:val="21"/>
                      <w:vertAlign w:val="subscript"/>
                      <w:lang w:val="en-US" w:eastAsia="zh-CN"/>
                    </w:rPr>
                    <w:t>3</w:t>
                  </w:r>
                  <w:r>
                    <w:rPr>
                      <w:rFonts w:hint="eastAsia" w:ascii="Times New Roman" w:hAnsi="Times New Roman" w:cs="Times New Roman"/>
                      <w:sz w:val="21"/>
                      <w:szCs w:val="21"/>
                      <w:lang w:val="en-US" w:eastAsia="zh-CN"/>
                    </w:rPr>
                    <w:t>、臭气浓度</w:t>
                  </w:r>
                </w:p>
              </w:tc>
            </w:tr>
            <w:tr w14:paraId="1C53CAF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Align w:val="center"/>
                </w:tcPr>
                <w:p w14:paraId="5B612218">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噪声</w:t>
                  </w:r>
                </w:p>
              </w:tc>
              <w:tc>
                <w:tcPr>
                  <w:tcW w:w="1733" w:type="pct"/>
                  <w:vAlign w:val="center"/>
                </w:tcPr>
                <w:p w14:paraId="3865E044">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生产设备</w:t>
                  </w:r>
                </w:p>
              </w:tc>
              <w:tc>
                <w:tcPr>
                  <w:tcW w:w="811" w:type="pct"/>
                  <w:vAlign w:val="center"/>
                </w:tcPr>
                <w:p w14:paraId="375967FF">
                  <w:pPr>
                    <w:pageBreakBefore w:val="0"/>
                    <w:kinsoku/>
                    <w:wordWrap/>
                    <w:bidi w:val="0"/>
                    <w:snapToGrid w:val="0"/>
                    <w:spacing w:line="300" w:lineRule="atLeast"/>
                    <w:ind w:left="-110" w:leftChars="-50" w:right="-110" w:rightChars="-5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N</w:t>
                  </w:r>
                </w:p>
              </w:tc>
              <w:tc>
                <w:tcPr>
                  <w:tcW w:w="2037" w:type="pct"/>
                  <w:vAlign w:val="center"/>
                </w:tcPr>
                <w:p w14:paraId="24A4FDD4">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等效连续A声级</w:t>
                  </w:r>
                </w:p>
              </w:tc>
            </w:tr>
            <w:tr w14:paraId="02E12AC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restart"/>
                  <w:vAlign w:val="center"/>
                </w:tcPr>
                <w:p w14:paraId="5E0CC2BA">
                  <w:pPr>
                    <w:pageBreakBefore w:val="0"/>
                    <w:kinsoku/>
                    <w:wordWrap/>
                    <w:bidi w:val="0"/>
                    <w:snapToGrid w:val="0"/>
                    <w:spacing w:line="300" w:lineRule="atLeas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固废</w:t>
                  </w:r>
                </w:p>
              </w:tc>
              <w:tc>
                <w:tcPr>
                  <w:tcW w:w="1733" w:type="pct"/>
                  <w:vAlign w:val="center"/>
                </w:tcPr>
                <w:p w14:paraId="2A97417F">
                  <w:pPr>
                    <w:pageBreakBefore w:val="0"/>
                    <w:kinsoku/>
                    <w:wordWrap/>
                    <w:bidi w:val="0"/>
                    <w:snapToGrid w:val="0"/>
                    <w:spacing w:line="300" w:lineRule="atLeas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加弹固废</w:t>
                  </w:r>
                </w:p>
              </w:tc>
              <w:tc>
                <w:tcPr>
                  <w:tcW w:w="811" w:type="pct"/>
                  <w:vAlign w:val="center"/>
                </w:tcPr>
                <w:p w14:paraId="07B87C82">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S1</w:t>
                  </w:r>
                </w:p>
              </w:tc>
              <w:tc>
                <w:tcPr>
                  <w:tcW w:w="2037" w:type="pct"/>
                  <w:vAlign w:val="center"/>
                </w:tcPr>
                <w:p w14:paraId="4B8D32C2">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一般固废</w:t>
                  </w:r>
                </w:p>
              </w:tc>
            </w:tr>
            <w:tr w14:paraId="276399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2FBC7C93">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1733" w:type="pct"/>
                  <w:vAlign w:val="center"/>
                </w:tcPr>
                <w:p w14:paraId="1500F0FD">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整经固废</w:t>
                  </w:r>
                </w:p>
              </w:tc>
              <w:tc>
                <w:tcPr>
                  <w:tcW w:w="811" w:type="pct"/>
                  <w:vAlign w:val="center"/>
                </w:tcPr>
                <w:p w14:paraId="1F099180">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S2</w:t>
                  </w:r>
                </w:p>
              </w:tc>
              <w:tc>
                <w:tcPr>
                  <w:tcW w:w="2037" w:type="pct"/>
                  <w:vAlign w:val="center"/>
                </w:tcPr>
                <w:p w14:paraId="52CF15BE">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一般固废</w:t>
                  </w:r>
                </w:p>
              </w:tc>
            </w:tr>
            <w:tr w14:paraId="4D62989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7842F970">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1733" w:type="pct"/>
                  <w:vAlign w:val="center"/>
                </w:tcPr>
                <w:p w14:paraId="43C57B71">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bidi="ar"/>
                    </w:rPr>
                    <w:t>检验固废</w:t>
                  </w:r>
                </w:p>
              </w:tc>
              <w:tc>
                <w:tcPr>
                  <w:tcW w:w="811" w:type="pct"/>
                  <w:vAlign w:val="center"/>
                </w:tcPr>
                <w:p w14:paraId="62D674B0">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bidi="ar"/>
                    </w:rPr>
                    <w:t>S3</w:t>
                  </w:r>
                </w:p>
              </w:tc>
              <w:tc>
                <w:tcPr>
                  <w:tcW w:w="2037" w:type="pct"/>
                  <w:vAlign w:val="center"/>
                </w:tcPr>
                <w:p w14:paraId="60A984C9">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一般固废</w:t>
                  </w:r>
                </w:p>
              </w:tc>
            </w:tr>
            <w:tr w14:paraId="3142F0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3C44A0EC">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1733" w:type="pct"/>
                  <w:vAlign w:val="center"/>
                </w:tcPr>
                <w:p w14:paraId="1163C194">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污水处理站固废</w:t>
                  </w:r>
                </w:p>
              </w:tc>
              <w:tc>
                <w:tcPr>
                  <w:tcW w:w="811" w:type="pct"/>
                  <w:vAlign w:val="center"/>
                </w:tcPr>
                <w:p w14:paraId="497253CF">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ascii="Times New Roman" w:hAnsi="Times New Roman" w:cs="Times New Roman"/>
                      <w:color w:val="auto"/>
                      <w:kern w:val="2"/>
                      <w:sz w:val="21"/>
                      <w:szCs w:val="21"/>
                      <w:lang w:val="en-US" w:eastAsia="zh-CN" w:bidi="ar"/>
                    </w:rPr>
                    <w:t>/</w:t>
                  </w:r>
                </w:p>
              </w:tc>
              <w:tc>
                <w:tcPr>
                  <w:tcW w:w="2037" w:type="pct"/>
                  <w:vAlign w:val="center"/>
                </w:tcPr>
                <w:p w14:paraId="3D244BD0">
                  <w:pPr>
                    <w:keepNext w:val="0"/>
                    <w:keepLines w:val="0"/>
                    <w:pageBreakBefore w:val="0"/>
                    <w:widowControl w:val="0"/>
                    <w:suppressLineNumbers w:val="0"/>
                    <w:kinsoku/>
                    <w:wordWrap/>
                    <w:bidi w:val="0"/>
                    <w:snapToGrid w:val="0"/>
                    <w:spacing w:before="0" w:beforeAutospacing="0" w:after="0" w:afterAutospacing="0"/>
                    <w:ind w:left="0" w:leftChars="0" w:right="0" w:rightChars="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一般固废</w:t>
                  </w:r>
                </w:p>
              </w:tc>
            </w:tr>
            <w:tr w14:paraId="29AA41D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38F5A092">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1733" w:type="pct"/>
                  <w:vAlign w:val="center"/>
                </w:tcPr>
                <w:p w14:paraId="1A8ECBA1">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职工生活</w:t>
                  </w:r>
                </w:p>
              </w:tc>
              <w:tc>
                <w:tcPr>
                  <w:tcW w:w="2848" w:type="pct"/>
                  <w:gridSpan w:val="2"/>
                  <w:vAlign w:val="center"/>
                </w:tcPr>
                <w:p w14:paraId="7326918A">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生活垃圾</w:t>
                  </w:r>
                </w:p>
              </w:tc>
            </w:tr>
            <w:tr w14:paraId="5469A6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03AD6FF7">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1733" w:type="pct"/>
                  <w:vMerge w:val="restart"/>
                  <w:vAlign w:val="center"/>
                </w:tcPr>
                <w:p w14:paraId="2FACFE72">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设备维护</w:t>
                  </w:r>
                </w:p>
              </w:tc>
              <w:tc>
                <w:tcPr>
                  <w:tcW w:w="811" w:type="pct"/>
                  <w:vAlign w:val="center"/>
                </w:tcPr>
                <w:p w14:paraId="1AAA193C">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废</w:t>
                  </w:r>
                  <w:r>
                    <w:rPr>
                      <w:rFonts w:hint="eastAsia" w:ascii="Times New Roman" w:hAnsi="Times New Roman" w:cs="Times New Roman"/>
                      <w:sz w:val="21"/>
                      <w:szCs w:val="21"/>
                      <w:lang w:val="en-US" w:eastAsia="zh-CN"/>
                    </w:rPr>
                    <w:t>机</w:t>
                  </w:r>
                  <w:r>
                    <w:rPr>
                      <w:rFonts w:hint="default" w:ascii="Times New Roman" w:hAnsi="Times New Roman" w:eastAsia="宋体" w:cs="Times New Roman"/>
                      <w:sz w:val="21"/>
                      <w:szCs w:val="21"/>
                      <w:lang w:val="en-US" w:eastAsia="zh-CN"/>
                    </w:rPr>
                    <w:t>油</w:t>
                  </w:r>
                </w:p>
              </w:tc>
              <w:tc>
                <w:tcPr>
                  <w:tcW w:w="2037" w:type="pct"/>
                  <w:vMerge w:val="restart"/>
                  <w:vAlign w:val="center"/>
                </w:tcPr>
                <w:p w14:paraId="0A96C0A8">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危险废物</w:t>
                  </w:r>
                </w:p>
              </w:tc>
            </w:tr>
            <w:tr w14:paraId="5350D10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55" w:hRule="atLeast"/>
                <w:jc w:val="center"/>
              </w:trPr>
              <w:tc>
                <w:tcPr>
                  <w:tcW w:w="418" w:type="pct"/>
                  <w:vMerge w:val="continue"/>
                  <w:vAlign w:val="center"/>
                </w:tcPr>
                <w:p w14:paraId="058530EE">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1733" w:type="pct"/>
                  <w:vMerge w:val="continue"/>
                  <w:vAlign w:val="center"/>
                </w:tcPr>
                <w:p w14:paraId="191FD2DB">
                  <w:pPr>
                    <w:pageBreakBefore w:val="0"/>
                    <w:kinsoku/>
                    <w:wordWrap/>
                    <w:bidi w:val="0"/>
                    <w:snapToGrid w:val="0"/>
                    <w:spacing w:line="300" w:lineRule="atLeast"/>
                    <w:jc w:val="center"/>
                    <w:rPr>
                      <w:rFonts w:hint="default" w:ascii="Times New Roman" w:hAnsi="Times New Roman" w:eastAsia="宋体" w:cs="Times New Roman"/>
                      <w:sz w:val="21"/>
                      <w:szCs w:val="21"/>
                      <w:lang w:eastAsia="zh-CN"/>
                    </w:rPr>
                  </w:pPr>
                </w:p>
              </w:tc>
              <w:tc>
                <w:tcPr>
                  <w:tcW w:w="811" w:type="pct"/>
                  <w:vAlign w:val="center"/>
                </w:tcPr>
                <w:p w14:paraId="2E40E44D">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废</w:t>
                  </w:r>
                  <w:r>
                    <w:rPr>
                      <w:rFonts w:hint="eastAsia" w:ascii="Times New Roman" w:hAnsi="Times New Roman" w:cs="Times New Roman"/>
                      <w:sz w:val="21"/>
                      <w:szCs w:val="21"/>
                      <w:lang w:val="en-US" w:eastAsia="zh-CN"/>
                    </w:rPr>
                    <w:t>机</w:t>
                  </w:r>
                  <w:r>
                    <w:rPr>
                      <w:rFonts w:hint="default" w:ascii="Times New Roman" w:hAnsi="Times New Roman" w:eastAsia="宋体" w:cs="Times New Roman"/>
                      <w:sz w:val="21"/>
                      <w:szCs w:val="21"/>
                      <w:lang w:val="en-US" w:eastAsia="zh-CN"/>
                    </w:rPr>
                    <w:t>油</w:t>
                  </w:r>
                  <w:r>
                    <w:rPr>
                      <w:rFonts w:hint="default" w:ascii="Times New Roman" w:hAnsi="Times New Roman" w:eastAsia="宋体" w:cs="Times New Roman"/>
                      <w:sz w:val="21"/>
                      <w:szCs w:val="21"/>
                      <w:lang w:eastAsia="zh-CN"/>
                    </w:rPr>
                    <w:t>桶</w:t>
                  </w:r>
                </w:p>
              </w:tc>
              <w:tc>
                <w:tcPr>
                  <w:tcW w:w="2037" w:type="pct"/>
                  <w:vMerge w:val="continue"/>
                  <w:vAlign w:val="center"/>
                </w:tcPr>
                <w:p w14:paraId="1E93852E">
                  <w:pPr>
                    <w:pageBreakBefore w:val="0"/>
                    <w:kinsoku/>
                    <w:wordWrap/>
                    <w:bidi w:val="0"/>
                    <w:snapToGrid w:val="0"/>
                    <w:spacing w:line="300" w:lineRule="atLeast"/>
                    <w:ind w:left="-110" w:leftChars="-50" w:right="-110" w:rightChars="-50"/>
                    <w:jc w:val="center"/>
                    <w:rPr>
                      <w:rFonts w:hint="default" w:ascii="Times New Roman" w:hAnsi="Times New Roman" w:eastAsia="宋体" w:cs="Times New Roman"/>
                      <w:sz w:val="21"/>
                      <w:szCs w:val="21"/>
                      <w:lang w:eastAsia="zh-CN"/>
                    </w:rPr>
                  </w:pPr>
                </w:p>
              </w:tc>
            </w:tr>
          </w:tbl>
          <w:p w14:paraId="5311A36D">
            <w:pPr>
              <w:pageBreakBefore w:val="0"/>
              <w:widowControl w:val="0"/>
              <w:kinsoku/>
              <w:wordWrap/>
              <w:autoSpaceDE w:val="0"/>
              <w:autoSpaceDN w:val="0"/>
              <w:bidi w:val="0"/>
              <w:spacing w:line="360" w:lineRule="auto"/>
              <w:outlineLvl w:val="9"/>
              <w:rPr>
                <w:rFonts w:ascii="Times New Roman" w:hAnsi="Times New Roman" w:eastAsia="宋体" w:cs="Times New Roman"/>
                <w:b w:val="0"/>
                <w:bCs/>
                <w:sz w:val="24"/>
                <w:szCs w:val="24"/>
                <w:lang w:val="en-US" w:eastAsia="zh-CN" w:bidi="ar-SA"/>
              </w:rPr>
            </w:pPr>
          </w:p>
        </w:tc>
      </w:tr>
      <w:tr w14:paraId="7DADDE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99" w:hRule="atLeast"/>
        </w:trPr>
        <w:tc>
          <w:tcPr>
            <w:tcW w:w="129" w:type="pct"/>
            <w:tcBorders>
              <w:top w:val="single" w:color="000000" w:sz="4" w:space="0"/>
              <w:right w:val="single" w:color="000000" w:sz="4" w:space="0"/>
            </w:tcBorders>
            <w:vAlign w:val="center"/>
          </w:tcPr>
          <w:p w14:paraId="1ED67394">
            <w:pPr>
              <w:pStyle w:val="34"/>
              <w:pageBreakBefore w:val="0"/>
              <w:kinsoku/>
              <w:wordWrap/>
              <w:bidi w:val="0"/>
              <w:jc w:val="center"/>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与项目有关的原有环境污染问题</w:t>
            </w:r>
          </w:p>
        </w:tc>
        <w:tc>
          <w:tcPr>
            <w:tcW w:w="4871" w:type="pct"/>
            <w:tcBorders>
              <w:top w:val="single" w:color="000000" w:sz="4" w:space="0"/>
              <w:left w:val="single" w:color="000000" w:sz="4" w:space="0"/>
            </w:tcBorders>
            <w:vAlign w:val="center"/>
          </w:tcPr>
          <w:p w14:paraId="241CBDE6">
            <w:pPr>
              <w:pageBreakBefore w:val="0"/>
              <w:kinsoku/>
              <w:wordWrap/>
              <w:bidi w:val="0"/>
              <w:spacing w:line="360" w:lineRule="auto"/>
              <w:jc w:val="center"/>
              <w:rPr>
                <w:rFonts w:hint="eastAsia"/>
                <w:sz w:val="24"/>
                <w:szCs w:val="24"/>
                <w:lang w:eastAsia="zh-CN"/>
              </w:rPr>
            </w:pPr>
            <w:r>
              <w:rPr>
                <w:sz w:val="24"/>
                <w:szCs w:val="24"/>
                <w:lang w:eastAsia="zh-CN"/>
              </w:rPr>
              <w:t>本项目</w:t>
            </w:r>
            <w:r>
              <w:rPr>
                <w:rFonts w:hint="eastAsia" w:ascii="Times New Roman" w:hAnsi="Times New Roman" w:eastAsia="宋体" w:cs="Times New Roman"/>
                <w:spacing w:val="4"/>
                <w:kern w:val="2"/>
                <w:sz w:val="24"/>
                <w:szCs w:val="24"/>
                <w:lang w:eastAsia="zh-CN"/>
              </w:rPr>
              <w:t>租赁</w:t>
            </w:r>
            <w:r>
              <w:rPr>
                <w:rFonts w:hint="eastAsia" w:ascii="Times New Roman" w:hAnsi="Times New Roman" w:cs="Times New Roman"/>
                <w:spacing w:val="4"/>
                <w:kern w:val="2"/>
                <w:sz w:val="24"/>
                <w:szCs w:val="24"/>
                <w:lang w:val="en-US" w:eastAsia="zh-CN"/>
              </w:rPr>
              <w:t>***</w:t>
            </w:r>
            <w:r>
              <w:rPr>
                <w:rFonts w:hint="eastAsia" w:ascii="Times New Roman" w:hAnsi="Times New Roman" w:eastAsia="宋体" w:cs="Times New Roman"/>
                <w:spacing w:val="4"/>
                <w:kern w:val="2"/>
                <w:sz w:val="24"/>
                <w:szCs w:val="24"/>
                <w:lang w:eastAsia="zh-CN"/>
              </w:rPr>
              <w:t>标准厂房</w:t>
            </w:r>
            <w:r>
              <w:rPr>
                <w:rFonts w:ascii="宋体" w:hAnsi="宋体" w:eastAsia="宋体" w:cs="宋体"/>
                <w:sz w:val="24"/>
                <w:szCs w:val="24"/>
                <w:lang w:eastAsia="zh-CN"/>
              </w:rPr>
              <w:t>。</w:t>
            </w:r>
            <w:r>
              <w:rPr>
                <w:rFonts w:hint="eastAsia" w:ascii="宋体" w:hAnsi="宋体" w:eastAsia="宋体" w:cs="宋体"/>
                <w:sz w:val="24"/>
                <w:szCs w:val="24"/>
                <w:lang w:val="en-US" w:eastAsia="zh-CN"/>
              </w:rPr>
              <w:t>为新建项</w:t>
            </w:r>
            <w:r>
              <w:rPr>
                <w:rFonts w:hint="eastAsia"/>
                <w:sz w:val="24"/>
                <w:szCs w:val="24"/>
                <w:lang w:val="en-US" w:eastAsia="zh-CN"/>
              </w:rPr>
              <w:t>目</w:t>
            </w:r>
            <w:r>
              <w:rPr>
                <w:rFonts w:hint="eastAsia"/>
                <w:sz w:val="24"/>
                <w:szCs w:val="24"/>
                <w:lang w:eastAsia="zh-CN"/>
              </w:rPr>
              <w:t>，</w:t>
            </w:r>
            <w:r>
              <w:rPr>
                <w:sz w:val="24"/>
                <w:szCs w:val="24"/>
                <w:lang w:eastAsia="zh-CN"/>
              </w:rPr>
              <w:t>不存在原有环境问题。</w:t>
            </w:r>
          </w:p>
        </w:tc>
      </w:tr>
    </w:tbl>
    <w:p w14:paraId="1249F5F5">
      <w:pPr>
        <w:tabs>
          <w:tab w:val="left" w:pos="1260"/>
        </w:tabs>
        <w:rPr>
          <w:rFonts w:ascii="Times New Roman" w:hAnsi="Times New Roman" w:cs="Times New Roman"/>
          <w:sz w:val="21"/>
          <w:lang w:eastAsia="zh-CN"/>
        </w:rPr>
        <w:sectPr>
          <w:footerReference r:id="rId6" w:type="default"/>
          <w:footerReference r:id="rId7" w:type="even"/>
          <w:pgSz w:w="11913" w:h="16840"/>
          <w:pgMar w:top="1134" w:right="1134" w:bottom="1134" w:left="1134" w:header="0" w:footer="1043" w:gutter="0"/>
          <w:pgBorders>
            <w:top w:val="none" w:sz="0" w:space="0"/>
            <w:left w:val="none" w:sz="0" w:space="0"/>
            <w:bottom w:val="none" w:sz="0" w:space="0"/>
            <w:right w:val="none" w:sz="0" w:space="0"/>
          </w:pgBorders>
          <w:cols w:space="720" w:num="1"/>
        </w:sectPr>
      </w:pPr>
    </w:p>
    <w:p w14:paraId="3A6D7F90">
      <w:pPr>
        <w:pStyle w:val="24"/>
        <w:rPr>
          <w:rFonts w:hint="eastAsia" w:ascii="黑体" w:hAnsi="黑体"/>
          <w:szCs w:val="30"/>
          <w:lang w:eastAsia="zh-CN"/>
        </w:rPr>
      </w:pPr>
      <w:bookmarkStart w:id="9" w:name="_Toc10285"/>
      <w:bookmarkStart w:id="10" w:name="_Toc4315"/>
      <w:r>
        <w:rPr>
          <w:rFonts w:ascii="黑体" w:hAnsi="黑体"/>
          <w:szCs w:val="30"/>
          <w:lang w:eastAsia="zh-CN"/>
        </w:rPr>
        <w:t>三、</w:t>
      </w:r>
      <w:r>
        <w:rPr>
          <w:rFonts w:hint="eastAsia" w:ascii="黑体" w:hAnsi="黑体"/>
          <w:snapToGrid w:val="0"/>
          <w:szCs w:val="30"/>
          <w:lang w:eastAsia="zh-CN"/>
        </w:rPr>
        <w:t>区域环境质量现状、环境保护目标及评价标准</w:t>
      </w:r>
      <w:bookmarkEnd w:id="9"/>
      <w:bookmarkEnd w:id="10"/>
    </w:p>
    <w:tbl>
      <w:tblPr>
        <w:tblStyle w:val="3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719"/>
        <w:gridCol w:w="8946"/>
      </w:tblGrid>
      <w:tr w14:paraId="681BAE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7" w:hRule="atLeast"/>
        </w:trPr>
        <w:tc>
          <w:tcPr>
            <w:tcW w:w="372" w:type="pct"/>
            <w:tcBorders>
              <w:bottom w:val="single" w:color="000000" w:sz="4" w:space="0"/>
              <w:right w:val="single" w:color="000000" w:sz="4" w:space="0"/>
            </w:tcBorders>
            <w:vAlign w:val="center"/>
          </w:tcPr>
          <w:p w14:paraId="15C37CB3">
            <w:pPr>
              <w:adjustRightInd w:val="0"/>
              <w:snapToGrid w:val="0"/>
              <w:jc w:val="center"/>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区域</w:t>
            </w:r>
          </w:p>
          <w:p w14:paraId="07939A26">
            <w:pPr>
              <w:adjustRightInd w:val="0"/>
              <w:snapToGrid w:val="0"/>
              <w:jc w:val="center"/>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环境</w:t>
            </w:r>
          </w:p>
          <w:p w14:paraId="448D6358">
            <w:pPr>
              <w:adjustRightInd w:val="0"/>
              <w:snapToGrid w:val="0"/>
              <w:jc w:val="center"/>
              <w:rPr>
                <w:rFonts w:ascii="Times New Roman" w:hAnsi="Times New Roman" w:cs="Times New Roman"/>
                <w:b/>
                <w:bCs/>
                <w:sz w:val="24"/>
                <w:szCs w:val="24"/>
                <w:lang w:eastAsia="zh-CN"/>
              </w:rPr>
            </w:pPr>
            <w:r>
              <w:rPr>
                <w:rFonts w:hint="eastAsia" w:ascii="Times New Roman" w:hAnsi="Times New Roman" w:cs="Times New Roman"/>
                <w:b/>
                <w:bCs/>
                <w:sz w:val="24"/>
                <w:szCs w:val="24"/>
                <w:lang w:eastAsia="zh-CN"/>
              </w:rPr>
              <w:t>质量</w:t>
            </w:r>
          </w:p>
          <w:p w14:paraId="7F290201">
            <w:pPr>
              <w:pStyle w:val="34"/>
              <w:jc w:val="center"/>
              <w:rPr>
                <w:rFonts w:ascii="Times New Roman" w:hAnsi="Times New Roman" w:cs="Times New Roman"/>
                <w:b/>
                <w:bCs/>
                <w:sz w:val="24"/>
                <w:szCs w:val="24"/>
              </w:rPr>
            </w:pPr>
            <w:r>
              <w:rPr>
                <w:rFonts w:hint="eastAsia" w:ascii="Times New Roman" w:hAnsi="Times New Roman" w:cs="Times New Roman"/>
                <w:b/>
                <w:bCs/>
                <w:sz w:val="24"/>
                <w:szCs w:val="24"/>
                <w:lang w:eastAsia="zh-CN"/>
              </w:rPr>
              <w:t>现状</w:t>
            </w:r>
          </w:p>
        </w:tc>
        <w:tc>
          <w:tcPr>
            <w:tcW w:w="4628" w:type="pct"/>
            <w:tcBorders>
              <w:left w:val="single" w:color="000000" w:sz="4" w:space="0"/>
              <w:bottom w:val="single" w:color="000000" w:sz="4" w:space="0"/>
            </w:tcBorders>
          </w:tcPr>
          <w:p w14:paraId="633ED4CD">
            <w:pPr>
              <w:adjustRightInd w:val="0"/>
              <w:snapToGrid w:val="0"/>
              <w:spacing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1.</w:t>
            </w:r>
            <w:r>
              <w:rPr>
                <w:rFonts w:ascii="Times New Roman" w:hAnsi="Times New Roman" w:cs="Times New Roman" w:eastAsiaTheme="minorEastAsia"/>
                <w:b/>
                <w:bCs/>
                <w:sz w:val="28"/>
                <w:szCs w:val="28"/>
                <w:lang w:eastAsia="zh-CN"/>
              </w:rPr>
              <w:t>环境空气</w:t>
            </w:r>
            <w:r>
              <w:rPr>
                <w:rFonts w:hint="eastAsia" w:ascii="Times New Roman" w:hAnsi="Times New Roman" w:cs="Times New Roman" w:eastAsiaTheme="minorEastAsia"/>
                <w:b/>
                <w:bCs/>
                <w:sz w:val="28"/>
                <w:szCs w:val="28"/>
                <w:lang w:eastAsia="zh-CN"/>
              </w:rPr>
              <w:t>质量现状调查与评价</w:t>
            </w:r>
          </w:p>
          <w:p w14:paraId="7C76A0CC">
            <w:pPr>
              <w:adjustRightInd w:val="0"/>
              <w:snapToGrid w:val="0"/>
              <w:spacing w:line="360" w:lineRule="auto"/>
              <w:ind w:firstLine="480" w:firstLineChars="200"/>
              <w:rPr>
                <w:rFonts w:hint="default" w:ascii="Times New Roman" w:hAnsi="Times New Roman" w:eastAsia="宋体" w:cs="Times New Roman"/>
                <w:color w:val="000000"/>
                <w:sz w:val="24"/>
                <w:lang w:eastAsia="zh-CN"/>
              </w:rPr>
            </w:pPr>
            <w:r>
              <w:rPr>
                <w:rFonts w:hint="default" w:ascii="Times New Roman" w:hAnsi="Times New Roman" w:eastAsia="宋体" w:cs="Times New Roman"/>
                <w:color w:val="000000"/>
                <w:sz w:val="24"/>
                <w:lang w:eastAsia="zh-CN"/>
              </w:rPr>
              <w:t>根据《环境影响评价技术导则 大气环境》（HJ2.2-2018），项目所在区域达标判定优先采用国家或地方生态环境主管部门公开发布的评价基准年环境质量公告或环境质量报告中的数据或结论。</w:t>
            </w:r>
          </w:p>
          <w:p w14:paraId="6E03BAA0">
            <w:pPr>
              <w:adjustRightInd w:val="0"/>
              <w:snapToGrid w:val="0"/>
              <w:spacing w:line="360" w:lineRule="auto"/>
              <w:ind w:firstLine="480" w:firstLineChars="200"/>
              <w:rPr>
                <w:rFonts w:hint="default" w:ascii="Times New Roman" w:hAnsi="Times New Roman" w:eastAsia="宋体" w:cs="Times New Roman"/>
                <w:color w:val="000000"/>
                <w:sz w:val="24"/>
                <w:lang w:eastAsia="zh-CN"/>
              </w:rPr>
            </w:pPr>
            <w:bookmarkStart w:id="11" w:name="_Hlk194409474"/>
            <w:r>
              <w:rPr>
                <w:rFonts w:hint="default" w:ascii="Times New Roman" w:hAnsi="Times New Roman" w:eastAsia="宋体" w:cs="Times New Roman"/>
                <w:color w:val="000000"/>
                <w:sz w:val="24"/>
                <w:lang w:eastAsia="zh-CN"/>
              </w:rPr>
              <w:t>本项目位于</w:t>
            </w:r>
            <w:r>
              <w:rPr>
                <w:rFonts w:hint="eastAsia" w:ascii="Times New Roman" w:hAnsi="Times New Roman" w:cs="Times New Roman"/>
                <w:color w:val="000000"/>
                <w:sz w:val="24"/>
                <w:lang w:val="en-US" w:eastAsia="zh-CN"/>
              </w:rPr>
              <w:t>***</w:t>
            </w:r>
            <w:r>
              <w:rPr>
                <w:rFonts w:hint="default" w:ascii="Times New Roman" w:hAnsi="Times New Roman" w:eastAsia="宋体" w:cs="Times New Roman"/>
                <w:color w:val="000000"/>
                <w:sz w:val="24"/>
                <w:lang w:eastAsia="zh-CN"/>
              </w:rPr>
              <w:t>，本次评价环境空气质量现状数据</w:t>
            </w:r>
            <w:r>
              <w:rPr>
                <w:rFonts w:hint="default" w:ascii="Times New Roman" w:hAnsi="Times New Roman" w:eastAsia="宋体" w:cs="Times New Roman"/>
                <w:color w:val="000000"/>
                <w:sz w:val="24"/>
                <w:lang w:val="en-US" w:eastAsia="zh-CN"/>
              </w:rPr>
              <w:t>引用塔城地区生态环境局乌苏市分局提供的乌苏</w:t>
            </w:r>
            <w:r>
              <w:rPr>
                <w:rFonts w:hint="default" w:ascii="Times New Roman" w:hAnsi="Times New Roman" w:eastAsia="宋体" w:cs="Times New Roman"/>
                <w:color w:val="000000"/>
                <w:sz w:val="24"/>
                <w:lang w:eastAsia="zh-CN"/>
              </w:rPr>
              <w:t>市202</w:t>
            </w:r>
            <w:r>
              <w:rPr>
                <w:rFonts w:hint="default" w:ascii="Times New Roman" w:hAnsi="Times New Roman" w:eastAsia="宋体" w:cs="Times New Roman"/>
                <w:color w:val="000000"/>
                <w:sz w:val="24"/>
                <w:lang w:val="en-US" w:eastAsia="zh-CN"/>
              </w:rPr>
              <w:t>4</w:t>
            </w:r>
            <w:r>
              <w:rPr>
                <w:rFonts w:hint="default" w:ascii="Times New Roman" w:hAnsi="Times New Roman" w:eastAsia="宋体" w:cs="Times New Roman"/>
                <w:color w:val="000000"/>
                <w:sz w:val="24"/>
                <w:lang w:eastAsia="zh-CN"/>
              </w:rPr>
              <w:t>年</w:t>
            </w:r>
            <w:r>
              <w:rPr>
                <w:rFonts w:hint="default" w:ascii="Times New Roman" w:hAnsi="Times New Roman" w:eastAsia="宋体" w:cs="Times New Roman"/>
                <w:color w:val="000000"/>
                <w:sz w:val="24"/>
                <w:lang w:val="en-US" w:eastAsia="zh-CN"/>
              </w:rPr>
              <w:t>环境空气质量数据</w:t>
            </w:r>
            <w:r>
              <w:rPr>
                <w:rFonts w:hint="default" w:ascii="Times New Roman" w:hAnsi="Times New Roman" w:eastAsia="宋体" w:cs="Times New Roman"/>
                <w:color w:val="000000"/>
                <w:sz w:val="24"/>
                <w:lang w:eastAsia="zh-CN"/>
              </w:rPr>
              <w:t>来分析工程所在区域的环境空气质量现状。本次评价基本污染物执行《环境空气质量标准》（GB3095-20</w:t>
            </w:r>
            <w:r>
              <w:rPr>
                <w:rFonts w:hint="default" w:ascii="Times New Roman" w:hAnsi="Times New Roman" w:eastAsia="宋体" w:cs="Times New Roman"/>
                <w:color w:val="000000"/>
                <w:sz w:val="24"/>
                <w:lang w:val="en-US" w:eastAsia="zh-CN"/>
              </w:rPr>
              <w:t>26</w:t>
            </w:r>
            <w:r>
              <w:rPr>
                <w:rFonts w:hint="default" w:ascii="Times New Roman" w:hAnsi="Times New Roman" w:eastAsia="宋体" w:cs="Times New Roman"/>
                <w:color w:val="000000"/>
                <w:sz w:val="24"/>
                <w:lang w:eastAsia="zh-CN"/>
              </w:rPr>
              <w:t>）中</w:t>
            </w:r>
            <w:r>
              <w:rPr>
                <w:rFonts w:hint="default" w:ascii="Times New Roman" w:hAnsi="Times New Roman" w:eastAsia="宋体" w:cs="Times New Roman"/>
                <w:color w:val="000000"/>
                <w:sz w:val="24"/>
                <w:lang w:val="en-US" w:eastAsia="zh-CN"/>
              </w:rPr>
              <w:t>过渡阶段</w:t>
            </w:r>
            <w:r>
              <w:rPr>
                <w:rFonts w:hint="default" w:ascii="Times New Roman" w:hAnsi="Times New Roman" w:eastAsia="宋体" w:cs="Times New Roman"/>
                <w:color w:val="000000"/>
                <w:sz w:val="24"/>
                <w:lang w:eastAsia="zh-CN"/>
              </w:rPr>
              <w:t>二级标准。</w:t>
            </w:r>
            <w:r>
              <w:rPr>
                <w:rFonts w:hint="default" w:ascii="Times New Roman" w:hAnsi="Times New Roman" w:eastAsia="宋体" w:cs="Times New Roman"/>
                <w:color w:val="000000"/>
                <w:sz w:val="24"/>
                <w:lang w:val="en-US" w:eastAsia="zh-CN"/>
              </w:rPr>
              <w:t>乌苏</w:t>
            </w:r>
            <w:r>
              <w:rPr>
                <w:rFonts w:hint="default" w:ascii="Times New Roman" w:hAnsi="Times New Roman" w:eastAsia="宋体" w:cs="Times New Roman"/>
                <w:color w:val="000000"/>
                <w:sz w:val="24"/>
                <w:lang w:eastAsia="zh-CN"/>
              </w:rPr>
              <w:t>市基本污染物环境质量现状见表3-1。</w:t>
            </w:r>
            <w:bookmarkEnd w:id="11"/>
          </w:p>
          <w:p w14:paraId="201B8A88">
            <w:pPr>
              <w:adjustRightInd w:val="0"/>
              <w:snapToGrid w:val="0"/>
              <w:jc w:val="center"/>
              <w:rPr>
                <w:rFonts w:hint="eastAsia"/>
                <w:b/>
                <w:bCs/>
                <w:color w:val="000000"/>
                <w:sz w:val="21"/>
                <w:szCs w:val="21"/>
                <w:lang w:eastAsia="zh-CN"/>
              </w:rPr>
            </w:pPr>
            <w:r>
              <w:rPr>
                <w:rFonts w:hint="eastAsia"/>
                <w:b/>
                <w:bCs/>
                <w:color w:val="000000"/>
                <w:sz w:val="21"/>
                <w:szCs w:val="21"/>
                <w:lang w:eastAsia="zh-CN"/>
              </w:rPr>
              <w:t>表3-1 区域环境空气质量现状评价表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4"/>
              <w:gridCol w:w="2253"/>
              <w:gridCol w:w="2042"/>
              <w:gridCol w:w="2042"/>
              <w:gridCol w:w="922"/>
              <w:gridCol w:w="848"/>
            </w:tblGrid>
            <w:tr w14:paraId="46A03B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0" w:type="auto"/>
                  <w:vAlign w:val="center"/>
                </w:tcPr>
                <w:p w14:paraId="5B9E475D">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污染物</w:t>
                  </w:r>
                </w:p>
              </w:tc>
              <w:tc>
                <w:tcPr>
                  <w:tcW w:w="0" w:type="auto"/>
                  <w:vAlign w:val="center"/>
                </w:tcPr>
                <w:p w14:paraId="6224B152">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年评价指标</w:t>
                  </w:r>
                </w:p>
              </w:tc>
              <w:tc>
                <w:tcPr>
                  <w:tcW w:w="0" w:type="auto"/>
                  <w:vAlign w:val="center"/>
                </w:tcPr>
                <w:p w14:paraId="34B37E44">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现状浓度（微克每立方米）</w:t>
                  </w:r>
                </w:p>
              </w:tc>
              <w:tc>
                <w:tcPr>
                  <w:tcW w:w="0" w:type="auto"/>
                  <w:vAlign w:val="center"/>
                </w:tcPr>
                <w:p w14:paraId="64FFCA9F">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评价标准（微克每立方米）</w:t>
                  </w:r>
                </w:p>
              </w:tc>
              <w:tc>
                <w:tcPr>
                  <w:tcW w:w="0" w:type="auto"/>
                  <w:vAlign w:val="center"/>
                </w:tcPr>
                <w:p w14:paraId="188940EA">
                  <w:pPr>
                    <w:autoSpaceDE/>
                    <w:autoSpaceDN/>
                    <w:spacing w:line="300" w:lineRule="exac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占标率/％</w:t>
                  </w:r>
                </w:p>
              </w:tc>
              <w:tc>
                <w:tcPr>
                  <w:tcW w:w="0" w:type="auto"/>
                  <w:vAlign w:val="center"/>
                </w:tcPr>
                <w:p w14:paraId="440D2062">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达标情况</w:t>
                  </w:r>
                </w:p>
              </w:tc>
            </w:tr>
            <w:tr w14:paraId="1B9009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C1D264D">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SO</w:t>
                  </w:r>
                  <w:r>
                    <w:rPr>
                      <w:rFonts w:hint="default" w:ascii="Times New Roman" w:hAnsi="Times New Roman" w:cs="Times New Roman"/>
                      <w:sz w:val="21"/>
                      <w:szCs w:val="21"/>
                      <w:vertAlign w:val="subscript"/>
                    </w:rPr>
                    <w:t>2</w:t>
                  </w:r>
                </w:p>
              </w:tc>
              <w:tc>
                <w:tcPr>
                  <w:tcW w:w="0" w:type="auto"/>
                  <w:vAlign w:val="center"/>
                </w:tcPr>
                <w:p w14:paraId="55530707">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年平均质量浓</w:t>
                  </w:r>
                  <w:r>
                    <w:rPr>
                      <w:rFonts w:hint="default" w:ascii="Times New Roman" w:hAnsi="Times New Roman" w:cs="Times New Roman"/>
                      <w:sz w:val="21"/>
                      <w:szCs w:val="21"/>
                      <w:lang w:eastAsia="zh-CN"/>
                    </w:rPr>
                    <w:t>度</w:t>
                  </w:r>
                </w:p>
              </w:tc>
              <w:tc>
                <w:tcPr>
                  <w:tcW w:w="0" w:type="auto"/>
                  <w:vAlign w:val="center"/>
                </w:tcPr>
                <w:p w14:paraId="6D417414">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030F099F">
                  <w:pPr>
                    <w:autoSpaceDE/>
                    <w:autoSpaceDN/>
                    <w:spacing w:line="300" w:lineRule="exac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val="en-US" w:eastAsia="zh-CN"/>
                    </w:rPr>
                    <w:t>***</w:t>
                  </w:r>
                </w:p>
              </w:tc>
              <w:tc>
                <w:tcPr>
                  <w:tcW w:w="0" w:type="auto"/>
                  <w:vAlign w:val="center"/>
                </w:tcPr>
                <w:p w14:paraId="780298F4">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72F0D108">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达标</w:t>
                  </w:r>
                </w:p>
              </w:tc>
            </w:tr>
            <w:tr w14:paraId="592B7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FCB81D8">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NO</w:t>
                  </w:r>
                  <w:r>
                    <w:rPr>
                      <w:rFonts w:hint="default" w:ascii="Times New Roman" w:hAnsi="Times New Roman" w:cs="Times New Roman"/>
                      <w:sz w:val="21"/>
                      <w:szCs w:val="21"/>
                      <w:vertAlign w:val="subscript"/>
                    </w:rPr>
                    <w:t>2</w:t>
                  </w:r>
                </w:p>
              </w:tc>
              <w:tc>
                <w:tcPr>
                  <w:tcW w:w="0" w:type="auto"/>
                  <w:vAlign w:val="center"/>
                </w:tcPr>
                <w:p w14:paraId="3D4145F0">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年平均质量浓</w:t>
                  </w:r>
                  <w:r>
                    <w:rPr>
                      <w:rFonts w:hint="default" w:ascii="Times New Roman" w:hAnsi="Times New Roman" w:cs="Times New Roman"/>
                      <w:sz w:val="21"/>
                      <w:szCs w:val="21"/>
                      <w:lang w:eastAsia="zh-CN"/>
                    </w:rPr>
                    <w:t>度</w:t>
                  </w:r>
                </w:p>
              </w:tc>
              <w:tc>
                <w:tcPr>
                  <w:tcW w:w="0" w:type="auto"/>
                  <w:vAlign w:val="center"/>
                </w:tcPr>
                <w:p w14:paraId="0C24D571">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7C1D0DF0">
                  <w:pPr>
                    <w:autoSpaceDE/>
                    <w:autoSpaceDN/>
                    <w:spacing w:line="300" w:lineRule="exac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val="en-US" w:eastAsia="zh-CN"/>
                    </w:rPr>
                    <w:t>***</w:t>
                  </w:r>
                </w:p>
              </w:tc>
              <w:tc>
                <w:tcPr>
                  <w:tcW w:w="0" w:type="auto"/>
                  <w:vAlign w:val="center"/>
                </w:tcPr>
                <w:p w14:paraId="2B44CD00">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01ACB1BE">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达标</w:t>
                  </w:r>
                </w:p>
              </w:tc>
            </w:tr>
            <w:tr w14:paraId="393351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437314B">
                  <w:pPr>
                    <w:autoSpaceDE/>
                    <w:autoSpaceDN/>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rPr>
                    <w:t>PM</w:t>
                  </w:r>
                  <w:r>
                    <w:rPr>
                      <w:rFonts w:hint="default" w:ascii="Times New Roman" w:hAnsi="Times New Roman" w:cs="Times New Roman"/>
                      <w:sz w:val="21"/>
                      <w:szCs w:val="21"/>
                      <w:vertAlign w:val="subscript"/>
                    </w:rPr>
                    <w:t>10</w:t>
                  </w:r>
                </w:p>
              </w:tc>
              <w:tc>
                <w:tcPr>
                  <w:tcW w:w="0" w:type="auto"/>
                  <w:vAlign w:val="center"/>
                </w:tcPr>
                <w:p w14:paraId="046AF21A">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年平均质量浓</w:t>
                  </w:r>
                  <w:r>
                    <w:rPr>
                      <w:rFonts w:hint="default" w:ascii="Times New Roman" w:hAnsi="Times New Roman" w:cs="Times New Roman"/>
                      <w:sz w:val="21"/>
                      <w:szCs w:val="21"/>
                      <w:lang w:eastAsia="zh-CN"/>
                    </w:rPr>
                    <w:t>度</w:t>
                  </w:r>
                </w:p>
              </w:tc>
              <w:tc>
                <w:tcPr>
                  <w:tcW w:w="0" w:type="auto"/>
                  <w:vAlign w:val="center"/>
                </w:tcPr>
                <w:p w14:paraId="15D679A2">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6004F971">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47338551">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39E249BB">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达标</w:t>
                  </w:r>
                </w:p>
              </w:tc>
            </w:tr>
            <w:tr w14:paraId="78E774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00B9D39E">
                  <w:pPr>
                    <w:autoSpaceDE/>
                    <w:autoSpaceDN/>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rPr>
                    <w:t>PM</w:t>
                  </w:r>
                  <w:r>
                    <w:rPr>
                      <w:rFonts w:hint="default" w:ascii="Times New Roman" w:hAnsi="Times New Roman" w:cs="Times New Roman"/>
                      <w:sz w:val="21"/>
                      <w:szCs w:val="21"/>
                      <w:vertAlign w:val="subscript"/>
                    </w:rPr>
                    <w:t>2.5</w:t>
                  </w:r>
                </w:p>
              </w:tc>
              <w:tc>
                <w:tcPr>
                  <w:tcW w:w="0" w:type="auto"/>
                  <w:vAlign w:val="center"/>
                </w:tcPr>
                <w:p w14:paraId="73F81116">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rPr>
                    <w:t>年平均质量浓</w:t>
                  </w:r>
                  <w:r>
                    <w:rPr>
                      <w:rFonts w:hint="default" w:ascii="Times New Roman" w:hAnsi="Times New Roman" w:cs="Times New Roman"/>
                      <w:sz w:val="21"/>
                      <w:szCs w:val="21"/>
                      <w:lang w:eastAsia="zh-CN"/>
                    </w:rPr>
                    <w:t>度</w:t>
                  </w:r>
                </w:p>
              </w:tc>
              <w:tc>
                <w:tcPr>
                  <w:tcW w:w="0" w:type="auto"/>
                  <w:vAlign w:val="center"/>
                </w:tcPr>
                <w:p w14:paraId="0EB47E25">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3D5807EA">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13E26DC0">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753477DE">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达标</w:t>
                  </w:r>
                </w:p>
              </w:tc>
            </w:tr>
            <w:tr w14:paraId="0ECA2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625A7460">
                  <w:pPr>
                    <w:autoSpaceDE/>
                    <w:autoSpaceDN/>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rPr>
                    <w:t>CO</w:t>
                  </w:r>
                </w:p>
              </w:tc>
              <w:tc>
                <w:tcPr>
                  <w:tcW w:w="0" w:type="auto"/>
                  <w:vAlign w:val="center"/>
                </w:tcPr>
                <w:p w14:paraId="432F6642">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第95百分位数日平均质量浓度</w:t>
                  </w:r>
                </w:p>
              </w:tc>
              <w:tc>
                <w:tcPr>
                  <w:tcW w:w="0" w:type="auto"/>
                  <w:vAlign w:val="center"/>
                </w:tcPr>
                <w:p w14:paraId="0C72D496">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2C523378">
                  <w:pPr>
                    <w:autoSpaceDE/>
                    <w:autoSpaceDN/>
                    <w:spacing w:line="300" w:lineRule="exac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val="en-US" w:eastAsia="zh-CN"/>
                    </w:rPr>
                    <w:t>***</w:t>
                  </w:r>
                </w:p>
              </w:tc>
              <w:tc>
                <w:tcPr>
                  <w:tcW w:w="0" w:type="auto"/>
                  <w:vAlign w:val="center"/>
                </w:tcPr>
                <w:p w14:paraId="240405C4">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688D462D">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达标</w:t>
                  </w:r>
                </w:p>
              </w:tc>
            </w:tr>
            <w:tr w14:paraId="79ABB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0" w:type="auto"/>
                  <w:vAlign w:val="center"/>
                </w:tcPr>
                <w:p w14:paraId="7C30397F">
                  <w:pPr>
                    <w:autoSpaceDE/>
                    <w:autoSpaceDN/>
                    <w:spacing w:line="300" w:lineRule="exact"/>
                    <w:jc w:val="center"/>
                    <w:rPr>
                      <w:rFonts w:hint="default" w:ascii="Times New Roman" w:hAnsi="Times New Roman" w:cs="Times New Roman"/>
                      <w:sz w:val="21"/>
                      <w:szCs w:val="21"/>
                    </w:rPr>
                  </w:pPr>
                  <w:r>
                    <w:rPr>
                      <w:rFonts w:hint="default" w:ascii="Times New Roman" w:hAnsi="Times New Roman" w:cs="Times New Roman"/>
                      <w:sz w:val="21"/>
                      <w:szCs w:val="21"/>
                    </w:rPr>
                    <w:t>O</w:t>
                  </w:r>
                  <w:r>
                    <w:rPr>
                      <w:rFonts w:hint="default" w:ascii="Times New Roman" w:hAnsi="Times New Roman" w:cs="Times New Roman"/>
                      <w:sz w:val="21"/>
                      <w:szCs w:val="21"/>
                      <w:vertAlign w:val="subscript"/>
                    </w:rPr>
                    <w:t>3</w:t>
                  </w:r>
                </w:p>
              </w:tc>
              <w:tc>
                <w:tcPr>
                  <w:tcW w:w="0" w:type="auto"/>
                  <w:vAlign w:val="center"/>
                </w:tcPr>
                <w:p w14:paraId="611AB58B">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第90百分位数8h平均质量浓度</w:t>
                  </w:r>
                </w:p>
              </w:tc>
              <w:tc>
                <w:tcPr>
                  <w:tcW w:w="0" w:type="auto"/>
                  <w:vAlign w:val="center"/>
                </w:tcPr>
                <w:p w14:paraId="58B391CD">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7BED4C6C">
                  <w:pPr>
                    <w:autoSpaceDE/>
                    <w:autoSpaceDN/>
                    <w:spacing w:line="300" w:lineRule="exac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val="en-US" w:eastAsia="zh-CN"/>
                    </w:rPr>
                    <w:t>***</w:t>
                  </w:r>
                </w:p>
              </w:tc>
              <w:tc>
                <w:tcPr>
                  <w:tcW w:w="0" w:type="auto"/>
                  <w:vAlign w:val="center"/>
                </w:tcPr>
                <w:p w14:paraId="0A463049">
                  <w:pPr>
                    <w:autoSpaceDE/>
                    <w:autoSpaceDN/>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0" w:type="auto"/>
                  <w:vAlign w:val="center"/>
                </w:tcPr>
                <w:p w14:paraId="5999BB1A">
                  <w:pPr>
                    <w:autoSpaceDE/>
                    <w:autoSpaceDN/>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达标</w:t>
                  </w:r>
                </w:p>
              </w:tc>
            </w:tr>
          </w:tbl>
          <w:p w14:paraId="4B63AB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sz w:val="24"/>
                <w:szCs w:val="24"/>
                <w:lang w:eastAsia="zh-CN"/>
              </w:rPr>
            </w:pPr>
            <w:r>
              <w:rPr>
                <w:rFonts w:ascii="Times New Roman" w:hAnsi="Times New Roman" w:cs="Times New Roman"/>
                <w:sz w:val="24"/>
                <w:szCs w:val="24"/>
                <w:lang w:eastAsia="zh-CN"/>
              </w:rPr>
              <w:t>由表3-</w:t>
            </w:r>
            <w:r>
              <w:rPr>
                <w:rFonts w:hint="eastAsia" w:ascii="Times New Roman" w:hAnsi="Times New Roman" w:cs="Times New Roman"/>
                <w:sz w:val="24"/>
                <w:szCs w:val="24"/>
                <w:lang w:eastAsia="zh-CN"/>
              </w:rPr>
              <w:t>1</w:t>
            </w:r>
            <w:r>
              <w:rPr>
                <w:rFonts w:ascii="Times New Roman" w:hAnsi="Times New Roman" w:cs="Times New Roman"/>
                <w:sz w:val="24"/>
                <w:szCs w:val="24"/>
                <w:lang w:eastAsia="zh-CN"/>
              </w:rPr>
              <w:t>分析可知，</w:t>
            </w:r>
            <w:r>
              <w:rPr>
                <w:rFonts w:hint="eastAsia" w:ascii="Times New Roman" w:hAnsi="Times New Roman" w:cs="Times New Roman"/>
                <w:sz w:val="24"/>
                <w:szCs w:val="24"/>
                <w:lang w:val="en-US" w:eastAsia="zh-CN"/>
              </w:rPr>
              <w:t>乌苏</w:t>
            </w:r>
            <w:r>
              <w:rPr>
                <w:rFonts w:ascii="Times New Roman" w:hAnsi="Times New Roman" w:cs="Times New Roman"/>
                <w:sz w:val="24"/>
                <w:szCs w:val="24"/>
                <w:lang w:eastAsia="zh-CN"/>
              </w:rPr>
              <w:t>市二氧化硫</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二氧化氮年平均质量浓度、PM</w:t>
            </w:r>
            <w:r>
              <w:rPr>
                <w:rFonts w:ascii="Times New Roman" w:hAnsi="Times New Roman" w:cs="Times New Roman"/>
                <w:sz w:val="24"/>
                <w:szCs w:val="24"/>
                <w:vertAlign w:val="subscript"/>
                <w:lang w:eastAsia="zh-CN"/>
              </w:rPr>
              <w:t>10</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PM</w:t>
            </w:r>
            <w:r>
              <w:rPr>
                <w:rFonts w:ascii="Times New Roman" w:hAnsi="Times New Roman" w:cs="Times New Roman"/>
                <w:sz w:val="24"/>
                <w:szCs w:val="24"/>
                <w:vertAlign w:val="subscript"/>
                <w:lang w:eastAsia="zh-CN"/>
              </w:rPr>
              <w:t>2.5</w:t>
            </w:r>
            <w:r>
              <w:rPr>
                <w:rFonts w:hint="eastAsia" w:ascii="Times New Roman" w:hAnsi="Times New Roman" w:cs="Times New Roman"/>
                <w:sz w:val="24"/>
                <w:szCs w:val="24"/>
                <w:vertAlign w:val="baseline"/>
                <w:lang w:eastAsia="zh-CN"/>
              </w:rPr>
              <w:t>、</w:t>
            </w:r>
            <w:r>
              <w:rPr>
                <w:rFonts w:ascii="Times New Roman" w:hAnsi="Times New Roman" w:cs="Times New Roman"/>
                <w:sz w:val="24"/>
                <w:szCs w:val="24"/>
                <w:lang w:eastAsia="zh-CN"/>
              </w:rPr>
              <w:t>一氧化碳日平均质量评价浓度（第95百分位数）、臭氧8h平均质量评价浓度（第90百分位数）均达到《环境空气质量标准》（GB3095-20</w:t>
            </w:r>
            <w:r>
              <w:rPr>
                <w:rFonts w:hint="eastAsia" w:ascii="Times New Roman" w:hAnsi="Times New Roman" w:cs="Times New Roman"/>
                <w:sz w:val="24"/>
                <w:szCs w:val="24"/>
                <w:lang w:val="en-US" w:eastAsia="zh-CN"/>
              </w:rPr>
              <w:t>26</w:t>
            </w:r>
            <w:r>
              <w:rPr>
                <w:rFonts w:ascii="Times New Roman" w:hAnsi="Times New Roman" w:cs="Times New Roman"/>
                <w:sz w:val="24"/>
                <w:szCs w:val="24"/>
                <w:lang w:eastAsia="zh-CN"/>
              </w:rPr>
              <w:t>）</w:t>
            </w:r>
            <w:r>
              <w:rPr>
                <w:rFonts w:hint="default" w:ascii="Times New Roman" w:hAnsi="Times New Roman" w:cs="Times New Roman"/>
                <w:color w:val="000000"/>
                <w:sz w:val="24"/>
                <w:lang w:val="en-US" w:eastAsia="zh-CN"/>
              </w:rPr>
              <w:t>过渡</w:t>
            </w:r>
            <w:r>
              <w:rPr>
                <w:rFonts w:hint="eastAsia"/>
                <w:color w:val="000000"/>
                <w:sz w:val="24"/>
                <w:lang w:val="en-US" w:eastAsia="zh-CN"/>
              </w:rPr>
              <w:t>阶段</w:t>
            </w:r>
            <w:r>
              <w:rPr>
                <w:rFonts w:ascii="Times New Roman" w:hAnsi="Times New Roman" w:cs="Times New Roman"/>
                <w:sz w:val="24"/>
                <w:szCs w:val="24"/>
                <w:lang w:eastAsia="zh-CN"/>
              </w:rPr>
              <w:t>二级标准。故项目所在区域为达标区。</w:t>
            </w:r>
          </w:p>
          <w:p w14:paraId="33F9F1B3">
            <w:pPr>
              <w:adjustRightInd w:val="0"/>
              <w:snapToGrid w:val="0"/>
              <w:spacing w:line="360" w:lineRule="auto"/>
              <w:ind w:firstLine="480" w:firstLineChars="200"/>
              <w:rPr>
                <w:rFonts w:hint="eastAsia" w:cs="Times New Roman"/>
                <w:b/>
                <w:bCs/>
                <w:sz w:val="21"/>
                <w:szCs w:val="21"/>
                <w:highlight w:val="none"/>
                <w:lang w:eastAsia="zh-CN"/>
              </w:rPr>
            </w:pPr>
            <w:r>
              <w:rPr>
                <w:rFonts w:hint="default" w:ascii="Times New Roman" w:hAnsi="Times New Roman" w:cs="Times New Roman"/>
                <w:sz w:val="24"/>
                <w:szCs w:val="24"/>
                <w:highlight w:val="none"/>
                <w:lang w:eastAsia="zh-CN"/>
              </w:rPr>
              <w:t>本项目其他污染物为</w:t>
            </w:r>
            <w:r>
              <w:rPr>
                <w:rFonts w:hint="default" w:ascii="Times New Roman" w:hAnsi="Times New Roman" w:cs="Times New Roman"/>
                <w:sz w:val="24"/>
                <w:szCs w:val="24"/>
                <w:highlight w:val="none"/>
                <w:lang w:val="en-US" w:eastAsia="zh-CN"/>
              </w:rPr>
              <w:t>非甲烷总烃与</w:t>
            </w:r>
            <w:r>
              <w:rPr>
                <w:rFonts w:hint="default" w:ascii="Times New Roman" w:hAnsi="Times New Roman" w:cs="Times New Roman"/>
                <w:sz w:val="24"/>
                <w:szCs w:val="24"/>
                <w:highlight w:val="none"/>
                <w:lang w:eastAsia="zh-CN"/>
              </w:rPr>
              <w:t>TSP。污染物非甲烷总烃大气环境质量现状数据引用《乌苏工业园区国土空间专项规划（2024-2035年）环境影响报告书》中</w:t>
            </w:r>
            <w:r>
              <w:rPr>
                <w:rFonts w:hint="eastAsia" w:ascii="Times New Roman" w:hAnsi="Times New Roman" w:cs="Times New Roman"/>
                <w:sz w:val="24"/>
                <w:szCs w:val="24"/>
                <w:highlight w:val="none"/>
                <w:lang w:val="en-US" w:eastAsia="zh-CN"/>
              </w:rPr>
              <w:t>乌苏第一小学</w:t>
            </w:r>
            <w:r>
              <w:rPr>
                <w:rFonts w:hint="default" w:ascii="Times New Roman" w:hAnsi="Times New Roman" w:cs="Times New Roman"/>
                <w:sz w:val="24"/>
                <w:szCs w:val="24"/>
                <w:highlight w:val="none"/>
                <w:lang w:eastAsia="zh-CN"/>
              </w:rPr>
              <w:t>监测数据，监测点位于本项目西侧</w:t>
            </w:r>
            <w:r>
              <w:rPr>
                <w:rFonts w:hint="eastAsia"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km，监测日期为20</w:t>
            </w:r>
            <w:r>
              <w:rPr>
                <w:rFonts w:hint="eastAsia" w:ascii="Times New Roman" w:hAnsi="Times New Roman" w:cs="Times New Roman"/>
                <w:sz w:val="24"/>
                <w:szCs w:val="24"/>
                <w:highlight w:val="none"/>
                <w:lang w:val="en-US" w:eastAsia="zh-CN"/>
              </w:rPr>
              <w:t>25</w:t>
            </w:r>
            <w:r>
              <w:rPr>
                <w:rFonts w:hint="default" w:ascii="Times New Roman" w:hAnsi="Times New Roman" w:cs="Times New Roman"/>
                <w:sz w:val="24"/>
                <w:szCs w:val="24"/>
                <w:highlight w:val="none"/>
                <w:lang w:eastAsia="zh-CN"/>
              </w:rPr>
              <w:t>年</w:t>
            </w:r>
            <w:r>
              <w:rPr>
                <w:rFonts w:hint="eastAsia"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lang w:eastAsia="zh-CN"/>
              </w:rPr>
              <w:t>月</w:t>
            </w:r>
            <w:r>
              <w:rPr>
                <w:rFonts w:hint="eastAsia" w:ascii="Times New Roman" w:hAnsi="Times New Roman" w:cs="Times New Roman"/>
                <w:sz w:val="24"/>
                <w:szCs w:val="24"/>
                <w:highlight w:val="none"/>
                <w:lang w:val="en-US" w:eastAsia="zh-CN"/>
              </w:rPr>
              <w:t>17</w:t>
            </w:r>
            <w:r>
              <w:rPr>
                <w:rFonts w:hint="default" w:ascii="Times New Roman" w:hAnsi="Times New Roman" w:cs="Times New Roman"/>
                <w:sz w:val="24"/>
                <w:szCs w:val="24"/>
                <w:highlight w:val="none"/>
                <w:lang w:eastAsia="zh-CN"/>
              </w:rPr>
              <w:t>日至</w:t>
            </w:r>
            <w:r>
              <w:rPr>
                <w:rFonts w:hint="eastAsia" w:ascii="Times New Roman" w:hAnsi="Times New Roman" w:cs="Times New Roman"/>
                <w:sz w:val="24"/>
                <w:szCs w:val="24"/>
                <w:highlight w:val="none"/>
                <w:lang w:val="en-US" w:eastAsia="zh-CN"/>
              </w:rPr>
              <w:t>24</w:t>
            </w:r>
            <w:r>
              <w:rPr>
                <w:rFonts w:hint="default" w:ascii="Times New Roman" w:hAnsi="Times New Roman" w:cs="Times New Roman"/>
                <w:sz w:val="24"/>
                <w:szCs w:val="24"/>
                <w:highlight w:val="none"/>
                <w:lang w:eastAsia="zh-CN"/>
              </w:rPr>
              <w:t>日。</w:t>
            </w:r>
            <w:r>
              <w:rPr>
                <w:rFonts w:hint="eastAsia" w:ascii="Times New Roman" w:hAnsi="Times New Roman" w:cs="Times New Roman"/>
                <w:sz w:val="24"/>
                <w:szCs w:val="24"/>
                <w:highlight w:val="none"/>
                <w:lang w:val="en-US" w:eastAsia="zh-CN"/>
              </w:rPr>
              <w:t>污染物TSP</w:t>
            </w:r>
            <w:r>
              <w:rPr>
                <w:rFonts w:hint="default" w:ascii="Times New Roman" w:hAnsi="Times New Roman" w:cs="Times New Roman"/>
                <w:sz w:val="24"/>
                <w:szCs w:val="24"/>
                <w:highlight w:val="none"/>
                <w:lang w:eastAsia="zh-CN"/>
              </w:rPr>
              <w:t>大气环境质量现状数据引用新疆奎河农业发展有限公司检测项目</w:t>
            </w:r>
            <w:r>
              <w:rPr>
                <w:rFonts w:hint="eastAsia" w:ascii="Times New Roman" w:hAnsi="Times New Roman" w:cs="Times New Roman"/>
                <w:sz w:val="24"/>
                <w:szCs w:val="24"/>
                <w:highlight w:val="none"/>
                <w:lang w:val="en-US" w:eastAsia="zh-CN"/>
              </w:rPr>
              <w:t>监测数据，监测点位位于本项目北侧3.7km，监测日期为2026年4月1日至4日。</w:t>
            </w:r>
            <w:r>
              <w:rPr>
                <w:rFonts w:hint="default" w:ascii="Times New Roman" w:hAnsi="Times New Roman" w:eastAsia="宋体" w:cs="Times New Roman"/>
                <w:sz w:val="24"/>
                <w:szCs w:val="24"/>
              </w:rPr>
              <w:t>以上监测点位与本项目距离均小于5km，且监测时间距今未超过3年，监测期后 区域污染源变化不大，数据有效，可引用。具体监测数据如下：</w:t>
            </w:r>
          </w:p>
          <w:p w14:paraId="49FC8F82">
            <w:pPr>
              <w:adjustRightInd w:val="0"/>
              <w:snapToGrid w:val="0"/>
              <w:jc w:val="center"/>
              <w:rPr>
                <w:rFonts w:hint="eastAsia" w:cs="Times New Roman"/>
                <w:b/>
                <w:bCs/>
                <w:sz w:val="21"/>
                <w:szCs w:val="21"/>
                <w:highlight w:val="none"/>
                <w:lang w:eastAsia="zh-CN"/>
              </w:rPr>
            </w:pPr>
            <w:r>
              <w:rPr>
                <w:rFonts w:hint="eastAsia" w:cs="Times New Roman"/>
                <w:b/>
                <w:bCs/>
                <w:sz w:val="21"/>
                <w:szCs w:val="21"/>
                <w:highlight w:val="none"/>
                <w:lang w:eastAsia="zh-CN"/>
              </w:rPr>
              <w:t>表</w:t>
            </w:r>
            <w:r>
              <w:rPr>
                <w:rFonts w:cs="Times New Roman"/>
                <w:b/>
                <w:bCs/>
                <w:sz w:val="21"/>
                <w:szCs w:val="21"/>
                <w:highlight w:val="none"/>
                <w:lang w:eastAsia="zh-CN"/>
              </w:rPr>
              <w:t>3-</w:t>
            </w:r>
            <w:r>
              <w:rPr>
                <w:rFonts w:hint="eastAsia" w:cs="Times New Roman"/>
                <w:b/>
                <w:bCs/>
                <w:sz w:val="21"/>
                <w:szCs w:val="21"/>
                <w:highlight w:val="none"/>
                <w:lang w:val="en-US" w:eastAsia="zh-CN"/>
              </w:rPr>
              <w:t>2</w:t>
            </w:r>
            <w:r>
              <w:rPr>
                <w:rFonts w:hint="eastAsia" w:cs="Times New Roman"/>
                <w:b/>
                <w:bCs/>
                <w:sz w:val="21"/>
                <w:szCs w:val="21"/>
                <w:highlight w:val="none"/>
                <w:lang w:eastAsia="zh-CN"/>
              </w:rPr>
              <w:t xml:space="preserve">  </w:t>
            </w:r>
            <w:r>
              <w:rPr>
                <w:rFonts w:cs="Times New Roman"/>
                <w:b/>
                <w:bCs/>
                <w:sz w:val="21"/>
                <w:szCs w:val="21"/>
                <w:highlight w:val="none"/>
                <w:lang w:eastAsia="zh-CN"/>
              </w:rPr>
              <w:t>其他污染物环境质量现状（监测结果）表</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3"/>
              <w:gridCol w:w="1740"/>
              <w:gridCol w:w="978"/>
              <w:gridCol w:w="1958"/>
              <w:gridCol w:w="1039"/>
              <w:gridCol w:w="1120"/>
              <w:gridCol w:w="701"/>
              <w:gridCol w:w="682"/>
            </w:tblGrid>
            <w:tr w14:paraId="3E6D2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shd w:val="clear" w:color="auto" w:fill="auto"/>
                  <w:vAlign w:val="center"/>
                </w:tcPr>
                <w:p w14:paraId="1182A7F4">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检测点位</w:t>
                  </w:r>
                </w:p>
              </w:tc>
              <w:tc>
                <w:tcPr>
                  <w:tcW w:w="1740" w:type="dxa"/>
                  <w:shd w:val="clear" w:color="auto" w:fill="auto"/>
                  <w:vAlign w:val="center"/>
                </w:tcPr>
                <w:p w14:paraId="18EB7FE7">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污染物</w:t>
                  </w:r>
                </w:p>
              </w:tc>
              <w:tc>
                <w:tcPr>
                  <w:tcW w:w="978" w:type="dxa"/>
                  <w:shd w:val="clear" w:color="auto" w:fill="auto"/>
                  <w:vAlign w:val="center"/>
                </w:tcPr>
                <w:p w14:paraId="1A6C97D7">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平均时间</w:t>
                  </w:r>
                </w:p>
              </w:tc>
              <w:tc>
                <w:tcPr>
                  <w:tcW w:w="1958" w:type="dxa"/>
                  <w:shd w:val="clear" w:color="auto" w:fill="auto"/>
                  <w:vAlign w:val="center"/>
                </w:tcPr>
                <w:p w14:paraId="21603CB2">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检测浓度范围</w:t>
                  </w:r>
                </w:p>
              </w:tc>
              <w:tc>
                <w:tcPr>
                  <w:tcW w:w="1039" w:type="dxa"/>
                  <w:shd w:val="clear" w:color="auto" w:fill="auto"/>
                  <w:vAlign w:val="center"/>
                </w:tcPr>
                <w:p w14:paraId="5544B71C">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评价标准</w:t>
                  </w:r>
                </w:p>
              </w:tc>
              <w:tc>
                <w:tcPr>
                  <w:tcW w:w="1120" w:type="dxa"/>
                  <w:shd w:val="clear" w:color="auto" w:fill="auto"/>
                  <w:vAlign w:val="center"/>
                </w:tcPr>
                <w:p w14:paraId="6E542D6C">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最大浓度占标率/%</w:t>
                  </w:r>
                </w:p>
              </w:tc>
              <w:tc>
                <w:tcPr>
                  <w:tcW w:w="701" w:type="dxa"/>
                  <w:shd w:val="clear" w:color="auto" w:fill="auto"/>
                  <w:vAlign w:val="center"/>
                </w:tcPr>
                <w:p w14:paraId="4D7E62E1">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超标率/%</w:t>
                  </w:r>
                </w:p>
              </w:tc>
              <w:tc>
                <w:tcPr>
                  <w:tcW w:w="682" w:type="dxa"/>
                  <w:shd w:val="clear" w:color="auto" w:fill="auto"/>
                  <w:vAlign w:val="center"/>
                </w:tcPr>
                <w:p w14:paraId="6271B019">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达标情况</w:t>
                  </w:r>
                </w:p>
              </w:tc>
            </w:tr>
            <w:tr w14:paraId="1C82BD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shd w:val="clear" w:color="auto" w:fill="auto"/>
                  <w:vAlign w:val="center"/>
                </w:tcPr>
                <w:p w14:paraId="54CD1BC2">
                  <w:pPr>
                    <w:adjustRightInd w:val="0"/>
                    <w:snapToGrid w:val="0"/>
                    <w:spacing w:line="300" w:lineRule="atLeas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740" w:type="dxa"/>
                  <w:shd w:val="clear" w:color="auto" w:fill="auto"/>
                  <w:vAlign w:val="center"/>
                </w:tcPr>
                <w:p w14:paraId="45304F67">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非甲烷总烃</w:t>
                  </w:r>
                </w:p>
              </w:tc>
              <w:tc>
                <w:tcPr>
                  <w:tcW w:w="978" w:type="dxa"/>
                  <w:shd w:val="clear" w:color="auto" w:fill="auto"/>
                  <w:vAlign w:val="center"/>
                </w:tcPr>
                <w:p w14:paraId="788F46CA">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日均值</w:t>
                  </w:r>
                </w:p>
              </w:tc>
              <w:tc>
                <w:tcPr>
                  <w:tcW w:w="1958" w:type="dxa"/>
                  <w:shd w:val="clear" w:color="auto" w:fill="auto"/>
                  <w:vAlign w:val="center"/>
                </w:tcPr>
                <w:p w14:paraId="1C97B8BB">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w:t>
                  </w:r>
                  <w:r>
                    <w:rPr>
                      <w:rFonts w:hint="eastAsia" w:ascii="Times New Roman" w:hAnsi="Times New Roman"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μg/m</w:t>
                  </w:r>
                  <w:r>
                    <w:rPr>
                      <w:rFonts w:hint="default" w:ascii="Times New Roman" w:hAnsi="Times New Roman" w:eastAsia="宋体" w:cs="Times New Roman"/>
                      <w:sz w:val="21"/>
                      <w:szCs w:val="21"/>
                      <w:highlight w:val="none"/>
                      <w:vertAlign w:val="superscript"/>
                      <w:lang w:eastAsia="zh-CN"/>
                    </w:rPr>
                    <w:t>3</w:t>
                  </w:r>
                </w:p>
              </w:tc>
              <w:tc>
                <w:tcPr>
                  <w:tcW w:w="1039" w:type="dxa"/>
                  <w:shd w:val="clear" w:color="auto" w:fill="auto"/>
                  <w:vAlign w:val="center"/>
                </w:tcPr>
                <w:p w14:paraId="2CE0CBF6">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eastAsia="zh-CN"/>
                    </w:rPr>
                    <w:t>μg/m</w:t>
                  </w:r>
                  <w:r>
                    <w:rPr>
                      <w:rFonts w:hint="default" w:ascii="Times New Roman" w:hAnsi="Times New Roman" w:eastAsia="宋体" w:cs="Times New Roman"/>
                      <w:sz w:val="21"/>
                      <w:szCs w:val="21"/>
                      <w:highlight w:val="none"/>
                      <w:vertAlign w:val="superscript"/>
                      <w:lang w:eastAsia="zh-CN"/>
                    </w:rPr>
                    <w:t>3</w:t>
                  </w:r>
                </w:p>
              </w:tc>
              <w:tc>
                <w:tcPr>
                  <w:tcW w:w="1120" w:type="dxa"/>
                  <w:shd w:val="clear" w:color="auto" w:fill="auto"/>
                  <w:vAlign w:val="center"/>
                </w:tcPr>
                <w:p w14:paraId="7D0FF78A">
                  <w:pPr>
                    <w:adjustRightInd w:val="0"/>
                    <w:snapToGrid w:val="0"/>
                    <w:spacing w:line="300" w:lineRule="atLeas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01" w:type="dxa"/>
                  <w:shd w:val="clear" w:color="auto" w:fill="auto"/>
                  <w:vAlign w:val="center"/>
                </w:tcPr>
                <w:p w14:paraId="78188C39">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0</w:t>
                  </w:r>
                </w:p>
              </w:tc>
              <w:tc>
                <w:tcPr>
                  <w:tcW w:w="682" w:type="dxa"/>
                  <w:shd w:val="clear" w:color="auto" w:fill="auto"/>
                  <w:vAlign w:val="center"/>
                </w:tcPr>
                <w:p w14:paraId="2CD508A7">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达标</w:t>
                  </w:r>
                </w:p>
              </w:tc>
            </w:tr>
            <w:tr w14:paraId="1ACD4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shd w:val="clear" w:color="auto" w:fill="auto"/>
                  <w:vAlign w:val="center"/>
                </w:tcPr>
                <w:p w14:paraId="28BC0591">
                  <w:pPr>
                    <w:adjustRightInd w:val="0"/>
                    <w:snapToGrid w:val="0"/>
                    <w:spacing w:line="300" w:lineRule="atLeas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740" w:type="dxa"/>
                  <w:shd w:val="clear" w:color="auto" w:fill="auto"/>
                  <w:vAlign w:val="center"/>
                </w:tcPr>
                <w:p w14:paraId="7A229069">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TSP</w:t>
                  </w:r>
                </w:p>
              </w:tc>
              <w:tc>
                <w:tcPr>
                  <w:tcW w:w="978" w:type="dxa"/>
                  <w:shd w:val="clear" w:color="auto" w:fill="auto"/>
                  <w:vAlign w:val="center"/>
                </w:tcPr>
                <w:p w14:paraId="0D0DBF9F">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日均值</w:t>
                  </w:r>
                </w:p>
              </w:tc>
              <w:tc>
                <w:tcPr>
                  <w:tcW w:w="1958" w:type="dxa"/>
                  <w:shd w:val="clear" w:color="auto" w:fill="auto"/>
                  <w:vAlign w:val="center"/>
                </w:tcPr>
                <w:p w14:paraId="06DB6A0D">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w:t>
                  </w:r>
                  <w:r>
                    <w:rPr>
                      <w:rFonts w:hint="eastAsia" w:ascii="Times New Roman" w:hAnsi="Times New Roman" w:cs="Times New Roman"/>
                      <w:sz w:val="21"/>
                      <w:szCs w:val="21"/>
                      <w:highlight w:val="none"/>
                      <w:lang w:val="en-US" w:eastAsia="zh-CN"/>
                    </w:rPr>
                    <w:t>***</w:t>
                  </w:r>
                  <w:r>
                    <w:rPr>
                      <w:rFonts w:hint="default" w:ascii="Times New Roman" w:hAnsi="Times New Roman" w:eastAsia="宋体" w:cs="Times New Roman"/>
                      <w:sz w:val="21"/>
                      <w:szCs w:val="21"/>
                      <w:highlight w:val="none"/>
                      <w:lang w:eastAsia="zh-CN"/>
                    </w:rPr>
                    <w:t>μg/m</w:t>
                  </w:r>
                  <w:r>
                    <w:rPr>
                      <w:rFonts w:hint="default" w:ascii="Times New Roman" w:hAnsi="Times New Roman" w:eastAsia="宋体" w:cs="Times New Roman"/>
                      <w:sz w:val="21"/>
                      <w:szCs w:val="21"/>
                      <w:highlight w:val="none"/>
                      <w:vertAlign w:val="superscript"/>
                      <w:lang w:eastAsia="zh-CN"/>
                    </w:rPr>
                    <w:t>3</w:t>
                  </w:r>
                </w:p>
              </w:tc>
              <w:tc>
                <w:tcPr>
                  <w:tcW w:w="1039" w:type="dxa"/>
                  <w:shd w:val="clear" w:color="auto" w:fill="auto"/>
                  <w:vAlign w:val="center"/>
                </w:tcPr>
                <w:p w14:paraId="2BA212C0">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300</w:t>
                  </w:r>
                  <w:r>
                    <w:rPr>
                      <w:rFonts w:hint="default" w:ascii="Times New Roman" w:hAnsi="Times New Roman" w:eastAsia="宋体" w:cs="Times New Roman"/>
                      <w:sz w:val="21"/>
                      <w:szCs w:val="21"/>
                      <w:highlight w:val="none"/>
                      <w:lang w:eastAsia="zh-CN"/>
                    </w:rPr>
                    <w:t>μg/m</w:t>
                  </w:r>
                  <w:r>
                    <w:rPr>
                      <w:rFonts w:hint="default" w:ascii="Times New Roman" w:hAnsi="Times New Roman" w:eastAsia="宋体" w:cs="Times New Roman"/>
                      <w:sz w:val="21"/>
                      <w:szCs w:val="21"/>
                      <w:highlight w:val="none"/>
                      <w:vertAlign w:val="superscript"/>
                      <w:lang w:eastAsia="zh-CN"/>
                    </w:rPr>
                    <w:t>3</w:t>
                  </w:r>
                </w:p>
              </w:tc>
              <w:tc>
                <w:tcPr>
                  <w:tcW w:w="1120" w:type="dxa"/>
                  <w:shd w:val="clear" w:color="auto" w:fill="auto"/>
                  <w:vAlign w:val="center"/>
                </w:tcPr>
                <w:p w14:paraId="14F944BF">
                  <w:pPr>
                    <w:adjustRightInd w:val="0"/>
                    <w:snapToGrid w:val="0"/>
                    <w:spacing w:line="300" w:lineRule="atLeas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701" w:type="dxa"/>
                  <w:shd w:val="clear" w:color="auto" w:fill="auto"/>
                  <w:vAlign w:val="center"/>
                </w:tcPr>
                <w:p w14:paraId="116AF69F">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0</w:t>
                  </w:r>
                </w:p>
              </w:tc>
              <w:tc>
                <w:tcPr>
                  <w:tcW w:w="682" w:type="dxa"/>
                  <w:shd w:val="clear" w:color="auto" w:fill="auto"/>
                  <w:vAlign w:val="center"/>
                </w:tcPr>
                <w:p w14:paraId="0943F9F7">
                  <w:pPr>
                    <w:adjustRightInd w:val="0"/>
                    <w:snapToGrid w:val="0"/>
                    <w:spacing w:line="300" w:lineRule="atLeas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达标</w:t>
                  </w:r>
                </w:p>
              </w:tc>
            </w:tr>
          </w:tbl>
          <w:p w14:paraId="1A805F33">
            <w:pPr>
              <w:adjustRightInd w:val="0"/>
              <w:snapToGrid w:val="0"/>
              <w:spacing w:line="360" w:lineRule="auto"/>
              <w:ind w:firstLine="480" w:firstLineChars="200"/>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监测结果表明，TSP日均值满足《环境空气质量标准》（GB3095-20</w:t>
            </w:r>
            <w:r>
              <w:rPr>
                <w:rFonts w:hint="eastAsia" w:ascii="Times New Roman" w:hAnsi="Times New Roman" w:cs="Times New Roman"/>
                <w:sz w:val="24"/>
                <w:szCs w:val="24"/>
                <w:highlight w:val="none"/>
                <w:lang w:val="en-US" w:eastAsia="zh-CN"/>
              </w:rPr>
              <w:t>26</w:t>
            </w:r>
            <w:r>
              <w:rPr>
                <w:rFonts w:hint="default" w:ascii="Times New Roman" w:hAnsi="Times New Roman" w:cs="Times New Roman"/>
                <w:sz w:val="24"/>
                <w:szCs w:val="24"/>
                <w:highlight w:val="none"/>
                <w:lang w:eastAsia="zh-CN"/>
              </w:rPr>
              <w:t>）中的二级标准限值</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非甲烷总烃满足</w:t>
            </w:r>
            <w:r>
              <w:rPr>
                <w:rFonts w:hint="default" w:ascii="Times New Roman" w:hAnsi="Times New Roman" w:cs="Times New Roman"/>
                <w:sz w:val="24"/>
                <w:szCs w:val="24"/>
                <w:highlight w:val="none"/>
                <w:lang w:val="en-US" w:eastAsia="zh-CN"/>
              </w:rPr>
              <w:t>《大气污染物综合排放标准》</w:t>
            </w:r>
            <w:r>
              <w:rPr>
                <w:rFonts w:hint="eastAsia" w:ascii="Times New Roman" w:hAnsi="Times New Roman" w:cs="Times New Roman"/>
                <w:sz w:val="24"/>
                <w:szCs w:val="24"/>
                <w:highlight w:val="none"/>
                <w:lang w:val="en-US" w:eastAsia="zh-CN"/>
              </w:rPr>
              <w:t>中的要求</w:t>
            </w:r>
            <w:r>
              <w:rPr>
                <w:rFonts w:hint="default" w:ascii="Times New Roman" w:hAnsi="Times New Roman" w:cs="Times New Roman"/>
                <w:sz w:val="24"/>
                <w:szCs w:val="24"/>
                <w:highlight w:val="none"/>
                <w:lang w:eastAsia="zh-CN"/>
              </w:rPr>
              <w:t>。</w:t>
            </w:r>
          </w:p>
          <w:p w14:paraId="4B0D876B">
            <w:pPr>
              <w:pStyle w:val="2"/>
              <w:outlineLvl w:val="9"/>
              <w:rPr>
                <w:highlight w:val="none"/>
                <w:lang w:eastAsia="zh-CN"/>
              </w:rPr>
            </w:pPr>
            <w:r>
              <w:rPr>
                <w:rFonts w:hint="eastAsia"/>
                <w:highlight w:val="none"/>
                <w:lang w:eastAsia="zh-CN"/>
              </w:rPr>
              <w:t>2.地表水环境现状调查与评价</w:t>
            </w:r>
          </w:p>
          <w:p w14:paraId="4D8F68F6">
            <w:pPr>
              <w:adjustRightInd w:val="0"/>
              <w:snapToGrid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本项目生产废水经污水处理站处理后全部回用</w:t>
            </w:r>
            <w:r>
              <w:rPr>
                <w:rFonts w:hint="default" w:ascii="Times New Roman" w:hAnsi="Times New Roman" w:eastAsia="宋体" w:cs="Times New Roman"/>
                <w:sz w:val="24"/>
                <w:szCs w:val="24"/>
                <w:highlight w:val="none"/>
                <w:lang w:eastAsia="zh-CN"/>
              </w:rPr>
              <w:t>，不外排，生活污水排入</w:t>
            </w:r>
            <w:r>
              <w:rPr>
                <w:rFonts w:hint="default" w:ascii="Times New Roman" w:hAnsi="Times New Roman" w:eastAsia="宋体" w:cs="Times New Roman"/>
                <w:sz w:val="24"/>
                <w:szCs w:val="24"/>
                <w:highlight w:val="none"/>
                <w:lang w:val="en-US" w:eastAsia="zh-CN"/>
              </w:rPr>
              <w:t>园区污水管网，</w:t>
            </w:r>
            <w:r>
              <w:rPr>
                <w:rFonts w:hint="default" w:ascii="Times New Roman" w:hAnsi="Times New Roman" w:eastAsia="宋体" w:cs="Times New Roman"/>
                <w:b w:val="0"/>
                <w:sz w:val="24"/>
                <w:szCs w:val="24"/>
                <w:highlight w:val="none"/>
                <w:lang w:eastAsia="zh-CN"/>
              </w:rPr>
              <w:t>属于</w:t>
            </w:r>
            <w:r>
              <w:rPr>
                <w:rFonts w:hint="default" w:ascii="Times New Roman" w:hAnsi="Times New Roman" w:eastAsia="宋体" w:cs="Times New Roman"/>
                <w:sz w:val="24"/>
                <w:szCs w:val="24"/>
                <w:highlight w:val="none"/>
                <w:lang w:eastAsia="zh-CN"/>
              </w:rPr>
              <w:t>间接排放，根据《环境影响评价技术导则 地表水环境》（HJ2.3-2018）中评价等级划分，本项目评价等级为三级B。因此，可不开展地表水水环境质量现状调查，仅判断水环境功能区水质达标状况。</w:t>
            </w:r>
          </w:p>
          <w:p w14:paraId="41015454">
            <w:pPr>
              <w:adjustRightInd w:val="0"/>
              <w:snapToGrid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根据塔城地区生态环境局乌苏市分局发布的数据，乌苏市水环境质量状况可总结如下：全市主要河流2个监测断面水质均达到或优于Ⅱ类，优良断面比例为100%；1个县级和4个乡镇级集中式生活饮用水水源地水质达标率保持100%。</w:t>
            </w:r>
          </w:p>
          <w:p w14:paraId="614E32DB">
            <w:pPr>
              <w:adjustRightInd w:val="0"/>
              <w:snapToGrid w:val="0"/>
              <w:spacing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3.</w:t>
            </w:r>
            <w:r>
              <w:rPr>
                <w:rFonts w:ascii="Times New Roman" w:hAnsi="Times New Roman" w:cs="Times New Roman" w:eastAsiaTheme="minorEastAsia"/>
                <w:b/>
                <w:bCs/>
                <w:sz w:val="28"/>
                <w:szCs w:val="28"/>
                <w:lang w:eastAsia="zh-CN"/>
              </w:rPr>
              <w:t>声环境</w:t>
            </w:r>
            <w:r>
              <w:rPr>
                <w:rFonts w:hint="eastAsia" w:ascii="Times New Roman" w:hAnsi="Times New Roman" w:cs="Times New Roman" w:eastAsiaTheme="minorEastAsia"/>
                <w:b/>
                <w:bCs/>
                <w:sz w:val="28"/>
                <w:szCs w:val="28"/>
                <w:lang w:eastAsia="zh-CN"/>
              </w:rPr>
              <w:t>现状调查与评价</w:t>
            </w:r>
          </w:p>
          <w:p w14:paraId="1001F086">
            <w:pPr>
              <w:spacing w:line="360" w:lineRule="auto"/>
              <w:ind w:firstLine="480" w:firstLineChars="200"/>
              <w:rPr>
                <w:rFonts w:ascii="Times New Roman" w:hAnsi="Times New Roman" w:cs="Times New Roman"/>
                <w:sz w:val="24"/>
                <w:szCs w:val="24"/>
                <w:highlight w:val="none"/>
                <w:lang w:eastAsia="zh-CN"/>
              </w:rPr>
            </w:pPr>
            <w:r>
              <w:rPr>
                <w:rFonts w:hint="eastAsia" w:ascii="Times New Roman" w:hAnsi="Times New Roman" w:cs="Times New Roman"/>
                <w:sz w:val="24"/>
                <w:szCs w:val="24"/>
                <w:highlight w:val="none"/>
                <w:lang w:eastAsia="zh-CN"/>
              </w:rPr>
              <w:t>参照《建设项目环境影响报告表编制技术指南（污染影响类）》的相关要求，本项目厂界外周边</w:t>
            </w:r>
            <w:r>
              <w:rPr>
                <w:rFonts w:ascii="Times New Roman" w:hAnsi="Times New Roman" w:cs="Times New Roman"/>
                <w:sz w:val="24"/>
                <w:szCs w:val="24"/>
                <w:highlight w:val="none"/>
                <w:lang w:eastAsia="zh-CN"/>
              </w:rPr>
              <w:t>50m范围内无声环境保护目标，因此，本项目不开展声环境质量现状监测及评价。</w:t>
            </w:r>
          </w:p>
          <w:p w14:paraId="35750CE9">
            <w:pPr>
              <w:pStyle w:val="2"/>
              <w:outlineLvl w:val="9"/>
              <w:rPr>
                <w:lang w:eastAsia="zh-CN"/>
              </w:rPr>
            </w:pPr>
            <w:r>
              <w:rPr>
                <w:rFonts w:hint="eastAsia"/>
                <w:lang w:eastAsia="zh-CN"/>
              </w:rPr>
              <w:t>4.生态环境现状调查与评价</w:t>
            </w:r>
          </w:p>
          <w:p w14:paraId="667D2461">
            <w:pPr>
              <w:adjustRightInd w:val="0"/>
              <w:snapToGrid w:val="0"/>
              <w:spacing w:line="360" w:lineRule="auto"/>
              <w:ind w:firstLine="480" w:firstLineChars="200"/>
              <w:rPr>
                <w:rFonts w:hint="eastAsia"/>
                <w:sz w:val="24"/>
                <w:highlight w:val="none"/>
                <w:lang w:eastAsia="zh-CN"/>
              </w:rPr>
            </w:pPr>
            <w:r>
              <w:rPr>
                <w:sz w:val="24"/>
                <w:highlight w:val="none"/>
                <w:lang w:eastAsia="zh-CN"/>
              </w:rPr>
              <w:t>根据《建设项目环境影响报告表编制技术指南（污染影响类）》中提到的“产业园区外建设</w:t>
            </w:r>
            <w:r>
              <w:rPr>
                <w:rFonts w:ascii="宋体" w:hAnsi="宋体" w:eastAsia="宋体" w:cs="宋体"/>
                <w:sz w:val="24"/>
                <w:highlight w:val="none"/>
                <w:lang w:eastAsia="zh-CN"/>
              </w:rPr>
              <w:t>项目新增用地且用地范围内含有生态环境保护目标时，应进行生态现状调查”。本项目</w:t>
            </w:r>
            <w:r>
              <w:rPr>
                <w:rFonts w:hint="eastAsia" w:ascii="宋体" w:hAnsi="宋体" w:eastAsia="宋体" w:cs="宋体"/>
                <w:sz w:val="24"/>
                <w:highlight w:val="none"/>
                <w:lang w:val="en-US" w:eastAsia="zh-CN"/>
              </w:rPr>
              <w:t>位于</w:t>
            </w:r>
            <w:r>
              <w:rPr>
                <w:rFonts w:hint="eastAsia" w:cs="宋体"/>
                <w:sz w:val="24"/>
                <w:highlight w:val="none"/>
                <w:lang w:val="en-US" w:eastAsia="zh-CN"/>
              </w:rPr>
              <w:t>***</w:t>
            </w:r>
            <w:r>
              <w:rPr>
                <w:rFonts w:hint="eastAsia" w:ascii="宋体" w:hAnsi="宋体" w:eastAsia="宋体" w:cs="宋体"/>
                <w:sz w:val="24"/>
                <w:highlight w:val="none"/>
                <w:lang w:eastAsia="zh-CN"/>
              </w:rPr>
              <w:t>，用</w:t>
            </w:r>
            <w:r>
              <w:rPr>
                <w:rFonts w:hint="eastAsia"/>
                <w:sz w:val="24"/>
                <w:highlight w:val="none"/>
                <w:lang w:eastAsia="zh-CN"/>
              </w:rPr>
              <w:t>地范围内无生态环境保护目标</w:t>
            </w:r>
            <w:r>
              <w:rPr>
                <w:sz w:val="24"/>
                <w:highlight w:val="none"/>
                <w:lang w:eastAsia="zh-CN"/>
              </w:rPr>
              <w:t>，故不开展现状调查。</w:t>
            </w:r>
          </w:p>
          <w:p w14:paraId="69E97FFE">
            <w:pPr>
              <w:adjustRightInd w:val="0"/>
              <w:snapToGrid w:val="0"/>
              <w:spacing w:line="360" w:lineRule="auto"/>
              <w:rPr>
                <w:rFonts w:hint="eastAsia"/>
                <w:sz w:val="24"/>
                <w:lang w:eastAsia="zh-CN"/>
              </w:rPr>
            </w:pPr>
            <w:r>
              <w:rPr>
                <w:rFonts w:hint="eastAsia" w:ascii="Times New Roman" w:hAnsi="Times New Roman" w:cs="微软雅黑"/>
                <w:b/>
                <w:bCs/>
                <w:sz w:val="28"/>
                <w:szCs w:val="36"/>
                <w:lang w:eastAsia="zh-CN"/>
              </w:rPr>
              <w:t>5</w:t>
            </w:r>
            <w:r>
              <w:rPr>
                <w:rFonts w:hint="eastAsia" w:ascii="Times New Roman" w:hAnsi="Times New Roman" w:cs="微软雅黑"/>
                <w:bCs/>
                <w:sz w:val="28"/>
                <w:szCs w:val="36"/>
                <w:lang w:eastAsia="zh-CN"/>
              </w:rPr>
              <w:t>.</w:t>
            </w:r>
            <w:r>
              <w:rPr>
                <w:rFonts w:hint="eastAsia" w:ascii="Times New Roman" w:hAnsi="Times New Roman" w:cs="微软雅黑"/>
                <w:b/>
                <w:bCs/>
                <w:sz w:val="28"/>
                <w:szCs w:val="36"/>
                <w:lang w:eastAsia="zh-CN"/>
              </w:rPr>
              <w:t>地下水、土壤环境</w:t>
            </w:r>
            <w:r>
              <w:rPr>
                <w:rFonts w:ascii="Times New Roman" w:hAnsi="Times New Roman" w:cs="微软雅黑"/>
                <w:b/>
                <w:bCs/>
                <w:sz w:val="28"/>
                <w:szCs w:val="36"/>
                <w:lang w:eastAsia="zh-CN"/>
              </w:rPr>
              <w:t>现状调查</w:t>
            </w:r>
            <w:r>
              <w:rPr>
                <w:rFonts w:hint="eastAsia" w:ascii="Times New Roman" w:hAnsi="Times New Roman" w:cs="微软雅黑"/>
                <w:b/>
                <w:bCs/>
                <w:sz w:val="28"/>
                <w:szCs w:val="36"/>
                <w:lang w:eastAsia="zh-CN"/>
              </w:rPr>
              <w:t>与评价</w:t>
            </w:r>
          </w:p>
          <w:p w14:paraId="3DE01C8C">
            <w:pPr>
              <w:pStyle w:val="26"/>
              <w:spacing w:after="0" w:line="360" w:lineRule="auto"/>
              <w:ind w:left="0" w:leftChars="0"/>
              <w:rPr>
                <w:rFonts w:hint="eastAsia"/>
                <w:sz w:val="24"/>
                <w:szCs w:val="24"/>
                <w:lang w:eastAsia="zh-CN"/>
              </w:rPr>
            </w:pPr>
            <w:r>
              <w:rPr>
                <w:rFonts w:hint="eastAsia"/>
                <w:sz w:val="24"/>
                <w:szCs w:val="24"/>
                <w:lang w:eastAsia="zh-CN"/>
              </w:rPr>
              <w:t>本项目</w:t>
            </w:r>
            <w:r>
              <w:rPr>
                <w:sz w:val="24"/>
                <w:szCs w:val="24"/>
                <w:lang w:eastAsia="zh-CN"/>
              </w:rPr>
              <w:t>根据《建设项目环境影响报告表编制技术指南（污染影响类）》中提到的“原则上不开展环境质量现状调查。建设项目存在土壤、地下水环境污染途径的，应结合污染源、保护目标分布情况开展现状调查以留作背景值”。</w:t>
            </w:r>
            <w:r>
              <w:rPr>
                <w:sz w:val="24"/>
                <w:lang w:eastAsia="zh-CN"/>
              </w:rPr>
              <w:t>本项目</w:t>
            </w:r>
            <w:r>
              <w:rPr>
                <w:rFonts w:hint="eastAsia" w:ascii="宋体" w:hAnsi="宋体" w:eastAsia="宋体" w:cs="宋体"/>
                <w:sz w:val="24"/>
                <w:lang w:val="en-US" w:eastAsia="zh-CN"/>
              </w:rPr>
              <w:t>位于</w:t>
            </w:r>
            <w:r>
              <w:rPr>
                <w:rFonts w:hint="eastAsia" w:cs="宋体"/>
                <w:sz w:val="24"/>
                <w:highlight w:val="none"/>
                <w:lang w:val="en-US" w:eastAsia="zh-CN"/>
              </w:rPr>
              <w:t>***</w:t>
            </w:r>
            <w:r>
              <w:rPr>
                <w:rFonts w:hint="eastAsia"/>
                <w:sz w:val="24"/>
                <w:szCs w:val="24"/>
                <w:lang w:eastAsia="zh-CN"/>
              </w:rPr>
              <w:t>，</w:t>
            </w:r>
            <w:r>
              <w:rPr>
                <w:rFonts w:hint="eastAsia"/>
                <w:sz w:val="24"/>
                <w:szCs w:val="24"/>
                <w:lang w:val="en-US" w:eastAsia="zh-CN"/>
              </w:rPr>
              <w:t>租赁厂房</w:t>
            </w:r>
            <w:r>
              <w:rPr>
                <w:rFonts w:hint="eastAsia"/>
                <w:sz w:val="24"/>
                <w:szCs w:val="24"/>
                <w:lang w:eastAsia="zh-CN"/>
              </w:rPr>
              <w:t>地面</w:t>
            </w:r>
            <w:r>
              <w:rPr>
                <w:rFonts w:hint="eastAsia"/>
                <w:sz w:val="24"/>
                <w:szCs w:val="24"/>
                <w:lang w:val="en-US" w:eastAsia="zh-CN"/>
              </w:rPr>
              <w:t>已</w:t>
            </w:r>
            <w:r>
              <w:rPr>
                <w:rFonts w:hint="eastAsia"/>
                <w:sz w:val="24"/>
                <w:szCs w:val="24"/>
                <w:lang w:eastAsia="zh-CN"/>
              </w:rPr>
              <w:t>做防渗处理，不具备土壤、地下水污染途径，故不进行现状调查。</w:t>
            </w:r>
          </w:p>
          <w:p w14:paraId="59B40891">
            <w:pPr>
              <w:spacing w:line="360" w:lineRule="auto"/>
              <w:rPr>
                <w:rFonts w:ascii="Times New Roman" w:hAnsi="Times New Roman" w:cs="微软雅黑"/>
                <w:b/>
                <w:bCs/>
                <w:sz w:val="28"/>
                <w:szCs w:val="36"/>
                <w:lang w:eastAsia="zh-CN"/>
              </w:rPr>
            </w:pPr>
            <w:r>
              <w:rPr>
                <w:rFonts w:hint="eastAsia" w:ascii="Times New Roman" w:hAnsi="Times New Roman" w:cs="微软雅黑"/>
                <w:b/>
                <w:bCs/>
                <w:sz w:val="28"/>
                <w:szCs w:val="36"/>
                <w:lang w:eastAsia="zh-CN"/>
              </w:rPr>
              <w:t>6.电磁辐射</w:t>
            </w:r>
          </w:p>
          <w:p w14:paraId="208CD3DA">
            <w:pPr>
              <w:adjustRightInd w:val="0"/>
              <w:spacing w:line="360" w:lineRule="auto"/>
              <w:ind w:firstLine="480" w:firstLineChars="200"/>
              <w:rPr>
                <w:rFonts w:hint="default" w:ascii="Times New Roman" w:hAnsi="Times New Roman" w:eastAsia="宋体" w:cs="Times New Roman"/>
                <w:sz w:val="24"/>
                <w:szCs w:val="24"/>
                <w:lang w:val="en-US" w:eastAsia="zh-CN"/>
              </w:rPr>
            </w:pPr>
            <w:r>
              <w:rPr>
                <w:rFonts w:hint="eastAsia"/>
                <w:sz w:val="24"/>
                <w:szCs w:val="24"/>
                <w:lang w:eastAsia="zh-CN"/>
              </w:rPr>
              <w:t>本项目</w:t>
            </w:r>
            <w:r>
              <w:rPr>
                <w:sz w:val="24"/>
                <w:szCs w:val="24"/>
                <w:lang w:eastAsia="zh-CN"/>
              </w:rPr>
              <w:t>不属于新建或改建、扩建广播、差转台、电视塔台、卫星地球上行站、雷达等电磁辐射类项目，不需开展电磁辐射监测与评价。</w:t>
            </w:r>
          </w:p>
        </w:tc>
      </w:tr>
      <w:tr w14:paraId="0E6D7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44" w:hRule="atLeast"/>
        </w:trPr>
        <w:tc>
          <w:tcPr>
            <w:tcW w:w="372" w:type="pct"/>
            <w:tcBorders>
              <w:top w:val="single" w:color="000000" w:sz="4" w:space="0"/>
              <w:bottom w:val="single" w:color="000000" w:sz="4" w:space="0"/>
              <w:right w:val="single" w:color="000000" w:sz="4" w:space="0"/>
            </w:tcBorders>
            <w:vAlign w:val="center"/>
          </w:tcPr>
          <w:p w14:paraId="0912FC64">
            <w:pPr>
              <w:pStyle w:val="34"/>
              <w:jc w:val="center"/>
              <w:rPr>
                <w:rFonts w:ascii="Times New Roman" w:hAnsi="Times New Roman" w:cs="Times New Roman"/>
                <w:b/>
                <w:sz w:val="24"/>
                <w:szCs w:val="24"/>
              </w:rPr>
            </w:pPr>
            <w:r>
              <w:rPr>
                <w:rFonts w:ascii="Times New Roman" w:hAnsi="Times New Roman" w:cs="Times New Roman"/>
                <w:b/>
                <w:sz w:val="24"/>
                <w:szCs w:val="24"/>
              </w:rPr>
              <w:t>环境保护目标</w:t>
            </w:r>
          </w:p>
        </w:tc>
        <w:tc>
          <w:tcPr>
            <w:tcW w:w="4628" w:type="pct"/>
            <w:tcBorders>
              <w:top w:val="single" w:color="000000" w:sz="4" w:space="0"/>
              <w:left w:val="single" w:color="000000" w:sz="4" w:space="0"/>
              <w:bottom w:val="single" w:color="000000" w:sz="4" w:space="0"/>
            </w:tcBorders>
          </w:tcPr>
          <w:p w14:paraId="38693B94">
            <w:pPr>
              <w:pStyle w:val="2"/>
              <w:outlineLvl w:val="9"/>
              <w:rPr>
                <w:lang w:eastAsia="zh-CN"/>
              </w:rPr>
            </w:pPr>
            <w:r>
              <w:rPr>
                <w:rFonts w:hint="eastAsia"/>
                <w:lang w:eastAsia="zh-CN"/>
              </w:rPr>
              <w:t>1.</w:t>
            </w:r>
            <w:r>
              <w:rPr>
                <w:lang w:eastAsia="zh-CN"/>
              </w:rPr>
              <w:t>大气环境保护目标</w:t>
            </w:r>
          </w:p>
          <w:p w14:paraId="381F7FE6">
            <w:pPr>
              <w:adjustRightInd w:val="0"/>
              <w:snapToGrid w:val="0"/>
              <w:spacing w:line="360" w:lineRule="auto"/>
              <w:ind w:firstLine="496" w:firstLineChars="200"/>
              <w:rPr>
                <w:rFonts w:hint="eastAsia" w:ascii="Times New Roman" w:hAnsi="Times New Roman" w:cs="Times New Roman"/>
                <w:spacing w:val="4"/>
                <w:sz w:val="24"/>
                <w:szCs w:val="24"/>
                <w:highlight w:val="none"/>
                <w:lang w:eastAsia="zh-CN"/>
              </w:rPr>
            </w:pPr>
            <w:r>
              <w:rPr>
                <w:rFonts w:hint="eastAsia" w:ascii="Times New Roman" w:hAnsi="Times New Roman" w:cs="Times New Roman"/>
                <w:spacing w:val="4"/>
                <w:sz w:val="24"/>
                <w:szCs w:val="24"/>
                <w:highlight w:val="none"/>
                <w:lang w:val="en-US" w:eastAsia="zh-CN"/>
              </w:rPr>
              <w:t>经调查</w:t>
            </w:r>
            <w:r>
              <w:rPr>
                <w:rFonts w:ascii="Times New Roman" w:hAnsi="Times New Roman" w:cs="Times New Roman"/>
                <w:spacing w:val="4"/>
                <w:sz w:val="24"/>
                <w:szCs w:val="24"/>
                <w:highlight w:val="none"/>
                <w:lang w:eastAsia="zh-CN"/>
              </w:rPr>
              <w:t>厂界外500m范围内</w:t>
            </w:r>
            <w:r>
              <w:rPr>
                <w:rFonts w:hint="eastAsia" w:ascii="Times New Roman" w:hAnsi="Times New Roman" w:cs="Times New Roman"/>
                <w:spacing w:val="4"/>
                <w:sz w:val="24"/>
                <w:szCs w:val="24"/>
                <w:highlight w:val="none"/>
                <w:lang w:val="en-US" w:eastAsia="zh-CN"/>
              </w:rPr>
              <w:t>无</w:t>
            </w:r>
            <w:r>
              <w:rPr>
                <w:rFonts w:ascii="Times New Roman" w:hAnsi="Times New Roman" w:cs="Times New Roman"/>
                <w:spacing w:val="4"/>
                <w:sz w:val="24"/>
                <w:szCs w:val="24"/>
                <w:highlight w:val="none"/>
                <w:lang w:eastAsia="zh-CN"/>
              </w:rPr>
              <w:t>大气环境保护目标</w:t>
            </w:r>
            <w:r>
              <w:rPr>
                <w:rFonts w:hint="eastAsia" w:ascii="Times New Roman" w:hAnsi="Times New Roman" w:cs="Times New Roman"/>
                <w:spacing w:val="4"/>
                <w:sz w:val="24"/>
                <w:szCs w:val="24"/>
                <w:highlight w:val="none"/>
                <w:lang w:eastAsia="zh-CN"/>
              </w:rPr>
              <w:t>。</w:t>
            </w:r>
          </w:p>
          <w:p w14:paraId="2B7A59F2">
            <w:pPr>
              <w:pStyle w:val="2"/>
              <w:outlineLvl w:val="9"/>
              <w:rPr>
                <w:lang w:eastAsia="zh-CN"/>
              </w:rPr>
            </w:pPr>
            <w:r>
              <w:rPr>
                <w:rFonts w:hint="eastAsia"/>
                <w:lang w:eastAsia="zh-CN"/>
              </w:rPr>
              <w:t>2.</w:t>
            </w:r>
            <w:r>
              <w:rPr>
                <w:lang w:eastAsia="zh-CN"/>
              </w:rPr>
              <w:t>声环境保护目标</w:t>
            </w:r>
          </w:p>
          <w:p w14:paraId="0FD96605">
            <w:pPr>
              <w:spacing w:line="360" w:lineRule="auto"/>
              <w:ind w:firstLine="496" w:firstLineChars="200"/>
              <w:rPr>
                <w:rFonts w:hint="eastAsia"/>
                <w:spacing w:val="4"/>
                <w:sz w:val="24"/>
                <w:lang w:eastAsia="zh-CN"/>
              </w:rPr>
            </w:pPr>
            <w:r>
              <w:rPr>
                <w:rFonts w:hint="eastAsia" w:ascii="Times New Roman" w:hAnsi="Times New Roman" w:cs="Times New Roman"/>
                <w:spacing w:val="4"/>
                <w:sz w:val="24"/>
                <w:szCs w:val="24"/>
                <w:lang w:eastAsia="zh-CN"/>
              </w:rPr>
              <w:t>项目区周边5</w:t>
            </w:r>
            <w:r>
              <w:rPr>
                <w:rFonts w:ascii="Times New Roman" w:hAnsi="Times New Roman" w:cs="Times New Roman"/>
                <w:spacing w:val="4"/>
                <w:sz w:val="24"/>
                <w:szCs w:val="24"/>
                <w:lang w:eastAsia="zh-CN"/>
              </w:rPr>
              <w:t>0m范围内</w:t>
            </w:r>
            <w:r>
              <w:rPr>
                <w:rFonts w:hint="eastAsia" w:ascii="Times New Roman" w:hAnsi="Times New Roman" w:cs="Times New Roman"/>
                <w:spacing w:val="4"/>
                <w:sz w:val="24"/>
                <w:szCs w:val="24"/>
                <w:lang w:eastAsia="zh-CN"/>
              </w:rPr>
              <w:t>无</w:t>
            </w:r>
            <w:r>
              <w:rPr>
                <w:rFonts w:ascii="Times New Roman" w:hAnsi="Times New Roman" w:cs="Times New Roman"/>
                <w:spacing w:val="4"/>
                <w:sz w:val="24"/>
                <w:szCs w:val="24"/>
                <w:lang w:eastAsia="zh-CN"/>
              </w:rPr>
              <w:t>声环境保护目标。</w:t>
            </w:r>
          </w:p>
          <w:p w14:paraId="222B7DC6">
            <w:pPr>
              <w:pStyle w:val="2"/>
              <w:outlineLvl w:val="9"/>
              <w:rPr>
                <w:lang w:eastAsia="zh-CN"/>
              </w:rPr>
            </w:pPr>
            <w:r>
              <w:rPr>
                <w:rFonts w:hint="eastAsia"/>
                <w:lang w:eastAsia="zh-CN"/>
              </w:rPr>
              <w:t>3.</w:t>
            </w:r>
            <w:r>
              <w:rPr>
                <w:lang w:eastAsia="zh-CN"/>
              </w:rPr>
              <w:t>地下水环境保护目标</w:t>
            </w:r>
          </w:p>
          <w:p w14:paraId="7984D1FE">
            <w:pPr>
              <w:spacing w:line="360" w:lineRule="auto"/>
              <w:ind w:firstLine="496" w:firstLineChars="200"/>
              <w:rPr>
                <w:rFonts w:hint="eastAsia"/>
                <w:spacing w:val="4"/>
                <w:sz w:val="24"/>
                <w:lang w:eastAsia="zh-CN"/>
              </w:rPr>
            </w:pPr>
            <w:r>
              <w:rPr>
                <w:rFonts w:hint="eastAsia" w:ascii="Times New Roman" w:hAnsi="Times New Roman" w:cs="Times New Roman"/>
                <w:spacing w:val="4"/>
                <w:sz w:val="24"/>
                <w:szCs w:val="24"/>
                <w:lang w:eastAsia="zh-CN"/>
              </w:rPr>
              <w:t>项目区周边</w:t>
            </w:r>
            <w:r>
              <w:rPr>
                <w:rFonts w:ascii="Times New Roman" w:hAnsi="Times New Roman" w:cs="Times New Roman"/>
                <w:spacing w:val="4"/>
                <w:sz w:val="24"/>
                <w:szCs w:val="24"/>
                <w:lang w:eastAsia="zh-CN"/>
              </w:rPr>
              <w:t>500m范围内无地下水集中式饮用水水源和热水、矿泉水、温泉等特殊地下水资源环境保护目标。</w:t>
            </w:r>
          </w:p>
          <w:p w14:paraId="7778FEE5">
            <w:pPr>
              <w:spacing w:line="360" w:lineRule="auto"/>
              <w:rPr>
                <w:rFonts w:ascii="Times New Roman" w:hAnsi="Times New Roman" w:cs="微软雅黑"/>
                <w:b/>
                <w:sz w:val="28"/>
                <w:szCs w:val="36"/>
                <w:lang w:eastAsia="zh-CN"/>
              </w:rPr>
            </w:pPr>
            <w:r>
              <w:rPr>
                <w:rFonts w:hint="eastAsia" w:ascii="Times New Roman" w:hAnsi="Times New Roman" w:cs="微软雅黑"/>
                <w:b/>
                <w:sz w:val="28"/>
                <w:szCs w:val="36"/>
                <w:lang w:eastAsia="zh-CN"/>
              </w:rPr>
              <w:t>4.生态环境</w:t>
            </w:r>
          </w:p>
          <w:p w14:paraId="50C31036">
            <w:pPr>
              <w:pStyle w:val="34"/>
              <w:spacing w:line="360" w:lineRule="auto"/>
              <w:ind w:firstLine="496" w:firstLineChars="200"/>
              <w:rPr>
                <w:rFonts w:hint="default" w:ascii="Times New Roman" w:hAnsi="Times New Roman" w:eastAsia="宋体" w:cs="Times New Roman"/>
                <w:i w:val="0"/>
                <w:iCs w:val="0"/>
                <w:caps w:val="0"/>
                <w:color w:val="333333"/>
                <w:spacing w:val="0"/>
                <w:sz w:val="24"/>
                <w:szCs w:val="24"/>
                <w:highlight w:val="yellow"/>
                <w:shd w:val="clear" w:fill="FFFFFF"/>
                <w:lang w:val="en-US" w:eastAsia="zh-CN"/>
              </w:rPr>
            </w:pPr>
            <w:r>
              <w:rPr>
                <w:rFonts w:hint="eastAsia" w:ascii="Times New Roman" w:hAnsi="Times New Roman" w:eastAsia="宋体" w:cs="Times New Roman"/>
                <w:spacing w:val="4"/>
                <w:sz w:val="24"/>
                <w:szCs w:val="24"/>
                <w:lang w:val="en-US" w:eastAsia="zh-CN" w:bidi="ar-SA"/>
              </w:rPr>
              <w:t>本项目位于塔城地区乌苏工业园区北园春片区内，属于产业园区内用地，用地范围内不涉及生态环境保护目标。</w:t>
            </w:r>
          </w:p>
        </w:tc>
      </w:tr>
      <w:tr w14:paraId="220E3C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92" w:hRule="atLeast"/>
        </w:trPr>
        <w:tc>
          <w:tcPr>
            <w:tcW w:w="372" w:type="pct"/>
            <w:tcBorders>
              <w:top w:val="single" w:color="000000" w:sz="4" w:space="0"/>
              <w:bottom w:val="single" w:color="000000" w:sz="4" w:space="0"/>
              <w:right w:val="single" w:color="000000" w:sz="4" w:space="0"/>
            </w:tcBorders>
            <w:vAlign w:val="center"/>
          </w:tcPr>
          <w:p w14:paraId="17ACBCA0">
            <w:pPr>
              <w:pStyle w:val="34"/>
              <w:jc w:val="center"/>
              <w:rPr>
                <w:rFonts w:ascii="Times New Roman" w:hAnsi="Times New Roman" w:cs="Times New Roman"/>
                <w:b/>
                <w:sz w:val="24"/>
                <w:szCs w:val="24"/>
              </w:rPr>
            </w:pPr>
            <w:r>
              <w:rPr>
                <w:rFonts w:hint="eastAsia" w:ascii="Times New Roman" w:hAnsi="Times New Roman" w:cs="Times New Roman"/>
                <w:b/>
                <w:sz w:val="24"/>
                <w:szCs w:val="24"/>
              </w:rPr>
              <w:t>污染</w:t>
            </w:r>
          </w:p>
          <w:p w14:paraId="58CD1420">
            <w:pPr>
              <w:pStyle w:val="34"/>
              <w:jc w:val="center"/>
              <w:rPr>
                <w:rFonts w:ascii="Times New Roman" w:hAnsi="Times New Roman" w:cs="Times New Roman"/>
                <w:b/>
                <w:sz w:val="24"/>
                <w:szCs w:val="24"/>
              </w:rPr>
            </w:pPr>
            <w:r>
              <w:rPr>
                <w:rFonts w:hint="eastAsia" w:ascii="Times New Roman" w:hAnsi="Times New Roman" w:cs="Times New Roman"/>
                <w:b/>
                <w:sz w:val="24"/>
                <w:szCs w:val="24"/>
              </w:rPr>
              <w:t>物排</w:t>
            </w:r>
          </w:p>
          <w:p w14:paraId="4E89ECD6">
            <w:pPr>
              <w:pStyle w:val="34"/>
              <w:jc w:val="center"/>
              <w:rPr>
                <w:rFonts w:ascii="Times New Roman" w:hAnsi="Times New Roman" w:cs="Times New Roman"/>
                <w:b/>
                <w:sz w:val="24"/>
                <w:szCs w:val="24"/>
              </w:rPr>
            </w:pPr>
            <w:r>
              <w:rPr>
                <w:rFonts w:hint="eastAsia" w:ascii="Times New Roman" w:hAnsi="Times New Roman" w:cs="Times New Roman"/>
                <w:b/>
                <w:sz w:val="24"/>
                <w:szCs w:val="24"/>
              </w:rPr>
              <w:t>放控</w:t>
            </w:r>
          </w:p>
          <w:p w14:paraId="1C4FA616">
            <w:pPr>
              <w:pStyle w:val="34"/>
              <w:jc w:val="center"/>
              <w:rPr>
                <w:rFonts w:ascii="Times New Roman" w:hAnsi="Times New Roman" w:cs="Times New Roman"/>
                <w:b/>
                <w:sz w:val="24"/>
                <w:szCs w:val="24"/>
              </w:rPr>
            </w:pPr>
            <w:r>
              <w:rPr>
                <w:rFonts w:hint="eastAsia" w:ascii="Times New Roman" w:hAnsi="Times New Roman" w:cs="Times New Roman"/>
                <w:b/>
                <w:sz w:val="24"/>
                <w:szCs w:val="24"/>
              </w:rPr>
              <w:t>制标</w:t>
            </w:r>
          </w:p>
          <w:p w14:paraId="36A35363">
            <w:pPr>
              <w:pStyle w:val="34"/>
              <w:jc w:val="center"/>
              <w:rPr>
                <w:rFonts w:ascii="Times New Roman" w:hAnsi="Times New Roman" w:cs="Times New Roman"/>
                <w:b/>
                <w:sz w:val="24"/>
                <w:szCs w:val="24"/>
              </w:rPr>
            </w:pPr>
            <w:r>
              <w:rPr>
                <w:rFonts w:hint="eastAsia" w:ascii="Times New Roman" w:hAnsi="Times New Roman" w:cs="Times New Roman"/>
                <w:b/>
                <w:sz w:val="24"/>
                <w:szCs w:val="24"/>
              </w:rPr>
              <w:t>准</w:t>
            </w:r>
          </w:p>
        </w:tc>
        <w:tc>
          <w:tcPr>
            <w:tcW w:w="4628" w:type="pct"/>
            <w:tcBorders>
              <w:top w:val="single" w:color="000000" w:sz="4" w:space="0"/>
              <w:left w:val="single" w:color="000000" w:sz="4" w:space="0"/>
              <w:bottom w:val="single" w:color="000000" w:sz="4" w:space="0"/>
            </w:tcBorders>
          </w:tcPr>
          <w:p w14:paraId="32C2DC0D">
            <w:pPr>
              <w:adjustRightInd w:val="0"/>
              <w:snapToGrid w:val="0"/>
              <w:spacing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1.大气污染物排放标准</w:t>
            </w:r>
          </w:p>
          <w:p w14:paraId="7880A574">
            <w:pPr>
              <w:adjustRightInd w:val="0"/>
              <w:snapToGrid w:val="0"/>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本项目产生的大气污染物排放执行</w:t>
            </w:r>
            <w:r>
              <w:rPr>
                <w:rFonts w:hint="eastAsia" w:ascii="Times New Roman" w:hAnsi="Times New Roman" w:cs="Times New Roman"/>
                <w:sz w:val="24"/>
                <w:lang w:val="en-US" w:eastAsia="zh-CN"/>
              </w:rPr>
              <w:t>标准</w:t>
            </w:r>
            <w:r>
              <w:rPr>
                <w:rFonts w:ascii="Times New Roman" w:hAnsi="Times New Roman" w:cs="Times New Roman"/>
                <w:sz w:val="24"/>
                <w:lang w:eastAsia="zh-CN"/>
              </w:rPr>
              <w:t>具体详见下表。</w:t>
            </w:r>
          </w:p>
          <w:p w14:paraId="7A583EF6">
            <w:pPr>
              <w:adjustRightInd w:val="0"/>
              <w:snapToGrid w:val="0"/>
              <w:jc w:val="center"/>
              <w:rPr>
                <w:rFonts w:cs="Times New Roman"/>
                <w:b/>
                <w:bCs/>
                <w:sz w:val="21"/>
                <w:szCs w:val="21"/>
                <w:lang w:eastAsia="zh-CN"/>
              </w:rPr>
            </w:pPr>
            <w:r>
              <w:rPr>
                <w:rFonts w:cs="Times New Roman"/>
                <w:b/>
                <w:bCs/>
                <w:sz w:val="21"/>
                <w:szCs w:val="21"/>
                <w:lang w:eastAsia="zh-CN"/>
              </w:rPr>
              <w:t>表3-</w:t>
            </w:r>
            <w:r>
              <w:rPr>
                <w:rFonts w:hint="eastAsia" w:cs="Times New Roman"/>
                <w:b/>
                <w:bCs/>
                <w:sz w:val="21"/>
                <w:szCs w:val="21"/>
                <w:lang w:val="en-US" w:eastAsia="zh-CN"/>
              </w:rPr>
              <w:t>3</w:t>
            </w:r>
            <w:r>
              <w:rPr>
                <w:rFonts w:cs="Times New Roman"/>
                <w:b/>
                <w:bCs/>
                <w:sz w:val="21"/>
                <w:szCs w:val="21"/>
                <w:lang w:eastAsia="zh-CN"/>
              </w:rPr>
              <w:t xml:space="preserve"> </w:t>
            </w:r>
            <w:r>
              <w:rPr>
                <w:rFonts w:hint="eastAsia" w:cs="Times New Roman"/>
                <w:b/>
                <w:bCs/>
                <w:sz w:val="21"/>
                <w:szCs w:val="21"/>
                <w:lang w:val="en-US" w:eastAsia="zh-CN"/>
              </w:rPr>
              <w:t>本项目有组织</w:t>
            </w:r>
            <w:r>
              <w:rPr>
                <w:rFonts w:cs="Times New Roman"/>
                <w:b/>
                <w:bCs/>
                <w:sz w:val="21"/>
                <w:szCs w:val="21"/>
                <w:lang w:eastAsia="zh-CN"/>
              </w:rPr>
              <w:t>废气排放标准</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1778"/>
              <w:gridCol w:w="1781"/>
              <w:gridCol w:w="1781"/>
              <w:gridCol w:w="1781"/>
            </w:tblGrid>
            <w:tr w14:paraId="13889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tcBorders>
                    <w:tl2br w:val="nil"/>
                    <w:tr2bl w:val="nil"/>
                  </w:tcBorders>
                  <w:vAlign w:val="center"/>
                </w:tcPr>
                <w:p w14:paraId="6E9EECEC">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eastAsia="zh-CN"/>
                    </w:rPr>
                    <w:t>污染源</w:t>
                  </w:r>
                </w:p>
              </w:tc>
              <w:tc>
                <w:tcPr>
                  <w:tcW w:w="1778" w:type="dxa"/>
                  <w:tcBorders>
                    <w:tl2br w:val="nil"/>
                    <w:tr2bl w:val="nil"/>
                  </w:tcBorders>
                  <w:vAlign w:val="center"/>
                </w:tcPr>
                <w:p w14:paraId="2D59117D">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eastAsia="zh-CN"/>
                    </w:rPr>
                    <w:t>污染因子</w:t>
                  </w:r>
                </w:p>
              </w:tc>
              <w:tc>
                <w:tcPr>
                  <w:tcW w:w="1781" w:type="dxa"/>
                  <w:tcBorders>
                    <w:tl2br w:val="nil"/>
                    <w:tr2bl w:val="nil"/>
                  </w:tcBorders>
                  <w:vAlign w:val="center"/>
                </w:tcPr>
                <w:p w14:paraId="5E9503F3">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eastAsia" w:ascii="Times New Roman" w:hAnsi="Times New Roman" w:cs="Times New Roman"/>
                      <w:b w:val="0"/>
                      <w:bCs w:val="0"/>
                      <w:color w:val="auto"/>
                      <w:sz w:val="21"/>
                      <w:szCs w:val="21"/>
                      <w:highlight w:val="none"/>
                      <w:lang w:val="en-US" w:eastAsia="zh-CN"/>
                    </w:rPr>
                    <w:t>有组织排放</w:t>
                  </w:r>
                  <w:r>
                    <w:rPr>
                      <w:rFonts w:hint="default" w:ascii="Times New Roman" w:hAnsi="Times New Roman" w:eastAsia="宋体" w:cs="Times New Roman"/>
                      <w:b w:val="0"/>
                      <w:bCs w:val="0"/>
                      <w:color w:val="auto"/>
                      <w:sz w:val="21"/>
                      <w:szCs w:val="21"/>
                      <w:highlight w:val="none"/>
                    </w:rPr>
                    <w:t>浓度限值</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mg/m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eastAsia="zh-CN"/>
                    </w:rPr>
                    <w:t>）</w:t>
                  </w:r>
                </w:p>
              </w:tc>
              <w:tc>
                <w:tcPr>
                  <w:tcW w:w="1781" w:type="dxa"/>
                  <w:tcBorders>
                    <w:tl2br w:val="nil"/>
                    <w:tr2bl w:val="nil"/>
                  </w:tcBorders>
                  <w:vAlign w:val="center"/>
                </w:tcPr>
                <w:p w14:paraId="784E3C41">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有组织最高允许排放速率</w:t>
                  </w:r>
                  <w:r>
                    <w:rPr>
                      <w:rFonts w:hint="default"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kg</w:t>
                  </w: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h</w:t>
                  </w:r>
                  <w:r>
                    <w:rPr>
                      <w:rFonts w:hint="default" w:ascii="Times New Roman" w:hAnsi="Times New Roman" w:eastAsia="宋体" w:cs="Times New Roman"/>
                      <w:b w:val="0"/>
                      <w:bCs w:val="0"/>
                      <w:color w:val="auto"/>
                      <w:sz w:val="21"/>
                      <w:szCs w:val="21"/>
                      <w:highlight w:val="none"/>
                      <w:lang w:eastAsia="zh-CN"/>
                    </w:rPr>
                    <w:t>）</w:t>
                  </w:r>
                </w:p>
              </w:tc>
              <w:tc>
                <w:tcPr>
                  <w:tcW w:w="1781" w:type="dxa"/>
                  <w:tcBorders>
                    <w:tl2br w:val="nil"/>
                    <w:tr2bl w:val="nil"/>
                  </w:tcBorders>
                  <w:vAlign w:val="center"/>
                </w:tcPr>
                <w:p w14:paraId="4F713304">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rPr>
                    <w:t>标准来源</w:t>
                  </w:r>
                </w:p>
              </w:tc>
            </w:tr>
            <w:tr w14:paraId="15B08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tcBorders>
                    <w:tl2br w:val="nil"/>
                    <w:tr2bl w:val="nil"/>
                  </w:tcBorders>
                  <w:vAlign w:val="center"/>
                </w:tcPr>
                <w:p w14:paraId="6B3BB8C3">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b w:val="0"/>
                      <w:bCs w:val="0"/>
                      <w:sz w:val="21"/>
                      <w:szCs w:val="21"/>
                      <w:highlight w:val="none"/>
                      <w:vertAlign w:val="baseline"/>
                      <w:lang w:val="en-US" w:eastAsia="zh-CN"/>
                    </w:rPr>
                    <w:t>加弹、塑形工序</w:t>
                  </w:r>
                </w:p>
              </w:tc>
              <w:tc>
                <w:tcPr>
                  <w:tcW w:w="1778" w:type="dxa"/>
                  <w:tcBorders>
                    <w:tl2br w:val="nil"/>
                    <w:tr2bl w:val="nil"/>
                  </w:tcBorders>
                  <w:vAlign w:val="center"/>
                </w:tcPr>
                <w:p w14:paraId="3397EF1B">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eastAsia" w:ascii="Times New Roman" w:hAnsi="Times New Roman" w:cs="Times New Roman"/>
                      <w:b w:val="0"/>
                      <w:bCs w:val="0"/>
                      <w:color w:val="auto"/>
                      <w:sz w:val="21"/>
                      <w:szCs w:val="21"/>
                      <w:highlight w:val="none"/>
                      <w:lang w:val="en-US" w:eastAsia="zh-CN"/>
                    </w:rPr>
                    <w:t>非甲烷总烃</w:t>
                  </w:r>
                </w:p>
              </w:tc>
              <w:tc>
                <w:tcPr>
                  <w:tcW w:w="1781" w:type="dxa"/>
                  <w:tcBorders>
                    <w:tl2br w:val="nil"/>
                    <w:tr2bl w:val="nil"/>
                  </w:tcBorders>
                  <w:vAlign w:val="center"/>
                </w:tcPr>
                <w:p w14:paraId="6EC378C5">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b w:val="0"/>
                      <w:bCs w:val="0"/>
                      <w:sz w:val="21"/>
                      <w:szCs w:val="21"/>
                      <w:highlight w:val="none"/>
                      <w:lang w:val="en-US" w:eastAsia="zh-CN"/>
                    </w:rPr>
                    <w:t>120</w:t>
                  </w:r>
                </w:p>
              </w:tc>
              <w:tc>
                <w:tcPr>
                  <w:tcW w:w="1781" w:type="dxa"/>
                  <w:tcBorders>
                    <w:tl2br w:val="nil"/>
                    <w:tr2bl w:val="nil"/>
                  </w:tcBorders>
                  <w:vAlign w:val="center"/>
                </w:tcPr>
                <w:p w14:paraId="63AB0891">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16</w:t>
                  </w:r>
                </w:p>
              </w:tc>
              <w:tc>
                <w:tcPr>
                  <w:tcW w:w="1781" w:type="dxa"/>
                  <w:vMerge w:val="restart"/>
                  <w:tcBorders>
                    <w:tl2br w:val="nil"/>
                    <w:tr2bl w:val="nil"/>
                  </w:tcBorders>
                  <w:vAlign w:val="center"/>
                </w:tcPr>
                <w:p w14:paraId="6A00246D">
                  <w:pPr>
                    <w:spacing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000000"/>
                      <w:kern w:val="0"/>
                      <w:sz w:val="21"/>
                      <w:szCs w:val="21"/>
                      <w:highlight w:val="none"/>
                      <w:lang w:val="en-US" w:eastAsia="zh-CN" w:bidi="ar"/>
                    </w:rPr>
                    <w:t>《大气污染物综合排放标准》（GB 16297-1996）表2</w:t>
                  </w:r>
                </w:p>
              </w:tc>
            </w:tr>
            <w:tr w14:paraId="58EDC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tcBorders>
                    <w:tl2br w:val="nil"/>
                    <w:tr2bl w:val="nil"/>
                  </w:tcBorders>
                  <w:vAlign w:val="center"/>
                </w:tcPr>
                <w:p w14:paraId="4552365A">
                  <w:pPr>
                    <w:adjustRightInd/>
                    <w:snapToGrid/>
                    <w:spacing w:after="0" w:line="240" w:lineRule="auto"/>
                    <w:jc w:val="center"/>
                    <w:rPr>
                      <w:rFonts w:hint="eastAsia" w:ascii="Times New Roman" w:hAnsi="Times New Roman" w:cs="Times New Roman"/>
                      <w:b w:val="0"/>
                      <w:bCs w:val="0"/>
                      <w:sz w:val="21"/>
                      <w:szCs w:val="21"/>
                      <w:highlight w:val="none"/>
                      <w:vertAlign w:val="baseline"/>
                      <w:lang w:val="en-US" w:eastAsia="zh-CN"/>
                    </w:rPr>
                  </w:pPr>
                  <w:r>
                    <w:rPr>
                      <w:rFonts w:hint="eastAsia" w:ascii="Times New Roman" w:hAnsi="Times New Roman" w:cs="Times New Roman"/>
                      <w:b w:val="0"/>
                      <w:bCs w:val="0"/>
                      <w:sz w:val="21"/>
                      <w:szCs w:val="21"/>
                      <w:highlight w:val="none"/>
                      <w:vertAlign w:val="baseline"/>
                      <w:lang w:val="en-US" w:eastAsia="zh-CN"/>
                    </w:rPr>
                    <w:t>塑形工序</w:t>
                  </w:r>
                </w:p>
              </w:tc>
              <w:tc>
                <w:tcPr>
                  <w:tcW w:w="1778" w:type="dxa"/>
                  <w:tcBorders>
                    <w:tl2br w:val="nil"/>
                    <w:tr2bl w:val="nil"/>
                  </w:tcBorders>
                  <w:vAlign w:val="center"/>
                </w:tcPr>
                <w:p w14:paraId="41CCEE1C">
                  <w:pPr>
                    <w:adjustRightInd/>
                    <w:snapToGrid/>
                    <w:spacing w:after="0" w:line="240" w:lineRule="auto"/>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颗粒物</w:t>
                  </w:r>
                </w:p>
              </w:tc>
              <w:tc>
                <w:tcPr>
                  <w:tcW w:w="1781" w:type="dxa"/>
                  <w:tcBorders>
                    <w:tl2br w:val="nil"/>
                    <w:tr2bl w:val="nil"/>
                  </w:tcBorders>
                  <w:vAlign w:val="center"/>
                </w:tcPr>
                <w:p w14:paraId="08B4EA64">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120</w:t>
                  </w:r>
                </w:p>
              </w:tc>
              <w:tc>
                <w:tcPr>
                  <w:tcW w:w="1781" w:type="dxa"/>
                  <w:tcBorders>
                    <w:tl2br w:val="nil"/>
                    <w:tr2bl w:val="nil"/>
                  </w:tcBorders>
                  <w:vAlign w:val="center"/>
                </w:tcPr>
                <w:p w14:paraId="6D61714E">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1.0</w:t>
                  </w:r>
                </w:p>
              </w:tc>
              <w:tc>
                <w:tcPr>
                  <w:tcW w:w="1781" w:type="dxa"/>
                  <w:vMerge w:val="continue"/>
                  <w:tcBorders>
                    <w:tl2br w:val="nil"/>
                    <w:tr2bl w:val="nil"/>
                  </w:tcBorders>
                  <w:vAlign w:val="center"/>
                </w:tcPr>
                <w:p w14:paraId="5983EDC3">
                  <w:pPr>
                    <w:spacing w:line="240" w:lineRule="auto"/>
                    <w:jc w:val="center"/>
                    <w:rPr>
                      <w:rFonts w:hint="default" w:ascii="Times New Roman" w:hAnsi="Times New Roman" w:eastAsia="宋体" w:cs="Times New Roman"/>
                      <w:b w:val="0"/>
                      <w:bCs w:val="0"/>
                      <w:color w:val="000000"/>
                      <w:kern w:val="0"/>
                      <w:sz w:val="21"/>
                      <w:szCs w:val="21"/>
                      <w:highlight w:val="none"/>
                      <w:lang w:val="en-US" w:eastAsia="zh-CN" w:bidi="ar"/>
                    </w:rPr>
                  </w:pPr>
                </w:p>
              </w:tc>
            </w:tr>
            <w:tr w14:paraId="15F7F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Merge w:val="restart"/>
                  <w:tcBorders>
                    <w:tl2br w:val="nil"/>
                    <w:tr2bl w:val="nil"/>
                  </w:tcBorders>
                  <w:vAlign w:val="center"/>
                </w:tcPr>
                <w:p w14:paraId="0AD39ADA">
                  <w:pPr>
                    <w:adjustRightInd w:val="0"/>
                    <w:snapToGrid w:val="0"/>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b w:val="0"/>
                      <w:bCs w:val="0"/>
                      <w:sz w:val="21"/>
                      <w:szCs w:val="21"/>
                      <w:highlight w:val="none"/>
                      <w:vertAlign w:val="baseline"/>
                      <w:lang w:val="en-US" w:eastAsia="zh-CN"/>
                    </w:rPr>
                    <w:t>塑形设备天然气燃烧</w:t>
                  </w:r>
                </w:p>
              </w:tc>
              <w:tc>
                <w:tcPr>
                  <w:tcW w:w="1778" w:type="dxa"/>
                  <w:tcBorders>
                    <w:tl2br w:val="nil"/>
                    <w:tr2bl w:val="nil"/>
                  </w:tcBorders>
                  <w:vAlign w:val="center"/>
                </w:tcPr>
                <w:p w14:paraId="44465505">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val="en-US" w:eastAsia="zh-CN"/>
                    </w:rPr>
                    <w:t>颗粒物</w:t>
                  </w:r>
                </w:p>
              </w:tc>
              <w:tc>
                <w:tcPr>
                  <w:tcW w:w="1781" w:type="dxa"/>
                  <w:tcBorders>
                    <w:tl2br w:val="nil"/>
                    <w:tr2bl w:val="nil"/>
                  </w:tcBorders>
                  <w:vAlign w:val="center"/>
                </w:tcPr>
                <w:p w14:paraId="68E8FA17">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b w:val="0"/>
                      <w:bCs w:val="0"/>
                      <w:sz w:val="21"/>
                      <w:szCs w:val="21"/>
                      <w:highlight w:val="none"/>
                      <w:lang w:val="en-US" w:eastAsia="zh-CN"/>
                    </w:rPr>
                    <w:t>200</w:t>
                  </w:r>
                </w:p>
              </w:tc>
              <w:tc>
                <w:tcPr>
                  <w:tcW w:w="1781" w:type="dxa"/>
                  <w:tcBorders>
                    <w:tl2br w:val="nil"/>
                    <w:tr2bl w:val="nil"/>
                  </w:tcBorders>
                  <w:vAlign w:val="center"/>
                </w:tcPr>
                <w:p w14:paraId="7B8AF818">
                  <w:pPr>
                    <w:keepNext w:val="0"/>
                    <w:keepLines w:val="0"/>
                    <w:widowControl w:val="0"/>
                    <w:suppressLineNumbers w:val="0"/>
                    <w:snapToGrid w:val="0"/>
                    <w:spacing w:before="0" w:beforeAutospacing="0" w:after="0" w:afterAutospacing="0" w:line="240" w:lineRule="auto"/>
                    <w:ind w:left="0" w:leftChars="0" w:right="0" w:rightChars="0"/>
                    <w:jc w:val="center"/>
                    <w:rPr>
                      <w:rFonts w:hint="eastAsia"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cs="Times New Roman"/>
                      <w:b w:val="0"/>
                      <w:bCs w:val="0"/>
                      <w:sz w:val="21"/>
                      <w:szCs w:val="21"/>
                      <w:highlight w:val="none"/>
                      <w:lang w:val="en-US" w:eastAsia="zh-CN"/>
                    </w:rPr>
                    <w:t>5.0</w:t>
                  </w:r>
                </w:p>
              </w:tc>
              <w:tc>
                <w:tcPr>
                  <w:tcW w:w="1781" w:type="dxa"/>
                  <w:vMerge w:val="restart"/>
                  <w:tcBorders>
                    <w:tl2br w:val="nil"/>
                    <w:tr2bl w:val="nil"/>
                  </w:tcBorders>
                  <w:vAlign w:val="center"/>
                </w:tcPr>
                <w:p w14:paraId="5F0F864F">
                  <w:pPr>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eastAsia="宋体" w:cs="Times New Roman"/>
                      <w:b w:val="0"/>
                      <w:bCs w:val="0"/>
                      <w:color w:val="000000"/>
                      <w:kern w:val="0"/>
                      <w:sz w:val="21"/>
                      <w:szCs w:val="21"/>
                      <w:highlight w:val="none"/>
                      <w:lang w:val="en-US" w:eastAsia="zh-CN" w:bidi="ar"/>
                    </w:rPr>
                    <w:t>颗粒物、</w:t>
                  </w:r>
                  <w:r>
                    <w:rPr>
                      <w:rFonts w:hint="default" w:ascii="Times New Roman" w:hAnsi="Times New Roman" w:eastAsia="宋体" w:cs="Times New Roman"/>
                      <w:b w:val="0"/>
                      <w:bCs w:val="0"/>
                      <w:color w:val="000000"/>
                      <w:kern w:val="0"/>
                      <w:sz w:val="21"/>
                      <w:szCs w:val="21"/>
                      <w:highlight w:val="none"/>
                      <w:lang w:val="en-US" w:eastAsia="zh-CN" w:bidi="ar"/>
                    </w:rPr>
                    <w:t>烟气黑度</w:t>
                  </w:r>
                  <w:r>
                    <w:rPr>
                      <w:rFonts w:hint="eastAsia" w:ascii="Times New Roman" w:hAnsi="Times New Roman" w:eastAsia="宋体" w:cs="Times New Roman"/>
                      <w:b w:val="0"/>
                      <w:bCs w:val="0"/>
                      <w:color w:val="000000"/>
                      <w:kern w:val="0"/>
                      <w:sz w:val="21"/>
                      <w:szCs w:val="21"/>
                      <w:highlight w:val="none"/>
                      <w:lang w:val="en-US" w:eastAsia="zh-CN" w:bidi="ar"/>
                    </w:rPr>
                    <w:t>参照</w:t>
                  </w:r>
                  <w:r>
                    <w:rPr>
                      <w:rFonts w:hint="default" w:ascii="Times New Roman" w:hAnsi="Times New Roman" w:eastAsia="宋体" w:cs="Times New Roman"/>
                      <w:b w:val="0"/>
                      <w:bCs w:val="0"/>
                      <w:color w:val="000000"/>
                      <w:kern w:val="0"/>
                      <w:sz w:val="21"/>
                      <w:szCs w:val="21"/>
                      <w:highlight w:val="none"/>
                      <w:lang w:val="en-US" w:eastAsia="zh-CN" w:bidi="ar"/>
                    </w:rPr>
                    <w:t>《工业炉窑大气污染物排放标准》（GB 9078-1996）SO</w:t>
                  </w:r>
                  <w:r>
                    <w:rPr>
                      <w:rFonts w:hint="default" w:ascii="Times New Roman" w:hAnsi="Times New Roman" w:eastAsia="宋体" w:cs="Times New Roman"/>
                      <w:b w:val="0"/>
                      <w:bCs w:val="0"/>
                      <w:color w:val="000000"/>
                      <w:kern w:val="0"/>
                      <w:sz w:val="21"/>
                      <w:szCs w:val="21"/>
                      <w:highlight w:val="none"/>
                      <w:vertAlign w:val="subscript"/>
                      <w:lang w:val="en-US" w:eastAsia="zh-CN" w:bidi="ar"/>
                    </w:rPr>
                    <w:t>2</w:t>
                  </w:r>
                  <w:r>
                    <w:rPr>
                      <w:rFonts w:hint="eastAsia" w:ascii="Times New Roman" w:hAnsi="Times New Roman" w:eastAsia="宋体" w:cs="Times New Roman"/>
                      <w:b w:val="0"/>
                      <w:bCs w:val="0"/>
                      <w:color w:val="000000"/>
                      <w:kern w:val="0"/>
                      <w:sz w:val="21"/>
                      <w:szCs w:val="21"/>
                      <w:highlight w:val="none"/>
                      <w:lang w:val="en-US" w:eastAsia="zh-CN" w:bidi="ar"/>
                    </w:rPr>
                    <w:t>、</w:t>
                  </w:r>
                  <w:r>
                    <w:rPr>
                      <w:rFonts w:hint="default" w:ascii="Times New Roman" w:hAnsi="Times New Roman" w:eastAsia="宋体" w:cs="Times New Roman"/>
                      <w:b w:val="0"/>
                      <w:bCs w:val="0"/>
                      <w:color w:val="000000"/>
                      <w:kern w:val="0"/>
                      <w:sz w:val="21"/>
                      <w:szCs w:val="21"/>
                      <w:highlight w:val="none"/>
                      <w:lang w:val="en-US" w:eastAsia="zh-CN" w:bidi="ar"/>
                    </w:rPr>
                    <w:t>NOx</w:t>
                  </w:r>
                  <w:r>
                    <w:rPr>
                      <w:rFonts w:hint="eastAsia" w:ascii="Times New Roman" w:hAnsi="Times New Roman" w:eastAsia="宋体" w:cs="Times New Roman"/>
                      <w:b w:val="0"/>
                      <w:bCs w:val="0"/>
                      <w:color w:val="000000"/>
                      <w:kern w:val="0"/>
                      <w:sz w:val="21"/>
                      <w:szCs w:val="21"/>
                      <w:highlight w:val="none"/>
                      <w:lang w:val="en-US" w:eastAsia="zh-CN" w:bidi="ar"/>
                    </w:rPr>
                    <w:t>参照</w:t>
                  </w:r>
                  <w:r>
                    <w:rPr>
                      <w:rFonts w:hint="default" w:ascii="Times New Roman" w:hAnsi="Times New Roman" w:eastAsia="宋体" w:cs="Times New Roman"/>
                      <w:b w:val="0"/>
                      <w:bCs w:val="0"/>
                      <w:color w:val="000000"/>
                      <w:kern w:val="0"/>
                      <w:sz w:val="21"/>
                      <w:szCs w:val="21"/>
                      <w:highlight w:val="none"/>
                      <w:lang w:val="en-US" w:eastAsia="zh-CN" w:bidi="ar"/>
                    </w:rPr>
                    <w:t>《大气污染物综合排放标准》（GB 16297-1996）表2</w:t>
                  </w:r>
                </w:p>
              </w:tc>
            </w:tr>
            <w:tr w14:paraId="1E28B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Merge w:val="continue"/>
                  <w:tcBorders>
                    <w:tl2br w:val="nil"/>
                    <w:tr2bl w:val="nil"/>
                  </w:tcBorders>
                  <w:vAlign w:val="center"/>
                </w:tcPr>
                <w:p w14:paraId="350135C6">
                  <w:pPr>
                    <w:adjustRightInd w:val="0"/>
                    <w:snapToGrid w:val="0"/>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p>
              </w:tc>
              <w:tc>
                <w:tcPr>
                  <w:tcW w:w="1778" w:type="dxa"/>
                  <w:tcBorders>
                    <w:tl2br w:val="nil"/>
                    <w:tr2bl w:val="nil"/>
                  </w:tcBorders>
                  <w:vAlign w:val="center"/>
                </w:tcPr>
                <w:p w14:paraId="7D620A4C">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val="en-US" w:eastAsia="zh-CN"/>
                    </w:rPr>
                    <w:t>SO</w:t>
                  </w:r>
                  <w:r>
                    <w:rPr>
                      <w:rFonts w:hint="default" w:ascii="Times New Roman" w:hAnsi="Times New Roman" w:eastAsia="宋体" w:cs="Times New Roman"/>
                      <w:b w:val="0"/>
                      <w:bCs w:val="0"/>
                      <w:color w:val="auto"/>
                      <w:sz w:val="21"/>
                      <w:szCs w:val="21"/>
                      <w:highlight w:val="none"/>
                      <w:vertAlign w:val="subscript"/>
                      <w:lang w:val="en-US" w:eastAsia="zh-CN"/>
                    </w:rPr>
                    <w:t>2</w:t>
                  </w:r>
                </w:p>
              </w:tc>
              <w:tc>
                <w:tcPr>
                  <w:tcW w:w="1781" w:type="dxa"/>
                  <w:tcBorders>
                    <w:tl2br w:val="nil"/>
                    <w:tr2bl w:val="nil"/>
                  </w:tcBorders>
                  <w:vAlign w:val="center"/>
                </w:tcPr>
                <w:p w14:paraId="684E295B">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b w:val="0"/>
                      <w:bCs w:val="0"/>
                      <w:sz w:val="21"/>
                      <w:szCs w:val="21"/>
                      <w:highlight w:val="none"/>
                      <w:vertAlign w:val="baseline"/>
                      <w:lang w:val="en-US" w:eastAsia="zh-CN"/>
                    </w:rPr>
                    <w:t>550</w:t>
                  </w:r>
                </w:p>
              </w:tc>
              <w:tc>
                <w:tcPr>
                  <w:tcW w:w="1781" w:type="dxa"/>
                  <w:tcBorders>
                    <w:tl2br w:val="nil"/>
                    <w:tr2bl w:val="nil"/>
                  </w:tcBorders>
                  <w:vAlign w:val="center"/>
                </w:tcPr>
                <w:p w14:paraId="311AA0CC">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cs="Times New Roman"/>
                      <w:b w:val="0"/>
                      <w:bCs w:val="0"/>
                      <w:color w:val="auto"/>
                      <w:kern w:val="2"/>
                      <w:sz w:val="21"/>
                      <w:szCs w:val="21"/>
                      <w:highlight w:val="none"/>
                      <w:lang w:val="en-US" w:eastAsia="zh-CN" w:bidi="ar"/>
                    </w:rPr>
                    <w:t>3.5</w:t>
                  </w:r>
                </w:p>
              </w:tc>
              <w:tc>
                <w:tcPr>
                  <w:tcW w:w="1781" w:type="dxa"/>
                  <w:vMerge w:val="continue"/>
                  <w:tcBorders>
                    <w:tl2br w:val="nil"/>
                    <w:tr2bl w:val="nil"/>
                  </w:tcBorders>
                  <w:vAlign w:val="center"/>
                </w:tcPr>
                <w:p w14:paraId="02FD72BA">
                  <w:pPr>
                    <w:adjustRightInd w:val="0"/>
                    <w:snapToGrid w:val="0"/>
                    <w:spacing w:line="240" w:lineRule="auto"/>
                    <w:jc w:val="center"/>
                    <w:rPr>
                      <w:rFonts w:hint="default" w:ascii="Times New Roman" w:hAnsi="Times New Roman" w:eastAsia="宋体" w:cs="Times New Roman"/>
                      <w:b w:val="0"/>
                      <w:bCs w:val="0"/>
                      <w:color w:val="000000"/>
                      <w:kern w:val="0"/>
                      <w:sz w:val="21"/>
                      <w:szCs w:val="21"/>
                      <w:highlight w:val="none"/>
                      <w:lang w:val="en-US" w:eastAsia="zh-CN" w:bidi="ar"/>
                    </w:rPr>
                  </w:pPr>
                </w:p>
              </w:tc>
            </w:tr>
            <w:tr w14:paraId="44C489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Merge w:val="continue"/>
                  <w:tcBorders>
                    <w:tl2br w:val="nil"/>
                    <w:tr2bl w:val="nil"/>
                  </w:tcBorders>
                  <w:vAlign w:val="center"/>
                </w:tcPr>
                <w:p w14:paraId="70FAF4AB">
                  <w:pPr>
                    <w:adjustRightInd w:val="0"/>
                    <w:snapToGrid w:val="0"/>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p>
              </w:tc>
              <w:tc>
                <w:tcPr>
                  <w:tcW w:w="1778" w:type="dxa"/>
                  <w:tcBorders>
                    <w:tl2br w:val="nil"/>
                    <w:tr2bl w:val="nil"/>
                  </w:tcBorders>
                  <w:vAlign w:val="center"/>
                </w:tcPr>
                <w:p w14:paraId="38FF7254">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000000"/>
                      <w:spacing w:val="-2"/>
                      <w:kern w:val="2"/>
                      <w:sz w:val="21"/>
                      <w:szCs w:val="21"/>
                      <w:highlight w:val="none"/>
                      <w:lang w:val="en-US" w:eastAsia="zh-CN" w:bidi="ar"/>
                    </w:rPr>
                    <w:t>烟气黑度（林格曼黑度，级）</w:t>
                  </w:r>
                </w:p>
              </w:tc>
              <w:tc>
                <w:tcPr>
                  <w:tcW w:w="1781" w:type="dxa"/>
                  <w:tcBorders>
                    <w:tl2br w:val="nil"/>
                    <w:tr2bl w:val="nil"/>
                  </w:tcBorders>
                  <w:vAlign w:val="center"/>
                </w:tcPr>
                <w:p w14:paraId="3D02159A">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color w:val="000000"/>
                      <w:kern w:val="2"/>
                      <w:sz w:val="21"/>
                      <w:szCs w:val="21"/>
                      <w:highlight w:val="none"/>
                      <w:lang w:val="en-US" w:eastAsia="zh-CN" w:bidi="ar-SA"/>
                    </w:rPr>
                    <w:t>≤1</w:t>
                  </w:r>
                </w:p>
              </w:tc>
              <w:tc>
                <w:tcPr>
                  <w:tcW w:w="1781" w:type="dxa"/>
                  <w:tcBorders>
                    <w:tl2br w:val="nil"/>
                    <w:tr2bl w:val="nil"/>
                  </w:tcBorders>
                  <w:vAlign w:val="center"/>
                </w:tcPr>
                <w:p w14:paraId="4BC24CE8">
                  <w:pPr>
                    <w:keepNext w:val="0"/>
                    <w:keepLines w:val="0"/>
                    <w:widowControl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000000"/>
                      <w:kern w:val="2"/>
                      <w:sz w:val="21"/>
                      <w:szCs w:val="21"/>
                      <w:highlight w:val="none"/>
                      <w:lang w:val="en-US" w:eastAsia="zh-CN" w:bidi="ar-SA"/>
                    </w:rPr>
                  </w:pPr>
                  <w:r>
                    <w:rPr>
                      <w:rFonts w:hint="eastAsia" w:ascii="Times New Roman" w:hAnsi="Times New Roman" w:cs="Times New Roman"/>
                      <w:b w:val="0"/>
                      <w:bCs w:val="0"/>
                      <w:color w:val="000000"/>
                      <w:kern w:val="2"/>
                      <w:sz w:val="21"/>
                      <w:szCs w:val="21"/>
                      <w:highlight w:val="none"/>
                      <w:lang w:val="en-US" w:eastAsia="zh-CN" w:bidi="ar-SA"/>
                    </w:rPr>
                    <w:t>/</w:t>
                  </w:r>
                </w:p>
              </w:tc>
              <w:tc>
                <w:tcPr>
                  <w:tcW w:w="1781" w:type="dxa"/>
                  <w:vMerge w:val="continue"/>
                  <w:tcBorders>
                    <w:tl2br w:val="nil"/>
                    <w:tr2bl w:val="nil"/>
                  </w:tcBorders>
                  <w:vAlign w:val="center"/>
                </w:tcPr>
                <w:p w14:paraId="04292CBD">
                  <w:pPr>
                    <w:adjustRightInd w:val="0"/>
                    <w:snapToGrid w:val="0"/>
                    <w:spacing w:line="240" w:lineRule="auto"/>
                    <w:jc w:val="center"/>
                    <w:rPr>
                      <w:rFonts w:hint="default" w:ascii="Times New Roman" w:hAnsi="Times New Roman" w:eastAsia="宋体" w:cs="Times New Roman"/>
                      <w:b w:val="0"/>
                      <w:bCs w:val="0"/>
                      <w:color w:val="000000"/>
                      <w:kern w:val="0"/>
                      <w:sz w:val="21"/>
                      <w:szCs w:val="21"/>
                      <w:highlight w:val="none"/>
                      <w:lang w:val="en-US" w:eastAsia="zh-CN" w:bidi="ar"/>
                    </w:rPr>
                  </w:pPr>
                </w:p>
              </w:tc>
            </w:tr>
            <w:tr w14:paraId="43AE1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Merge w:val="continue"/>
                  <w:tcBorders>
                    <w:tl2br w:val="nil"/>
                    <w:tr2bl w:val="nil"/>
                  </w:tcBorders>
                  <w:vAlign w:val="center"/>
                </w:tcPr>
                <w:p w14:paraId="666932C1">
                  <w:pPr>
                    <w:adjustRightInd w:val="0"/>
                    <w:snapToGrid w:val="0"/>
                    <w:spacing w:line="240" w:lineRule="auto"/>
                    <w:jc w:val="center"/>
                    <w:rPr>
                      <w:rFonts w:hint="default" w:ascii="Times New Roman" w:hAnsi="Times New Roman" w:eastAsia="宋体" w:cs="Times New Roman"/>
                      <w:b w:val="0"/>
                      <w:bCs w:val="0"/>
                      <w:sz w:val="21"/>
                      <w:szCs w:val="21"/>
                      <w:highlight w:val="none"/>
                      <w:vertAlign w:val="baseline"/>
                      <w:lang w:eastAsia="zh-CN"/>
                    </w:rPr>
                  </w:pPr>
                </w:p>
              </w:tc>
              <w:tc>
                <w:tcPr>
                  <w:tcW w:w="1778" w:type="dxa"/>
                  <w:tcBorders>
                    <w:tl2br w:val="nil"/>
                    <w:tr2bl w:val="nil"/>
                  </w:tcBorders>
                  <w:vAlign w:val="center"/>
                </w:tcPr>
                <w:p w14:paraId="5F36A132">
                  <w:pPr>
                    <w:keepNext w:val="0"/>
                    <w:keepLines w:val="0"/>
                    <w:widowControl w:val="0"/>
                    <w:suppressLineNumbers w:val="0"/>
                    <w:adjustRightInd w:val="0"/>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val="en-US" w:eastAsia="zh-CN"/>
                    </w:rPr>
                    <w:t>NOx</w:t>
                  </w:r>
                </w:p>
              </w:tc>
              <w:tc>
                <w:tcPr>
                  <w:tcW w:w="1781" w:type="dxa"/>
                  <w:tcBorders>
                    <w:tl2br w:val="nil"/>
                    <w:tr2bl w:val="nil"/>
                  </w:tcBorders>
                  <w:vAlign w:val="center"/>
                </w:tcPr>
                <w:p w14:paraId="2B2E4F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b w:val="0"/>
                      <w:bCs w:val="0"/>
                      <w:color w:val="auto"/>
                      <w:kern w:val="2"/>
                      <w:sz w:val="21"/>
                      <w:szCs w:val="21"/>
                      <w:highlight w:val="none"/>
                      <w:lang w:val="en-US" w:eastAsia="zh-CN" w:bidi="ar"/>
                    </w:rPr>
                    <w:t>240</w:t>
                  </w:r>
                </w:p>
              </w:tc>
              <w:tc>
                <w:tcPr>
                  <w:tcW w:w="1781" w:type="dxa"/>
                  <w:tcBorders>
                    <w:tl2br w:val="nil"/>
                    <w:tr2bl w:val="nil"/>
                  </w:tcBorders>
                  <w:vAlign w:val="center"/>
                </w:tcPr>
                <w:p w14:paraId="7D90A8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Times New Roman" w:hAnsi="Times New Roman" w:eastAsia="宋体" w:cs="Times New Roman"/>
                      <w:b w:val="0"/>
                      <w:bCs w:val="0"/>
                      <w:color w:val="auto"/>
                      <w:kern w:val="2"/>
                      <w:sz w:val="21"/>
                      <w:szCs w:val="21"/>
                      <w:highlight w:val="none"/>
                      <w:lang w:val="en-US" w:eastAsia="zh-CN" w:bidi="ar"/>
                    </w:rPr>
                  </w:pPr>
                  <w:r>
                    <w:rPr>
                      <w:rFonts w:hint="eastAsia" w:ascii="Times New Roman" w:hAnsi="Times New Roman" w:cs="Times New Roman"/>
                      <w:b w:val="0"/>
                      <w:bCs w:val="0"/>
                      <w:color w:val="auto"/>
                      <w:kern w:val="2"/>
                      <w:sz w:val="21"/>
                      <w:szCs w:val="21"/>
                      <w:highlight w:val="none"/>
                      <w:lang w:val="en-US" w:eastAsia="zh-CN" w:bidi="ar"/>
                    </w:rPr>
                    <w:t>1.2</w:t>
                  </w:r>
                </w:p>
              </w:tc>
              <w:tc>
                <w:tcPr>
                  <w:tcW w:w="1781" w:type="dxa"/>
                  <w:vMerge w:val="continue"/>
                  <w:tcBorders>
                    <w:tl2br w:val="nil"/>
                    <w:tr2bl w:val="nil"/>
                  </w:tcBorders>
                  <w:vAlign w:val="center"/>
                </w:tcPr>
                <w:p w14:paraId="7C6E608E">
                  <w:pPr>
                    <w:adjustRightInd w:val="0"/>
                    <w:snapToGrid w:val="0"/>
                    <w:spacing w:line="240" w:lineRule="auto"/>
                    <w:jc w:val="center"/>
                    <w:rPr>
                      <w:rFonts w:hint="default" w:ascii="Times New Roman" w:hAnsi="Times New Roman" w:eastAsia="宋体" w:cs="Times New Roman"/>
                      <w:b w:val="0"/>
                      <w:bCs w:val="0"/>
                      <w:sz w:val="21"/>
                      <w:szCs w:val="21"/>
                      <w:highlight w:val="none"/>
                      <w:vertAlign w:val="baseline"/>
                      <w:lang w:eastAsia="zh-CN"/>
                    </w:rPr>
                  </w:pPr>
                </w:p>
              </w:tc>
            </w:tr>
          </w:tbl>
          <w:p w14:paraId="6D50D382">
            <w:pPr>
              <w:adjustRightInd w:val="0"/>
              <w:snapToGrid w:val="0"/>
              <w:jc w:val="center"/>
              <w:rPr>
                <w:rFonts w:cs="Times New Roman"/>
                <w:b/>
                <w:bCs/>
                <w:sz w:val="21"/>
                <w:szCs w:val="21"/>
                <w:lang w:eastAsia="zh-CN"/>
              </w:rPr>
            </w:pPr>
            <w:r>
              <w:rPr>
                <w:rFonts w:cs="Times New Roman"/>
                <w:b/>
                <w:bCs/>
                <w:sz w:val="21"/>
                <w:szCs w:val="21"/>
                <w:lang w:eastAsia="zh-CN"/>
              </w:rPr>
              <w:t>表3-</w:t>
            </w:r>
            <w:r>
              <w:rPr>
                <w:rFonts w:hint="eastAsia" w:cs="Times New Roman"/>
                <w:b/>
                <w:bCs/>
                <w:sz w:val="21"/>
                <w:szCs w:val="21"/>
                <w:lang w:val="en-US" w:eastAsia="zh-CN"/>
              </w:rPr>
              <w:t>4</w:t>
            </w:r>
            <w:r>
              <w:rPr>
                <w:rFonts w:cs="Times New Roman"/>
                <w:b/>
                <w:bCs/>
                <w:sz w:val="21"/>
                <w:szCs w:val="21"/>
                <w:lang w:eastAsia="zh-CN"/>
              </w:rPr>
              <w:t xml:space="preserve"> </w:t>
            </w:r>
            <w:r>
              <w:rPr>
                <w:rFonts w:hint="eastAsia" w:cs="Times New Roman"/>
                <w:b/>
                <w:bCs/>
                <w:sz w:val="21"/>
                <w:szCs w:val="21"/>
                <w:lang w:val="en-US" w:eastAsia="zh-CN"/>
              </w:rPr>
              <w:t>本项目无组织</w:t>
            </w:r>
            <w:r>
              <w:rPr>
                <w:rFonts w:cs="Times New Roman"/>
                <w:b/>
                <w:bCs/>
                <w:sz w:val="21"/>
                <w:szCs w:val="21"/>
                <w:lang w:eastAsia="zh-CN"/>
              </w:rPr>
              <w:t>废气排放标准</w:t>
            </w:r>
          </w:p>
          <w:tbl>
            <w:tblPr>
              <w:tblStyle w:val="2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20"/>
              <w:gridCol w:w="2222"/>
              <w:gridCol w:w="2227"/>
              <w:gridCol w:w="2228"/>
            </w:tblGrid>
            <w:tr w14:paraId="1A054C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tcBorders>
                    <w:tl2br w:val="nil"/>
                    <w:tr2bl w:val="nil"/>
                  </w:tcBorders>
                  <w:vAlign w:val="center"/>
                </w:tcPr>
                <w:p w14:paraId="7874D9C7">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eastAsia="zh-CN"/>
                    </w:rPr>
                    <w:t>污染源</w:t>
                  </w:r>
                </w:p>
              </w:tc>
              <w:tc>
                <w:tcPr>
                  <w:tcW w:w="1248" w:type="pct"/>
                  <w:tcBorders>
                    <w:tl2br w:val="nil"/>
                    <w:tr2bl w:val="nil"/>
                  </w:tcBorders>
                  <w:vAlign w:val="center"/>
                </w:tcPr>
                <w:p w14:paraId="6599A146">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lang w:eastAsia="zh-CN"/>
                    </w:rPr>
                    <w:t>污染因子</w:t>
                  </w:r>
                </w:p>
              </w:tc>
              <w:tc>
                <w:tcPr>
                  <w:tcW w:w="1251" w:type="pct"/>
                  <w:tcBorders>
                    <w:tl2br w:val="nil"/>
                    <w:tr2bl w:val="nil"/>
                  </w:tcBorders>
                  <w:vAlign w:val="center"/>
                </w:tcPr>
                <w:p w14:paraId="18B3277C">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有组织最高允许排放浓度</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mg/m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eastAsia="zh-CN"/>
                    </w:rPr>
                    <w:t>）</w:t>
                  </w:r>
                </w:p>
              </w:tc>
              <w:tc>
                <w:tcPr>
                  <w:tcW w:w="1251" w:type="pct"/>
                  <w:tcBorders>
                    <w:tl2br w:val="nil"/>
                    <w:tr2bl w:val="nil"/>
                  </w:tcBorders>
                  <w:vAlign w:val="center"/>
                </w:tcPr>
                <w:p w14:paraId="1A17B817">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sz w:val="21"/>
                      <w:szCs w:val="21"/>
                      <w:highlight w:val="none"/>
                    </w:rPr>
                    <w:t>标准来源</w:t>
                  </w:r>
                </w:p>
              </w:tc>
            </w:tr>
            <w:tr w14:paraId="2E199F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restart"/>
                  <w:tcBorders>
                    <w:tl2br w:val="nil"/>
                    <w:tr2bl w:val="nil"/>
                  </w:tcBorders>
                  <w:vAlign w:val="center"/>
                </w:tcPr>
                <w:p w14:paraId="561CFBE4">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加工车间</w:t>
                  </w:r>
                </w:p>
              </w:tc>
              <w:tc>
                <w:tcPr>
                  <w:tcW w:w="1248" w:type="pct"/>
                  <w:tcBorders>
                    <w:tl2br w:val="nil"/>
                    <w:tr2bl w:val="nil"/>
                  </w:tcBorders>
                  <w:vAlign w:val="center"/>
                </w:tcPr>
                <w:p w14:paraId="285A3952">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非甲烷总烃</w:t>
                  </w:r>
                </w:p>
              </w:tc>
              <w:tc>
                <w:tcPr>
                  <w:tcW w:w="1251" w:type="pct"/>
                  <w:tcBorders>
                    <w:tl2br w:val="nil"/>
                    <w:tr2bl w:val="nil"/>
                  </w:tcBorders>
                  <w:vAlign w:val="center"/>
                </w:tcPr>
                <w:p w14:paraId="604B28D8">
                  <w:pPr>
                    <w:adjustRightInd/>
                    <w:snapToGrid/>
                    <w:spacing w:after="0" w:line="240" w:lineRule="auto"/>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4.0</w:t>
                  </w:r>
                </w:p>
              </w:tc>
              <w:tc>
                <w:tcPr>
                  <w:tcW w:w="1251" w:type="pct"/>
                  <w:vMerge w:val="restart"/>
                  <w:tcBorders>
                    <w:tl2br w:val="nil"/>
                    <w:tr2bl w:val="nil"/>
                  </w:tcBorders>
                  <w:vAlign w:val="center"/>
                </w:tcPr>
                <w:p w14:paraId="4EAA70C1">
                  <w:pPr>
                    <w:adjustRightInd/>
                    <w:snapToGrid/>
                    <w:spacing w:after="0"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000000"/>
                      <w:kern w:val="0"/>
                      <w:sz w:val="21"/>
                      <w:szCs w:val="21"/>
                      <w:highlight w:val="none"/>
                      <w:lang w:val="en-US" w:eastAsia="zh-CN" w:bidi="ar"/>
                    </w:rPr>
                    <w:t>《大气污染物综合排放标准》（GB 16297-1996）表2</w:t>
                  </w:r>
                </w:p>
              </w:tc>
            </w:tr>
            <w:tr w14:paraId="012CE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vAlign w:val="center"/>
                </w:tcPr>
                <w:p w14:paraId="52D15942">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eastAsia="zh-CN"/>
                    </w:rPr>
                  </w:pPr>
                </w:p>
              </w:tc>
              <w:tc>
                <w:tcPr>
                  <w:tcW w:w="1248" w:type="pct"/>
                  <w:tcBorders>
                    <w:tl2br w:val="nil"/>
                    <w:tr2bl w:val="nil"/>
                  </w:tcBorders>
                  <w:vAlign w:val="center"/>
                </w:tcPr>
                <w:p w14:paraId="4A7DAB0A">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颗粒物</w:t>
                  </w:r>
                </w:p>
              </w:tc>
              <w:tc>
                <w:tcPr>
                  <w:tcW w:w="1251" w:type="pct"/>
                  <w:tcBorders>
                    <w:tl2br w:val="nil"/>
                    <w:tr2bl w:val="nil"/>
                  </w:tcBorders>
                  <w:vAlign w:val="center"/>
                </w:tcPr>
                <w:p w14:paraId="4EE45DF9">
                  <w:pPr>
                    <w:adjustRightInd/>
                    <w:snapToGrid/>
                    <w:spacing w:after="0" w:line="240" w:lineRule="auto"/>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1.0</w:t>
                  </w:r>
                </w:p>
              </w:tc>
              <w:tc>
                <w:tcPr>
                  <w:tcW w:w="1251" w:type="pct"/>
                  <w:vMerge w:val="continue"/>
                  <w:tcBorders>
                    <w:tl2br w:val="nil"/>
                    <w:tr2bl w:val="nil"/>
                  </w:tcBorders>
                  <w:vAlign w:val="center"/>
                </w:tcPr>
                <w:p w14:paraId="15F86CC5">
                  <w:pPr>
                    <w:adjustRightInd/>
                    <w:snapToGrid/>
                    <w:spacing w:after="0" w:line="240" w:lineRule="auto"/>
                    <w:jc w:val="center"/>
                    <w:rPr>
                      <w:rFonts w:hint="default" w:ascii="Times New Roman" w:hAnsi="Times New Roman" w:eastAsia="宋体" w:cs="Times New Roman"/>
                      <w:b w:val="0"/>
                      <w:bCs w:val="0"/>
                      <w:color w:val="auto"/>
                      <w:sz w:val="21"/>
                      <w:szCs w:val="21"/>
                      <w:highlight w:val="none"/>
                    </w:rPr>
                  </w:pPr>
                </w:p>
              </w:tc>
            </w:tr>
            <w:tr w14:paraId="6144D2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vAlign w:val="center"/>
                </w:tcPr>
                <w:p w14:paraId="6D194361">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eastAsia="zh-CN"/>
                    </w:rPr>
                  </w:pPr>
                </w:p>
              </w:tc>
              <w:tc>
                <w:tcPr>
                  <w:tcW w:w="1248" w:type="pct"/>
                  <w:tcBorders>
                    <w:tl2br w:val="nil"/>
                    <w:tr2bl w:val="nil"/>
                  </w:tcBorders>
                  <w:vAlign w:val="center"/>
                </w:tcPr>
                <w:p w14:paraId="6FAB2B77">
                  <w:pPr>
                    <w:adjustRightInd/>
                    <w:snapToGrid/>
                    <w:spacing w:after="0" w:line="240" w:lineRule="auto"/>
                    <w:jc w:val="center"/>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SO</w:t>
                  </w:r>
                  <w:r>
                    <w:rPr>
                      <w:rFonts w:hint="default" w:ascii="Times New Roman" w:hAnsi="Times New Roman" w:eastAsia="宋体" w:cs="Times New Roman"/>
                      <w:b w:val="0"/>
                      <w:bCs w:val="0"/>
                      <w:color w:val="auto"/>
                      <w:sz w:val="21"/>
                      <w:szCs w:val="21"/>
                      <w:highlight w:val="none"/>
                      <w:vertAlign w:val="subscript"/>
                      <w:lang w:val="en-US" w:eastAsia="zh-CN"/>
                    </w:rPr>
                    <w:t>2</w:t>
                  </w:r>
                </w:p>
              </w:tc>
              <w:tc>
                <w:tcPr>
                  <w:tcW w:w="1251" w:type="pct"/>
                  <w:tcBorders>
                    <w:tl2br w:val="nil"/>
                    <w:tr2bl w:val="nil"/>
                  </w:tcBorders>
                  <w:vAlign w:val="center"/>
                </w:tcPr>
                <w:p w14:paraId="01783D85">
                  <w:pPr>
                    <w:adjustRightInd/>
                    <w:snapToGrid/>
                    <w:spacing w:after="0" w:line="240" w:lineRule="auto"/>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0.4</w:t>
                  </w:r>
                </w:p>
              </w:tc>
              <w:tc>
                <w:tcPr>
                  <w:tcW w:w="1251" w:type="pct"/>
                  <w:vMerge w:val="continue"/>
                  <w:tcBorders>
                    <w:tl2br w:val="nil"/>
                    <w:tr2bl w:val="nil"/>
                  </w:tcBorders>
                  <w:vAlign w:val="center"/>
                </w:tcPr>
                <w:p w14:paraId="2A988087">
                  <w:pPr>
                    <w:adjustRightInd/>
                    <w:snapToGrid/>
                    <w:spacing w:after="0" w:line="240" w:lineRule="auto"/>
                    <w:jc w:val="center"/>
                    <w:rPr>
                      <w:rFonts w:hint="default" w:ascii="Times New Roman" w:hAnsi="Times New Roman" w:eastAsia="宋体" w:cs="Times New Roman"/>
                      <w:b w:val="0"/>
                      <w:bCs w:val="0"/>
                      <w:color w:val="auto"/>
                      <w:sz w:val="21"/>
                      <w:szCs w:val="21"/>
                      <w:highlight w:val="none"/>
                    </w:rPr>
                  </w:pPr>
                </w:p>
              </w:tc>
            </w:tr>
            <w:tr w14:paraId="1A9AF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vAlign w:val="center"/>
                </w:tcPr>
                <w:p w14:paraId="358E5442">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eastAsia="zh-CN"/>
                    </w:rPr>
                  </w:pPr>
                </w:p>
              </w:tc>
              <w:tc>
                <w:tcPr>
                  <w:tcW w:w="1248" w:type="pct"/>
                  <w:tcBorders>
                    <w:tl2br w:val="nil"/>
                    <w:tr2bl w:val="nil"/>
                  </w:tcBorders>
                  <w:vAlign w:val="center"/>
                </w:tcPr>
                <w:p w14:paraId="199846F3">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NOx</w:t>
                  </w:r>
                </w:p>
              </w:tc>
              <w:tc>
                <w:tcPr>
                  <w:tcW w:w="1251" w:type="pct"/>
                  <w:tcBorders>
                    <w:tl2br w:val="nil"/>
                    <w:tr2bl w:val="nil"/>
                  </w:tcBorders>
                  <w:vAlign w:val="center"/>
                </w:tcPr>
                <w:p w14:paraId="25FA0E0D">
                  <w:pPr>
                    <w:adjustRightInd/>
                    <w:snapToGrid/>
                    <w:spacing w:after="0" w:line="240" w:lineRule="auto"/>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0.12</w:t>
                  </w:r>
                </w:p>
              </w:tc>
              <w:tc>
                <w:tcPr>
                  <w:tcW w:w="1251" w:type="pct"/>
                  <w:vMerge w:val="continue"/>
                  <w:tcBorders>
                    <w:tl2br w:val="nil"/>
                    <w:tr2bl w:val="nil"/>
                  </w:tcBorders>
                  <w:vAlign w:val="center"/>
                </w:tcPr>
                <w:p w14:paraId="57F85AC2">
                  <w:pPr>
                    <w:adjustRightInd/>
                    <w:snapToGrid/>
                    <w:spacing w:after="0" w:line="240" w:lineRule="auto"/>
                    <w:jc w:val="center"/>
                    <w:rPr>
                      <w:rFonts w:hint="default" w:ascii="Times New Roman" w:hAnsi="Times New Roman" w:eastAsia="宋体" w:cs="Times New Roman"/>
                      <w:b w:val="0"/>
                      <w:bCs w:val="0"/>
                      <w:color w:val="auto"/>
                      <w:sz w:val="21"/>
                      <w:szCs w:val="21"/>
                      <w:highlight w:val="none"/>
                    </w:rPr>
                  </w:pPr>
                </w:p>
              </w:tc>
            </w:tr>
            <w:tr w14:paraId="686F57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restart"/>
                  <w:tcBorders>
                    <w:tl2br w:val="nil"/>
                    <w:tr2bl w:val="nil"/>
                  </w:tcBorders>
                  <w:vAlign w:val="center"/>
                </w:tcPr>
                <w:p w14:paraId="1A9C1EF3">
                  <w:pPr>
                    <w:adjustRightInd/>
                    <w:snapToGrid/>
                    <w:spacing w:after="0"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eastAsia" w:ascii="Times New Roman" w:hAnsi="Times New Roman" w:cs="Times New Roman"/>
                      <w:b w:val="0"/>
                      <w:bCs w:val="0"/>
                      <w:color w:val="auto"/>
                      <w:sz w:val="21"/>
                      <w:szCs w:val="21"/>
                      <w:highlight w:val="none"/>
                      <w:lang w:val="en-US" w:eastAsia="zh-CN"/>
                    </w:rPr>
                    <w:t>污水处理站</w:t>
                  </w:r>
                </w:p>
              </w:tc>
              <w:tc>
                <w:tcPr>
                  <w:tcW w:w="1248" w:type="pct"/>
                  <w:tcBorders>
                    <w:tl2br w:val="nil"/>
                    <w:tr2bl w:val="nil"/>
                  </w:tcBorders>
                  <w:vAlign w:val="center"/>
                </w:tcPr>
                <w:p w14:paraId="6C88BDEF">
                  <w:pPr>
                    <w:adjustRightInd/>
                    <w:snapToGrid/>
                    <w:spacing w:after="0" w:line="240" w:lineRule="auto"/>
                    <w:jc w:val="center"/>
                    <w:rPr>
                      <w:rFonts w:hint="default" w:ascii="Times New Roman" w:hAnsi="Times New Roman" w:eastAsia="宋体" w:cs="Times New Roman"/>
                      <w:b w:val="0"/>
                      <w:bCs w:val="0"/>
                      <w:color w:val="000000"/>
                      <w:spacing w:val="-2"/>
                      <w:kern w:val="2"/>
                      <w:sz w:val="21"/>
                      <w:szCs w:val="21"/>
                      <w:highlight w:val="none"/>
                      <w:lang w:val="en-US" w:eastAsia="zh-CN" w:bidi="ar"/>
                    </w:rPr>
                  </w:pPr>
                  <w:r>
                    <w:rPr>
                      <w:rFonts w:hint="eastAsia" w:ascii="Times New Roman" w:hAnsi="Times New Roman" w:cs="Times New Roman"/>
                      <w:b w:val="0"/>
                      <w:bCs w:val="0"/>
                      <w:color w:val="auto"/>
                      <w:sz w:val="21"/>
                      <w:szCs w:val="21"/>
                      <w:highlight w:val="none"/>
                      <w:lang w:val="en-US" w:eastAsia="zh-CN"/>
                    </w:rPr>
                    <w:t>硫化氢</w:t>
                  </w:r>
                </w:p>
              </w:tc>
              <w:tc>
                <w:tcPr>
                  <w:tcW w:w="1251" w:type="pct"/>
                  <w:tcBorders>
                    <w:tl2br w:val="nil"/>
                    <w:tr2bl w:val="nil"/>
                  </w:tcBorders>
                  <w:vAlign w:val="center"/>
                </w:tcPr>
                <w:p w14:paraId="375CBF47">
                  <w:pPr>
                    <w:keepNext w:val="0"/>
                    <w:keepLines w:val="0"/>
                    <w:widowControl w:val="0"/>
                    <w:suppressLineNumbers w:val="0"/>
                    <w:snapToGrid w:val="0"/>
                    <w:spacing w:before="0" w:beforeAutospacing="0" w:after="0" w:afterAutospacing="0" w:line="240" w:lineRule="auto"/>
                    <w:ind w:left="0" w:leftChars="0" w:right="0" w:rightChars="0"/>
                    <w:jc w:val="center"/>
                    <w:rPr>
                      <w:rFonts w:hint="eastAsia"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0.32</w:t>
                  </w:r>
                </w:p>
              </w:tc>
              <w:tc>
                <w:tcPr>
                  <w:tcW w:w="1251" w:type="pct"/>
                  <w:vMerge w:val="restart"/>
                  <w:tcBorders>
                    <w:tl2br w:val="nil"/>
                    <w:tr2bl w:val="nil"/>
                  </w:tcBorders>
                  <w:vAlign w:val="center"/>
                </w:tcPr>
                <w:p w14:paraId="24CC596B">
                  <w:pPr>
                    <w:spacing w:line="240" w:lineRule="auto"/>
                    <w:jc w:val="center"/>
                    <w:rPr>
                      <w:rFonts w:hint="default" w:ascii="Times New Roman" w:hAnsi="Times New Roman" w:eastAsia="宋体" w:cs="Times New Roman"/>
                      <w:b w:val="0"/>
                      <w:bCs w:val="0"/>
                      <w:sz w:val="21"/>
                      <w:szCs w:val="21"/>
                      <w:highlight w:val="none"/>
                      <w:vertAlign w:val="baseline"/>
                      <w:lang w:eastAsia="zh-CN"/>
                    </w:rPr>
                  </w:pPr>
                  <w:r>
                    <w:rPr>
                      <w:rFonts w:hint="default" w:ascii="Times New Roman" w:hAnsi="Times New Roman" w:eastAsia="宋体" w:cs="Times New Roman"/>
                      <w:b w:val="0"/>
                      <w:bCs w:val="0"/>
                      <w:color w:val="auto"/>
                      <w:kern w:val="0"/>
                      <w:sz w:val="21"/>
                      <w:szCs w:val="21"/>
                      <w:highlight w:val="none"/>
                      <w:lang w:val="en-US" w:eastAsia="zh-CN" w:bidi="ar"/>
                    </w:rPr>
                    <w:t>《恶臭污染物排放标准》（GB14554-93）</w:t>
                  </w:r>
                </w:p>
              </w:tc>
            </w:tr>
            <w:tr w14:paraId="6F066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vAlign w:val="center"/>
                </w:tcPr>
                <w:p w14:paraId="7A940DF8">
                  <w:pPr>
                    <w:adjustRightInd/>
                    <w:snapToGrid/>
                    <w:spacing w:after="0" w:line="240" w:lineRule="auto"/>
                    <w:jc w:val="center"/>
                    <w:rPr>
                      <w:rFonts w:hint="eastAsia" w:ascii="Times New Roman" w:hAnsi="Times New Roman" w:cs="Times New Roman"/>
                      <w:b w:val="0"/>
                      <w:bCs w:val="0"/>
                      <w:color w:val="auto"/>
                      <w:sz w:val="21"/>
                      <w:szCs w:val="21"/>
                      <w:highlight w:val="none"/>
                      <w:lang w:val="en-US" w:eastAsia="zh-CN"/>
                    </w:rPr>
                  </w:pPr>
                </w:p>
              </w:tc>
              <w:tc>
                <w:tcPr>
                  <w:tcW w:w="1248" w:type="pct"/>
                  <w:tcBorders>
                    <w:tl2br w:val="nil"/>
                    <w:tr2bl w:val="nil"/>
                  </w:tcBorders>
                  <w:vAlign w:val="center"/>
                </w:tcPr>
                <w:p w14:paraId="6567F915">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氨气</w:t>
                  </w:r>
                </w:p>
              </w:tc>
              <w:tc>
                <w:tcPr>
                  <w:tcW w:w="1251" w:type="pct"/>
                  <w:tcBorders>
                    <w:tl2br w:val="nil"/>
                    <w:tr2bl w:val="nil"/>
                  </w:tcBorders>
                  <w:vAlign w:val="center"/>
                </w:tcPr>
                <w:p w14:paraId="02C40081">
                  <w:pPr>
                    <w:keepNext w:val="0"/>
                    <w:keepLines w:val="0"/>
                    <w:widowControl w:val="0"/>
                    <w:suppressLineNumbers w:val="0"/>
                    <w:snapToGrid w:val="0"/>
                    <w:spacing w:before="0" w:beforeAutospacing="0" w:after="0" w:afterAutospacing="0" w:line="240" w:lineRule="auto"/>
                    <w:ind w:left="0" w:leftChars="0" w:right="0" w:rightChars="0"/>
                    <w:jc w:val="center"/>
                    <w:rPr>
                      <w:rFonts w:hint="eastAsia"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4.0</w:t>
                  </w:r>
                </w:p>
              </w:tc>
              <w:tc>
                <w:tcPr>
                  <w:tcW w:w="1251" w:type="pct"/>
                  <w:vMerge w:val="continue"/>
                  <w:tcBorders>
                    <w:tl2br w:val="nil"/>
                    <w:tr2bl w:val="nil"/>
                  </w:tcBorders>
                  <w:vAlign w:val="center"/>
                </w:tcPr>
                <w:p w14:paraId="1EFFA804">
                  <w:pPr>
                    <w:spacing w:line="240" w:lineRule="auto"/>
                    <w:jc w:val="center"/>
                    <w:rPr>
                      <w:rFonts w:hint="default" w:ascii="Times New Roman" w:hAnsi="Times New Roman" w:eastAsia="宋体" w:cs="Times New Roman"/>
                      <w:b w:val="0"/>
                      <w:bCs w:val="0"/>
                      <w:color w:val="auto"/>
                      <w:kern w:val="0"/>
                      <w:sz w:val="21"/>
                      <w:szCs w:val="21"/>
                      <w:highlight w:val="none"/>
                      <w:lang w:val="en-US" w:eastAsia="zh-CN" w:bidi="ar"/>
                    </w:rPr>
                  </w:pPr>
                </w:p>
              </w:tc>
            </w:tr>
            <w:tr w14:paraId="3EA154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247" w:type="pct"/>
                  <w:vMerge w:val="continue"/>
                  <w:tcBorders>
                    <w:tl2br w:val="nil"/>
                    <w:tr2bl w:val="nil"/>
                  </w:tcBorders>
                  <w:vAlign w:val="center"/>
                </w:tcPr>
                <w:p w14:paraId="15257E8B">
                  <w:pPr>
                    <w:adjustRightInd/>
                    <w:snapToGrid/>
                    <w:spacing w:after="0" w:line="240" w:lineRule="auto"/>
                    <w:jc w:val="center"/>
                    <w:rPr>
                      <w:rFonts w:hint="eastAsia" w:ascii="Times New Roman" w:hAnsi="Times New Roman" w:cs="Times New Roman"/>
                      <w:b w:val="0"/>
                      <w:bCs w:val="0"/>
                      <w:color w:val="auto"/>
                      <w:sz w:val="21"/>
                      <w:szCs w:val="21"/>
                      <w:highlight w:val="none"/>
                      <w:lang w:val="en-US" w:eastAsia="zh-CN"/>
                    </w:rPr>
                  </w:pPr>
                </w:p>
              </w:tc>
              <w:tc>
                <w:tcPr>
                  <w:tcW w:w="1248" w:type="pct"/>
                  <w:tcBorders>
                    <w:tl2br w:val="nil"/>
                    <w:tr2bl w:val="nil"/>
                  </w:tcBorders>
                  <w:vAlign w:val="center"/>
                </w:tcPr>
                <w:p w14:paraId="6DD51F40">
                  <w:pPr>
                    <w:adjustRightInd/>
                    <w:snapToGrid/>
                    <w:spacing w:after="0"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臭气浓度</w:t>
                  </w:r>
                </w:p>
              </w:tc>
              <w:tc>
                <w:tcPr>
                  <w:tcW w:w="1251" w:type="pct"/>
                  <w:tcBorders>
                    <w:tl2br w:val="nil"/>
                    <w:tr2bl w:val="nil"/>
                  </w:tcBorders>
                  <w:vAlign w:val="center"/>
                </w:tcPr>
                <w:p w14:paraId="0C1FEE4F">
                  <w:pPr>
                    <w:keepNext w:val="0"/>
                    <w:keepLines w:val="0"/>
                    <w:widowControl w:val="0"/>
                    <w:suppressLineNumbers w:val="0"/>
                    <w:snapToGrid w:val="0"/>
                    <w:spacing w:before="0" w:beforeAutospacing="0" w:after="0" w:afterAutospacing="0" w:line="240" w:lineRule="auto"/>
                    <w:ind w:left="0" w:leftChars="0" w:right="0" w:rightChars="0"/>
                    <w:jc w:val="center"/>
                    <w:rPr>
                      <w:rFonts w:hint="eastAsia" w:ascii="Times New Roman" w:hAnsi="Times New Roman"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60（无量纲）</w:t>
                  </w:r>
                </w:p>
              </w:tc>
              <w:tc>
                <w:tcPr>
                  <w:tcW w:w="1251" w:type="pct"/>
                  <w:vMerge w:val="continue"/>
                  <w:tcBorders>
                    <w:tl2br w:val="nil"/>
                    <w:tr2bl w:val="nil"/>
                  </w:tcBorders>
                  <w:vAlign w:val="center"/>
                </w:tcPr>
                <w:p w14:paraId="0A6D5F23">
                  <w:pPr>
                    <w:spacing w:line="240" w:lineRule="auto"/>
                    <w:jc w:val="center"/>
                    <w:rPr>
                      <w:rFonts w:hint="default" w:ascii="Times New Roman" w:hAnsi="Times New Roman" w:eastAsia="宋体" w:cs="Times New Roman"/>
                      <w:b w:val="0"/>
                      <w:bCs w:val="0"/>
                      <w:color w:val="auto"/>
                      <w:kern w:val="0"/>
                      <w:sz w:val="21"/>
                      <w:szCs w:val="21"/>
                      <w:highlight w:val="none"/>
                      <w:lang w:val="en-US" w:eastAsia="zh-CN" w:bidi="ar"/>
                    </w:rPr>
                  </w:pPr>
                </w:p>
              </w:tc>
            </w:tr>
          </w:tbl>
          <w:p w14:paraId="70C985B7">
            <w:pPr>
              <w:adjustRightInd w:val="0"/>
              <w:snapToGrid w:val="0"/>
              <w:jc w:val="center"/>
              <w:rPr>
                <w:rFonts w:cs="Times New Roman"/>
                <w:b/>
                <w:bCs/>
                <w:sz w:val="21"/>
                <w:szCs w:val="21"/>
                <w:lang w:eastAsia="zh-CN"/>
              </w:rPr>
            </w:pPr>
          </w:p>
          <w:p w14:paraId="6991E125">
            <w:pPr>
              <w:pStyle w:val="2"/>
              <w:spacing w:before="120" w:beforeLines="50"/>
              <w:outlineLvl w:val="9"/>
              <w:rPr>
                <w:kern w:val="24"/>
                <w:lang w:eastAsia="zh-CN"/>
              </w:rPr>
            </w:pPr>
            <w:r>
              <w:rPr>
                <w:rFonts w:hint="eastAsia"/>
                <w:lang w:eastAsia="zh-CN"/>
              </w:rPr>
              <w:t>2.废水</w:t>
            </w:r>
            <w:r>
              <w:rPr>
                <w:lang w:eastAsia="zh-CN"/>
              </w:rPr>
              <w:t>排放标准</w:t>
            </w:r>
          </w:p>
          <w:p w14:paraId="1C773F94">
            <w:pPr>
              <w:adjustRightInd w:val="0"/>
              <w:snapToGrid w:val="0"/>
              <w:spacing w:line="360" w:lineRule="auto"/>
              <w:ind w:firstLine="480" w:firstLineChars="200"/>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pP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t>项目生活污水排入</w:t>
            </w:r>
            <w:r>
              <w:rPr>
                <w:rFonts w:hint="eastAsia" w:ascii="Times New Roman" w:hAnsi="Times New Roman" w:cs="Times New Roman"/>
                <w:i w:val="0"/>
                <w:iCs w:val="0"/>
                <w:caps w:val="0"/>
                <w:color w:val="333333"/>
                <w:spacing w:val="0"/>
                <w:sz w:val="24"/>
                <w:szCs w:val="24"/>
                <w:highlight w:val="none"/>
                <w:shd w:val="clear" w:fill="FFFFFF"/>
                <w:lang w:val="en-US" w:eastAsia="zh-CN" w:bidi="ar-SA"/>
              </w:rPr>
              <w:t>园区</w:t>
            </w:r>
            <w:r>
              <w:rPr>
                <w:rFonts w:hint="eastAsia" w:ascii="Times New Roman" w:hAnsi="Times New Roman" w:eastAsia="宋体" w:cs="Times New Roman"/>
                <w:i w:val="0"/>
                <w:iCs w:val="0"/>
                <w:caps w:val="0"/>
                <w:color w:val="333333"/>
                <w:spacing w:val="0"/>
                <w:sz w:val="24"/>
                <w:szCs w:val="24"/>
                <w:highlight w:val="none"/>
                <w:shd w:val="clear" w:fill="FFFFFF"/>
                <w:lang w:val="en-US" w:eastAsia="zh-CN" w:bidi="ar-SA"/>
              </w:rPr>
              <w:t>建设的下水管网，执行</w:t>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t>《污水</w:t>
            </w:r>
            <w:r>
              <w:rPr>
                <w:rFonts w:hint="eastAsia" w:ascii="Times New Roman" w:hAnsi="Times New Roman" w:eastAsia="宋体" w:cs="Times New Roman"/>
                <w:i w:val="0"/>
                <w:iCs w:val="0"/>
                <w:caps w:val="0"/>
                <w:color w:val="333333"/>
                <w:spacing w:val="0"/>
                <w:sz w:val="24"/>
                <w:szCs w:val="24"/>
                <w:highlight w:val="none"/>
                <w:shd w:val="clear" w:fill="FFFFFF"/>
                <w:lang w:val="en-US" w:eastAsia="zh-CN" w:bidi="ar-SA"/>
              </w:rPr>
              <w:t>综合排放</w:t>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t>标准》</w:t>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fldChar w:fldCharType="begin"/>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instrText xml:space="preserve"> HYPERLINK "https://www.mee.gov.cn/ywgz/fgbz/bz/bzwb/shjbh/swrwpfbz/199801/W020061027521858212955.pdf" \t "https://www.mee.gov.cn/ywgz/fgbz/bz/bzwb/shjbh/swrwpfbz/199801/_self" </w:instrText>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fldChar w:fldCharType="separate"/>
            </w:r>
            <w:r>
              <w:rPr>
                <w:rFonts w:hint="eastAsia" w:ascii="Times New Roman" w:hAnsi="Times New Roman" w:eastAsia="宋体" w:cs="Times New Roman"/>
                <w:i w:val="0"/>
                <w:iCs w:val="0"/>
                <w:caps w:val="0"/>
                <w:color w:val="333333"/>
                <w:spacing w:val="0"/>
                <w:sz w:val="24"/>
                <w:szCs w:val="24"/>
                <w:highlight w:val="none"/>
                <w:shd w:val="clear" w:fill="FFFFFF"/>
                <w:lang w:val="en-US" w:eastAsia="zh-CN" w:bidi="ar-SA"/>
              </w:rPr>
              <w:t>（GB 8978-1996 ）</w:t>
            </w:r>
            <w:r>
              <w:rPr>
                <w:rFonts w:hint="eastAsia" w:ascii="Times New Roman" w:hAnsi="Times New Roman" w:eastAsia="宋体" w:cs="Times New Roman"/>
                <w:i w:val="0"/>
                <w:iCs w:val="0"/>
                <w:caps w:val="0"/>
                <w:color w:val="333333"/>
                <w:spacing w:val="0"/>
                <w:sz w:val="24"/>
                <w:szCs w:val="24"/>
                <w:highlight w:val="none"/>
                <w:shd w:val="clear" w:fill="FFFFFF"/>
                <w:lang w:val="en-US" w:eastAsia="zh-CN" w:bidi="ar-SA"/>
              </w:rPr>
              <w:fldChar w:fldCharType="end"/>
            </w:r>
            <w:r>
              <w:rPr>
                <w:rFonts w:hint="eastAsia" w:ascii="Times New Roman" w:hAnsi="Times New Roman" w:eastAsia="宋体" w:cs="Times New Roman"/>
                <w:i w:val="0"/>
                <w:iCs w:val="0"/>
                <w:caps w:val="0"/>
                <w:color w:val="333333"/>
                <w:spacing w:val="0"/>
                <w:sz w:val="24"/>
                <w:szCs w:val="24"/>
                <w:highlight w:val="none"/>
                <w:shd w:val="clear" w:fill="FFFFFF"/>
                <w:lang w:val="en-US" w:eastAsia="zh-CN" w:bidi="ar-SA"/>
              </w:rPr>
              <w:t>三级标准，氨氮执行</w:t>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t>《污水排入城镇下水道水质标准》</w:t>
            </w:r>
            <w:r>
              <w:rPr>
                <w:rFonts w:hint="eastAsia" w:ascii="Times New Roman" w:hAnsi="Times New Roman" w:cs="Times New Roman"/>
                <w:i w:val="0"/>
                <w:iCs w:val="0"/>
                <w:caps w:val="0"/>
                <w:color w:val="333333"/>
                <w:spacing w:val="0"/>
                <w:sz w:val="24"/>
                <w:szCs w:val="24"/>
                <w:highlight w:val="none"/>
                <w:shd w:val="clear" w:fill="FFFFFF"/>
                <w:lang w:val="en-US" w:eastAsia="zh-CN" w:bidi="ar-SA"/>
              </w:rPr>
              <w:t>B级标准</w:t>
            </w:r>
            <w:r>
              <w:rPr>
                <w:rFonts w:hint="default" w:ascii="Times New Roman" w:hAnsi="Times New Roman" w:eastAsia="宋体" w:cs="Times New Roman"/>
                <w:i w:val="0"/>
                <w:iCs w:val="0"/>
                <w:caps w:val="0"/>
                <w:color w:val="333333"/>
                <w:spacing w:val="0"/>
                <w:sz w:val="24"/>
                <w:szCs w:val="24"/>
                <w:highlight w:val="none"/>
                <w:shd w:val="clear" w:fill="FFFFFF"/>
                <w:lang w:val="en-US" w:eastAsia="zh-CN" w:bidi="ar-SA"/>
              </w:rPr>
              <w:t>（GB/T 31962-2015</w:t>
            </w:r>
            <w:r>
              <w:rPr>
                <w:rFonts w:hint="eastAsia" w:ascii="Times New Roman" w:hAnsi="Times New Roman" w:eastAsia="宋体" w:cs="Times New Roman"/>
                <w:i w:val="0"/>
                <w:iCs w:val="0"/>
                <w:caps w:val="0"/>
                <w:color w:val="333333"/>
                <w:spacing w:val="0"/>
                <w:sz w:val="24"/>
                <w:szCs w:val="24"/>
                <w:highlight w:val="none"/>
                <w:shd w:val="clear" w:fill="FFFFFF"/>
                <w:lang w:val="en-US" w:eastAsia="zh-CN" w:bidi="ar-SA"/>
              </w:rPr>
              <w:t>）。</w:t>
            </w:r>
          </w:p>
          <w:p w14:paraId="25CEE343">
            <w:pPr>
              <w:pStyle w:val="2"/>
              <w:spacing w:before="120" w:beforeLines="50"/>
              <w:outlineLvl w:val="9"/>
              <w:rPr>
                <w:kern w:val="24"/>
                <w:lang w:eastAsia="zh-CN"/>
              </w:rPr>
            </w:pPr>
            <w:r>
              <w:rPr>
                <w:rFonts w:hint="eastAsia"/>
                <w:lang w:eastAsia="zh-CN"/>
              </w:rPr>
              <w:t>3.</w:t>
            </w:r>
            <w:r>
              <w:rPr>
                <w:lang w:eastAsia="zh-CN"/>
              </w:rPr>
              <w:t>噪声排放标准</w:t>
            </w:r>
          </w:p>
          <w:p w14:paraId="222FA64A">
            <w:pPr>
              <w:spacing w:line="360" w:lineRule="auto"/>
              <w:ind w:firstLine="470" w:firstLineChars="196"/>
              <w:rPr>
                <w:rFonts w:hint="eastAsia"/>
                <w:b/>
                <w:sz w:val="21"/>
                <w:szCs w:val="21"/>
                <w:lang w:eastAsia="zh-CN"/>
              </w:rPr>
            </w:pPr>
            <w:r>
              <w:rPr>
                <w:rFonts w:ascii="Times New Roman" w:hAnsi="Times New Roman" w:cs="Times New Roman"/>
                <w:sz w:val="24"/>
                <w:szCs w:val="20"/>
                <w:lang w:eastAsia="zh-CN"/>
              </w:rPr>
              <w:t>施工期噪声执行《建筑施工噪声排放标准》（GB12523-20</w:t>
            </w:r>
            <w:r>
              <w:rPr>
                <w:rFonts w:hint="eastAsia" w:ascii="Times New Roman" w:hAnsi="Times New Roman" w:cs="Times New Roman"/>
                <w:sz w:val="24"/>
                <w:szCs w:val="20"/>
                <w:lang w:val="en-US" w:eastAsia="zh-CN"/>
              </w:rPr>
              <w:t>25</w:t>
            </w:r>
            <w:r>
              <w:rPr>
                <w:rFonts w:ascii="Times New Roman" w:hAnsi="Times New Roman" w:cs="Times New Roman"/>
                <w:sz w:val="24"/>
                <w:szCs w:val="20"/>
                <w:lang w:eastAsia="zh-CN"/>
              </w:rPr>
              <w:t>）中标准限值要求；营运期执行《工业企业厂界环境噪声排放标准》（GB12348-2008）中</w:t>
            </w:r>
            <w:r>
              <w:rPr>
                <w:rFonts w:hint="eastAsia" w:ascii="Times New Roman" w:hAnsi="Times New Roman" w:cs="Times New Roman"/>
                <w:sz w:val="24"/>
                <w:szCs w:val="20"/>
                <w:lang w:eastAsia="zh-CN"/>
              </w:rPr>
              <w:t>2</w:t>
            </w:r>
            <w:r>
              <w:rPr>
                <w:rFonts w:ascii="Times New Roman" w:hAnsi="Times New Roman" w:cs="Times New Roman"/>
                <w:sz w:val="24"/>
                <w:szCs w:val="20"/>
                <w:lang w:eastAsia="zh-CN"/>
              </w:rPr>
              <w:t>类标准。</w:t>
            </w:r>
          </w:p>
          <w:p w14:paraId="190B34C2">
            <w:pPr>
              <w:jc w:val="center"/>
              <w:rPr>
                <w:rFonts w:hint="eastAsia"/>
                <w:b/>
                <w:sz w:val="21"/>
                <w:szCs w:val="21"/>
                <w:lang w:eastAsia="zh-CN"/>
              </w:rPr>
            </w:pPr>
            <w:r>
              <w:rPr>
                <w:b/>
                <w:sz w:val="21"/>
                <w:szCs w:val="21"/>
                <w:lang w:eastAsia="zh-CN"/>
              </w:rPr>
              <w:t>表3</w:t>
            </w:r>
            <w:r>
              <w:rPr>
                <w:rFonts w:hint="eastAsia"/>
                <w:b/>
                <w:sz w:val="21"/>
                <w:szCs w:val="21"/>
                <w:lang w:eastAsia="zh-CN"/>
              </w:rPr>
              <w:t>-</w:t>
            </w:r>
            <w:r>
              <w:rPr>
                <w:rFonts w:hint="eastAsia"/>
                <w:b/>
                <w:sz w:val="21"/>
                <w:szCs w:val="21"/>
                <w:lang w:val="en-US" w:eastAsia="zh-CN"/>
              </w:rPr>
              <w:t>5</w:t>
            </w:r>
            <w:r>
              <w:rPr>
                <w:b/>
                <w:sz w:val="21"/>
                <w:szCs w:val="21"/>
                <w:lang w:eastAsia="zh-CN"/>
              </w:rPr>
              <w:t xml:space="preserve"> 建筑施工场界噪声排放标准 单位：dB（A）</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443"/>
              <w:gridCol w:w="4443"/>
            </w:tblGrid>
            <w:tr w14:paraId="443B5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4443" w:type="dxa"/>
                  <w:vAlign w:val="center"/>
                </w:tcPr>
                <w:p w14:paraId="5DF3C214">
                  <w:pPr>
                    <w:spacing w:line="300" w:lineRule="exact"/>
                    <w:jc w:val="center"/>
                    <w:rPr>
                      <w:rFonts w:hint="default" w:ascii="Times New Roman" w:hAnsi="Times New Roman" w:cs="Times New Roman"/>
                      <w:b w:val="0"/>
                      <w:bCs/>
                      <w:sz w:val="21"/>
                      <w:szCs w:val="21"/>
                      <w:lang w:eastAsia="zh-CN"/>
                    </w:rPr>
                  </w:pPr>
                  <w:r>
                    <w:rPr>
                      <w:rFonts w:hint="default" w:ascii="Times New Roman" w:hAnsi="Times New Roman" w:cs="Times New Roman"/>
                      <w:b w:val="0"/>
                      <w:bCs/>
                      <w:sz w:val="21"/>
                      <w:szCs w:val="21"/>
                      <w:lang w:eastAsia="zh-CN"/>
                    </w:rPr>
                    <w:t>昼间</w:t>
                  </w:r>
                </w:p>
              </w:tc>
              <w:tc>
                <w:tcPr>
                  <w:tcW w:w="4443" w:type="dxa"/>
                  <w:vAlign w:val="center"/>
                </w:tcPr>
                <w:p w14:paraId="6B695DAB">
                  <w:pPr>
                    <w:spacing w:line="300" w:lineRule="exact"/>
                    <w:jc w:val="center"/>
                    <w:rPr>
                      <w:rFonts w:hint="default" w:ascii="Times New Roman" w:hAnsi="Times New Roman" w:cs="Times New Roman"/>
                      <w:b w:val="0"/>
                      <w:bCs/>
                      <w:sz w:val="21"/>
                      <w:szCs w:val="21"/>
                      <w:lang w:eastAsia="zh-CN"/>
                    </w:rPr>
                  </w:pPr>
                  <w:r>
                    <w:rPr>
                      <w:rFonts w:hint="default" w:ascii="Times New Roman" w:hAnsi="Times New Roman" w:cs="Times New Roman"/>
                      <w:b w:val="0"/>
                      <w:bCs/>
                      <w:sz w:val="21"/>
                      <w:szCs w:val="21"/>
                      <w:lang w:eastAsia="zh-CN"/>
                    </w:rPr>
                    <w:t>夜间</w:t>
                  </w:r>
                </w:p>
              </w:tc>
            </w:tr>
            <w:tr w14:paraId="3F7E0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443" w:type="dxa"/>
                  <w:vAlign w:val="center"/>
                </w:tcPr>
                <w:p w14:paraId="32CF0EBC">
                  <w:pPr>
                    <w:spacing w:line="300" w:lineRule="exact"/>
                    <w:jc w:val="center"/>
                    <w:rPr>
                      <w:rFonts w:hint="default" w:ascii="Times New Roman" w:hAnsi="Times New Roman" w:cs="Times New Roman"/>
                      <w:b w:val="0"/>
                      <w:bCs/>
                      <w:sz w:val="21"/>
                      <w:szCs w:val="21"/>
                      <w:lang w:eastAsia="zh-CN"/>
                    </w:rPr>
                  </w:pPr>
                  <w:r>
                    <w:rPr>
                      <w:rFonts w:hint="default" w:ascii="Times New Roman" w:hAnsi="Times New Roman" w:cs="Times New Roman"/>
                      <w:b w:val="0"/>
                      <w:bCs/>
                      <w:sz w:val="21"/>
                      <w:szCs w:val="21"/>
                      <w:lang w:eastAsia="zh-CN"/>
                    </w:rPr>
                    <w:t>70</w:t>
                  </w:r>
                </w:p>
              </w:tc>
              <w:tc>
                <w:tcPr>
                  <w:tcW w:w="4443" w:type="dxa"/>
                  <w:vAlign w:val="center"/>
                </w:tcPr>
                <w:p w14:paraId="4C74FF96">
                  <w:pPr>
                    <w:spacing w:line="300" w:lineRule="exact"/>
                    <w:jc w:val="center"/>
                    <w:rPr>
                      <w:rFonts w:hint="default" w:ascii="Times New Roman" w:hAnsi="Times New Roman" w:cs="Times New Roman"/>
                      <w:b w:val="0"/>
                      <w:bCs/>
                      <w:sz w:val="21"/>
                      <w:szCs w:val="21"/>
                      <w:lang w:eastAsia="zh-CN"/>
                    </w:rPr>
                  </w:pPr>
                  <w:r>
                    <w:rPr>
                      <w:rFonts w:hint="default" w:ascii="Times New Roman" w:hAnsi="Times New Roman" w:cs="Times New Roman"/>
                      <w:b w:val="0"/>
                      <w:bCs/>
                      <w:sz w:val="21"/>
                      <w:szCs w:val="21"/>
                      <w:lang w:eastAsia="zh-CN"/>
                    </w:rPr>
                    <w:t>55</w:t>
                  </w:r>
                </w:p>
              </w:tc>
            </w:tr>
          </w:tbl>
          <w:p w14:paraId="7B9CDA54">
            <w:pPr>
              <w:rPr>
                <w:rFonts w:hint="eastAsia"/>
                <w:b/>
                <w:sz w:val="21"/>
                <w:szCs w:val="21"/>
                <w:lang w:eastAsia="zh-CN"/>
              </w:rPr>
            </w:pPr>
          </w:p>
          <w:p w14:paraId="17B7AFD6">
            <w:pPr>
              <w:jc w:val="center"/>
              <w:rPr>
                <w:b/>
                <w:sz w:val="21"/>
                <w:szCs w:val="21"/>
                <w:lang w:eastAsia="zh-CN"/>
              </w:rPr>
            </w:pPr>
          </w:p>
          <w:p w14:paraId="2AC1D4B0">
            <w:pPr>
              <w:jc w:val="center"/>
              <w:rPr>
                <w:rFonts w:hint="eastAsia"/>
                <w:b/>
                <w:sz w:val="21"/>
                <w:szCs w:val="21"/>
                <w:lang w:eastAsia="zh-CN"/>
              </w:rPr>
            </w:pPr>
            <w:r>
              <w:rPr>
                <w:b/>
                <w:sz w:val="21"/>
                <w:szCs w:val="21"/>
                <w:lang w:eastAsia="zh-CN"/>
              </w:rPr>
              <w:t>表</w:t>
            </w:r>
            <w:r>
              <w:rPr>
                <w:rFonts w:hint="eastAsia"/>
                <w:b/>
                <w:sz w:val="21"/>
                <w:szCs w:val="21"/>
                <w:lang w:eastAsia="zh-CN"/>
              </w:rPr>
              <w:t>3-</w:t>
            </w:r>
            <w:r>
              <w:rPr>
                <w:rFonts w:hint="eastAsia"/>
                <w:b/>
                <w:sz w:val="21"/>
                <w:szCs w:val="21"/>
                <w:lang w:val="en-US" w:eastAsia="zh-CN"/>
              </w:rPr>
              <w:t>6</w:t>
            </w:r>
            <w:r>
              <w:rPr>
                <w:rFonts w:hint="eastAsia"/>
                <w:b/>
                <w:sz w:val="21"/>
                <w:szCs w:val="21"/>
                <w:lang w:eastAsia="zh-CN"/>
              </w:rPr>
              <w:t xml:space="preserve"> </w:t>
            </w:r>
            <w:r>
              <w:rPr>
                <w:b/>
                <w:sz w:val="21"/>
                <w:szCs w:val="21"/>
                <w:lang w:eastAsia="zh-CN"/>
              </w:rPr>
              <w:t>《工业企业厂界环境噪声排放标准》（GB12348-2008）</w:t>
            </w:r>
          </w:p>
          <w:tbl>
            <w:tblPr>
              <w:tblStyle w:val="27"/>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1988"/>
              <w:gridCol w:w="1805"/>
              <w:gridCol w:w="1806"/>
            </w:tblGrid>
            <w:tr w14:paraId="0899B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853" w:type="pct"/>
                  <w:vMerge w:val="restart"/>
                  <w:tcBorders>
                    <w:tl2br w:val="nil"/>
                    <w:tr2bl w:val="nil"/>
                  </w:tcBorders>
                  <w:vAlign w:val="center"/>
                </w:tcPr>
                <w:p w14:paraId="6909220D">
                  <w:pPr>
                    <w:pStyle w:val="61"/>
                    <w:spacing w:line="300" w:lineRule="atLeast"/>
                    <w:jc w:val="center"/>
                    <w:rPr>
                      <w:rFonts w:eastAsia="宋体"/>
                      <w:sz w:val="21"/>
                      <w:szCs w:val="21"/>
                    </w:rPr>
                  </w:pPr>
                  <w:r>
                    <w:rPr>
                      <w:rFonts w:eastAsia="宋体"/>
                      <w:sz w:val="21"/>
                      <w:szCs w:val="21"/>
                    </w:rPr>
                    <w:t>厂界外声环境功能区类别</w:t>
                  </w:r>
                </w:p>
              </w:tc>
              <w:tc>
                <w:tcPr>
                  <w:tcW w:w="1117" w:type="pct"/>
                  <w:vMerge w:val="restart"/>
                  <w:tcBorders>
                    <w:tl2br w:val="nil"/>
                    <w:tr2bl w:val="nil"/>
                  </w:tcBorders>
                  <w:vAlign w:val="center"/>
                </w:tcPr>
                <w:p w14:paraId="1E6C3CD1">
                  <w:pPr>
                    <w:pStyle w:val="61"/>
                    <w:spacing w:line="300" w:lineRule="atLeast"/>
                    <w:jc w:val="center"/>
                    <w:rPr>
                      <w:rFonts w:eastAsia="宋体"/>
                      <w:sz w:val="21"/>
                      <w:szCs w:val="21"/>
                    </w:rPr>
                  </w:pPr>
                  <w:r>
                    <w:rPr>
                      <w:rFonts w:eastAsia="宋体"/>
                      <w:sz w:val="21"/>
                      <w:szCs w:val="21"/>
                    </w:rPr>
                    <w:t>执行标准</w:t>
                  </w:r>
                </w:p>
              </w:tc>
              <w:tc>
                <w:tcPr>
                  <w:tcW w:w="2029" w:type="pct"/>
                  <w:gridSpan w:val="2"/>
                  <w:tcBorders>
                    <w:tl2br w:val="nil"/>
                    <w:tr2bl w:val="nil"/>
                  </w:tcBorders>
                  <w:vAlign w:val="center"/>
                </w:tcPr>
                <w:p w14:paraId="4831CEFB">
                  <w:pPr>
                    <w:pStyle w:val="61"/>
                    <w:spacing w:line="300" w:lineRule="atLeast"/>
                    <w:jc w:val="center"/>
                    <w:rPr>
                      <w:rFonts w:eastAsia="宋体"/>
                      <w:sz w:val="21"/>
                      <w:szCs w:val="21"/>
                    </w:rPr>
                  </w:pPr>
                  <w:r>
                    <w:rPr>
                      <w:rFonts w:eastAsia="宋体"/>
                      <w:sz w:val="21"/>
                      <w:szCs w:val="21"/>
                    </w:rPr>
                    <w:t>标准值dB(A)</w:t>
                  </w:r>
                </w:p>
              </w:tc>
            </w:tr>
            <w:tr w14:paraId="66B61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853" w:type="pct"/>
                  <w:vMerge w:val="continue"/>
                  <w:tcBorders>
                    <w:tl2br w:val="nil"/>
                    <w:tr2bl w:val="nil"/>
                  </w:tcBorders>
                  <w:vAlign w:val="center"/>
                </w:tcPr>
                <w:p w14:paraId="48A388A2">
                  <w:pPr>
                    <w:pStyle w:val="61"/>
                    <w:spacing w:line="300" w:lineRule="atLeast"/>
                    <w:jc w:val="center"/>
                    <w:rPr>
                      <w:rFonts w:eastAsia="宋体"/>
                      <w:sz w:val="21"/>
                      <w:szCs w:val="21"/>
                    </w:rPr>
                  </w:pPr>
                </w:p>
              </w:tc>
              <w:tc>
                <w:tcPr>
                  <w:tcW w:w="1117" w:type="pct"/>
                  <w:vMerge w:val="continue"/>
                  <w:tcBorders>
                    <w:tl2br w:val="nil"/>
                    <w:tr2bl w:val="nil"/>
                  </w:tcBorders>
                  <w:vAlign w:val="center"/>
                </w:tcPr>
                <w:p w14:paraId="44BD96DA">
                  <w:pPr>
                    <w:pStyle w:val="61"/>
                    <w:spacing w:line="300" w:lineRule="atLeast"/>
                    <w:jc w:val="center"/>
                    <w:rPr>
                      <w:rFonts w:eastAsia="宋体"/>
                      <w:sz w:val="21"/>
                      <w:szCs w:val="21"/>
                    </w:rPr>
                  </w:pPr>
                </w:p>
              </w:tc>
              <w:tc>
                <w:tcPr>
                  <w:tcW w:w="1014" w:type="pct"/>
                  <w:tcBorders>
                    <w:tl2br w:val="nil"/>
                    <w:tr2bl w:val="nil"/>
                  </w:tcBorders>
                  <w:vAlign w:val="center"/>
                </w:tcPr>
                <w:p w14:paraId="38510788">
                  <w:pPr>
                    <w:pStyle w:val="61"/>
                    <w:spacing w:line="300" w:lineRule="atLeast"/>
                    <w:jc w:val="center"/>
                    <w:rPr>
                      <w:rFonts w:eastAsia="宋体"/>
                      <w:sz w:val="21"/>
                      <w:szCs w:val="21"/>
                    </w:rPr>
                  </w:pPr>
                  <w:r>
                    <w:rPr>
                      <w:rFonts w:eastAsia="宋体"/>
                      <w:sz w:val="21"/>
                      <w:szCs w:val="21"/>
                    </w:rPr>
                    <w:t>昼间</w:t>
                  </w:r>
                </w:p>
              </w:tc>
              <w:tc>
                <w:tcPr>
                  <w:tcW w:w="1014" w:type="pct"/>
                  <w:tcBorders>
                    <w:tl2br w:val="nil"/>
                    <w:tr2bl w:val="nil"/>
                  </w:tcBorders>
                  <w:vAlign w:val="center"/>
                </w:tcPr>
                <w:p w14:paraId="3BF846EF">
                  <w:pPr>
                    <w:pStyle w:val="61"/>
                    <w:spacing w:line="300" w:lineRule="atLeast"/>
                    <w:jc w:val="center"/>
                    <w:rPr>
                      <w:rFonts w:hint="eastAsia" w:eastAsia="宋体"/>
                      <w:sz w:val="21"/>
                      <w:szCs w:val="21"/>
                      <w:lang w:val="en-US" w:eastAsia="zh-CN"/>
                    </w:rPr>
                  </w:pPr>
                  <w:r>
                    <w:rPr>
                      <w:rFonts w:hint="eastAsia" w:eastAsia="宋体"/>
                      <w:sz w:val="21"/>
                      <w:szCs w:val="21"/>
                      <w:lang w:val="en-US" w:eastAsia="zh-CN"/>
                    </w:rPr>
                    <w:t>夜间</w:t>
                  </w:r>
                </w:p>
              </w:tc>
            </w:tr>
            <w:tr w14:paraId="7F856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853" w:type="pct"/>
                  <w:tcBorders>
                    <w:tl2br w:val="nil"/>
                    <w:tr2bl w:val="nil"/>
                  </w:tcBorders>
                  <w:vAlign w:val="center"/>
                </w:tcPr>
                <w:p w14:paraId="25E56562">
                  <w:pPr>
                    <w:pStyle w:val="61"/>
                    <w:spacing w:line="300" w:lineRule="atLeast"/>
                    <w:jc w:val="center"/>
                    <w:rPr>
                      <w:rFonts w:eastAsia="宋体"/>
                      <w:sz w:val="21"/>
                      <w:szCs w:val="21"/>
                    </w:rPr>
                  </w:pPr>
                  <w:r>
                    <w:rPr>
                      <w:rFonts w:hint="eastAsia" w:eastAsia="宋体"/>
                      <w:sz w:val="21"/>
                      <w:szCs w:val="21"/>
                      <w:lang w:val="en-US" w:eastAsia="zh-CN"/>
                    </w:rPr>
                    <w:t>3</w:t>
                  </w:r>
                  <w:r>
                    <w:rPr>
                      <w:rFonts w:eastAsia="宋体"/>
                      <w:sz w:val="21"/>
                      <w:szCs w:val="21"/>
                    </w:rPr>
                    <w:t>类</w:t>
                  </w:r>
                </w:p>
              </w:tc>
              <w:tc>
                <w:tcPr>
                  <w:tcW w:w="1117" w:type="pct"/>
                  <w:tcBorders>
                    <w:tl2br w:val="nil"/>
                    <w:tr2bl w:val="nil"/>
                  </w:tcBorders>
                  <w:vAlign w:val="center"/>
                </w:tcPr>
                <w:p w14:paraId="6C6F1EF1">
                  <w:pPr>
                    <w:pStyle w:val="61"/>
                    <w:spacing w:line="300" w:lineRule="atLeast"/>
                    <w:jc w:val="center"/>
                    <w:rPr>
                      <w:rFonts w:eastAsia="宋体"/>
                      <w:sz w:val="21"/>
                      <w:szCs w:val="21"/>
                    </w:rPr>
                  </w:pPr>
                  <w:r>
                    <w:rPr>
                      <w:rFonts w:eastAsia="宋体"/>
                      <w:sz w:val="21"/>
                      <w:szCs w:val="21"/>
                    </w:rPr>
                    <w:t>GB12348-2008</w:t>
                  </w:r>
                </w:p>
              </w:tc>
              <w:tc>
                <w:tcPr>
                  <w:tcW w:w="1014" w:type="pct"/>
                  <w:tcBorders>
                    <w:tl2br w:val="nil"/>
                    <w:tr2bl w:val="nil"/>
                  </w:tcBorders>
                  <w:vAlign w:val="center"/>
                </w:tcPr>
                <w:p w14:paraId="7E02E22F">
                  <w:pPr>
                    <w:pStyle w:val="61"/>
                    <w:spacing w:line="300" w:lineRule="atLeast"/>
                    <w:jc w:val="center"/>
                    <w:rPr>
                      <w:rFonts w:hint="default" w:eastAsia="宋体"/>
                      <w:sz w:val="21"/>
                      <w:szCs w:val="21"/>
                      <w:lang w:val="en-US" w:eastAsia="zh-CN"/>
                    </w:rPr>
                  </w:pPr>
                  <w:r>
                    <w:rPr>
                      <w:rFonts w:hint="eastAsia" w:eastAsia="宋体"/>
                      <w:sz w:val="21"/>
                      <w:szCs w:val="21"/>
                      <w:lang w:val="en-US" w:eastAsia="zh-CN"/>
                    </w:rPr>
                    <w:t>65</w:t>
                  </w:r>
                </w:p>
              </w:tc>
              <w:tc>
                <w:tcPr>
                  <w:tcW w:w="1014" w:type="pct"/>
                  <w:tcBorders>
                    <w:tl2br w:val="nil"/>
                    <w:tr2bl w:val="nil"/>
                  </w:tcBorders>
                  <w:vAlign w:val="center"/>
                </w:tcPr>
                <w:p w14:paraId="7CD383ED">
                  <w:pPr>
                    <w:pStyle w:val="61"/>
                    <w:spacing w:line="300" w:lineRule="atLeast"/>
                    <w:jc w:val="center"/>
                    <w:rPr>
                      <w:rFonts w:hint="default" w:eastAsia="宋体"/>
                      <w:sz w:val="21"/>
                      <w:szCs w:val="21"/>
                      <w:lang w:val="en-US" w:eastAsia="zh-CN"/>
                    </w:rPr>
                  </w:pPr>
                  <w:r>
                    <w:rPr>
                      <w:rFonts w:hint="eastAsia" w:eastAsia="宋体"/>
                      <w:sz w:val="21"/>
                      <w:szCs w:val="21"/>
                      <w:lang w:val="en-US" w:eastAsia="zh-CN"/>
                    </w:rPr>
                    <w:t>55</w:t>
                  </w:r>
                </w:p>
              </w:tc>
            </w:tr>
          </w:tbl>
          <w:p w14:paraId="16C08D57">
            <w:pPr>
              <w:pStyle w:val="2"/>
              <w:outlineLvl w:val="9"/>
              <w:rPr>
                <w:lang w:eastAsia="zh-CN"/>
              </w:rPr>
            </w:pPr>
            <w:r>
              <w:rPr>
                <w:rFonts w:hint="eastAsia"/>
                <w:lang w:eastAsia="zh-CN"/>
              </w:rPr>
              <w:t>4.</w:t>
            </w:r>
            <w:r>
              <w:rPr>
                <w:lang w:eastAsia="zh-CN"/>
              </w:rPr>
              <w:t>固体废物</w:t>
            </w:r>
            <w:r>
              <w:rPr>
                <w:rFonts w:hint="eastAsia"/>
                <w:lang w:eastAsia="zh-CN"/>
              </w:rPr>
              <w:t>控制标准</w:t>
            </w:r>
          </w:p>
          <w:p w14:paraId="0006DB0D">
            <w:pPr>
              <w:spacing w:line="360" w:lineRule="auto"/>
              <w:ind w:firstLine="480" w:firstLineChars="200"/>
              <w:rPr>
                <w:rFonts w:ascii="Times New Roman" w:hAnsi="Times New Roman" w:cs="Times New Roman"/>
                <w:sz w:val="24"/>
                <w:szCs w:val="20"/>
                <w:lang w:eastAsia="zh-CN"/>
              </w:rPr>
            </w:pPr>
            <w:r>
              <w:rPr>
                <w:rFonts w:ascii="Times New Roman" w:hAnsi="Times New Roman" w:cs="Times New Roman"/>
                <w:sz w:val="24"/>
                <w:szCs w:val="20"/>
                <w:lang w:eastAsia="zh-CN"/>
              </w:rPr>
              <w:t>一般工业固体废物执行《一般工业固体废物贮存和填埋污染控制标准》（GB18599-2020），危险废物</w:t>
            </w:r>
            <w:r>
              <w:rPr>
                <w:rFonts w:hint="eastAsia" w:ascii="Times New Roman" w:hAnsi="Times New Roman" w:cs="Times New Roman"/>
                <w:sz w:val="24"/>
                <w:szCs w:val="20"/>
                <w:lang w:eastAsia="zh-CN"/>
              </w:rPr>
              <w:t>暂时贮存场所</w:t>
            </w:r>
            <w:r>
              <w:rPr>
                <w:rFonts w:ascii="Times New Roman" w:hAnsi="Times New Roman" w:cs="Times New Roman"/>
                <w:sz w:val="24"/>
                <w:szCs w:val="20"/>
                <w:lang w:eastAsia="zh-CN"/>
              </w:rPr>
              <w:t>执行《危险废物贮存污染控制标准》（GB18597-2023）</w:t>
            </w:r>
            <w:r>
              <w:rPr>
                <w:rFonts w:hint="eastAsia" w:ascii="Times New Roman" w:hAnsi="Times New Roman" w:cs="Times New Roman"/>
                <w:sz w:val="24"/>
                <w:szCs w:val="20"/>
                <w:lang w:eastAsia="zh-CN"/>
              </w:rPr>
              <w:t>，危险废物收集、贮存、运输过程执行</w:t>
            </w:r>
            <w:r>
              <w:rPr>
                <w:rFonts w:ascii="Times New Roman" w:hAnsi="Times New Roman" w:cs="Times New Roman"/>
                <w:sz w:val="24"/>
                <w:szCs w:val="20"/>
                <w:lang w:eastAsia="zh-CN"/>
              </w:rPr>
              <w:t>《危险废物</w:t>
            </w:r>
            <w:r>
              <w:rPr>
                <w:rFonts w:hint="eastAsia" w:ascii="Times New Roman" w:hAnsi="Times New Roman" w:cs="Times New Roman"/>
                <w:sz w:val="24"/>
                <w:szCs w:val="20"/>
                <w:lang w:eastAsia="zh-CN"/>
              </w:rPr>
              <w:t xml:space="preserve">收集 </w:t>
            </w:r>
            <w:r>
              <w:rPr>
                <w:rFonts w:ascii="Times New Roman" w:hAnsi="Times New Roman" w:cs="Times New Roman"/>
                <w:sz w:val="24"/>
                <w:szCs w:val="20"/>
                <w:lang w:eastAsia="zh-CN"/>
              </w:rPr>
              <w:t>贮存</w:t>
            </w:r>
            <w:r>
              <w:rPr>
                <w:rFonts w:hint="eastAsia" w:ascii="Times New Roman" w:hAnsi="Times New Roman" w:cs="Times New Roman"/>
                <w:sz w:val="24"/>
                <w:szCs w:val="20"/>
                <w:lang w:eastAsia="zh-CN"/>
              </w:rPr>
              <w:t xml:space="preserve"> 运输技术规范</w:t>
            </w:r>
            <w:r>
              <w:rPr>
                <w:rFonts w:ascii="Times New Roman" w:hAnsi="Times New Roman" w:cs="Times New Roman"/>
                <w:sz w:val="24"/>
                <w:szCs w:val="20"/>
                <w:lang w:eastAsia="zh-CN"/>
              </w:rPr>
              <w:t>》</w:t>
            </w:r>
            <w:r>
              <w:rPr>
                <w:rFonts w:hint="eastAsia" w:ascii="Times New Roman" w:hAnsi="Times New Roman" w:cs="Times New Roman"/>
                <w:sz w:val="24"/>
                <w:szCs w:val="20"/>
                <w:lang w:eastAsia="zh-CN"/>
              </w:rPr>
              <w:t>（HJ 2025-2012）</w:t>
            </w:r>
            <w:r>
              <w:rPr>
                <w:rFonts w:ascii="Times New Roman" w:hAnsi="Times New Roman" w:cs="Times New Roman"/>
                <w:sz w:val="24"/>
                <w:szCs w:val="20"/>
                <w:lang w:eastAsia="zh-CN"/>
              </w:rPr>
              <w:t>，生活垃圾执行《生活垃圾填埋场污染控制标准》（GB16889-20</w:t>
            </w:r>
            <w:r>
              <w:rPr>
                <w:rFonts w:hint="eastAsia" w:ascii="Times New Roman" w:hAnsi="Times New Roman" w:cs="Times New Roman"/>
                <w:sz w:val="24"/>
                <w:szCs w:val="20"/>
                <w:lang w:eastAsia="zh-CN"/>
              </w:rPr>
              <w:t>24</w:t>
            </w:r>
            <w:r>
              <w:rPr>
                <w:rFonts w:ascii="Times New Roman" w:hAnsi="Times New Roman" w:cs="Times New Roman"/>
                <w:sz w:val="24"/>
                <w:szCs w:val="20"/>
                <w:lang w:eastAsia="zh-CN"/>
              </w:rPr>
              <w:t>）</w:t>
            </w:r>
            <w:r>
              <w:rPr>
                <w:rFonts w:ascii="Times New Roman" w:hAnsi="Times New Roman" w:cs="Times New Roman"/>
                <w:sz w:val="24"/>
                <w:lang w:eastAsia="zh-CN"/>
              </w:rPr>
              <w:t>填埋废物入场要求</w:t>
            </w:r>
            <w:r>
              <w:rPr>
                <w:rFonts w:ascii="Times New Roman" w:hAnsi="Times New Roman" w:cs="Times New Roman"/>
                <w:sz w:val="24"/>
                <w:szCs w:val="20"/>
                <w:lang w:eastAsia="zh-CN"/>
              </w:rPr>
              <w:t>。</w:t>
            </w:r>
          </w:p>
        </w:tc>
      </w:tr>
      <w:tr w14:paraId="498365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3" w:hRule="atLeast"/>
        </w:trPr>
        <w:tc>
          <w:tcPr>
            <w:tcW w:w="372" w:type="pct"/>
            <w:tcBorders>
              <w:top w:val="single" w:color="000000" w:sz="4" w:space="0"/>
              <w:right w:val="single" w:color="000000" w:sz="4" w:space="0"/>
            </w:tcBorders>
            <w:vAlign w:val="center"/>
          </w:tcPr>
          <w:p w14:paraId="1729EB0C">
            <w:pPr>
              <w:adjustRightInd w:val="0"/>
              <w:snapToGrid w:val="0"/>
              <w:jc w:val="center"/>
              <w:rPr>
                <w:rFonts w:ascii="Times New Roman" w:hAnsi="Times New Roman" w:cs="Times New Roman"/>
                <w:b/>
                <w:sz w:val="24"/>
                <w:szCs w:val="24"/>
              </w:rPr>
            </w:pPr>
            <w:r>
              <w:rPr>
                <w:rFonts w:hint="eastAsia" w:ascii="Times New Roman" w:hAnsi="Times New Roman" w:cs="Times New Roman"/>
                <w:b/>
                <w:sz w:val="24"/>
                <w:szCs w:val="24"/>
              </w:rPr>
              <w:t>总量</w:t>
            </w:r>
          </w:p>
          <w:p w14:paraId="3E2AE847">
            <w:pPr>
              <w:adjustRightInd w:val="0"/>
              <w:snapToGrid w:val="0"/>
              <w:jc w:val="center"/>
              <w:rPr>
                <w:rFonts w:ascii="Times New Roman" w:hAnsi="Times New Roman" w:cs="Times New Roman"/>
                <w:b/>
                <w:sz w:val="24"/>
                <w:szCs w:val="24"/>
              </w:rPr>
            </w:pPr>
            <w:r>
              <w:rPr>
                <w:rFonts w:hint="eastAsia" w:ascii="Times New Roman" w:hAnsi="Times New Roman" w:cs="Times New Roman"/>
                <w:b/>
                <w:sz w:val="24"/>
                <w:szCs w:val="24"/>
              </w:rPr>
              <w:t>控制</w:t>
            </w:r>
          </w:p>
          <w:p w14:paraId="0F1DB91F">
            <w:pPr>
              <w:pStyle w:val="34"/>
              <w:jc w:val="center"/>
              <w:rPr>
                <w:rFonts w:ascii="Times New Roman" w:hAnsi="Times New Roman" w:cs="Times New Roman"/>
                <w:b/>
                <w:sz w:val="24"/>
                <w:szCs w:val="24"/>
              </w:rPr>
            </w:pPr>
            <w:r>
              <w:rPr>
                <w:rFonts w:hint="eastAsia" w:ascii="Times New Roman" w:hAnsi="Times New Roman" w:cs="Times New Roman"/>
                <w:b/>
                <w:sz w:val="24"/>
                <w:szCs w:val="24"/>
              </w:rPr>
              <w:t>指标</w:t>
            </w:r>
          </w:p>
        </w:tc>
        <w:tc>
          <w:tcPr>
            <w:tcW w:w="4628" w:type="pct"/>
            <w:tcBorders>
              <w:top w:val="single" w:color="000000" w:sz="4" w:space="0"/>
              <w:left w:val="single" w:color="000000" w:sz="4" w:space="0"/>
            </w:tcBorders>
            <w:vAlign w:val="center"/>
          </w:tcPr>
          <w:p w14:paraId="25F6B716">
            <w:pPr>
              <w:spacing w:line="360" w:lineRule="auto"/>
              <w:ind w:firstLine="480" w:firstLineChars="200"/>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项目排放的大气污染物为</w:t>
            </w:r>
            <w:r>
              <w:rPr>
                <w:rFonts w:hint="default" w:ascii="Times New Roman" w:hAnsi="Times New Roman" w:eastAsia="宋体" w:cs="Times New Roman"/>
                <w:sz w:val="24"/>
                <w:szCs w:val="24"/>
                <w:highlight w:val="none"/>
                <w:lang w:val="en-US" w:eastAsia="zh-CN"/>
              </w:rPr>
              <w:t>颗粒物、二氧化硫、氮氧化物、NMHC</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颗粒物</w:t>
            </w:r>
            <w:r>
              <w:rPr>
                <w:rFonts w:hint="default" w:ascii="Times New Roman" w:hAnsi="Times New Roman" w:eastAsia="宋体" w:cs="Times New Roman"/>
                <w:sz w:val="24"/>
                <w:szCs w:val="24"/>
                <w:highlight w:val="none"/>
                <w:lang w:eastAsia="zh-CN"/>
              </w:rPr>
              <w:t>排放量</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t</w:t>
            </w:r>
            <w:r>
              <w:rPr>
                <w:rFonts w:hint="default" w:ascii="Times New Roman" w:hAnsi="Times New Roman" w:eastAsia="宋体" w:cs="Times New Roman"/>
                <w:sz w:val="24"/>
                <w:szCs w:val="24"/>
                <w:highlight w:val="none"/>
                <w:lang w:eastAsia="zh-CN"/>
              </w:rPr>
              <w:t>/a；</w:t>
            </w:r>
            <w:r>
              <w:rPr>
                <w:rFonts w:hint="default" w:ascii="Times New Roman" w:hAnsi="Times New Roman" w:eastAsia="宋体" w:cs="Times New Roman"/>
                <w:sz w:val="24"/>
                <w:szCs w:val="24"/>
                <w:highlight w:val="none"/>
                <w:lang w:val="en-US" w:eastAsia="zh-CN"/>
              </w:rPr>
              <w:t>二氧化硫</w:t>
            </w:r>
            <w:r>
              <w:rPr>
                <w:rFonts w:hint="default" w:ascii="Times New Roman" w:hAnsi="Times New Roman" w:eastAsia="宋体" w:cs="Times New Roman"/>
                <w:sz w:val="24"/>
                <w:szCs w:val="24"/>
                <w:highlight w:val="none"/>
                <w:lang w:eastAsia="zh-CN"/>
              </w:rPr>
              <w:t>排放量</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t</w:t>
            </w:r>
            <w:r>
              <w:rPr>
                <w:rFonts w:hint="default" w:ascii="Times New Roman" w:hAnsi="Times New Roman" w:eastAsia="宋体" w:cs="Times New Roman"/>
                <w:sz w:val="24"/>
                <w:szCs w:val="24"/>
                <w:highlight w:val="none"/>
                <w:lang w:eastAsia="zh-CN"/>
              </w:rPr>
              <w:t>/a；</w:t>
            </w:r>
            <w:r>
              <w:rPr>
                <w:rFonts w:hint="default" w:ascii="Times New Roman" w:hAnsi="Times New Roman" w:eastAsia="宋体" w:cs="Times New Roman"/>
                <w:sz w:val="24"/>
                <w:szCs w:val="24"/>
                <w:highlight w:val="none"/>
                <w:lang w:val="en-US" w:eastAsia="zh-CN"/>
              </w:rPr>
              <w:t>氮氧化物</w:t>
            </w:r>
            <w:r>
              <w:rPr>
                <w:rFonts w:hint="default" w:ascii="Times New Roman" w:hAnsi="Times New Roman" w:eastAsia="宋体" w:cs="Times New Roman"/>
                <w:sz w:val="24"/>
                <w:szCs w:val="24"/>
                <w:highlight w:val="none"/>
                <w:lang w:eastAsia="zh-CN"/>
              </w:rPr>
              <w:t>排放量</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t</w:t>
            </w:r>
            <w:r>
              <w:rPr>
                <w:rFonts w:hint="default" w:ascii="Times New Roman" w:hAnsi="Times New Roman" w:eastAsia="宋体" w:cs="Times New Roman"/>
                <w:sz w:val="24"/>
                <w:szCs w:val="24"/>
                <w:highlight w:val="none"/>
                <w:lang w:eastAsia="zh-CN"/>
              </w:rPr>
              <w:t>/a；</w:t>
            </w:r>
            <w:r>
              <w:rPr>
                <w:rFonts w:hint="default" w:ascii="Times New Roman" w:hAnsi="Times New Roman" w:eastAsia="宋体" w:cs="Times New Roman"/>
                <w:sz w:val="24"/>
                <w:szCs w:val="24"/>
                <w:highlight w:val="none"/>
                <w:lang w:val="en-US" w:eastAsia="zh-CN"/>
              </w:rPr>
              <w:t>NMHC</w:t>
            </w:r>
            <w:r>
              <w:rPr>
                <w:rFonts w:hint="default" w:ascii="Times New Roman" w:hAnsi="Times New Roman" w:eastAsia="宋体" w:cs="Times New Roman"/>
                <w:sz w:val="24"/>
                <w:szCs w:val="24"/>
                <w:highlight w:val="none"/>
                <w:lang w:eastAsia="zh-CN"/>
              </w:rPr>
              <w:t>排放量</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t</w:t>
            </w:r>
            <w:r>
              <w:rPr>
                <w:rFonts w:hint="default" w:ascii="Times New Roman" w:hAnsi="Times New Roman" w:eastAsia="宋体" w:cs="Times New Roman"/>
                <w:sz w:val="24"/>
                <w:szCs w:val="24"/>
                <w:highlight w:val="none"/>
                <w:lang w:eastAsia="zh-CN"/>
              </w:rPr>
              <w:t>/a。</w:t>
            </w:r>
            <w:r>
              <w:rPr>
                <w:rFonts w:hint="default" w:ascii="Times New Roman" w:hAnsi="Times New Roman" w:eastAsia="宋体" w:cs="Times New Roman"/>
                <w:sz w:val="24"/>
                <w:szCs w:val="24"/>
                <w:highlight w:val="none"/>
              </w:rPr>
              <w:t>需要</w:t>
            </w:r>
            <w:r>
              <w:rPr>
                <w:rFonts w:hint="default" w:ascii="Times New Roman" w:hAnsi="Times New Roman" w:eastAsia="宋体" w:cs="Times New Roman"/>
                <w:sz w:val="24"/>
                <w:szCs w:val="24"/>
                <w:highlight w:val="none"/>
                <w:lang w:val="en-US" w:eastAsia="zh-CN"/>
              </w:rPr>
              <w:t>塔城地区</w:t>
            </w:r>
            <w:r>
              <w:rPr>
                <w:rFonts w:hint="default" w:ascii="Times New Roman" w:hAnsi="Times New Roman" w:eastAsia="宋体" w:cs="Times New Roman"/>
                <w:sz w:val="24"/>
                <w:szCs w:val="24"/>
                <w:highlight w:val="none"/>
              </w:rPr>
              <w:t>生态环境局及相关部门统一协调解决。</w:t>
            </w:r>
          </w:p>
          <w:p w14:paraId="5D0C3F54">
            <w:pPr>
              <w:autoSpaceDE/>
              <w:autoSpaceDN/>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表3-</w:t>
            </w:r>
            <w:r>
              <w:rPr>
                <w:rFonts w:hint="eastAsia" w:ascii="Times New Roman" w:hAnsi="Times New Roman" w:eastAsia="宋体" w:cs="Times New Roman"/>
                <w:b/>
                <w:bCs/>
                <w:sz w:val="21"/>
                <w:szCs w:val="21"/>
                <w:highlight w:val="none"/>
                <w:lang w:val="en-US" w:eastAsia="zh-CN"/>
              </w:rPr>
              <w:t>7</w:t>
            </w:r>
            <w:r>
              <w:rPr>
                <w:rFonts w:hint="default" w:ascii="Times New Roman" w:hAnsi="Times New Roman" w:eastAsia="宋体" w:cs="Times New Roman"/>
                <w:b/>
                <w:bCs/>
                <w:sz w:val="21"/>
                <w:szCs w:val="21"/>
                <w:highlight w:val="none"/>
                <w:lang w:eastAsia="zh-CN"/>
              </w:rPr>
              <w:t xml:space="preserve">  本项目大气污染物排放情况计算表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65"/>
              <w:gridCol w:w="1843"/>
              <w:gridCol w:w="1559"/>
              <w:gridCol w:w="2268"/>
              <w:gridCol w:w="2251"/>
            </w:tblGrid>
            <w:tr w14:paraId="7021FD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Align w:val="center"/>
                </w:tcPr>
                <w:p w14:paraId="39E65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类别</w:t>
                  </w:r>
                </w:p>
              </w:tc>
              <w:tc>
                <w:tcPr>
                  <w:tcW w:w="1843" w:type="dxa"/>
                  <w:vAlign w:val="center"/>
                </w:tcPr>
                <w:p w14:paraId="547A6E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污染物</w:t>
                  </w:r>
                </w:p>
              </w:tc>
              <w:tc>
                <w:tcPr>
                  <w:tcW w:w="1559" w:type="dxa"/>
                  <w:vAlign w:val="center"/>
                </w:tcPr>
                <w:p w14:paraId="77E7B6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排放源</w:t>
                  </w:r>
                </w:p>
              </w:tc>
              <w:tc>
                <w:tcPr>
                  <w:tcW w:w="2268" w:type="dxa"/>
                  <w:vAlign w:val="center"/>
                </w:tcPr>
                <w:p w14:paraId="0F6097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排放量（t/a）</w:t>
                  </w:r>
                </w:p>
              </w:tc>
              <w:tc>
                <w:tcPr>
                  <w:tcW w:w="2251" w:type="dxa"/>
                  <w:vAlign w:val="center"/>
                </w:tcPr>
                <w:p w14:paraId="07A8C1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总核定排放量（t/a）</w:t>
                  </w:r>
                </w:p>
              </w:tc>
            </w:tr>
            <w:tr w14:paraId="7528F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restart"/>
                  <w:vAlign w:val="center"/>
                </w:tcPr>
                <w:p w14:paraId="62FC47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废气</w:t>
                  </w:r>
                </w:p>
              </w:tc>
              <w:tc>
                <w:tcPr>
                  <w:tcW w:w="1843" w:type="dxa"/>
                  <w:vAlign w:val="center"/>
                </w:tcPr>
                <w:p w14:paraId="0351C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颗粒物</w:t>
                  </w:r>
                </w:p>
              </w:tc>
              <w:tc>
                <w:tcPr>
                  <w:tcW w:w="1559" w:type="dxa"/>
                  <w:vAlign w:val="center"/>
                </w:tcPr>
                <w:p w14:paraId="74A394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塑形烘干</w:t>
                  </w:r>
                </w:p>
              </w:tc>
              <w:tc>
                <w:tcPr>
                  <w:tcW w:w="2268" w:type="dxa"/>
                  <w:vAlign w:val="center"/>
                </w:tcPr>
                <w:p w14:paraId="42817902">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c>
                <w:tcPr>
                  <w:tcW w:w="2251" w:type="dxa"/>
                  <w:vAlign w:val="center"/>
                </w:tcPr>
                <w:p w14:paraId="7C0C0BAD">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r>
            <w:tr w14:paraId="5E8484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55E37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p>
              </w:tc>
              <w:tc>
                <w:tcPr>
                  <w:tcW w:w="1843" w:type="dxa"/>
                  <w:vAlign w:val="center"/>
                </w:tcPr>
                <w:p w14:paraId="21396D17">
                  <w:pPr>
                    <w:pStyle w:val="75"/>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SO</w:t>
                  </w:r>
                  <w:r>
                    <w:rPr>
                      <w:rFonts w:hint="default" w:ascii="Times New Roman" w:hAnsi="Times New Roman" w:eastAsia="宋体" w:cs="Times New Roman"/>
                      <w:kern w:val="0"/>
                      <w:sz w:val="21"/>
                      <w:szCs w:val="21"/>
                      <w:highlight w:val="none"/>
                      <w:vertAlign w:val="subscript"/>
                      <w:lang w:val="en-US" w:eastAsia="zh-CN"/>
                    </w:rPr>
                    <w:t>2</w:t>
                  </w:r>
                </w:p>
              </w:tc>
              <w:tc>
                <w:tcPr>
                  <w:tcW w:w="1559" w:type="dxa"/>
                  <w:vAlign w:val="center"/>
                </w:tcPr>
                <w:p w14:paraId="6D7EE4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烘干</w:t>
                  </w:r>
                </w:p>
              </w:tc>
              <w:tc>
                <w:tcPr>
                  <w:tcW w:w="2268" w:type="dxa"/>
                  <w:vAlign w:val="center"/>
                </w:tcPr>
                <w:p w14:paraId="46915D07">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c>
                <w:tcPr>
                  <w:tcW w:w="2251" w:type="dxa"/>
                  <w:vAlign w:val="center"/>
                </w:tcPr>
                <w:p w14:paraId="43F419CC">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r>
            <w:tr w14:paraId="266723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5FA934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p>
              </w:tc>
              <w:tc>
                <w:tcPr>
                  <w:tcW w:w="1843" w:type="dxa"/>
                  <w:vAlign w:val="center"/>
                </w:tcPr>
                <w:p w14:paraId="5B56D20D">
                  <w:pPr>
                    <w:pStyle w:val="75"/>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NO</w:t>
                  </w:r>
                  <w:r>
                    <w:rPr>
                      <w:rFonts w:hint="default" w:ascii="Times New Roman" w:hAnsi="Times New Roman" w:eastAsia="宋体" w:cs="Times New Roman"/>
                      <w:kern w:val="0"/>
                      <w:sz w:val="21"/>
                      <w:szCs w:val="21"/>
                      <w:highlight w:val="none"/>
                      <w:vertAlign w:val="subscript"/>
                      <w:lang w:val="en-US" w:eastAsia="zh-CN"/>
                    </w:rPr>
                    <w:t>x</w:t>
                  </w:r>
                </w:p>
              </w:tc>
              <w:tc>
                <w:tcPr>
                  <w:tcW w:w="1559" w:type="dxa"/>
                  <w:vAlign w:val="center"/>
                </w:tcPr>
                <w:p w14:paraId="1B69E9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烘干</w:t>
                  </w:r>
                </w:p>
              </w:tc>
              <w:tc>
                <w:tcPr>
                  <w:tcW w:w="2268" w:type="dxa"/>
                  <w:vAlign w:val="center"/>
                </w:tcPr>
                <w:p w14:paraId="605F68BF">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c>
                <w:tcPr>
                  <w:tcW w:w="2251" w:type="dxa"/>
                  <w:vAlign w:val="center"/>
                </w:tcPr>
                <w:p w14:paraId="5CA200D9">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r>
            <w:tr w14:paraId="25B25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65" w:type="dxa"/>
                  <w:vMerge w:val="continue"/>
                  <w:vAlign w:val="center"/>
                </w:tcPr>
                <w:p w14:paraId="3026C6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eastAsia="zh-CN"/>
                    </w:rPr>
                  </w:pPr>
                </w:p>
              </w:tc>
              <w:tc>
                <w:tcPr>
                  <w:tcW w:w="1843" w:type="dxa"/>
                  <w:vAlign w:val="center"/>
                </w:tcPr>
                <w:p w14:paraId="6990BC8C">
                  <w:pPr>
                    <w:pStyle w:val="75"/>
                    <w:snapToGrid w:val="0"/>
                    <w:spacing w:line="24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NMHC</w:t>
                  </w:r>
                </w:p>
              </w:tc>
              <w:tc>
                <w:tcPr>
                  <w:tcW w:w="1559" w:type="dxa"/>
                  <w:vAlign w:val="center"/>
                </w:tcPr>
                <w:p w14:paraId="675E0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塑形烘干</w:t>
                  </w:r>
                </w:p>
              </w:tc>
              <w:tc>
                <w:tcPr>
                  <w:tcW w:w="2268" w:type="dxa"/>
                  <w:vAlign w:val="center"/>
                </w:tcPr>
                <w:p w14:paraId="18E8CB28">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c>
                <w:tcPr>
                  <w:tcW w:w="2251" w:type="dxa"/>
                  <w:vAlign w:val="center"/>
                </w:tcPr>
                <w:p w14:paraId="6ABC8257">
                  <w:pPr>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t/a</w:t>
                  </w:r>
                </w:p>
              </w:tc>
            </w:tr>
          </w:tbl>
          <w:p w14:paraId="18400883">
            <w:pPr>
              <w:autoSpaceDE/>
              <w:autoSpaceDN/>
              <w:spacing w:line="360" w:lineRule="auto"/>
              <w:ind w:firstLine="480" w:firstLineChars="200"/>
              <w:rPr>
                <w:rFonts w:hint="eastAsia" w:ascii="Times New Roman" w:hAnsi="Times New Roman" w:cs="Times New Roman"/>
                <w:sz w:val="24"/>
                <w:szCs w:val="24"/>
                <w:highlight w:val="yellow"/>
                <w:lang w:eastAsia="zh-CN"/>
              </w:rPr>
            </w:pPr>
          </w:p>
          <w:p w14:paraId="01496244">
            <w:pPr>
              <w:autoSpaceDE/>
              <w:autoSpaceDN/>
              <w:spacing w:line="360" w:lineRule="auto"/>
              <w:ind w:firstLine="480" w:firstLineChars="200"/>
              <w:rPr>
                <w:rFonts w:ascii="Times New Roman" w:hAnsi="Times New Roman" w:cs="Times New Roman"/>
                <w:sz w:val="24"/>
                <w:szCs w:val="24"/>
                <w:lang w:eastAsia="zh-CN"/>
              </w:rPr>
            </w:pPr>
          </w:p>
          <w:p w14:paraId="73C4371E">
            <w:pPr>
              <w:autoSpaceDE/>
              <w:autoSpaceDN/>
              <w:spacing w:line="360" w:lineRule="auto"/>
              <w:rPr>
                <w:rFonts w:ascii="Times New Roman" w:hAnsi="Times New Roman" w:cs="Times New Roman"/>
                <w:sz w:val="24"/>
                <w:szCs w:val="24"/>
                <w:lang w:eastAsia="zh-CN"/>
              </w:rPr>
            </w:pPr>
          </w:p>
        </w:tc>
      </w:tr>
    </w:tbl>
    <w:p w14:paraId="50E22C5E">
      <w:pPr>
        <w:rPr>
          <w:rFonts w:ascii="Times New Roman" w:hAnsi="Times New Roman" w:cs="Times New Roman"/>
          <w:sz w:val="21"/>
          <w:lang w:eastAsia="zh-CN"/>
        </w:rPr>
        <w:sectPr>
          <w:type w:val="nextColumn"/>
          <w:pgSz w:w="11913" w:h="16840"/>
          <w:pgMar w:top="1134" w:right="1134" w:bottom="1134" w:left="1134" w:header="0" w:footer="1043" w:gutter="0"/>
          <w:pgBorders>
            <w:top w:val="none" w:sz="0" w:space="0"/>
            <w:left w:val="none" w:sz="0" w:space="0"/>
            <w:bottom w:val="none" w:sz="0" w:space="0"/>
            <w:right w:val="none" w:sz="0" w:space="0"/>
          </w:pgBorders>
          <w:cols w:space="720" w:num="1"/>
        </w:sectPr>
      </w:pPr>
    </w:p>
    <w:p w14:paraId="0FCCFAE7">
      <w:pPr>
        <w:pStyle w:val="24"/>
        <w:rPr>
          <w:lang w:eastAsia="zh-CN"/>
        </w:rPr>
      </w:pPr>
      <w:bookmarkStart w:id="12" w:name="_Toc27711"/>
      <w:bookmarkStart w:id="13" w:name="_Toc4634"/>
      <w:r>
        <w:rPr>
          <w:lang w:eastAsia="zh-CN"/>
        </w:rPr>
        <w:t>四、</w:t>
      </w:r>
      <w:r>
        <w:rPr>
          <w:rFonts w:hint="eastAsia"/>
          <w:lang w:eastAsia="zh-CN"/>
        </w:rPr>
        <w:t>主要</w:t>
      </w:r>
      <w:r>
        <w:rPr>
          <w:lang w:eastAsia="zh-CN"/>
        </w:rPr>
        <w:t>环境影响</w:t>
      </w:r>
      <w:r>
        <w:rPr>
          <w:rFonts w:hint="eastAsia"/>
          <w:lang w:eastAsia="zh-CN"/>
        </w:rPr>
        <w:t>和保护措施</w:t>
      </w:r>
      <w:bookmarkEnd w:id="12"/>
      <w:bookmarkEnd w:id="13"/>
    </w:p>
    <w:tbl>
      <w:tblPr>
        <w:tblStyle w:val="32"/>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56"/>
        <w:gridCol w:w="9765"/>
      </w:tblGrid>
      <w:tr w14:paraId="6C3085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5" w:hRule="atLeast"/>
        </w:trPr>
        <w:tc>
          <w:tcPr>
            <w:tcW w:w="372" w:type="pct"/>
            <w:tcBorders>
              <w:bottom w:val="single" w:color="000000" w:sz="4" w:space="0"/>
              <w:right w:val="single" w:color="000000" w:sz="4" w:space="0"/>
            </w:tcBorders>
            <w:vAlign w:val="center"/>
          </w:tcPr>
          <w:p w14:paraId="45C220D9">
            <w:pPr>
              <w:pStyle w:val="34"/>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施工期环境影响分析</w:t>
            </w:r>
          </w:p>
        </w:tc>
        <w:tc>
          <w:tcPr>
            <w:tcW w:w="4628" w:type="pct"/>
            <w:tcBorders>
              <w:left w:val="single" w:color="000000" w:sz="4" w:space="0"/>
              <w:bottom w:val="single" w:color="000000" w:sz="4" w:space="0"/>
            </w:tcBorders>
          </w:tcPr>
          <w:p w14:paraId="2B64D7E5">
            <w:pPr>
              <w:pStyle w:val="2"/>
              <w:outlineLvl w:val="9"/>
              <w:rPr>
                <w:lang w:eastAsia="zh-CN"/>
              </w:rPr>
            </w:pPr>
            <w:r>
              <w:rPr>
                <w:rFonts w:hint="eastAsia"/>
                <w:lang w:eastAsia="zh-CN"/>
              </w:rPr>
              <w:t>1.废气环境影响及保护措施</w:t>
            </w:r>
          </w:p>
          <w:p w14:paraId="13F1BD87">
            <w:pPr>
              <w:pStyle w:val="2"/>
              <w:jc w:val="center"/>
              <w:outlineLvl w:val="9"/>
              <w:rPr>
                <w:rFonts w:hint="eastAsia" w:cs="Times New Roman"/>
                <w:color w:val="auto"/>
                <w:kern w:val="2"/>
                <w:sz w:val="24"/>
                <w:szCs w:val="24"/>
                <w:lang w:val="en-US" w:eastAsia="zh-CN" w:bidi="ar"/>
              </w:rPr>
            </w:pPr>
            <w:r>
              <w:rPr>
                <w:rFonts w:hint="eastAsia" w:cs="Times New Roman"/>
                <w:color w:val="auto"/>
                <w:kern w:val="2"/>
                <w:sz w:val="24"/>
                <w:szCs w:val="24"/>
                <w:lang w:val="en-US" w:eastAsia="zh-CN" w:bidi="ar"/>
              </w:rPr>
              <w:t>略</w:t>
            </w:r>
          </w:p>
          <w:p w14:paraId="65D43C9B">
            <w:pPr>
              <w:pStyle w:val="2"/>
              <w:outlineLvl w:val="9"/>
              <w:rPr>
                <w:rFonts w:hint="eastAsia"/>
                <w:lang w:eastAsia="zh-CN"/>
              </w:rPr>
            </w:pPr>
            <w:r>
              <w:rPr>
                <w:rFonts w:hint="eastAsia"/>
                <w:lang w:eastAsia="zh-CN"/>
              </w:rPr>
              <w:t>2.废水环境影响及保护措施</w:t>
            </w:r>
          </w:p>
          <w:p w14:paraId="3B041D98">
            <w:pPr>
              <w:pStyle w:val="2"/>
              <w:jc w:val="center"/>
              <w:outlineLvl w:val="9"/>
              <w:rPr>
                <w:rFonts w:hint="default"/>
                <w:lang w:val="en-US" w:eastAsia="zh-CN"/>
              </w:rPr>
            </w:pPr>
            <w:r>
              <w:rPr>
                <w:rFonts w:hint="eastAsia"/>
                <w:lang w:val="en-US" w:eastAsia="zh-CN"/>
              </w:rPr>
              <w:t>略</w:t>
            </w:r>
          </w:p>
          <w:p w14:paraId="784A19BE">
            <w:pPr>
              <w:pStyle w:val="2"/>
              <w:outlineLvl w:val="9"/>
              <w:rPr>
                <w:rFonts w:hint="eastAsia" w:ascii="Times New Roman" w:hAnsi="Times New Roman" w:cs="Times New Roman" w:eastAsiaTheme="minorEastAsia"/>
                <w:b/>
                <w:bCs/>
                <w:sz w:val="28"/>
                <w:szCs w:val="28"/>
                <w:lang w:eastAsia="zh-CN"/>
              </w:rPr>
            </w:pPr>
            <w:r>
              <w:rPr>
                <w:rFonts w:hint="eastAsia"/>
                <w:lang w:eastAsia="zh-CN"/>
              </w:rPr>
              <w:t>3.声环境影响及保护措施</w:t>
            </w:r>
          </w:p>
          <w:p w14:paraId="02239392">
            <w:pPr>
              <w:adjustRightInd w:val="0"/>
              <w:snapToGrid w:val="0"/>
              <w:spacing w:line="360" w:lineRule="auto"/>
              <w:jc w:val="center"/>
              <w:rPr>
                <w:rFonts w:hint="eastAsia" w:ascii="Times New Roman" w:hAnsi="Times New Roman" w:cs="Times New Roman" w:eastAsiaTheme="minorEastAsia"/>
                <w:b/>
                <w:bCs/>
                <w:sz w:val="28"/>
                <w:szCs w:val="28"/>
                <w:lang w:val="en-US" w:eastAsia="zh-CN"/>
              </w:rPr>
            </w:pPr>
            <w:r>
              <w:rPr>
                <w:rFonts w:hint="eastAsia" w:ascii="Times New Roman" w:hAnsi="Times New Roman" w:cs="Times New Roman" w:eastAsiaTheme="minorEastAsia"/>
                <w:b/>
                <w:bCs/>
                <w:sz w:val="28"/>
                <w:szCs w:val="28"/>
                <w:lang w:val="en-US" w:eastAsia="zh-CN"/>
              </w:rPr>
              <w:t>略</w:t>
            </w:r>
          </w:p>
          <w:p w14:paraId="5FC0D329">
            <w:pPr>
              <w:adjustRightInd w:val="0"/>
              <w:snapToGrid w:val="0"/>
              <w:spacing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4.</w:t>
            </w:r>
            <w:r>
              <w:rPr>
                <w:rFonts w:ascii="Times New Roman" w:hAnsi="Times New Roman" w:cs="Times New Roman" w:eastAsiaTheme="minorEastAsia"/>
                <w:b/>
                <w:bCs/>
                <w:sz w:val="28"/>
                <w:szCs w:val="28"/>
                <w:lang w:eastAsia="zh-CN"/>
              </w:rPr>
              <w:t>固体废物</w:t>
            </w:r>
          </w:p>
          <w:p w14:paraId="03E59215">
            <w:pPr>
              <w:adjustRightInd w:val="0"/>
              <w:snapToGrid w:val="0"/>
              <w:spacing w:line="360" w:lineRule="auto"/>
              <w:jc w:val="center"/>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eastAsiaTheme="minorEastAsia"/>
                <w:b/>
                <w:bCs/>
                <w:sz w:val="28"/>
                <w:szCs w:val="28"/>
                <w:lang w:val="en-US" w:eastAsia="zh-CN"/>
              </w:rPr>
              <w:t>略</w:t>
            </w:r>
          </w:p>
          <w:p w14:paraId="3548A555">
            <w:pPr>
              <w:numPr>
                <w:numId w:val="0"/>
              </w:numPr>
              <w:adjustRightInd w:val="0"/>
              <w:snapToGrid w:val="0"/>
              <w:spacing w:line="360" w:lineRule="auto"/>
              <w:rPr>
                <w:rFonts w:hint="eastAsia" w:ascii="Times New Roman" w:hAnsi="Times New Roman" w:cs="Times New Roman" w:eastAsiaTheme="minorEastAsia"/>
                <w:b/>
                <w:bCs/>
                <w:sz w:val="28"/>
                <w:szCs w:val="28"/>
                <w:lang w:val="en-US" w:eastAsia="zh-CN"/>
              </w:rPr>
            </w:pPr>
            <w:r>
              <w:rPr>
                <w:rFonts w:hint="eastAsia" w:ascii="Times New Roman" w:hAnsi="Times New Roman" w:cs="Times New Roman" w:eastAsiaTheme="minorEastAsia"/>
                <w:b/>
                <w:bCs/>
                <w:sz w:val="28"/>
                <w:szCs w:val="28"/>
                <w:lang w:val="en-US" w:eastAsia="zh-CN"/>
              </w:rPr>
              <w:t>5.生态环境</w:t>
            </w:r>
          </w:p>
          <w:p w14:paraId="100B430F">
            <w:pPr>
              <w:keepNext w:val="0"/>
              <w:keepLines w:val="0"/>
              <w:pageBreakBefore w:val="0"/>
              <w:widowControl w:val="0"/>
              <w:suppressLineNumbers w:val="0"/>
              <w:kinsoku/>
              <w:wordWrap/>
              <w:bidi w:val="0"/>
              <w:adjustRightInd/>
              <w:snapToGrid/>
              <w:spacing w:before="0" w:beforeAutospacing="0" w:after="0" w:afterAutospacing="0" w:line="360" w:lineRule="auto"/>
              <w:ind w:right="0"/>
              <w:jc w:val="center"/>
              <w:rPr>
                <w:rFonts w:hint="default" w:ascii="Times New Roman" w:hAnsi="Times New Roman" w:eastAsia="宋体" w:cs="Times New Roman"/>
                <w:color w:val="auto"/>
                <w:kern w:val="2"/>
                <w:sz w:val="24"/>
                <w:szCs w:val="24"/>
                <w:lang w:val="en-US" w:eastAsia="zh-CN" w:bidi="ar"/>
              </w:rPr>
            </w:pPr>
            <w:r>
              <w:rPr>
                <w:rFonts w:hint="eastAsia" w:ascii="Times New Roman" w:hAnsi="Times New Roman" w:cs="Times New Roman" w:eastAsiaTheme="minorEastAsia"/>
                <w:b/>
                <w:bCs/>
                <w:sz w:val="28"/>
                <w:szCs w:val="28"/>
                <w:lang w:val="en-US" w:eastAsia="zh-CN"/>
              </w:rPr>
              <w:t>略</w:t>
            </w:r>
          </w:p>
          <w:p w14:paraId="2B3542D5">
            <w:pPr>
              <w:numPr>
                <w:numId w:val="0"/>
              </w:numPr>
              <w:adjustRightInd w:val="0"/>
              <w:snapToGrid w:val="0"/>
              <w:spacing w:line="360" w:lineRule="auto"/>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eastAsiaTheme="minorEastAsia"/>
                <w:b/>
                <w:bCs/>
                <w:sz w:val="28"/>
                <w:szCs w:val="28"/>
                <w:lang w:val="en-US" w:eastAsia="zh-CN"/>
              </w:rPr>
              <w:t>6.</w:t>
            </w:r>
            <w:r>
              <w:rPr>
                <w:rFonts w:hint="default" w:ascii="Times New Roman" w:hAnsi="Times New Roman" w:cs="Times New Roman" w:eastAsiaTheme="minorEastAsia"/>
                <w:b/>
                <w:bCs/>
                <w:sz w:val="28"/>
                <w:szCs w:val="28"/>
                <w:lang w:val="en-US" w:eastAsia="zh-CN"/>
              </w:rPr>
              <w:t>施工期的环境管理</w:t>
            </w:r>
          </w:p>
          <w:p w14:paraId="7638FE02">
            <w:pPr>
              <w:keepNext w:val="0"/>
              <w:keepLines w:val="0"/>
              <w:pageBreakBefore w:val="0"/>
              <w:widowControl w:val="0"/>
              <w:suppressLineNumbers w:val="0"/>
              <w:kinsoku/>
              <w:wordWrap/>
              <w:bidi w:val="0"/>
              <w:adjustRightInd/>
              <w:snapToGrid/>
              <w:spacing w:before="0" w:beforeAutospacing="0" w:after="0" w:afterAutospacing="0" w:line="360" w:lineRule="auto"/>
              <w:ind w:right="0" w:rightChars="0"/>
              <w:jc w:val="center"/>
              <w:rPr>
                <w:rFonts w:hint="eastAsia" w:ascii="宋体" w:hAnsi="宋体" w:eastAsia="宋体" w:cs="宋体"/>
                <w:sz w:val="24"/>
                <w:szCs w:val="24"/>
                <w:highlight w:val="yellow"/>
                <w:lang w:val="en-US" w:eastAsia="zh-CN" w:bidi="ar-SA"/>
              </w:rPr>
            </w:pPr>
            <w:r>
              <w:rPr>
                <w:rFonts w:hint="eastAsia" w:ascii="Times New Roman" w:hAnsi="Times New Roman" w:cs="Times New Roman" w:eastAsiaTheme="minorEastAsia"/>
                <w:b/>
                <w:bCs/>
                <w:sz w:val="28"/>
                <w:szCs w:val="28"/>
                <w:lang w:val="en-US" w:eastAsia="zh-CN"/>
              </w:rPr>
              <w:t>略</w:t>
            </w:r>
          </w:p>
        </w:tc>
      </w:tr>
      <w:tr w14:paraId="3155FC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11" w:hRule="atLeast"/>
        </w:trPr>
        <w:tc>
          <w:tcPr>
            <w:tcW w:w="372" w:type="pct"/>
            <w:tcBorders>
              <w:top w:val="single" w:color="000000" w:sz="4" w:space="0"/>
              <w:bottom w:val="single" w:color="000000" w:sz="4" w:space="0"/>
              <w:right w:val="single" w:color="000000" w:sz="4" w:space="0"/>
            </w:tcBorders>
            <w:vAlign w:val="center"/>
          </w:tcPr>
          <w:p w14:paraId="1C708CEC">
            <w:pPr>
              <w:pStyle w:val="34"/>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运营期环境影响分析</w:t>
            </w:r>
          </w:p>
        </w:tc>
        <w:tc>
          <w:tcPr>
            <w:tcW w:w="4628" w:type="pct"/>
            <w:tcBorders>
              <w:top w:val="single" w:color="000000" w:sz="4" w:space="0"/>
              <w:left w:val="single" w:color="000000" w:sz="4" w:space="0"/>
              <w:bottom w:val="single" w:color="000000" w:sz="4" w:space="0"/>
            </w:tcBorders>
          </w:tcPr>
          <w:p w14:paraId="24DB014B">
            <w:pPr>
              <w:pStyle w:val="2"/>
              <w:outlineLvl w:val="9"/>
              <w:rPr>
                <w:rFonts w:cs="Times New Roman"/>
                <w:bCs/>
                <w:szCs w:val="28"/>
                <w:lang w:eastAsia="zh-CN"/>
              </w:rPr>
            </w:pPr>
            <w:r>
              <w:rPr>
                <w:rFonts w:hint="eastAsia" w:cs="Times New Roman"/>
                <w:bCs/>
                <w:szCs w:val="28"/>
                <w:lang w:eastAsia="zh-CN"/>
              </w:rPr>
              <w:t>1.</w:t>
            </w:r>
            <w:r>
              <w:rPr>
                <w:rFonts w:hint="eastAsia"/>
                <w:lang w:eastAsia="zh-CN"/>
              </w:rPr>
              <w:t>废气环境影响及保护措施</w:t>
            </w:r>
          </w:p>
          <w:p w14:paraId="6BD04694">
            <w:pPr>
              <w:pStyle w:val="2"/>
              <w:outlineLvl w:val="9"/>
              <w:rPr>
                <w:rFonts w:hint="default" w:ascii="Times New Roman" w:hAnsi="Times New Roman" w:eastAsia="宋体" w:cs="Times New Roman"/>
                <w:b/>
                <w:bCs/>
                <w:sz w:val="24"/>
                <w:szCs w:val="24"/>
                <w:highlight w:val="none"/>
                <w:lang w:val="en-US" w:eastAsia="zh-CN"/>
              </w:rPr>
            </w:pPr>
            <w:r>
              <w:rPr>
                <w:sz w:val="24"/>
                <w:szCs w:val="24"/>
                <w:lang w:eastAsia="zh-CN"/>
              </w:rPr>
              <w:t>1.1</w:t>
            </w:r>
            <w:r>
              <w:rPr>
                <w:rFonts w:hint="eastAsia"/>
                <w:sz w:val="24"/>
                <w:szCs w:val="24"/>
                <w:lang w:eastAsia="zh-CN"/>
              </w:rPr>
              <w:t>废气污染源强核算</w:t>
            </w:r>
          </w:p>
          <w:p w14:paraId="61DA84F8">
            <w:pPr>
              <w:adjustRightInd w:val="0"/>
              <w:spacing w:line="360" w:lineRule="auto"/>
              <w:ind w:firstLine="480" w:firstLineChars="200"/>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（1）加弹废气</w:t>
            </w:r>
          </w:p>
          <w:p w14:paraId="0DD129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本项目原料丝本身含有少量油剂，原料丝在上/下热箱中加热定型、加弹上油过程时均会产生油雾，原料丝所含油剂和本项目所用加弹油剂成分均为液态烷烃，因此加弹废气以NMHC表征。根据《排放源统计调查产排污核算方法和系数手册》</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生态环境部公告2021年第24号</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“2822涤纶纤维制造行业系数手册，涤纶POY制成涤纶DTY的‘牵伸一加捻一卷绕’工艺有机废气的产污系数为411.05克/吨-产品”。本项目加弹使用的原料丝用量为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t/a、加弹油剂用量为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t/a，除去加工产生的一些废丝</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约占总丝的</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，则总产量约为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t/a，故本项目加弹过程中NMHC产生量约为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w:t>
            </w:r>
          </w:p>
          <w:p w14:paraId="0A5EBB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vertAlign w:val="baseline"/>
                <w:lang w:val="en-US" w:eastAsia="zh-CN" w:bidi="ar"/>
              </w:rPr>
            </w:pPr>
            <w:r>
              <w:rPr>
                <w:rFonts w:hint="default" w:ascii="Times New Roman" w:hAnsi="Times New Roman" w:eastAsia="宋体" w:cs="Times New Roman"/>
                <w:color w:val="auto"/>
                <w:kern w:val="2"/>
                <w:sz w:val="24"/>
                <w:szCs w:val="24"/>
                <w:highlight w:val="none"/>
                <w:lang w:val="en-US" w:eastAsia="zh-CN" w:bidi="ar"/>
              </w:rPr>
              <w:t>本项目设置</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台加弹机，加弹废气通过加弹机自带管道收集，收集效率以</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%，则加弹NMHC有组织产生量为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t/a、无组织产生量为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t/a。本项目加弹废气采用“静电除油”装置处理，</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台加弹机共用一套“静电除油”装置，则项目加弹废气收集后，通过“静电除油”装置处理后经</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根</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米高排气筒DA</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排放。本项目加弹机废气收集系统风机设计风量约为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default" w:ascii="Times New Roman" w:hAnsi="Times New Roman" w:eastAsia="宋体" w:cs="Times New Roman"/>
                <w:color w:val="auto"/>
                <w:kern w:val="2"/>
                <w:sz w:val="24"/>
                <w:szCs w:val="24"/>
                <w:highlight w:val="none"/>
                <w:lang w:val="en-US" w:eastAsia="zh-CN" w:bidi="ar"/>
              </w:rPr>
              <w:t>/h，“静电除油”装置对加弹油烟去除效率按</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%计。</w:t>
            </w:r>
            <w:r>
              <w:rPr>
                <w:rFonts w:hint="eastAsia" w:ascii="Times New Roman" w:hAnsi="Times New Roman" w:cs="Times New Roman"/>
                <w:color w:val="auto"/>
                <w:sz w:val="24"/>
                <w:szCs w:val="24"/>
                <w:highlight w:val="none"/>
                <w:lang w:val="en-US" w:eastAsia="zh-CN"/>
              </w:rPr>
              <w:t>则加弹工序</w:t>
            </w:r>
            <w:r>
              <w:rPr>
                <w:rFonts w:hint="eastAsia" w:ascii="Times New Roman" w:hAnsi="Times New Roman" w:eastAsia="宋体" w:cs="Times New Roman"/>
                <w:color w:val="auto"/>
                <w:kern w:val="2"/>
                <w:sz w:val="24"/>
                <w:szCs w:val="24"/>
                <w:highlight w:val="none"/>
                <w:lang w:val="en-US" w:eastAsia="zh-CN" w:bidi="ar"/>
              </w:rPr>
              <w:t>NMHC</w:t>
            </w:r>
            <w:r>
              <w:rPr>
                <w:rFonts w:hint="default" w:ascii="Times New Roman" w:hAnsi="Times New Roman" w:eastAsia="宋体" w:cs="Times New Roman"/>
                <w:color w:val="auto"/>
                <w:kern w:val="2"/>
                <w:sz w:val="24"/>
                <w:szCs w:val="24"/>
                <w:highlight w:val="none"/>
                <w:lang w:val="en-US" w:eastAsia="zh-CN" w:bidi="ar"/>
              </w:rPr>
              <w:t>有组织</w:t>
            </w:r>
            <w:r>
              <w:rPr>
                <w:rFonts w:hint="default" w:ascii="Times New Roman" w:hAnsi="Times New Roman" w:cs="Times New Roman"/>
                <w:color w:val="auto"/>
                <w:kern w:val="2"/>
                <w:sz w:val="24"/>
                <w:szCs w:val="24"/>
                <w:highlight w:val="none"/>
                <w:lang w:val="en-US" w:eastAsia="zh-CN" w:bidi="ar"/>
              </w:rPr>
              <w:t>产生</w:t>
            </w:r>
            <w:r>
              <w:rPr>
                <w:rFonts w:hint="default" w:ascii="Times New Roman" w:hAnsi="Times New Roman" w:eastAsia="宋体" w:cs="Times New Roman"/>
                <w:color w:val="auto"/>
                <w:kern w:val="2"/>
                <w:sz w:val="24"/>
                <w:szCs w:val="24"/>
                <w:highlight w:val="none"/>
                <w:lang w:val="en-US" w:eastAsia="zh-CN" w:bidi="ar"/>
              </w:rPr>
              <w:t>速率为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kg/h，</w:t>
            </w:r>
            <w:r>
              <w:rPr>
                <w:rFonts w:hint="default" w:ascii="Times New Roman" w:hAnsi="Times New Roman" w:cs="Times New Roman"/>
                <w:color w:val="auto"/>
                <w:kern w:val="2"/>
                <w:sz w:val="24"/>
                <w:szCs w:val="24"/>
                <w:highlight w:val="none"/>
                <w:lang w:val="en-US" w:eastAsia="zh-CN" w:bidi="ar"/>
              </w:rPr>
              <w:t>产生</w:t>
            </w:r>
            <w:r>
              <w:rPr>
                <w:rFonts w:hint="default" w:ascii="Times New Roman" w:hAnsi="Times New Roman" w:eastAsia="宋体" w:cs="Times New Roman"/>
                <w:color w:val="auto"/>
                <w:kern w:val="2"/>
                <w:sz w:val="24"/>
                <w:szCs w:val="24"/>
                <w:highlight w:val="none"/>
                <w:lang w:val="en-US" w:eastAsia="zh-CN" w:bidi="ar"/>
              </w:rPr>
              <w:t>浓度为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mg/m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lang w:val="en-US" w:eastAsia="zh-CN" w:bidi="ar"/>
              </w:rPr>
              <w:t>，排放速率</w:t>
            </w:r>
            <w:r>
              <w:rPr>
                <w:rFonts w:hint="default" w:ascii="Times New Roman" w:hAnsi="Times New Roman" w:eastAsia="宋体" w:cs="Times New Roman"/>
                <w:color w:val="auto"/>
                <w:kern w:val="2"/>
                <w:sz w:val="24"/>
                <w:szCs w:val="24"/>
                <w:highlight w:val="none"/>
                <w:lang w:val="en-US" w:eastAsia="zh-CN" w:bidi="ar"/>
              </w:rPr>
              <w:t>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kg/h，</w:t>
            </w:r>
            <w:r>
              <w:rPr>
                <w:rFonts w:hint="eastAsia" w:ascii="Times New Roman" w:hAnsi="Times New Roman" w:cs="Times New Roman"/>
                <w:color w:val="auto"/>
                <w:kern w:val="2"/>
                <w:sz w:val="24"/>
                <w:szCs w:val="24"/>
                <w:highlight w:val="none"/>
                <w:lang w:val="en-US" w:eastAsia="zh-CN" w:bidi="ar"/>
              </w:rPr>
              <w:t>排放</w:t>
            </w:r>
            <w:r>
              <w:rPr>
                <w:rFonts w:hint="default" w:ascii="Times New Roman" w:hAnsi="Times New Roman" w:eastAsia="宋体" w:cs="Times New Roman"/>
                <w:color w:val="auto"/>
                <w:kern w:val="2"/>
                <w:sz w:val="24"/>
                <w:szCs w:val="24"/>
                <w:highlight w:val="none"/>
                <w:lang w:val="en-US" w:eastAsia="zh-CN" w:bidi="ar"/>
              </w:rPr>
              <w:t>浓度为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mg/m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vertAlign w:val="baseline"/>
                <w:lang w:val="en-US" w:eastAsia="zh-CN" w:bidi="ar"/>
              </w:rPr>
              <w:t>。</w:t>
            </w:r>
          </w:p>
          <w:p w14:paraId="5EC4CB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2</w:t>
            </w:r>
            <w:r>
              <w:rPr>
                <w:rFonts w:hint="default" w:ascii="Times New Roman" w:hAnsi="Times New Roman" w:eastAsia="宋体"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塑形</w:t>
            </w:r>
            <w:r>
              <w:rPr>
                <w:rFonts w:hint="default" w:ascii="Times New Roman" w:hAnsi="Times New Roman" w:eastAsia="宋体" w:cs="Times New Roman"/>
                <w:color w:val="auto"/>
                <w:kern w:val="2"/>
                <w:sz w:val="24"/>
                <w:szCs w:val="24"/>
                <w:highlight w:val="none"/>
                <w:lang w:val="en-US" w:eastAsia="zh-CN" w:bidi="ar"/>
              </w:rPr>
              <w:t>并烘干废气和</w:t>
            </w:r>
            <w:r>
              <w:rPr>
                <w:rFonts w:hint="eastAsia" w:ascii="Times New Roman" w:hAnsi="Times New Roman" w:eastAsia="宋体" w:cs="Times New Roman"/>
                <w:color w:val="auto"/>
                <w:kern w:val="2"/>
                <w:sz w:val="24"/>
                <w:szCs w:val="24"/>
                <w:highlight w:val="none"/>
                <w:lang w:val="en-US" w:eastAsia="zh-CN" w:bidi="ar"/>
              </w:rPr>
              <w:t>拉幅机</w:t>
            </w:r>
            <w:r>
              <w:rPr>
                <w:rFonts w:hint="default" w:ascii="Times New Roman" w:hAnsi="Times New Roman" w:eastAsia="宋体" w:cs="Times New Roman"/>
                <w:color w:val="auto"/>
                <w:kern w:val="2"/>
                <w:sz w:val="24"/>
                <w:szCs w:val="24"/>
                <w:highlight w:val="none"/>
                <w:lang w:val="en-US" w:eastAsia="zh-CN" w:bidi="ar"/>
              </w:rPr>
              <w:t>直燃装置天然气燃烧废气</w:t>
            </w:r>
          </w:p>
          <w:p w14:paraId="598677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
              </w:rPr>
              <w:t>1.塑形</w:t>
            </w:r>
            <w:r>
              <w:rPr>
                <w:rFonts w:hint="default" w:ascii="Times New Roman" w:hAnsi="Times New Roman" w:eastAsia="宋体" w:cs="Times New Roman"/>
                <w:color w:val="auto"/>
                <w:kern w:val="2"/>
                <w:sz w:val="24"/>
                <w:szCs w:val="24"/>
                <w:highlight w:val="none"/>
                <w:lang w:val="en-US" w:eastAsia="zh-CN" w:bidi="ar"/>
              </w:rPr>
              <w:t>并烘干废气</w:t>
            </w:r>
          </w:p>
          <w:p w14:paraId="324F93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
              </w:rPr>
              <w:t>塑形</w:t>
            </w:r>
            <w:r>
              <w:rPr>
                <w:rFonts w:hint="default" w:ascii="Times New Roman" w:hAnsi="Times New Roman" w:eastAsia="宋体" w:cs="Times New Roman"/>
                <w:color w:val="auto"/>
                <w:kern w:val="2"/>
                <w:sz w:val="24"/>
                <w:szCs w:val="24"/>
                <w:highlight w:val="none"/>
                <w:lang w:val="en-US" w:eastAsia="zh-CN" w:bidi="ar"/>
              </w:rPr>
              <w:t>工序产生的污染物主要为颗粒物及有机废气。有机废气主要为坯布中的油剂挥发</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以非甲烷总烃计</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，其中非甲烷总烃的产生系数参考《印染行业废气污染物源强估算及治理方法探讨》（李大梅、吴波，资源节约与环保，2019年第10 期：90-91）：通过对南通市10余家印染企业的调研统计数据，定型废气中有机废气的产生量按照坯布量的0.05%～0.15%计算，本次评价取中间值计算，即坯布量的0.1%。</w:t>
            </w:r>
            <w:r>
              <w:rPr>
                <w:rFonts w:hint="eastAsia" w:ascii="Times New Roman" w:hAnsi="Times New Roman" w:eastAsia="宋体" w:cs="Times New Roman"/>
                <w:color w:val="auto"/>
                <w:kern w:val="2"/>
                <w:sz w:val="24"/>
                <w:szCs w:val="24"/>
                <w:highlight w:val="none"/>
                <w:lang w:val="en-US" w:eastAsia="zh-CN" w:bidi="ar"/>
              </w:rPr>
              <w:t>塑形</w:t>
            </w:r>
            <w:r>
              <w:rPr>
                <w:rFonts w:hint="default" w:ascii="Times New Roman" w:hAnsi="Times New Roman" w:eastAsia="宋体" w:cs="Times New Roman"/>
                <w:color w:val="auto"/>
                <w:kern w:val="2"/>
                <w:sz w:val="24"/>
                <w:szCs w:val="24"/>
                <w:highlight w:val="none"/>
                <w:lang w:val="en-US" w:eastAsia="zh-CN" w:bidi="ar"/>
              </w:rPr>
              <w:t>颗粒物的产生系数参考《排放源统计调查产排污核算方法和系数手册》（生态环境部公告2021年第24号）中“1752 化纤织物染整精加工行业系数手册”所列出的产污系数表：定型颗粒物产污系数为604.96克/吨-产品。</w:t>
            </w:r>
            <w:r>
              <w:rPr>
                <w:rFonts w:hint="eastAsia" w:ascii="Times New Roman" w:hAnsi="Times New Roman" w:eastAsia="宋体" w:cs="Times New Roman"/>
                <w:color w:val="auto"/>
                <w:kern w:val="2"/>
                <w:sz w:val="24"/>
                <w:szCs w:val="24"/>
                <w:highlight w:val="none"/>
                <w:lang w:val="en-US" w:eastAsia="zh-CN" w:bidi="ar"/>
              </w:rPr>
              <w:t>本项目塑形</w:t>
            </w:r>
            <w:r>
              <w:rPr>
                <w:rFonts w:hint="default" w:ascii="Times New Roman" w:hAnsi="Times New Roman" w:eastAsia="宋体" w:cs="Times New Roman"/>
                <w:color w:val="auto"/>
                <w:kern w:val="2"/>
                <w:sz w:val="24"/>
                <w:szCs w:val="24"/>
                <w:highlight w:val="none"/>
                <w:lang w:val="en-US" w:eastAsia="zh-CN" w:bidi="ar"/>
              </w:rPr>
              <w:t>过程中NMHC产生量约为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w:t>
            </w:r>
            <w:r>
              <w:rPr>
                <w:rFonts w:hint="eastAsia" w:ascii="Times New Roman" w:hAnsi="Times New Roman" w:eastAsia="宋体" w:cs="Times New Roman"/>
                <w:color w:val="auto"/>
                <w:kern w:val="2"/>
                <w:sz w:val="24"/>
                <w:szCs w:val="24"/>
                <w:highlight w:val="none"/>
                <w:lang w:val="en-US" w:eastAsia="zh-CN" w:bidi="ar"/>
              </w:rPr>
              <w:t>，颗粒物产生量约为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t/a</w:t>
            </w:r>
            <w:r>
              <w:rPr>
                <w:rFonts w:hint="eastAsia" w:ascii="Times New Roman" w:hAnsi="Times New Roman" w:eastAsia="宋体" w:cs="Times New Roman"/>
                <w:color w:val="auto"/>
                <w:kern w:val="2"/>
                <w:sz w:val="24"/>
                <w:szCs w:val="24"/>
                <w:highlight w:val="none"/>
                <w:lang w:val="en-US" w:eastAsia="zh-CN" w:bidi="ar"/>
              </w:rPr>
              <w:t>。</w:t>
            </w:r>
          </w:p>
          <w:p w14:paraId="0BFE1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eastAsia" w:ascii="Times New Roman" w:hAnsi="Times New Roman" w:eastAsia="宋体" w:cs="Times New Roman"/>
                <w:color w:val="auto"/>
                <w:kern w:val="2"/>
                <w:sz w:val="24"/>
                <w:szCs w:val="24"/>
                <w:highlight w:val="none"/>
                <w:lang w:val="en-US" w:eastAsia="zh-CN" w:bidi="ar"/>
              </w:rPr>
              <w:t>本项目</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套定型拉幅机产生的废气密闭收集后通过一套“水喷淋+除雾+静电除油”装置处理达标后由</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根</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m高排气筒DA</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排放。本项目定型机废气收集系统的风机设计风量约为</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m</w:t>
            </w:r>
            <w:r>
              <w:rPr>
                <w:rFonts w:hint="eastAsia"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lang w:val="en-US" w:eastAsia="zh-CN" w:bidi="ar"/>
              </w:rPr>
              <w:t>/h，本项目定型机配套废气收集系统，定型生产过程中定型机全封闭，仅预留产品进、出口通道，定型废气收集效率按98%计，则定型废气有组织颗粒物、NMHC产生量分别为</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t/a、</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t/a，无组织颗粒物、NMHC产生量分别为</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t/a、</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t/a，“水喷淋+除雾+静电除油装置”对颗粒物的去除效率按</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%计、对NMHC的去除效率按</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eastAsia="宋体" w:cs="Times New Roman"/>
                <w:color w:val="auto"/>
                <w:kern w:val="2"/>
                <w:sz w:val="24"/>
                <w:szCs w:val="24"/>
                <w:highlight w:val="none"/>
                <w:lang w:val="en-US" w:eastAsia="zh-CN" w:bidi="ar"/>
              </w:rPr>
              <w:t>%计。塑形</w:t>
            </w:r>
            <w:r>
              <w:rPr>
                <w:rFonts w:hint="default" w:ascii="Times New Roman" w:hAnsi="Times New Roman" w:eastAsia="宋体" w:cs="Times New Roman"/>
                <w:color w:val="auto"/>
                <w:kern w:val="2"/>
                <w:sz w:val="24"/>
                <w:szCs w:val="24"/>
                <w:highlight w:val="none"/>
                <w:lang w:val="en-US" w:eastAsia="zh-CN" w:bidi="ar"/>
              </w:rPr>
              <w:t>并烘干废气</w:t>
            </w:r>
            <w:r>
              <w:rPr>
                <w:rFonts w:hint="eastAsia" w:ascii="Times New Roman" w:hAnsi="Times New Roman" w:eastAsia="宋体" w:cs="Times New Roman"/>
                <w:color w:val="auto"/>
                <w:kern w:val="2"/>
                <w:sz w:val="24"/>
                <w:szCs w:val="24"/>
                <w:highlight w:val="none"/>
                <w:lang w:val="en-US" w:eastAsia="zh-CN" w:bidi="ar"/>
              </w:rPr>
              <w:t>NMHC</w:t>
            </w:r>
            <w:r>
              <w:rPr>
                <w:rFonts w:hint="default" w:ascii="Times New Roman" w:hAnsi="Times New Roman" w:eastAsia="宋体" w:cs="Times New Roman"/>
                <w:color w:val="auto"/>
                <w:kern w:val="2"/>
                <w:sz w:val="24"/>
                <w:szCs w:val="24"/>
                <w:highlight w:val="none"/>
                <w:lang w:val="en-US" w:eastAsia="zh-CN" w:bidi="ar"/>
              </w:rPr>
              <w:t>有组织</w:t>
            </w:r>
            <w:r>
              <w:rPr>
                <w:rFonts w:hint="default" w:ascii="Times New Roman" w:hAnsi="Times New Roman" w:cs="Times New Roman"/>
                <w:color w:val="auto"/>
                <w:kern w:val="2"/>
                <w:sz w:val="24"/>
                <w:szCs w:val="24"/>
                <w:highlight w:val="none"/>
                <w:lang w:val="en-US" w:eastAsia="zh-CN" w:bidi="ar"/>
              </w:rPr>
              <w:t>产生</w:t>
            </w:r>
            <w:r>
              <w:rPr>
                <w:rFonts w:hint="default" w:ascii="Times New Roman" w:hAnsi="Times New Roman" w:eastAsia="宋体" w:cs="Times New Roman"/>
                <w:color w:val="auto"/>
                <w:kern w:val="2"/>
                <w:sz w:val="24"/>
                <w:szCs w:val="24"/>
                <w:highlight w:val="none"/>
                <w:lang w:val="en-US" w:eastAsia="zh-CN" w:bidi="ar"/>
              </w:rPr>
              <w:t>速率为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kg/h，</w:t>
            </w:r>
            <w:r>
              <w:rPr>
                <w:rFonts w:hint="default" w:ascii="Times New Roman" w:hAnsi="Times New Roman" w:cs="Times New Roman"/>
                <w:color w:val="auto"/>
                <w:kern w:val="2"/>
                <w:sz w:val="24"/>
                <w:szCs w:val="24"/>
                <w:highlight w:val="none"/>
                <w:lang w:val="en-US" w:eastAsia="zh-CN" w:bidi="ar"/>
              </w:rPr>
              <w:t>产生</w:t>
            </w:r>
            <w:r>
              <w:rPr>
                <w:rFonts w:hint="default" w:ascii="Times New Roman" w:hAnsi="Times New Roman" w:eastAsia="宋体" w:cs="Times New Roman"/>
                <w:color w:val="auto"/>
                <w:kern w:val="2"/>
                <w:sz w:val="24"/>
                <w:szCs w:val="24"/>
                <w:highlight w:val="none"/>
                <w:lang w:val="en-US" w:eastAsia="zh-CN" w:bidi="ar"/>
              </w:rPr>
              <w:t>浓度为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mg/m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lang w:val="en-US" w:eastAsia="zh-CN" w:bidi="ar"/>
              </w:rPr>
              <w:t>，排放速率</w:t>
            </w:r>
            <w:r>
              <w:rPr>
                <w:rFonts w:hint="default" w:ascii="Times New Roman" w:hAnsi="Times New Roman" w:eastAsia="宋体" w:cs="Times New Roman"/>
                <w:color w:val="auto"/>
                <w:kern w:val="2"/>
                <w:sz w:val="24"/>
                <w:szCs w:val="24"/>
                <w:highlight w:val="none"/>
                <w:lang w:val="en-US" w:eastAsia="zh-CN" w:bidi="ar"/>
              </w:rPr>
              <w:t>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kg/h，</w:t>
            </w:r>
            <w:r>
              <w:rPr>
                <w:rFonts w:hint="eastAsia" w:ascii="Times New Roman" w:hAnsi="Times New Roman" w:cs="Times New Roman"/>
                <w:color w:val="auto"/>
                <w:kern w:val="2"/>
                <w:sz w:val="24"/>
                <w:szCs w:val="24"/>
                <w:highlight w:val="none"/>
                <w:lang w:val="en-US" w:eastAsia="zh-CN" w:bidi="ar"/>
              </w:rPr>
              <w:t>排放</w:t>
            </w:r>
            <w:r>
              <w:rPr>
                <w:rFonts w:hint="default" w:ascii="Times New Roman" w:hAnsi="Times New Roman" w:eastAsia="宋体" w:cs="Times New Roman"/>
                <w:color w:val="auto"/>
                <w:kern w:val="2"/>
                <w:sz w:val="24"/>
                <w:szCs w:val="24"/>
                <w:highlight w:val="none"/>
                <w:lang w:val="en-US" w:eastAsia="zh-CN" w:bidi="ar"/>
              </w:rPr>
              <w:t>浓度为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mg/m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vertAlign w:val="baseline"/>
                <w:lang w:val="en-US" w:eastAsia="zh-CN" w:bidi="ar"/>
              </w:rPr>
              <w:t>；颗粒物</w:t>
            </w:r>
            <w:r>
              <w:rPr>
                <w:rFonts w:hint="default" w:ascii="Times New Roman" w:hAnsi="Times New Roman" w:eastAsia="宋体" w:cs="Times New Roman"/>
                <w:color w:val="auto"/>
                <w:kern w:val="2"/>
                <w:sz w:val="24"/>
                <w:szCs w:val="24"/>
                <w:highlight w:val="none"/>
                <w:lang w:val="en-US" w:eastAsia="zh-CN" w:bidi="ar"/>
              </w:rPr>
              <w:t>有组织</w:t>
            </w:r>
            <w:r>
              <w:rPr>
                <w:rFonts w:hint="default" w:ascii="Times New Roman" w:hAnsi="Times New Roman" w:cs="Times New Roman"/>
                <w:color w:val="auto"/>
                <w:kern w:val="2"/>
                <w:sz w:val="24"/>
                <w:szCs w:val="24"/>
                <w:highlight w:val="none"/>
                <w:lang w:val="en-US" w:eastAsia="zh-CN" w:bidi="ar"/>
              </w:rPr>
              <w:t>产生</w:t>
            </w:r>
            <w:r>
              <w:rPr>
                <w:rFonts w:hint="default" w:ascii="Times New Roman" w:hAnsi="Times New Roman" w:eastAsia="宋体" w:cs="Times New Roman"/>
                <w:color w:val="auto"/>
                <w:kern w:val="2"/>
                <w:sz w:val="24"/>
                <w:szCs w:val="24"/>
                <w:highlight w:val="none"/>
                <w:lang w:val="en-US" w:eastAsia="zh-CN" w:bidi="ar"/>
              </w:rPr>
              <w:t>速率为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kg/h，</w:t>
            </w:r>
            <w:r>
              <w:rPr>
                <w:rFonts w:hint="default" w:ascii="Times New Roman" w:hAnsi="Times New Roman" w:cs="Times New Roman"/>
                <w:color w:val="auto"/>
                <w:kern w:val="2"/>
                <w:sz w:val="24"/>
                <w:szCs w:val="24"/>
                <w:highlight w:val="none"/>
                <w:lang w:val="en-US" w:eastAsia="zh-CN" w:bidi="ar"/>
              </w:rPr>
              <w:t>产生</w:t>
            </w:r>
            <w:r>
              <w:rPr>
                <w:rFonts w:hint="default" w:ascii="Times New Roman" w:hAnsi="Times New Roman" w:eastAsia="宋体" w:cs="Times New Roman"/>
                <w:color w:val="auto"/>
                <w:kern w:val="2"/>
                <w:sz w:val="24"/>
                <w:szCs w:val="24"/>
                <w:highlight w:val="none"/>
                <w:lang w:val="en-US" w:eastAsia="zh-CN" w:bidi="ar"/>
              </w:rPr>
              <w:t>浓度为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mg/m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lang w:val="en-US" w:eastAsia="zh-CN" w:bidi="ar"/>
              </w:rPr>
              <w:t>，排放速率</w:t>
            </w:r>
            <w:r>
              <w:rPr>
                <w:rFonts w:hint="default" w:ascii="Times New Roman" w:hAnsi="Times New Roman" w:eastAsia="宋体" w:cs="Times New Roman"/>
                <w:color w:val="auto"/>
                <w:kern w:val="2"/>
                <w:sz w:val="24"/>
                <w:szCs w:val="24"/>
                <w:highlight w:val="none"/>
                <w:lang w:val="en-US" w:eastAsia="zh-CN" w:bidi="ar"/>
              </w:rPr>
              <w:t>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kg/h，</w:t>
            </w:r>
            <w:r>
              <w:rPr>
                <w:rFonts w:hint="eastAsia" w:ascii="Times New Roman" w:hAnsi="Times New Roman" w:cs="Times New Roman"/>
                <w:color w:val="auto"/>
                <w:kern w:val="2"/>
                <w:sz w:val="24"/>
                <w:szCs w:val="24"/>
                <w:highlight w:val="none"/>
                <w:lang w:val="en-US" w:eastAsia="zh-CN" w:bidi="ar"/>
              </w:rPr>
              <w:t>排放</w:t>
            </w:r>
            <w:r>
              <w:rPr>
                <w:rFonts w:hint="default" w:ascii="Times New Roman" w:hAnsi="Times New Roman" w:eastAsia="宋体" w:cs="Times New Roman"/>
                <w:color w:val="auto"/>
                <w:kern w:val="2"/>
                <w:sz w:val="24"/>
                <w:szCs w:val="24"/>
                <w:highlight w:val="none"/>
                <w:lang w:val="en-US" w:eastAsia="zh-CN" w:bidi="ar"/>
              </w:rPr>
              <w:t>浓度为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mg/m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eastAsia" w:ascii="Times New Roman" w:hAnsi="Times New Roman" w:eastAsia="宋体" w:cs="Times New Roman"/>
                <w:color w:val="auto"/>
                <w:kern w:val="2"/>
                <w:sz w:val="24"/>
                <w:szCs w:val="24"/>
                <w:highlight w:val="none"/>
                <w:vertAlign w:val="baseline"/>
                <w:lang w:val="en-US" w:eastAsia="zh-CN" w:bidi="ar"/>
              </w:rPr>
              <w:t>。</w:t>
            </w:r>
          </w:p>
          <w:p w14:paraId="6B6BC7A7">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烘干直燃装置天然气燃烧废气</w:t>
            </w:r>
          </w:p>
          <w:p w14:paraId="12523C8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本项目</w:t>
            </w:r>
            <w:r>
              <w:rPr>
                <w:rFonts w:hint="eastAsia" w:ascii="Times New Roman" w:hAnsi="Times New Roman" w:eastAsia="宋体" w:cs="Times New Roman"/>
                <w:color w:val="auto"/>
                <w:kern w:val="2"/>
                <w:sz w:val="24"/>
                <w:szCs w:val="24"/>
                <w:highlight w:val="none"/>
                <w:lang w:val="en-US" w:eastAsia="zh-CN" w:bidi="ar"/>
              </w:rPr>
              <w:t>定型拉幅机</w:t>
            </w:r>
            <w:r>
              <w:rPr>
                <w:rFonts w:hint="default" w:ascii="Times New Roman" w:hAnsi="Times New Roman" w:eastAsia="宋体" w:cs="Times New Roman"/>
                <w:color w:val="auto"/>
                <w:kern w:val="2"/>
                <w:sz w:val="24"/>
                <w:szCs w:val="24"/>
                <w:highlight w:val="none"/>
                <w:lang w:val="en-US" w:eastAsia="zh-CN" w:bidi="ar"/>
              </w:rPr>
              <w:t>配备天然气直燃装置，直接燃烧天然气产生热量，通过加热新鲜空气用于定型。根据企业提供资料，定型机直燃装置新增天然气年用量约为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万m</w:t>
            </w:r>
            <w:r>
              <w:rPr>
                <w:rFonts w:hint="default" w:ascii="Times New Roman" w:hAnsi="Times New Roman" w:eastAsia="宋体" w:cs="Times New Roman"/>
                <w:color w:val="auto"/>
                <w:kern w:val="2"/>
                <w:sz w:val="24"/>
                <w:szCs w:val="24"/>
                <w:highlight w:val="none"/>
                <w:vertAlign w:val="superscript"/>
                <w:lang w:val="en-US" w:eastAsia="zh-CN" w:bidi="ar"/>
              </w:rPr>
              <w:t>3</w:t>
            </w:r>
            <w:r>
              <w:rPr>
                <w:rFonts w:hint="default" w:ascii="Times New Roman" w:hAnsi="Times New Roman" w:eastAsia="宋体" w:cs="Times New Roman"/>
                <w:color w:val="auto"/>
                <w:kern w:val="2"/>
                <w:sz w:val="24"/>
                <w:szCs w:val="24"/>
                <w:highlight w:val="none"/>
                <w:lang w:val="en-US" w:eastAsia="zh-CN" w:bidi="ar"/>
              </w:rPr>
              <w:t>/a，天然气燃烧会产生的污染物为颗粒物、SO</w:t>
            </w:r>
            <w:r>
              <w:rPr>
                <w:rFonts w:hint="default" w:ascii="Times New Roman" w:hAnsi="Times New Roman" w:eastAsia="宋体" w:cs="Times New Roman"/>
                <w:color w:val="auto"/>
                <w:kern w:val="2"/>
                <w:sz w:val="24"/>
                <w:szCs w:val="24"/>
                <w:highlight w:val="none"/>
                <w:vertAlign w:val="subscript"/>
                <w:lang w:val="en-US" w:eastAsia="zh-CN" w:bidi="ar"/>
              </w:rPr>
              <w:t>2</w:t>
            </w:r>
            <w:r>
              <w:rPr>
                <w:rFonts w:hint="default" w:ascii="Times New Roman" w:hAnsi="Times New Roman" w:eastAsia="宋体" w:cs="Times New Roman"/>
                <w:color w:val="auto"/>
                <w:kern w:val="2"/>
                <w:sz w:val="24"/>
                <w:szCs w:val="24"/>
                <w:highlight w:val="none"/>
                <w:lang w:val="en-US" w:eastAsia="zh-CN" w:bidi="ar"/>
              </w:rPr>
              <w:t>、NOx。天然气燃烧废气和定型废气一起收集处理后一起排放。参照根据生态环境部2021年6月11 日发布的《排放源统计调查产排污核算方法和系数手册》中机械行业计算手册“天然气工业炉窑”产污系数，则天然气燃烧废气污染物产生系数和废气源强详见表4-</w:t>
            </w:r>
            <w:r>
              <w:rPr>
                <w:rFonts w:hint="eastAsia" w:ascii="Times New Roman" w:hAnsi="Times New Roman" w:eastAsia="宋体" w:cs="Times New Roman"/>
                <w:color w:val="auto"/>
                <w:kern w:val="2"/>
                <w:sz w:val="24"/>
                <w:szCs w:val="24"/>
                <w:highlight w:val="none"/>
                <w:lang w:val="en-US" w:eastAsia="zh-CN" w:bidi="ar"/>
              </w:rPr>
              <w:t>1</w:t>
            </w:r>
            <w:r>
              <w:rPr>
                <w:rFonts w:hint="default" w:ascii="Times New Roman" w:hAnsi="Times New Roman" w:eastAsia="宋体" w:cs="Times New Roman"/>
                <w:color w:val="auto"/>
                <w:kern w:val="2"/>
                <w:sz w:val="24"/>
                <w:szCs w:val="24"/>
                <w:highlight w:val="none"/>
                <w:lang w:val="en-US" w:eastAsia="zh-CN" w:bidi="ar"/>
              </w:rPr>
              <w:t>，天然气直燃装置搭配低氮燃烧装置氮氧化物治理效率可达</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w:t>
            </w:r>
          </w:p>
          <w:p w14:paraId="549A1364">
            <w:pPr>
              <w:autoSpaceDE/>
              <w:autoSpaceDN/>
              <w:jc w:val="center"/>
              <w:rPr>
                <w:rFonts w:hint="default" w:ascii="宋体" w:hAnsi="宋体" w:eastAsia="宋体" w:cs="Times New Roman"/>
                <w:b/>
                <w:bCs/>
                <w:sz w:val="21"/>
                <w:szCs w:val="21"/>
                <w:highlight w:val="none"/>
                <w:vertAlign w:val="baseline"/>
                <w:lang w:val="en-US" w:eastAsia="zh-CN"/>
              </w:rPr>
            </w:pPr>
            <w:r>
              <w:rPr>
                <w:rFonts w:hint="eastAsia" w:ascii="宋体" w:hAnsi="宋体" w:eastAsia="宋体" w:cs="Times New Roman"/>
                <w:b/>
                <w:bCs/>
                <w:sz w:val="21"/>
                <w:szCs w:val="21"/>
                <w:highlight w:val="none"/>
                <w:lang w:val="en-US" w:eastAsia="zh-CN"/>
              </w:rPr>
              <w:t>表4-1  天然气燃烧废气污染物产生系数表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2409"/>
              <w:gridCol w:w="2409"/>
              <w:gridCol w:w="2411"/>
            </w:tblGrid>
            <w:tr w14:paraId="4B4E02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tcBorders>
                    <w:tl2br w:val="nil"/>
                    <w:tr2bl w:val="nil"/>
                  </w:tcBorders>
                  <w:vAlign w:val="center"/>
                </w:tcPr>
                <w:p w14:paraId="7A23ADC6">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原料名称</w:t>
                  </w:r>
                </w:p>
              </w:tc>
              <w:tc>
                <w:tcPr>
                  <w:tcW w:w="2409" w:type="dxa"/>
                  <w:tcBorders>
                    <w:tl2br w:val="nil"/>
                    <w:tr2bl w:val="nil"/>
                  </w:tcBorders>
                  <w:vAlign w:val="center"/>
                </w:tcPr>
                <w:p w14:paraId="4D8C8F09">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污染物指标</w:t>
                  </w:r>
                </w:p>
              </w:tc>
              <w:tc>
                <w:tcPr>
                  <w:tcW w:w="2409" w:type="dxa"/>
                  <w:tcBorders>
                    <w:tl2br w:val="nil"/>
                    <w:tr2bl w:val="nil"/>
                  </w:tcBorders>
                  <w:vAlign w:val="center"/>
                </w:tcPr>
                <w:p w14:paraId="77E1BDBE">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产污系数</w:t>
                  </w:r>
                </w:p>
              </w:tc>
              <w:tc>
                <w:tcPr>
                  <w:tcW w:w="2411" w:type="dxa"/>
                  <w:tcBorders>
                    <w:tl2br w:val="nil"/>
                    <w:tr2bl w:val="nil"/>
                  </w:tcBorders>
                  <w:vAlign w:val="center"/>
                </w:tcPr>
                <w:p w14:paraId="2E86F4C8">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废气产生量（t/a）</w:t>
                  </w:r>
                </w:p>
              </w:tc>
            </w:tr>
            <w:tr w14:paraId="06B86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Merge w:val="restart"/>
                  <w:tcBorders>
                    <w:tl2br w:val="nil"/>
                    <w:tr2bl w:val="nil"/>
                  </w:tcBorders>
                  <w:vAlign w:val="center"/>
                </w:tcPr>
                <w:p w14:paraId="38DFD400">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天然气</w:t>
                  </w:r>
                </w:p>
              </w:tc>
              <w:tc>
                <w:tcPr>
                  <w:tcW w:w="2409" w:type="dxa"/>
                  <w:tcBorders>
                    <w:tl2br w:val="nil"/>
                    <w:tr2bl w:val="nil"/>
                  </w:tcBorders>
                  <w:vAlign w:val="center"/>
                </w:tcPr>
                <w:p w14:paraId="31925A5B">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颗粒物</w:t>
                  </w:r>
                </w:p>
              </w:tc>
              <w:tc>
                <w:tcPr>
                  <w:tcW w:w="2409" w:type="dxa"/>
                  <w:tcBorders>
                    <w:tl2br w:val="nil"/>
                    <w:tr2bl w:val="nil"/>
                  </w:tcBorders>
                  <w:vAlign w:val="center"/>
                </w:tcPr>
                <w:p w14:paraId="3DC5305C">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0.000286千克/</w:t>
                  </w:r>
                  <w:r>
                    <w:rPr>
                      <w:rFonts w:hint="default" w:ascii="Times New Roman" w:hAnsi="Times New Roman" w:eastAsia="宋体" w:cs="Times New Roman"/>
                      <w:b w:val="0"/>
                      <w:bCs w:val="0"/>
                      <w:color w:val="auto"/>
                      <w:kern w:val="2"/>
                      <w:sz w:val="21"/>
                      <w:szCs w:val="21"/>
                      <w:highlight w:val="none"/>
                      <w:lang w:val="en-US" w:eastAsia="zh-CN" w:bidi="ar"/>
                    </w:rPr>
                    <w:t>m</w:t>
                  </w:r>
                  <w:r>
                    <w:rPr>
                      <w:rFonts w:hint="default" w:ascii="Times New Roman" w:hAnsi="Times New Roman" w:eastAsia="宋体" w:cs="Times New Roman"/>
                      <w:b w:val="0"/>
                      <w:bCs w:val="0"/>
                      <w:color w:val="auto"/>
                      <w:kern w:val="2"/>
                      <w:sz w:val="21"/>
                      <w:szCs w:val="21"/>
                      <w:highlight w:val="none"/>
                      <w:vertAlign w:val="superscript"/>
                      <w:lang w:val="en-US" w:eastAsia="zh-CN" w:bidi="ar"/>
                    </w:rPr>
                    <w:t>3</w:t>
                  </w:r>
                  <w:r>
                    <w:rPr>
                      <w:rFonts w:hint="default" w:ascii="Times New Roman" w:hAnsi="Times New Roman" w:eastAsia="宋体" w:cs="Times New Roman"/>
                      <w:b w:val="0"/>
                      <w:bCs w:val="0"/>
                      <w:color w:val="auto"/>
                      <w:kern w:val="2"/>
                      <w:sz w:val="21"/>
                      <w:szCs w:val="21"/>
                      <w:highlight w:val="none"/>
                      <w:vertAlign w:val="baseline"/>
                      <w:lang w:val="en-US" w:eastAsia="zh-CN" w:bidi="ar"/>
                    </w:rPr>
                    <w:t>-原料</w:t>
                  </w:r>
                </w:p>
              </w:tc>
              <w:tc>
                <w:tcPr>
                  <w:tcW w:w="2411" w:type="dxa"/>
                  <w:tcBorders>
                    <w:tl2br w:val="nil"/>
                    <w:tr2bl w:val="nil"/>
                  </w:tcBorders>
                  <w:vAlign w:val="center"/>
                </w:tcPr>
                <w:p w14:paraId="7C3A632B">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01306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Merge w:val="continue"/>
                  <w:tcBorders>
                    <w:tl2br w:val="nil"/>
                    <w:tr2bl w:val="nil"/>
                  </w:tcBorders>
                  <w:vAlign w:val="center"/>
                </w:tcPr>
                <w:p w14:paraId="6B8257D8">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p>
              </w:tc>
              <w:tc>
                <w:tcPr>
                  <w:tcW w:w="2409" w:type="dxa"/>
                  <w:tcBorders>
                    <w:tl2br w:val="nil"/>
                    <w:tr2bl w:val="nil"/>
                  </w:tcBorders>
                  <w:vAlign w:val="center"/>
                </w:tcPr>
                <w:p w14:paraId="1D650056">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二氧化硫</w:t>
                  </w:r>
                </w:p>
              </w:tc>
              <w:tc>
                <w:tcPr>
                  <w:tcW w:w="2409" w:type="dxa"/>
                  <w:tcBorders>
                    <w:tl2br w:val="nil"/>
                    <w:tr2bl w:val="nil"/>
                  </w:tcBorders>
                  <w:vAlign w:val="center"/>
                </w:tcPr>
                <w:p w14:paraId="5116C164">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0.000002S千克/</w:t>
                  </w:r>
                  <w:r>
                    <w:rPr>
                      <w:rFonts w:hint="default" w:ascii="Times New Roman" w:hAnsi="Times New Roman" w:eastAsia="宋体" w:cs="Times New Roman"/>
                      <w:b w:val="0"/>
                      <w:bCs w:val="0"/>
                      <w:color w:val="auto"/>
                      <w:kern w:val="2"/>
                      <w:sz w:val="21"/>
                      <w:szCs w:val="21"/>
                      <w:highlight w:val="none"/>
                      <w:lang w:val="en-US" w:eastAsia="zh-CN" w:bidi="ar"/>
                    </w:rPr>
                    <w:t>m</w:t>
                  </w:r>
                  <w:r>
                    <w:rPr>
                      <w:rFonts w:hint="default" w:ascii="Times New Roman" w:hAnsi="Times New Roman" w:eastAsia="宋体" w:cs="Times New Roman"/>
                      <w:b w:val="0"/>
                      <w:bCs w:val="0"/>
                      <w:color w:val="auto"/>
                      <w:kern w:val="2"/>
                      <w:sz w:val="21"/>
                      <w:szCs w:val="21"/>
                      <w:highlight w:val="none"/>
                      <w:vertAlign w:val="superscript"/>
                      <w:lang w:val="en-US" w:eastAsia="zh-CN" w:bidi="ar"/>
                    </w:rPr>
                    <w:t>3</w:t>
                  </w:r>
                  <w:r>
                    <w:rPr>
                      <w:rFonts w:hint="default" w:ascii="Times New Roman" w:hAnsi="Times New Roman" w:eastAsia="宋体" w:cs="Times New Roman"/>
                      <w:b w:val="0"/>
                      <w:bCs w:val="0"/>
                      <w:color w:val="auto"/>
                      <w:kern w:val="2"/>
                      <w:sz w:val="21"/>
                      <w:szCs w:val="21"/>
                      <w:highlight w:val="none"/>
                      <w:vertAlign w:val="baseline"/>
                      <w:lang w:val="en-US" w:eastAsia="zh-CN" w:bidi="ar"/>
                    </w:rPr>
                    <w:t>-原料</w:t>
                  </w:r>
                </w:p>
              </w:tc>
              <w:tc>
                <w:tcPr>
                  <w:tcW w:w="2411" w:type="dxa"/>
                  <w:tcBorders>
                    <w:tl2br w:val="nil"/>
                    <w:tr2bl w:val="nil"/>
                  </w:tcBorders>
                  <w:vAlign w:val="center"/>
                </w:tcPr>
                <w:p w14:paraId="4ADE0801">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46CD5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Merge w:val="continue"/>
                  <w:tcBorders>
                    <w:tl2br w:val="nil"/>
                    <w:tr2bl w:val="nil"/>
                  </w:tcBorders>
                  <w:vAlign w:val="center"/>
                </w:tcPr>
                <w:p w14:paraId="0132850F">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p>
              </w:tc>
              <w:tc>
                <w:tcPr>
                  <w:tcW w:w="2409" w:type="dxa"/>
                  <w:tcBorders>
                    <w:tl2br w:val="nil"/>
                    <w:tr2bl w:val="nil"/>
                  </w:tcBorders>
                  <w:vAlign w:val="center"/>
                </w:tcPr>
                <w:p w14:paraId="4BD2D809">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氮氧化物</w:t>
                  </w:r>
                </w:p>
              </w:tc>
              <w:tc>
                <w:tcPr>
                  <w:tcW w:w="2409" w:type="dxa"/>
                  <w:tcBorders>
                    <w:tl2br w:val="nil"/>
                    <w:tr2bl w:val="nil"/>
                  </w:tcBorders>
                  <w:vAlign w:val="center"/>
                </w:tcPr>
                <w:p w14:paraId="4144F247">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0.00187千克/</w:t>
                  </w:r>
                  <w:r>
                    <w:rPr>
                      <w:rFonts w:hint="default" w:ascii="Times New Roman" w:hAnsi="Times New Roman" w:eastAsia="宋体" w:cs="Times New Roman"/>
                      <w:b w:val="0"/>
                      <w:bCs w:val="0"/>
                      <w:color w:val="auto"/>
                      <w:kern w:val="2"/>
                      <w:sz w:val="21"/>
                      <w:szCs w:val="21"/>
                      <w:highlight w:val="none"/>
                      <w:lang w:val="en-US" w:eastAsia="zh-CN" w:bidi="ar"/>
                    </w:rPr>
                    <w:t>m</w:t>
                  </w:r>
                  <w:r>
                    <w:rPr>
                      <w:rFonts w:hint="default" w:ascii="Times New Roman" w:hAnsi="Times New Roman" w:eastAsia="宋体" w:cs="Times New Roman"/>
                      <w:b w:val="0"/>
                      <w:bCs w:val="0"/>
                      <w:color w:val="auto"/>
                      <w:kern w:val="2"/>
                      <w:sz w:val="21"/>
                      <w:szCs w:val="21"/>
                      <w:highlight w:val="none"/>
                      <w:vertAlign w:val="superscript"/>
                      <w:lang w:val="en-US" w:eastAsia="zh-CN" w:bidi="ar"/>
                    </w:rPr>
                    <w:t>3</w:t>
                  </w:r>
                  <w:r>
                    <w:rPr>
                      <w:rFonts w:hint="default" w:ascii="Times New Roman" w:hAnsi="Times New Roman" w:eastAsia="宋体" w:cs="Times New Roman"/>
                      <w:b w:val="0"/>
                      <w:bCs w:val="0"/>
                      <w:color w:val="auto"/>
                      <w:kern w:val="2"/>
                      <w:sz w:val="21"/>
                      <w:szCs w:val="21"/>
                      <w:highlight w:val="none"/>
                      <w:vertAlign w:val="baseline"/>
                      <w:lang w:val="en-US" w:eastAsia="zh-CN" w:bidi="ar"/>
                    </w:rPr>
                    <w:t>-原料</w:t>
                  </w:r>
                </w:p>
              </w:tc>
              <w:tc>
                <w:tcPr>
                  <w:tcW w:w="2411" w:type="dxa"/>
                  <w:tcBorders>
                    <w:tl2br w:val="nil"/>
                    <w:tr2bl w:val="nil"/>
                  </w:tcBorders>
                  <w:vAlign w:val="center"/>
                </w:tcPr>
                <w:p w14:paraId="34745244">
                  <w:pPr>
                    <w:autoSpaceDE/>
                    <w:autoSpaceDN/>
                    <w:spacing w:line="240" w:lineRule="auto"/>
                    <w:jc w:val="center"/>
                    <w:rPr>
                      <w:rFonts w:hint="default" w:ascii="Times New Roman" w:hAnsi="Times New Roman" w:eastAsia="宋体" w:cs="Times New Roman"/>
                      <w:b w:val="0"/>
                      <w:bCs w:val="0"/>
                      <w:sz w:val="21"/>
                      <w:szCs w:val="21"/>
                      <w:highlight w:val="none"/>
                      <w:vertAlign w:val="baseline"/>
                      <w:lang w:val="en-US" w:eastAsia="zh-CN"/>
                    </w:rPr>
                  </w:pPr>
                  <w:r>
                    <w:rPr>
                      <w:rFonts w:hint="eastAsia" w:ascii="Times New Roman" w:hAnsi="Times New Roman" w:cs="Times New Roman"/>
                      <w:color w:val="auto"/>
                      <w:kern w:val="2"/>
                      <w:sz w:val="24"/>
                      <w:szCs w:val="24"/>
                      <w:highlight w:val="none"/>
                      <w:lang w:val="en-US" w:eastAsia="zh-CN" w:bidi="ar"/>
                    </w:rPr>
                    <w:t>***</w:t>
                  </w:r>
                </w:p>
              </w:tc>
            </w:tr>
          </w:tbl>
          <w:p w14:paraId="232393DA">
            <w:pPr>
              <w:autoSpaceDE/>
              <w:autoSpaceDN/>
              <w:jc w:val="left"/>
              <w:rPr>
                <w:rFonts w:hint="default" w:ascii="宋体" w:hAnsi="宋体" w:eastAsia="宋体" w:cs="Times New Roman"/>
                <w:b w:val="0"/>
                <w:bCs w:val="0"/>
                <w:sz w:val="18"/>
                <w:szCs w:val="18"/>
                <w:highlight w:val="none"/>
                <w:lang w:val="en-US" w:eastAsia="zh-CN"/>
              </w:rPr>
            </w:pPr>
            <w:r>
              <w:rPr>
                <w:rFonts w:hint="default" w:ascii="宋体" w:hAnsi="宋体" w:eastAsia="宋体" w:cs="Times New Roman"/>
                <w:b w:val="0"/>
                <w:bCs w:val="0"/>
                <w:sz w:val="18"/>
                <w:szCs w:val="18"/>
                <w:highlight w:val="none"/>
                <w:lang w:val="en-US" w:eastAsia="zh-CN"/>
              </w:rPr>
              <w:t>注</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二氧化硫的产排污系数是以含硫量</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S</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的行使表示的，其中含硫量</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S</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是指燃气收到基硫分含量，单位为毫克/立方米。根据国家标准《天然气》</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GB17820-2018</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表1二类天然气质量总硫</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以硫计</w:t>
            </w:r>
            <w:r>
              <w:rPr>
                <w:rFonts w:hint="eastAsia" w:cs="Times New Roman"/>
                <w:b w:val="0"/>
                <w:bCs w:val="0"/>
                <w:sz w:val="18"/>
                <w:szCs w:val="18"/>
                <w:highlight w:val="none"/>
                <w:lang w:val="en-US" w:eastAsia="zh-CN"/>
              </w:rPr>
              <w:t>）</w:t>
            </w:r>
            <w:r>
              <w:rPr>
                <w:rFonts w:hint="default" w:ascii="宋体" w:hAnsi="宋体" w:eastAsia="宋体" w:cs="Times New Roman"/>
                <w:b w:val="0"/>
                <w:bCs w:val="0"/>
                <w:sz w:val="18"/>
                <w:szCs w:val="18"/>
                <w:highlight w:val="none"/>
                <w:lang w:val="en-US" w:eastAsia="zh-CN"/>
              </w:rPr>
              <w:t>为≤100mg/m</w:t>
            </w:r>
            <w:r>
              <w:rPr>
                <w:rFonts w:hint="default" w:ascii="宋体" w:hAnsi="宋体" w:eastAsia="宋体" w:cs="Times New Roman"/>
                <w:b w:val="0"/>
                <w:bCs w:val="0"/>
                <w:sz w:val="18"/>
                <w:szCs w:val="18"/>
                <w:highlight w:val="none"/>
                <w:vertAlign w:val="superscript"/>
                <w:lang w:val="en-US" w:eastAsia="zh-CN"/>
              </w:rPr>
              <w:t>3</w:t>
            </w:r>
            <w:r>
              <w:rPr>
                <w:rFonts w:hint="default" w:ascii="宋体" w:hAnsi="宋体" w:eastAsia="宋体" w:cs="Times New Roman"/>
                <w:b w:val="0"/>
                <w:bCs w:val="0"/>
                <w:sz w:val="18"/>
                <w:szCs w:val="18"/>
                <w:highlight w:val="none"/>
                <w:lang w:val="en-US" w:eastAsia="zh-CN"/>
              </w:rPr>
              <w:t>，则S取=100mg/m</w:t>
            </w:r>
            <w:r>
              <w:rPr>
                <w:rFonts w:hint="default" w:ascii="宋体" w:hAnsi="宋体" w:eastAsia="宋体" w:cs="Times New Roman"/>
                <w:b w:val="0"/>
                <w:bCs w:val="0"/>
                <w:sz w:val="18"/>
                <w:szCs w:val="18"/>
                <w:highlight w:val="none"/>
                <w:vertAlign w:val="superscript"/>
                <w:lang w:val="en-US" w:eastAsia="zh-CN"/>
              </w:rPr>
              <w:t>3</w:t>
            </w:r>
            <w:r>
              <w:rPr>
                <w:rFonts w:hint="default" w:ascii="宋体" w:hAnsi="宋体" w:eastAsia="宋体" w:cs="Times New Roman"/>
                <w:b w:val="0"/>
                <w:bCs w:val="0"/>
                <w:sz w:val="18"/>
                <w:szCs w:val="18"/>
                <w:highlight w:val="none"/>
                <w:lang w:val="en-US" w:eastAsia="zh-CN"/>
              </w:rPr>
              <w:t>，则二氧化硫的污染物指标为0.0002千克/m</w:t>
            </w:r>
            <w:r>
              <w:rPr>
                <w:rFonts w:hint="default" w:ascii="宋体" w:hAnsi="宋体" w:eastAsia="宋体" w:cs="Times New Roman"/>
                <w:b w:val="0"/>
                <w:bCs w:val="0"/>
                <w:sz w:val="18"/>
                <w:szCs w:val="18"/>
                <w:highlight w:val="none"/>
                <w:vertAlign w:val="superscript"/>
                <w:lang w:val="en-US" w:eastAsia="zh-CN"/>
              </w:rPr>
              <w:t>3</w:t>
            </w:r>
            <w:r>
              <w:rPr>
                <w:rFonts w:hint="default" w:ascii="宋体" w:hAnsi="宋体" w:eastAsia="宋体" w:cs="Times New Roman"/>
                <w:b w:val="0"/>
                <w:bCs w:val="0"/>
                <w:sz w:val="18"/>
                <w:szCs w:val="18"/>
                <w:highlight w:val="none"/>
                <w:lang w:val="en-US" w:eastAsia="zh-CN"/>
              </w:rPr>
              <w:t>。</w:t>
            </w:r>
          </w:p>
          <w:p w14:paraId="6DBEB24C">
            <w:pPr>
              <w:keepNext w:val="0"/>
              <w:keepLines w:val="0"/>
              <w:widowControl w:val="0"/>
              <w:numPr>
                <w:ilvl w:val="0"/>
                <w:numId w:val="3"/>
              </w:numPr>
              <w:suppressLineNumbers w:val="0"/>
              <w:spacing w:before="0" w:beforeAutospacing="0" w:after="0" w:afterAutospacing="0" w:line="360" w:lineRule="auto"/>
              <w:ind w:left="0" w:leftChars="0" w:right="0" w:firstLine="480" w:firstLineChars="200"/>
              <w:jc w:val="left"/>
              <w:rPr>
                <w:rFonts w:hint="eastAsia" w:ascii="Times New Roman" w:hAnsi="Times New Roman" w:cs="Times New Roman"/>
                <w:sz w:val="24"/>
                <w:szCs w:val="24"/>
                <w:highlight w:val="none"/>
                <w:lang w:val="en-US" w:eastAsia="zh-CN"/>
              </w:rPr>
            </w:pPr>
            <w:bookmarkStart w:id="14" w:name="_Hlk194405839"/>
            <w:r>
              <w:rPr>
                <w:rFonts w:hint="eastAsia" w:ascii="Times New Roman" w:hAnsi="Times New Roman" w:cs="Times New Roman"/>
                <w:sz w:val="24"/>
                <w:szCs w:val="24"/>
                <w:highlight w:val="none"/>
                <w:lang w:val="en-US" w:eastAsia="zh-CN"/>
              </w:rPr>
              <w:t>污水处理站异味</w:t>
            </w:r>
          </w:p>
          <w:p w14:paraId="490AAD40">
            <w:pPr>
              <w:keepNext w:val="0"/>
              <w:keepLines w:val="0"/>
              <w:widowControl w:val="0"/>
              <w:numPr>
                <w:ilvl w:val="0"/>
                <w:numId w:val="0"/>
              </w:numPr>
              <w:suppressLineNumbers w:val="0"/>
              <w:spacing w:before="0" w:beforeAutospacing="0" w:after="0" w:afterAutospacing="0" w:line="360" w:lineRule="auto"/>
              <w:ind w:right="0" w:rightChars="0" w:firstLine="480" w:firstLineChars="200"/>
              <w:jc w:val="left"/>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本项目污水处理工艺主要为物化处理及好氧生化处理，无厌氧处理工序，因此恶臭污染物产生量较小。因《排放源统计调查产排污核算方法和系数手册》</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生态环境部公告2021年第24号</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无H</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S、NH</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产污系数，故参考《环境影响评价案例分析》</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2015年版，环境保护部环境工程评估中心编，中国环境出版社</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P326页，每处理1kg的BODs，可产生0.0031kg的NH</w:t>
            </w:r>
            <w:r>
              <w:rPr>
                <w:rFonts w:hint="default" w:ascii="Times New Roman" w:hAnsi="Times New Roman" w:cs="Times New Roman"/>
                <w:sz w:val="24"/>
                <w:szCs w:val="24"/>
                <w:highlight w:val="none"/>
                <w:vertAlign w:val="subscript"/>
                <w:lang w:val="en-US" w:eastAsia="zh-CN"/>
              </w:rPr>
              <w:t>3</w:t>
            </w:r>
            <w:r>
              <w:rPr>
                <w:rFonts w:hint="default" w:ascii="Times New Roman" w:hAnsi="Times New Roman" w:cs="Times New Roman"/>
                <w:sz w:val="24"/>
                <w:szCs w:val="24"/>
                <w:highlight w:val="none"/>
                <w:lang w:val="en-US" w:eastAsia="zh-CN"/>
              </w:rPr>
              <w:t>和0.00012kg的H</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S。本项目建成后经污水处理站处理的BODs总量约为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z w:val="24"/>
                <w:szCs w:val="24"/>
                <w:highlight w:val="none"/>
                <w:lang w:val="en-US" w:eastAsia="zh-CN"/>
              </w:rPr>
              <w:t>t/a，由此可计算出NH</w:t>
            </w:r>
            <w:r>
              <w:rPr>
                <w:rFonts w:hint="default" w:ascii="Times New Roman" w:hAnsi="Times New Roman" w:cs="Times New Roman"/>
                <w:sz w:val="24"/>
                <w:szCs w:val="24"/>
                <w:highlight w:val="none"/>
                <w:vertAlign w:val="subscript"/>
                <w:lang w:val="en-US" w:eastAsia="zh-CN"/>
              </w:rPr>
              <w:t>3</w:t>
            </w:r>
            <w:r>
              <w:rPr>
                <w:rFonts w:hint="default" w:ascii="Times New Roman" w:hAnsi="Times New Roman" w:cs="Times New Roman"/>
                <w:sz w:val="24"/>
                <w:szCs w:val="24"/>
                <w:highlight w:val="none"/>
                <w:lang w:val="en-US" w:eastAsia="zh-CN"/>
              </w:rPr>
              <w:t>产生量为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z w:val="24"/>
                <w:szCs w:val="24"/>
                <w:highlight w:val="none"/>
                <w:lang w:val="en-US" w:eastAsia="zh-CN"/>
              </w:rPr>
              <w:t>t/a、H</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S产生量为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sz w:val="24"/>
                <w:szCs w:val="24"/>
                <w:highlight w:val="none"/>
                <w:lang w:val="en-US" w:eastAsia="zh-CN"/>
              </w:rPr>
              <w:t>t/a。采取污水处理设施加盖密封、厂区加强绿化、定期喷洒除臭剂等措施减轻恶臭对周围环境的影响。</w:t>
            </w:r>
          </w:p>
          <w:p w14:paraId="51A7A37F">
            <w:pPr>
              <w:keepNext w:val="0"/>
              <w:keepLines w:val="0"/>
              <w:widowControl w:val="0"/>
              <w:suppressLineNumbers w:val="0"/>
              <w:spacing w:before="0" w:beforeAutospacing="0" w:after="0" w:afterAutospacing="0" w:line="360" w:lineRule="auto"/>
              <w:ind w:left="0" w:right="0" w:firstLine="480" w:firstLineChars="200"/>
              <w:jc w:val="left"/>
              <w:rPr>
                <w:highlight w:val="none"/>
                <w:lang w:eastAsia="zh-CN"/>
              </w:rPr>
            </w:pPr>
            <w:r>
              <w:rPr>
                <w:rFonts w:hint="eastAsia" w:ascii="Times New Roman" w:hAnsi="Times New Roman" w:eastAsia="宋体" w:cs="Times New Roman"/>
                <w:sz w:val="24"/>
                <w:szCs w:val="24"/>
                <w:highlight w:val="none"/>
                <w:lang w:eastAsia="zh-CN"/>
              </w:rPr>
              <w:t>本项目运营期废气产生、排放及治理措施一览表见表4-</w:t>
            </w:r>
            <w:r>
              <w:rPr>
                <w:rFonts w:hint="eastAsia" w:ascii="Times New Roman" w:hAnsi="Times New Roman" w:cs="Times New Roman"/>
                <w:sz w:val="24"/>
                <w:szCs w:val="24"/>
                <w:highlight w:val="none"/>
                <w:lang w:val="en-US" w:eastAsia="zh-CN"/>
              </w:rPr>
              <w:t>2</w:t>
            </w:r>
            <w:r>
              <w:rPr>
                <w:rFonts w:hint="eastAsia" w:ascii="Times New Roman" w:hAnsi="Times New Roman" w:eastAsia="宋体" w:cs="Times New Roman"/>
                <w:sz w:val="24"/>
                <w:szCs w:val="24"/>
                <w:highlight w:val="none"/>
                <w:lang w:eastAsia="zh-CN"/>
              </w:rPr>
              <w:t>。</w:t>
            </w:r>
          </w:p>
          <w:p w14:paraId="2533F6A4">
            <w:pPr>
              <w:pStyle w:val="64"/>
              <w:ind w:firstLine="0"/>
              <w:jc w:val="center"/>
              <w:rPr>
                <w:rFonts w:hint="eastAsia" w:ascii="宋体" w:hAnsi="宋体" w:eastAsia="宋体"/>
                <w:b/>
                <w:bCs/>
                <w:sz w:val="21"/>
                <w:szCs w:val="21"/>
                <w:highlight w:val="none"/>
                <w:lang w:eastAsia="zh-CN"/>
              </w:rPr>
            </w:pPr>
            <w:r>
              <w:rPr>
                <w:rFonts w:hint="eastAsia" w:ascii="宋体" w:hAnsi="宋体" w:eastAsia="宋体"/>
                <w:b/>
                <w:bCs/>
                <w:sz w:val="21"/>
                <w:szCs w:val="21"/>
                <w:highlight w:val="none"/>
                <w:lang w:eastAsia="zh-CN"/>
              </w:rPr>
              <w:t>表4-</w:t>
            </w:r>
            <w:r>
              <w:rPr>
                <w:rFonts w:hint="eastAsia" w:ascii="宋体" w:hAnsi="宋体" w:eastAsia="宋体"/>
                <w:b/>
                <w:bCs/>
                <w:sz w:val="21"/>
                <w:szCs w:val="21"/>
                <w:highlight w:val="none"/>
                <w:lang w:val="en-US" w:eastAsia="zh-CN"/>
              </w:rPr>
              <w:t xml:space="preserve">2  </w:t>
            </w:r>
            <w:r>
              <w:rPr>
                <w:rFonts w:hint="eastAsia" w:ascii="宋体" w:hAnsi="宋体" w:eastAsia="宋体"/>
                <w:b/>
                <w:bCs/>
                <w:sz w:val="21"/>
                <w:szCs w:val="21"/>
                <w:highlight w:val="none"/>
                <w:lang w:eastAsia="zh-CN"/>
              </w:rPr>
              <w:t>废气污染物排放情况汇总表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3"/>
              <w:gridCol w:w="847"/>
              <w:gridCol w:w="899"/>
              <w:gridCol w:w="922"/>
              <w:gridCol w:w="1545"/>
              <w:gridCol w:w="922"/>
              <w:gridCol w:w="871"/>
              <w:gridCol w:w="1037"/>
              <w:gridCol w:w="1294"/>
            </w:tblGrid>
            <w:tr w14:paraId="24CB8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noWrap w:val="0"/>
                  <w:vAlign w:val="center"/>
                </w:tcPr>
                <w:p w14:paraId="307A527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kern w:val="0"/>
                      <w:sz w:val="21"/>
                      <w:szCs w:val="21"/>
                      <w:highlight w:val="none"/>
                      <w:vertAlign w:val="baseline"/>
                      <w:lang w:val="en-US" w:eastAsia="zh-CN" w:bidi="ar"/>
                    </w:rPr>
                  </w:pPr>
                  <w:r>
                    <w:rPr>
                      <w:rFonts w:hint="default" w:ascii="Times New Roman" w:hAnsi="Times New Roman" w:eastAsia="宋体" w:cs="Times New Roman"/>
                      <w:b/>
                      <w:bCs w:val="0"/>
                      <w:color w:val="auto"/>
                      <w:kern w:val="0"/>
                      <w:sz w:val="21"/>
                      <w:szCs w:val="21"/>
                      <w:highlight w:val="none"/>
                      <w:vertAlign w:val="baseline"/>
                      <w:lang w:val="en-US" w:eastAsia="zh-CN" w:bidi="ar"/>
                    </w:rPr>
                    <w:t>产污点（有组织）</w:t>
                  </w:r>
                </w:p>
              </w:tc>
              <w:tc>
                <w:tcPr>
                  <w:tcW w:w="0" w:type="auto"/>
                  <w:tcBorders>
                    <w:tl2br w:val="nil"/>
                    <w:tr2bl w:val="nil"/>
                  </w:tcBorders>
                  <w:noWrap w:val="0"/>
                  <w:vAlign w:val="center"/>
                </w:tcPr>
                <w:p w14:paraId="219B62C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污染物</w:t>
                  </w:r>
                </w:p>
              </w:tc>
              <w:tc>
                <w:tcPr>
                  <w:tcW w:w="0" w:type="auto"/>
                  <w:tcBorders>
                    <w:tl2br w:val="nil"/>
                    <w:tr2bl w:val="nil"/>
                  </w:tcBorders>
                  <w:noWrap w:val="0"/>
                  <w:vAlign w:val="center"/>
                </w:tcPr>
                <w:p w14:paraId="708D0BB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产生量</w:t>
                  </w:r>
                </w:p>
                <w:p w14:paraId="48F53629">
                  <w:pPr>
                    <w:pStyle w:val="10"/>
                    <w:keepNext w:val="0"/>
                    <w:keepLines w:val="0"/>
                    <w:pageBreakBefore w:val="0"/>
                    <w:widowControl/>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b/>
                      <w:bCs w:val="0"/>
                      <w:color w:val="auto"/>
                      <w:kern w:val="0"/>
                      <w:sz w:val="21"/>
                      <w:szCs w:val="21"/>
                      <w:highlight w:val="none"/>
                      <w:vertAlign w:val="baseline"/>
                      <w:lang w:val="en-US" w:eastAsia="zh-CN" w:bidi="ar"/>
                    </w:rPr>
                  </w:pPr>
                  <w:r>
                    <w:rPr>
                      <w:rFonts w:hint="default" w:ascii="Times New Roman" w:hAnsi="Times New Roman" w:eastAsia="宋体" w:cs="Times New Roman"/>
                      <w:b/>
                      <w:bCs w:val="0"/>
                      <w:color w:val="auto"/>
                      <w:sz w:val="21"/>
                      <w:szCs w:val="21"/>
                      <w:highlight w:val="none"/>
                    </w:rPr>
                    <w:t>（t/a）</w:t>
                  </w:r>
                </w:p>
              </w:tc>
              <w:tc>
                <w:tcPr>
                  <w:tcW w:w="0" w:type="auto"/>
                  <w:tcBorders>
                    <w:tl2br w:val="nil"/>
                    <w:tr2bl w:val="nil"/>
                  </w:tcBorders>
                  <w:noWrap w:val="0"/>
                  <w:vAlign w:val="center"/>
                </w:tcPr>
                <w:p w14:paraId="01A19249">
                  <w:pPr>
                    <w:pStyle w:val="10"/>
                    <w:keepNext w:val="0"/>
                    <w:keepLines w:val="0"/>
                    <w:pageBreakBefore w:val="0"/>
                    <w:widowControl/>
                    <w:kinsoku/>
                    <w:wordWrap/>
                    <w:overflowPunct/>
                    <w:topLinePunct w:val="0"/>
                    <w:autoSpaceDE/>
                    <w:autoSpaceDN/>
                    <w:bidi w:val="0"/>
                    <w:adjustRightInd/>
                    <w:snapToGrid/>
                    <w:spacing w:before="0" w:after="0" w:line="240" w:lineRule="auto"/>
                    <w:ind w:right="0"/>
                    <w:jc w:val="center"/>
                    <w:textAlignment w:val="auto"/>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收集效率（%）</w:t>
                  </w:r>
                </w:p>
              </w:tc>
              <w:tc>
                <w:tcPr>
                  <w:tcW w:w="0" w:type="auto"/>
                  <w:tcBorders>
                    <w:tl2br w:val="nil"/>
                    <w:tr2bl w:val="nil"/>
                  </w:tcBorders>
                  <w:noWrap w:val="0"/>
                  <w:vAlign w:val="center"/>
                </w:tcPr>
                <w:p w14:paraId="44FB1243">
                  <w:pPr>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治理措施</w:t>
                  </w:r>
                </w:p>
              </w:tc>
              <w:tc>
                <w:tcPr>
                  <w:tcW w:w="0" w:type="auto"/>
                  <w:tcBorders>
                    <w:tl2br w:val="nil"/>
                    <w:tr2bl w:val="nil"/>
                  </w:tcBorders>
                  <w:noWrap w:val="0"/>
                  <w:vAlign w:val="center"/>
                </w:tcPr>
                <w:p w14:paraId="5A679DB4">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处理效率（%）</w:t>
                  </w:r>
                </w:p>
              </w:tc>
              <w:tc>
                <w:tcPr>
                  <w:tcW w:w="0" w:type="auto"/>
                  <w:tcBorders>
                    <w:tl2br w:val="nil"/>
                    <w:tr2bl w:val="nil"/>
                  </w:tcBorders>
                  <w:noWrap w:val="0"/>
                  <w:vAlign w:val="center"/>
                </w:tcPr>
                <w:p w14:paraId="7648131B">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排放量</w:t>
                  </w:r>
                </w:p>
                <w:p w14:paraId="688F8FF4">
                  <w:pPr>
                    <w:spacing w:line="240" w:lineRule="auto"/>
                    <w:jc w:val="center"/>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（t/a）</w:t>
                  </w:r>
                </w:p>
              </w:tc>
              <w:tc>
                <w:tcPr>
                  <w:tcW w:w="0" w:type="auto"/>
                  <w:tcBorders>
                    <w:tl2br w:val="nil"/>
                    <w:tr2bl w:val="nil"/>
                  </w:tcBorders>
                  <w:noWrap w:val="0"/>
                  <w:vAlign w:val="center"/>
                </w:tcPr>
                <w:p w14:paraId="132F4692">
                  <w:pPr>
                    <w:pStyle w:val="4"/>
                    <w:spacing w:line="240" w:lineRule="auto"/>
                    <w:ind w:left="0" w:leftChars="0" w:right="0" w:rightChars="0" w:firstLine="0" w:firstLineChars="0"/>
                    <w:jc w:val="center"/>
                    <w:outlineLvl w:val="9"/>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eastAsia="宋体" w:cs="Times New Roman"/>
                      <w:b/>
                      <w:bCs w:val="0"/>
                      <w:color w:val="auto"/>
                      <w:sz w:val="21"/>
                      <w:szCs w:val="21"/>
                      <w:highlight w:val="none"/>
                    </w:rPr>
                    <w:t>排放</w:t>
                  </w:r>
                  <w:r>
                    <w:rPr>
                      <w:rFonts w:hint="default" w:ascii="Times New Roman" w:hAnsi="Times New Roman" w:eastAsia="宋体" w:cs="Times New Roman"/>
                      <w:b/>
                      <w:bCs w:val="0"/>
                      <w:color w:val="auto"/>
                      <w:sz w:val="21"/>
                      <w:szCs w:val="21"/>
                      <w:highlight w:val="none"/>
                      <w:lang w:eastAsia="zh-CN"/>
                    </w:rPr>
                    <w:t>速率</w:t>
                  </w:r>
                </w:p>
                <w:p w14:paraId="750AC527">
                  <w:pPr>
                    <w:pStyle w:val="4"/>
                    <w:spacing w:line="240" w:lineRule="auto"/>
                    <w:ind w:left="0" w:leftChars="0" w:right="0" w:rightChars="0" w:firstLine="0" w:firstLineChars="0"/>
                    <w:jc w:val="center"/>
                    <w:outlineLvl w:val="9"/>
                    <w:rPr>
                      <w:rFonts w:hint="default" w:ascii="Times New Roman" w:hAnsi="Times New Roman" w:eastAsia="宋体" w:cs="Times New Roman"/>
                      <w:b/>
                      <w:bCs w:val="0"/>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（kg/h）</w:t>
                  </w:r>
                </w:p>
              </w:tc>
              <w:tc>
                <w:tcPr>
                  <w:tcW w:w="0" w:type="auto"/>
                  <w:tcBorders>
                    <w:tl2br w:val="nil"/>
                    <w:tr2bl w:val="nil"/>
                  </w:tcBorders>
                  <w:noWrap w:val="0"/>
                  <w:vAlign w:val="center"/>
                </w:tcPr>
                <w:p w14:paraId="6E760EA6">
                  <w:pPr>
                    <w:pStyle w:val="4"/>
                    <w:spacing w:line="240" w:lineRule="auto"/>
                    <w:ind w:left="0" w:leftChars="0" w:right="0" w:rightChars="0" w:firstLine="0" w:firstLineChars="0"/>
                    <w:jc w:val="center"/>
                    <w:outlineLvl w:val="9"/>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排放浓度（</w:t>
                  </w:r>
                  <w:r>
                    <w:rPr>
                      <w:rFonts w:hint="default" w:ascii="Times New Roman" w:hAnsi="Times New Roman" w:eastAsia="宋体" w:cs="Times New Roman"/>
                      <w:b/>
                      <w:bCs w:val="0"/>
                      <w:color w:val="auto"/>
                      <w:sz w:val="21"/>
                      <w:szCs w:val="21"/>
                      <w:highlight w:val="none"/>
                    </w:rPr>
                    <w:t>mg/m</w:t>
                  </w:r>
                  <w:r>
                    <w:rPr>
                      <w:rFonts w:hint="default" w:ascii="Times New Roman" w:hAnsi="Times New Roman" w:eastAsia="宋体" w:cs="Times New Roman"/>
                      <w:b/>
                      <w:bCs w:val="0"/>
                      <w:color w:val="auto"/>
                      <w:sz w:val="21"/>
                      <w:szCs w:val="21"/>
                      <w:highlight w:val="none"/>
                      <w:vertAlign w:val="superscript"/>
                    </w:rPr>
                    <w:t>3</w:t>
                  </w:r>
                  <w:r>
                    <w:rPr>
                      <w:rFonts w:hint="default" w:ascii="Times New Roman" w:hAnsi="Times New Roman" w:eastAsia="宋体" w:cs="Times New Roman"/>
                      <w:b/>
                      <w:bCs w:val="0"/>
                      <w:color w:val="auto"/>
                      <w:sz w:val="21"/>
                      <w:szCs w:val="21"/>
                      <w:highlight w:val="none"/>
                      <w:lang w:val="en-US" w:eastAsia="zh-CN"/>
                    </w:rPr>
                    <w:t>）</w:t>
                  </w:r>
                </w:p>
              </w:tc>
            </w:tr>
            <w:tr w14:paraId="44B80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noWrap w:val="0"/>
                  <w:vAlign w:val="center"/>
                </w:tcPr>
                <w:p w14:paraId="6AF0AE9F">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
                    </w:rPr>
                    <w:t>加弹废气</w:t>
                  </w:r>
                </w:p>
              </w:tc>
              <w:tc>
                <w:tcPr>
                  <w:tcW w:w="0" w:type="auto"/>
                  <w:tcBorders>
                    <w:tl2br w:val="nil"/>
                    <w:tr2bl w:val="nil"/>
                  </w:tcBorders>
                  <w:noWrap w:val="0"/>
                  <w:vAlign w:val="center"/>
                </w:tcPr>
                <w:p w14:paraId="0F5FB91E">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NMHC</w:t>
                  </w:r>
                </w:p>
              </w:tc>
              <w:tc>
                <w:tcPr>
                  <w:tcW w:w="0" w:type="auto"/>
                  <w:tcBorders>
                    <w:tl2br w:val="nil"/>
                    <w:tr2bl w:val="nil"/>
                  </w:tcBorders>
                  <w:noWrap w:val="0"/>
                  <w:vAlign w:val="center"/>
                </w:tcPr>
                <w:p w14:paraId="3F8502E9">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7C1D65C">
                  <w:pPr>
                    <w:keepNext w:val="0"/>
                    <w:keepLines w:val="0"/>
                    <w:widowControl/>
                    <w:suppressLineNumbers w:val="0"/>
                    <w:spacing w:line="240" w:lineRule="auto"/>
                    <w:jc w:val="center"/>
                    <w:textAlignment w:val="center"/>
                    <w:rPr>
                      <w:rFonts w:hint="default" w:ascii="Times New Roman" w:hAnsi="Times New Roman" w:eastAsia="宋体" w:cs="Times New Roman"/>
                      <w:b w:val="0"/>
                      <w:bCs/>
                      <w:snapToGrid w:val="0"/>
                      <w:color w:val="auto"/>
                      <w:kern w:val="0"/>
                      <w:sz w:val="21"/>
                      <w:szCs w:val="21"/>
                      <w:highlight w:val="none"/>
                      <w:u w:val="none" w:color="auto"/>
                      <w:lang w:val="en-US" w:eastAsia="zh-CN" w:bidi="ar"/>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6FE33CD2">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lang w:val="en-US" w:eastAsia="zh-CN" w:bidi="ar-SA"/>
                    </w:rPr>
                    <w:t>静电除油+15m排气筒（DA001）</w:t>
                  </w:r>
                </w:p>
              </w:tc>
              <w:tc>
                <w:tcPr>
                  <w:tcW w:w="0" w:type="auto"/>
                  <w:tcBorders>
                    <w:tl2br w:val="nil"/>
                    <w:tr2bl w:val="nil"/>
                  </w:tcBorders>
                  <w:noWrap w:val="0"/>
                  <w:vAlign w:val="center"/>
                </w:tcPr>
                <w:p w14:paraId="2388E8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340C17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0B0088A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0A098E3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r>
            <w:tr w14:paraId="57DE9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7DA3CBBF">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塑形烘干废气</w:t>
                  </w:r>
                </w:p>
              </w:tc>
              <w:tc>
                <w:tcPr>
                  <w:tcW w:w="0" w:type="auto"/>
                  <w:tcBorders>
                    <w:tl2br w:val="nil"/>
                    <w:tr2bl w:val="nil"/>
                  </w:tcBorders>
                  <w:noWrap w:val="0"/>
                  <w:vAlign w:val="center"/>
                </w:tcPr>
                <w:p w14:paraId="724C6321">
                  <w:pPr>
                    <w:spacing w:line="240" w:lineRule="auto"/>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颗粒物</w:t>
                  </w:r>
                </w:p>
              </w:tc>
              <w:tc>
                <w:tcPr>
                  <w:tcW w:w="0" w:type="auto"/>
                  <w:tcBorders>
                    <w:tl2br w:val="nil"/>
                    <w:tr2bl w:val="nil"/>
                  </w:tcBorders>
                  <w:noWrap w:val="0"/>
                  <w:vAlign w:val="center"/>
                </w:tcPr>
                <w:p w14:paraId="16DEF35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03AF7DCB">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vMerge w:val="restart"/>
                  <w:tcBorders>
                    <w:tl2br w:val="nil"/>
                    <w:tr2bl w:val="nil"/>
                  </w:tcBorders>
                  <w:noWrap w:val="0"/>
                  <w:vAlign w:val="center"/>
                </w:tcPr>
                <w:p w14:paraId="5DFF77B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lang w:val="en-US" w:eastAsia="zh-CN" w:bidi="ar-SA"/>
                    </w:rPr>
                    <w:t>水喷淋+除雾+静电除油+15m排气筒（DA002）</w:t>
                  </w:r>
                </w:p>
              </w:tc>
              <w:tc>
                <w:tcPr>
                  <w:tcW w:w="0" w:type="auto"/>
                  <w:tcBorders>
                    <w:tl2br w:val="nil"/>
                    <w:tr2bl w:val="nil"/>
                  </w:tcBorders>
                  <w:noWrap w:val="0"/>
                  <w:vAlign w:val="center"/>
                </w:tcPr>
                <w:p w14:paraId="018165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5C1D18EC">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04F930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57CA1D8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r>
            <w:tr w14:paraId="41C04C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22D138E0">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c>
                <w:tcPr>
                  <w:tcW w:w="0" w:type="auto"/>
                  <w:tcBorders>
                    <w:tl2br w:val="nil"/>
                    <w:tr2bl w:val="nil"/>
                  </w:tcBorders>
                  <w:noWrap w:val="0"/>
                  <w:vAlign w:val="center"/>
                </w:tcPr>
                <w:p w14:paraId="72EEA4BE">
                  <w:pPr>
                    <w:spacing w:line="240" w:lineRule="auto"/>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NMHC</w:t>
                  </w:r>
                </w:p>
              </w:tc>
              <w:tc>
                <w:tcPr>
                  <w:tcW w:w="0" w:type="auto"/>
                  <w:tcBorders>
                    <w:tl2br w:val="nil"/>
                    <w:tr2bl w:val="nil"/>
                  </w:tcBorders>
                  <w:noWrap w:val="0"/>
                  <w:vAlign w:val="center"/>
                </w:tcPr>
                <w:p w14:paraId="49376094">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1646D65B">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vMerge w:val="continue"/>
                  <w:tcBorders>
                    <w:tl2br w:val="nil"/>
                    <w:tr2bl w:val="nil"/>
                  </w:tcBorders>
                  <w:noWrap w:val="0"/>
                  <w:vAlign w:val="center"/>
                </w:tcPr>
                <w:p w14:paraId="7AD4363E">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0" w:type="auto"/>
                  <w:tcBorders>
                    <w:tl2br w:val="nil"/>
                    <w:tr2bl w:val="nil"/>
                  </w:tcBorders>
                  <w:noWrap w:val="0"/>
                  <w:vAlign w:val="center"/>
                </w:tcPr>
                <w:p w14:paraId="666A6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47AA93EB">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577AC0D">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62D1A6B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57571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tcBorders>
                    <w:tl2br w:val="nil"/>
                    <w:tr2bl w:val="nil"/>
                  </w:tcBorders>
                  <w:noWrap w:val="0"/>
                  <w:vAlign w:val="center"/>
                </w:tcPr>
                <w:p w14:paraId="188BE9F6">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烘干燃烧废气</w:t>
                  </w:r>
                </w:p>
              </w:tc>
              <w:tc>
                <w:tcPr>
                  <w:tcW w:w="0" w:type="auto"/>
                  <w:tcBorders>
                    <w:tl2br w:val="nil"/>
                    <w:tr2bl w:val="nil"/>
                  </w:tcBorders>
                  <w:noWrap w:val="0"/>
                  <w:vAlign w:val="center"/>
                </w:tcPr>
                <w:p w14:paraId="6FDA909B">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颗粒物</w:t>
                  </w:r>
                </w:p>
              </w:tc>
              <w:tc>
                <w:tcPr>
                  <w:tcW w:w="0" w:type="auto"/>
                  <w:tcBorders>
                    <w:tl2br w:val="nil"/>
                    <w:tr2bl w:val="nil"/>
                  </w:tcBorders>
                  <w:noWrap w:val="0"/>
                  <w:vAlign w:val="center"/>
                </w:tcPr>
                <w:p w14:paraId="761DB003">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0F8750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vMerge w:val="continue"/>
                  <w:tcBorders>
                    <w:tl2br w:val="nil"/>
                    <w:tr2bl w:val="nil"/>
                  </w:tcBorders>
                  <w:noWrap w:val="0"/>
                  <w:vAlign w:val="center"/>
                </w:tcPr>
                <w:p w14:paraId="1A2D88A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0" w:type="auto"/>
                  <w:tcBorders>
                    <w:tl2br w:val="nil"/>
                    <w:tr2bl w:val="nil"/>
                  </w:tcBorders>
                  <w:noWrap w:val="0"/>
                  <w:vAlign w:val="center"/>
                </w:tcPr>
                <w:p w14:paraId="29AD2E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6B7CE109">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56F39C3C">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6B38B678">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084B1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0515CFD6">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c>
                <w:tcPr>
                  <w:tcW w:w="0" w:type="auto"/>
                  <w:tcBorders>
                    <w:tl2br w:val="nil"/>
                    <w:tr2bl w:val="nil"/>
                  </w:tcBorders>
                  <w:noWrap w:val="0"/>
                  <w:vAlign w:val="center"/>
                </w:tcPr>
                <w:p w14:paraId="3B9195CC">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SO</w:t>
                  </w:r>
                  <w:r>
                    <w:rPr>
                      <w:rFonts w:hint="default" w:ascii="Times New Roman" w:hAnsi="Times New Roman" w:eastAsia="宋体" w:cs="Times New Roman"/>
                      <w:b w:val="0"/>
                      <w:bCs/>
                      <w:color w:val="auto"/>
                      <w:kern w:val="2"/>
                      <w:sz w:val="21"/>
                      <w:szCs w:val="21"/>
                      <w:highlight w:val="none"/>
                      <w:vertAlign w:val="subscript"/>
                      <w:lang w:val="en-US" w:eastAsia="zh-CN" w:bidi="ar-SA"/>
                    </w:rPr>
                    <w:t>2</w:t>
                  </w:r>
                </w:p>
              </w:tc>
              <w:tc>
                <w:tcPr>
                  <w:tcW w:w="0" w:type="auto"/>
                  <w:tcBorders>
                    <w:tl2br w:val="nil"/>
                    <w:tr2bl w:val="nil"/>
                  </w:tcBorders>
                  <w:noWrap w:val="0"/>
                  <w:vAlign w:val="center"/>
                </w:tcPr>
                <w:p w14:paraId="0537EB36">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5210E2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vMerge w:val="continue"/>
                  <w:tcBorders>
                    <w:tl2br w:val="nil"/>
                    <w:tr2bl w:val="nil"/>
                  </w:tcBorders>
                  <w:noWrap w:val="0"/>
                  <w:vAlign w:val="center"/>
                </w:tcPr>
                <w:p w14:paraId="78DD1ABD">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0" w:type="auto"/>
                  <w:tcBorders>
                    <w:tl2br w:val="nil"/>
                    <w:tr2bl w:val="nil"/>
                  </w:tcBorders>
                  <w:noWrap w:val="0"/>
                  <w:vAlign w:val="center"/>
                </w:tcPr>
                <w:p w14:paraId="6F42E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078C64E0">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304C219">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0F6D8FC">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09AF5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tcBorders>
                    <w:tl2br w:val="nil"/>
                    <w:tr2bl w:val="nil"/>
                  </w:tcBorders>
                  <w:noWrap w:val="0"/>
                  <w:vAlign w:val="center"/>
                </w:tcPr>
                <w:p w14:paraId="1767929A">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lang w:val="en-US" w:eastAsia="zh-CN" w:bidi="ar-SA"/>
                    </w:rPr>
                  </w:pPr>
                </w:p>
              </w:tc>
              <w:tc>
                <w:tcPr>
                  <w:tcW w:w="0" w:type="auto"/>
                  <w:tcBorders>
                    <w:tl2br w:val="nil"/>
                    <w:tr2bl w:val="nil"/>
                  </w:tcBorders>
                  <w:noWrap w:val="0"/>
                  <w:vAlign w:val="center"/>
                </w:tcPr>
                <w:p w14:paraId="01F6A914">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NOx</w:t>
                  </w:r>
                </w:p>
              </w:tc>
              <w:tc>
                <w:tcPr>
                  <w:tcW w:w="0" w:type="auto"/>
                  <w:tcBorders>
                    <w:tl2br w:val="nil"/>
                    <w:tr2bl w:val="nil"/>
                  </w:tcBorders>
                  <w:noWrap w:val="0"/>
                  <w:vAlign w:val="center"/>
                </w:tcPr>
                <w:p w14:paraId="5B09CDB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69CB196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vMerge w:val="continue"/>
                  <w:tcBorders>
                    <w:tl2br w:val="nil"/>
                    <w:tr2bl w:val="nil"/>
                  </w:tcBorders>
                  <w:noWrap w:val="0"/>
                  <w:vAlign w:val="center"/>
                </w:tcPr>
                <w:p w14:paraId="7F991148">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0" w:type="auto"/>
                  <w:tcBorders>
                    <w:tl2br w:val="nil"/>
                    <w:tr2bl w:val="nil"/>
                  </w:tcBorders>
                  <w:noWrap w:val="0"/>
                  <w:vAlign w:val="center"/>
                </w:tcPr>
                <w:p w14:paraId="0A8D2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76A9CE7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2F1AD542">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tcBorders>
                    <w:tl2br w:val="nil"/>
                    <w:tr2bl w:val="nil"/>
                  </w:tcBorders>
                  <w:noWrap w:val="0"/>
                  <w:vAlign w:val="center"/>
                </w:tcPr>
                <w:p w14:paraId="506F16A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39E8F5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Borders>
                    <w:tl2br w:val="nil"/>
                    <w:tr2bl w:val="nil"/>
                  </w:tcBorders>
                  <w:noWrap w:val="0"/>
                  <w:vAlign w:val="center"/>
                </w:tcPr>
                <w:p w14:paraId="26F4ACE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vertAlign w:val="baseline"/>
                      <w:lang w:val="en-US" w:eastAsia="zh-CN" w:bidi="ar"/>
                    </w:rPr>
                    <w:t>产污点（无组织）</w:t>
                  </w:r>
                </w:p>
              </w:tc>
              <w:tc>
                <w:tcPr>
                  <w:tcW w:w="0" w:type="auto"/>
                  <w:tcBorders>
                    <w:tl2br w:val="nil"/>
                    <w:tr2bl w:val="nil"/>
                  </w:tcBorders>
                  <w:noWrap w:val="0"/>
                  <w:vAlign w:val="center"/>
                </w:tcPr>
                <w:p w14:paraId="51CC83C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污染物</w:t>
                  </w:r>
                </w:p>
              </w:tc>
              <w:tc>
                <w:tcPr>
                  <w:tcW w:w="0" w:type="auto"/>
                  <w:tcBorders>
                    <w:tl2br w:val="nil"/>
                    <w:tr2bl w:val="nil"/>
                  </w:tcBorders>
                  <w:noWrap w:val="0"/>
                  <w:vAlign w:val="center"/>
                </w:tcPr>
                <w:p w14:paraId="004E5BA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产生量</w:t>
                  </w:r>
                </w:p>
                <w:p w14:paraId="311BC7D3">
                  <w:pPr>
                    <w:pStyle w:val="10"/>
                    <w:keepNext w:val="0"/>
                    <w:keepLines w:val="0"/>
                    <w:pageBreakBefore w:val="0"/>
                    <w:widowControl/>
                    <w:kinsoku/>
                    <w:wordWrap/>
                    <w:overflowPunct/>
                    <w:topLinePunct w:val="0"/>
                    <w:autoSpaceDE/>
                    <w:autoSpaceDN/>
                    <w:bidi w:val="0"/>
                    <w:adjustRightInd/>
                    <w:snapToGrid/>
                    <w:spacing w:before="0" w:after="0" w:line="240" w:lineRule="auto"/>
                    <w:ind w:right="0" w:right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rPr>
                    <w:t>（t/a）</w:t>
                  </w:r>
                </w:p>
              </w:tc>
              <w:tc>
                <w:tcPr>
                  <w:tcW w:w="0" w:type="auto"/>
                  <w:gridSpan w:val="3"/>
                  <w:tcBorders>
                    <w:tl2br w:val="nil"/>
                    <w:tr2bl w:val="nil"/>
                  </w:tcBorders>
                  <w:noWrap w:val="0"/>
                  <w:vAlign w:val="center"/>
                </w:tcPr>
                <w:p w14:paraId="689CD89F">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治理措施</w:t>
                  </w:r>
                </w:p>
              </w:tc>
              <w:tc>
                <w:tcPr>
                  <w:tcW w:w="0" w:type="auto"/>
                  <w:tcBorders>
                    <w:tl2br w:val="nil"/>
                    <w:tr2bl w:val="nil"/>
                  </w:tcBorders>
                  <w:noWrap w:val="0"/>
                  <w:vAlign w:val="center"/>
                </w:tcPr>
                <w:p w14:paraId="692C3F10">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排放量</w:t>
                  </w:r>
                </w:p>
                <w:p w14:paraId="57156373">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（t/a）</w:t>
                  </w:r>
                </w:p>
              </w:tc>
              <w:tc>
                <w:tcPr>
                  <w:tcW w:w="0" w:type="auto"/>
                  <w:gridSpan w:val="2"/>
                  <w:tcBorders>
                    <w:tl2br w:val="nil"/>
                    <w:tr2bl w:val="nil"/>
                  </w:tcBorders>
                  <w:noWrap w:val="0"/>
                  <w:vAlign w:val="center"/>
                </w:tcPr>
                <w:p w14:paraId="0CD4ADCC">
                  <w:pPr>
                    <w:pStyle w:val="4"/>
                    <w:spacing w:line="240" w:lineRule="auto"/>
                    <w:ind w:left="0" w:leftChars="0" w:right="0" w:rightChars="0" w:firstLine="0" w:firstLineChars="0"/>
                    <w:jc w:val="center"/>
                    <w:outlineLvl w:val="9"/>
                    <w:rPr>
                      <w:rFonts w:hint="default" w:ascii="Times New Roman" w:hAnsi="Times New Roman" w:eastAsia="宋体" w:cs="Times New Roman"/>
                      <w:b/>
                      <w:bCs w:val="0"/>
                      <w:color w:val="auto"/>
                      <w:sz w:val="21"/>
                      <w:szCs w:val="21"/>
                      <w:highlight w:val="none"/>
                      <w:lang w:eastAsia="zh-CN"/>
                    </w:rPr>
                  </w:pPr>
                  <w:r>
                    <w:rPr>
                      <w:rFonts w:hint="default" w:ascii="Times New Roman" w:hAnsi="Times New Roman" w:eastAsia="宋体" w:cs="Times New Roman"/>
                      <w:b/>
                      <w:bCs w:val="0"/>
                      <w:color w:val="auto"/>
                      <w:sz w:val="21"/>
                      <w:szCs w:val="21"/>
                      <w:highlight w:val="none"/>
                    </w:rPr>
                    <w:t>排放</w:t>
                  </w:r>
                  <w:r>
                    <w:rPr>
                      <w:rFonts w:hint="default" w:ascii="Times New Roman" w:hAnsi="Times New Roman" w:eastAsia="宋体" w:cs="Times New Roman"/>
                      <w:b/>
                      <w:bCs w:val="0"/>
                      <w:color w:val="auto"/>
                      <w:sz w:val="21"/>
                      <w:szCs w:val="21"/>
                      <w:highlight w:val="none"/>
                      <w:lang w:eastAsia="zh-CN"/>
                    </w:rPr>
                    <w:t>速率</w:t>
                  </w:r>
                </w:p>
                <w:p w14:paraId="602CB1BE">
                  <w:pPr>
                    <w:pStyle w:val="4"/>
                    <w:spacing w:line="240" w:lineRule="auto"/>
                    <w:ind w:left="0" w:leftChars="0" w:right="0" w:rightChars="0" w:firstLine="0" w:firstLineChars="0"/>
                    <w:jc w:val="center"/>
                    <w:outlineLvl w:val="9"/>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bCs w:val="0"/>
                      <w:color w:val="auto"/>
                      <w:sz w:val="21"/>
                      <w:szCs w:val="21"/>
                      <w:highlight w:val="none"/>
                    </w:rPr>
                    <w:t>（kg/h）</w:t>
                  </w:r>
                </w:p>
              </w:tc>
            </w:tr>
            <w:tr w14:paraId="48CA5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tcBorders>
                    <w:tl2br w:val="nil"/>
                    <w:tr2bl w:val="nil"/>
                  </w:tcBorders>
                  <w:noWrap w:val="0"/>
                  <w:vAlign w:val="center"/>
                </w:tcPr>
                <w:p w14:paraId="6BC710BC">
                  <w:pPr>
                    <w:spacing w:line="240" w:lineRule="auto"/>
                    <w:jc w:val="center"/>
                    <w:rPr>
                      <w:rFonts w:hint="default" w:ascii="Times New Roman" w:hAnsi="Times New Roman" w:eastAsia="宋体" w:cs="Times New Roman"/>
                      <w:b/>
                      <w:bCs w:val="0"/>
                      <w:color w:val="auto"/>
                      <w:kern w:val="0"/>
                      <w:sz w:val="21"/>
                      <w:szCs w:val="21"/>
                      <w:highlight w:val="none"/>
                      <w:vertAlign w:val="baseline"/>
                      <w:lang w:val="en-US" w:eastAsia="zh-CN" w:bidi="ar"/>
                    </w:rPr>
                  </w:pPr>
                  <w:r>
                    <w:rPr>
                      <w:rFonts w:hint="default" w:ascii="Times New Roman" w:hAnsi="Times New Roman" w:eastAsia="宋体" w:cs="Times New Roman"/>
                      <w:color w:val="auto"/>
                      <w:kern w:val="2"/>
                      <w:sz w:val="21"/>
                      <w:szCs w:val="21"/>
                      <w:highlight w:val="none"/>
                      <w:lang w:val="en-US" w:eastAsia="zh-CN" w:bidi="ar"/>
                    </w:rPr>
                    <w:t>加弹废气</w:t>
                  </w:r>
                </w:p>
              </w:tc>
              <w:tc>
                <w:tcPr>
                  <w:tcW w:w="847" w:type="dxa"/>
                  <w:tcBorders>
                    <w:tl2br w:val="nil"/>
                    <w:tr2bl w:val="nil"/>
                  </w:tcBorders>
                  <w:noWrap w:val="0"/>
                  <w:vAlign w:val="center"/>
                </w:tcPr>
                <w:p w14:paraId="0528D259">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NMHC</w:t>
                  </w:r>
                </w:p>
              </w:tc>
              <w:tc>
                <w:tcPr>
                  <w:tcW w:w="0" w:type="auto"/>
                  <w:tcBorders>
                    <w:tl2br w:val="nil"/>
                    <w:tr2bl w:val="nil"/>
                  </w:tcBorders>
                  <w:noWrap w:val="0"/>
                  <w:vAlign w:val="center"/>
                </w:tcPr>
                <w:p w14:paraId="2AD3670A">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restart"/>
                  <w:tcBorders>
                    <w:tl2br w:val="nil"/>
                    <w:tr2bl w:val="nil"/>
                  </w:tcBorders>
                  <w:noWrap w:val="0"/>
                  <w:vAlign w:val="center"/>
                </w:tcPr>
                <w:p w14:paraId="0915B524">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加强生产管理，提高废气收集效率</w:t>
                  </w:r>
                </w:p>
              </w:tc>
              <w:tc>
                <w:tcPr>
                  <w:tcW w:w="0" w:type="auto"/>
                  <w:tcBorders>
                    <w:tl2br w:val="nil"/>
                    <w:tr2bl w:val="nil"/>
                  </w:tcBorders>
                  <w:noWrap w:val="0"/>
                  <w:vAlign w:val="center"/>
                </w:tcPr>
                <w:p w14:paraId="787FFC75">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02AFD76C">
                  <w:pPr>
                    <w:snapToGrid w:val="0"/>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0789D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restart"/>
                  <w:tcBorders>
                    <w:tl2br w:val="nil"/>
                    <w:tr2bl w:val="nil"/>
                  </w:tcBorders>
                  <w:noWrap w:val="0"/>
                  <w:vAlign w:val="center"/>
                </w:tcPr>
                <w:p w14:paraId="78659ADC">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bCs w:val="0"/>
                      <w:color w:val="auto"/>
                      <w:kern w:val="0"/>
                      <w:sz w:val="21"/>
                      <w:szCs w:val="21"/>
                      <w:highlight w:val="none"/>
                      <w:vertAlign w:val="baseline"/>
                      <w:lang w:val="en-US" w:eastAsia="zh-CN" w:bidi="ar"/>
                    </w:rPr>
                  </w:pPr>
                  <w:r>
                    <w:rPr>
                      <w:rFonts w:hint="default" w:ascii="Times New Roman" w:hAnsi="Times New Roman" w:eastAsia="宋体" w:cs="Times New Roman"/>
                      <w:color w:val="auto"/>
                      <w:sz w:val="21"/>
                      <w:szCs w:val="21"/>
                      <w:highlight w:val="none"/>
                      <w:lang w:val="en-US" w:eastAsia="zh-CN"/>
                    </w:rPr>
                    <w:t>塑形烘干废气</w:t>
                  </w:r>
                </w:p>
              </w:tc>
              <w:tc>
                <w:tcPr>
                  <w:tcW w:w="847" w:type="dxa"/>
                  <w:tcBorders>
                    <w:tl2br w:val="nil"/>
                    <w:tr2bl w:val="nil"/>
                  </w:tcBorders>
                  <w:noWrap w:val="0"/>
                  <w:vAlign w:val="center"/>
                </w:tcPr>
                <w:p w14:paraId="46485E95">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颗粒物</w:t>
                  </w:r>
                </w:p>
              </w:tc>
              <w:tc>
                <w:tcPr>
                  <w:tcW w:w="0" w:type="auto"/>
                  <w:tcBorders>
                    <w:tl2br w:val="nil"/>
                    <w:tr2bl w:val="nil"/>
                  </w:tcBorders>
                  <w:noWrap w:val="0"/>
                  <w:vAlign w:val="center"/>
                </w:tcPr>
                <w:p w14:paraId="375D0C97">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continue"/>
                  <w:tcBorders>
                    <w:tl2br w:val="nil"/>
                    <w:tr2bl w:val="nil"/>
                  </w:tcBorders>
                  <w:noWrap w:val="0"/>
                  <w:vAlign w:val="center"/>
                </w:tcPr>
                <w:p w14:paraId="7846E87F">
                  <w:pPr>
                    <w:snapToGrid w:val="0"/>
                    <w:spacing w:line="240" w:lineRule="auto"/>
                    <w:jc w:val="center"/>
                    <w:rPr>
                      <w:rFonts w:hint="default" w:ascii="Times New Roman" w:hAnsi="Times New Roman" w:eastAsia="宋体" w:cs="Times New Roman"/>
                      <w:color w:val="auto"/>
                      <w:sz w:val="21"/>
                      <w:szCs w:val="21"/>
                      <w:highlight w:val="none"/>
                      <w:lang w:val="en-US" w:eastAsia="zh-CN"/>
                    </w:rPr>
                  </w:pPr>
                </w:p>
              </w:tc>
              <w:tc>
                <w:tcPr>
                  <w:tcW w:w="0" w:type="auto"/>
                  <w:tcBorders>
                    <w:tl2br w:val="nil"/>
                    <w:tr2bl w:val="nil"/>
                  </w:tcBorders>
                  <w:noWrap w:val="0"/>
                  <w:vAlign w:val="center"/>
                </w:tcPr>
                <w:p w14:paraId="2EC19D9D">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0A6E9FAE">
                  <w:pPr>
                    <w:snapToGrid w:val="0"/>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1A00C1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continue"/>
                  <w:tcBorders>
                    <w:tl2br w:val="nil"/>
                    <w:tr2bl w:val="nil"/>
                  </w:tcBorders>
                  <w:noWrap w:val="0"/>
                  <w:vAlign w:val="center"/>
                </w:tcPr>
                <w:p w14:paraId="1385863F">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b/>
                      <w:bCs w:val="0"/>
                      <w:color w:val="auto"/>
                      <w:kern w:val="0"/>
                      <w:sz w:val="21"/>
                      <w:szCs w:val="21"/>
                      <w:highlight w:val="none"/>
                      <w:vertAlign w:val="baseline"/>
                      <w:lang w:val="en-US" w:eastAsia="zh-CN" w:bidi="ar"/>
                    </w:rPr>
                  </w:pPr>
                </w:p>
              </w:tc>
              <w:tc>
                <w:tcPr>
                  <w:tcW w:w="847" w:type="dxa"/>
                  <w:tcBorders>
                    <w:tl2br w:val="nil"/>
                    <w:tr2bl w:val="nil"/>
                  </w:tcBorders>
                  <w:noWrap w:val="0"/>
                  <w:vAlign w:val="center"/>
                </w:tcPr>
                <w:p w14:paraId="07CF7D2D">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NMHC</w:t>
                  </w:r>
                </w:p>
              </w:tc>
              <w:tc>
                <w:tcPr>
                  <w:tcW w:w="0" w:type="auto"/>
                  <w:tcBorders>
                    <w:tl2br w:val="nil"/>
                    <w:tr2bl w:val="nil"/>
                  </w:tcBorders>
                  <w:noWrap w:val="0"/>
                  <w:vAlign w:val="center"/>
                </w:tcPr>
                <w:p w14:paraId="6D1AD238">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continue"/>
                  <w:tcBorders>
                    <w:tl2br w:val="nil"/>
                    <w:tr2bl w:val="nil"/>
                  </w:tcBorders>
                  <w:noWrap w:val="0"/>
                  <w:vAlign w:val="center"/>
                </w:tcPr>
                <w:p w14:paraId="4283771F">
                  <w:pPr>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71" w:type="dxa"/>
                  <w:tcBorders>
                    <w:tl2br w:val="nil"/>
                    <w:tr2bl w:val="nil"/>
                  </w:tcBorders>
                  <w:noWrap w:val="0"/>
                  <w:vAlign w:val="center"/>
                </w:tcPr>
                <w:p w14:paraId="5C75B2E5">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2254" w:type="dxa"/>
                  <w:gridSpan w:val="2"/>
                  <w:tcBorders>
                    <w:tl2br w:val="nil"/>
                    <w:tr2bl w:val="nil"/>
                  </w:tcBorders>
                  <w:noWrap w:val="0"/>
                  <w:vAlign w:val="center"/>
                </w:tcPr>
                <w:p w14:paraId="7ADF2015">
                  <w:pPr>
                    <w:snapToGrid w:val="0"/>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09836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restart"/>
                  <w:tcBorders>
                    <w:tl2br w:val="nil"/>
                    <w:tr2bl w:val="nil"/>
                  </w:tcBorders>
                  <w:noWrap w:val="0"/>
                  <w:vAlign w:val="center"/>
                </w:tcPr>
                <w:p w14:paraId="32B76A30">
                  <w:pPr>
                    <w:pStyle w:val="86"/>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b w:val="0"/>
                      <w:bCs/>
                      <w:color w:val="auto"/>
                      <w:kern w:val="2"/>
                      <w:sz w:val="21"/>
                      <w:szCs w:val="21"/>
                      <w:highlight w:val="none"/>
                      <w:lang w:val="en-US" w:eastAsia="zh-CN" w:bidi="ar-SA"/>
                    </w:rPr>
                    <w:t>烘干燃烧废气</w:t>
                  </w:r>
                </w:p>
              </w:tc>
              <w:tc>
                <w:tcPr>
                  <w:tcW w:w="847" w:type="dxa"/>
                  <w:tcBorders>
                    <w:tl2br w:val="nil"/>
                    <w:tr2bl w:val="nil"/>
                  </w:tcBorders>
                  <w:noWrap w:val="0"/>
                  <w:vAlign w:val="center"/>
                </w:tcPr>
                <w:p w14:paraId="2D34E70C">
                  <w:pPr>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颗粒物</w:t>
                  </w:r>
                </w:p>
              </w:tc>
              <w:tc>
                <w:tcPr>
                  <w:tcW w:w="0" w:type="auto"/>
                  <w:tcBorders>
                    <w:tl2br w:val="nil"/>
                    <w:tr2bl w:val="nil"/>
                  </w:tcBorders>
                  <w:noWrap w:val="0"/>
                  <w:vAlign w:val="center"/>
                </w:tcPr>
                <w:p w14:paraId="3F9DD326">
                  <w:pPr>
                    <w:snapToGrid w:val="0"/>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continue"/>
                  <w:tcBorders>
                    <w:tl2br w:val="nil"/>
                    <w:tr2bl w:val="nil"/>
                  </w:tcBorders>
                  <w:noWrap w:val="0"/>
                  <w:vAlign w:val="center"/>
                </w:tcPr>
                <w:p w14:paraId="54DF6034">
                  <w:pPr>
                    <w:snapToGrid w:val="0"/>
                    <w:spacing w:line="240" w:lineRule="auto"/>
                    <w:jc w:val="center"/>
                    <w:rPr>
                      <w:rFonts w:hint="default" w:ascii="Times New Roman" w:hAnsi="Times New Roman" w:eastAsia="宋体" w:cs="Times New Roman"/>
                      <w:bCs/>
                      <w:color w:val="auto"/>
                      <w:kern w:val="0"/>
                      <w:sz w:val="21"/>
                      <w:szCs w:val="21"/>
                      <w:highlight w:val="none"/>
                      <w:lang w:val="en-US" w:eastAsia="zh-CN" w:bidi="ar"/>
                    </w:rPr>
                  </w:pPr>
                </w:p>
              </w:tc>
              <w:tc>
                <w:tcPr>
                  <w:tcW w:w="0" w:type="auto"/>
                  <w:tcBorders>
                    <w:tl2br w:val="nil"/>
                    <w:tr2bl w:val="nil"/>
                  </w:tcBorders>
                  <w:noWrap w:val="0"/>
                  <w:vAlign w:val="center"/>
                </w:tcPr>
                <w:p w14:paraId="53D8395F">
                  <w:pPr>
                    <w:spacing w:line="240" w:lineRule="auto"/>
                    <w:jc w:val="center"/>
                    <w:rPr>
                      <w:rFonts w:hint="default" w:ascii="Times New Roman" w:hAnsi="Times New Roman" w:eastAsia="宋体" w:cs="Times New Roman"/>
                      <w:b/>
                      <w:bCs w:val="0"/>
                      <w:color w:val="auto"/>
                      <w:sz w:val="21"/>
                      <w:szCs w:val="21"/>
                      <w:highlight w:val="none"/>
                      <w:lang w:val="en-US"/>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0EED21A1">
                  <w:pPr>
                    <w:snapToGrid w:val="0"/>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5C755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continue"/>
                  <w:tcBorders>
                    <w:tl2br w:val="nil"/>
                    <w:tr2bl w:val="nil"/>
                  </w:tcBorders>
                  <w:noWrap w:val="0"/>
                  <w:vAlign w:val="center"/>
                </w:tcPr>
                <w:p w14:paraId="217A1AC5">
                  <w:pPr>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47" w:type="dxa"/>
                  <w:tcBorders>
                    <w:tl2br w:val="nil"/>
                    <w:tr2bl w:val="nil"/>
                  </w:tcBorders>
                  <w:noWrap w:val="0"/>
                  <w:vAlign w:val="center"/>
                </w:tcPr>
                <w:p w14:paraId="2B909ADF">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SO</w:t>
                  </w:r>
                  <w:r>
                    <w:rPr>
                      <w:rFonts w:hint="default" w:ascii="Times New Roman" w:hAnsi="Times New Roman" w:eastAsia="宋体" w:cs="Times New Roman"/>
                      <w:b w:val="0"/>
                      <w:bCs/>
                      <w:color w:val="auto"/>
                      <w:kern w:val="2"/>
                      <w:sz w:val="21"/>
                      <w:szCs w:val="21"/>
                      <w:highlight w:val="none"/>
                      <w:vertAlign w:val="subscript"/>
                      <w:lang w:val="en-US" w:eastAsia="zh-CN" w:bidi="ar-SA"/>
                    </w:rPr>
                    <w:t>2</w:t>
                  </w:r>
                </w:p>
              </w:tc>
              <w:tc>
                <w:tcPr>
                  <w:tcW w:w="0" w:type="auto"/>
                  <w:tcBorders>
                    <w:tl2br w:val="nil"/>
                    <w:tr2bl w:val="nil"/>
                  </w:tcBorders>
                  <w:noWrap w:val="0"/>
                  <w:vAlign w:val="center"/>
                </w:tcPr>
                <w:p w14:paraId="4CDCD732">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continue"/>
                  <w:tcBorders>
                    <w:tl2br w:val="nil"/>
                    <w:tr2bl w:val="nil"/>
                  </w:tcBorders>
                  <w:noWrap w:val="0"/>
                  <w:vAlign w:val="center"/>
                </w:tcPr>
                <w:p w14:paraId="1F9EA435">
                  <w:pPr>
                    <w:snapToGrid w:val="0"/>
                    <w:spacing w:line="240" w:lineRule="auto"/>
                    <w:jc w:val="center"/>
                    <w:rPr>
                      <w:rFonts w:hint="default" w:ascii="Times New Roman" w:hAnsi="Times New Roman" w:eastAsia="宋体" w:cs="Times New Roman"/>
                      <w:bCs/>
                      <w:color w:val="auto"/>
                      <w:kern w:val="0"/>
                      <w:sz w:val="21"/>
                      <w:szCs w:val="21"/>
                      <w:highlight w:val="none"/>
                      <w:lang w:val="en-US" w:eastAsia="zh-CN" w:bidi="ar"/>
                    </w:rPr>
                  </w:pPr>
                </w:p>
              </w:tc>
              <w:tc>
                <w:tcPr>
                  <w:tcW w:w="0" w:type="auto"/>
                  <w:tcBorders>
                    <w:tl2br w:val="nil"/>
                    <w:tr2bl w:val="nil"/>
                  </w:tcBorders>
                  <w:noWrap w:val="0"/>
                  <w:vAlign w:val="center"/>
                </w:tcPr>
                <w:p w14:paraId="071E53AB">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22C5EEEE">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060F1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continue"/>
                  <w:tcBorders>
                    <w:tl2br w:val="nil"/>
                    <w:tr2bl w:val="nil"/>
                  </w:tcBorders>
                  <w:noWrap w:val="0"/>
                  <w:vAlign w:val="center"/>
                </w:tcPr>
                <w:p w14:paraId="325B2B65">
                  <w:pPr>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47" w:type="dxa"/>
                  <w:tcBorders>
                    <w:tl2br w:val="nil"/>
                    <w:tr2bl w:val="nil"/>
                  </w:tcBorders>
                  <w:noWrap w:val="0"/>
                  <w:vAlign w:val="center"/>
                </w:tcPr>
                <w:p w14:paraId="35ADCD19">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NOx</w:t>
                  </w:r>
                </w:p>
              </w:tc>
              <w:tc>
                <w:tcPr>
                  <w:tcW w:w="0" w:type="auto"/>
                  <w:tcBorders>
                    <w:tl2br w:val="nil"/>
                    <w:tr2bl w:val="nil"/>
                  </w:tcBorders>
                  <w:noWrap w:val="0"/>
                  <w:vAlign w:val="center"/>
                </w:tcPr>
                <w:p w14:paraId="42C50ED1">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continue"/>
                  <w:tcBorders>
                    <w:tl2br w:val="nil"/>
                    <w:tr2bl w:val="nil"/>
                  </w:tcBorders>
                  <w:noWrap w:val="0"/>
                  <w:vAlign w:val="center"/>
                </w:tcPr>
                <w:p w14:paraId="54DAEE0D">
                  <w:pPr>
                    <w:snapToGrid w:val="0"/>
                    <w:spacing w:line="240" w:lineRule="auto"/>
                    <w:jc w:val="center"/>
                    <w:rPr>
                      <w:rFonts w:hint="default" w:ascii="Times New Roman" w:hAnsi="Times New Roman" w:eastAsia="宋体" w:cs="Times New Roman"/>
                      <w:bCs/>
                      <w:color w:val="auto"/>
                      <w:kern w:val="0"/>
                      <w:sz w:val="21"/>
                      <w:szCs w:val="21"/>
                      <w:highlight w:val="none"/>
                      <w:lang w:val="en-US" w:eastAsia="zh-CN" w:bidi="ar"/>
                    </w:rPr>
                  </w:pPr>
                </w:p>
              </w:tc>
              <w:tc>
                <w:tcPr>
                  <w:tcW w:w="0" w:type="auto"/>
                  <w:tcBorders>
                    <w:tl2br w:val="nil"/>
                    <w:tr2bl w:val="nil"/>
                  </w:tcBorders>
                  <w:noWrap w:val="0"/>
                  <w:vAlign w:val="center"/>
                </w:tcPr>
                <w:p w14:paraId="7080C0ED">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6A94AFEE">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39C26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restart"/>
                  <w:tcBorders>
                    <w:tl2br w:val="nil"/>
                    <w:tr2bl w:val="nil"/>
                  </w:tcBorders>
                  <w:noWrap w:val="0"/>
                  <w:vAlign w:val="center"/>
                </w:tcPr>
                <w:p w14:paraId="13EAF854">
                  <w:pPr>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污水处理站</w:t>
                  </w:r>
                </w:p>
              </w:tc>
              <w:tc>
                <w:tcPr>
                  <w:tcW w:w="847" w:type="dxa"/>
                  <w:tcBorders>
                    <w:tl2br w:val="nil"/>
                    <w:tr2bl w:val="nil"/>
                  </w:tcBorders>
                  <w:noWrap w:val="0"/>
                  <w:vAlign w:val="center"/>
                </w:tcPr>
                <w:p w14:paraId="1690219C">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NH</w:t>
                  </w:r>
                  <w:r>
                    <w:rPr>
                      <w:rFonts w:hint="default" w:ascii="Times New Roman" w:hAnsi="Times New Roman" w:eastAsia="宋体" w:cs="Times New Roman"/>
                      <w:b w:val="0"/>
                      <w:bCs/>
                      <w:color w:val="auto"/>
                      <w:kern w:val="2"/>
                      <w:sz w:val="21"/>
                      <w:szCs w:val="21"/>
                      <w:highlight w:val="none"/>
                      <w:vertAlign w:val="subscript"/>
                      <w:lang w:val="en-US" w:eastAsia="zh-CN" w:bidi="ar-SA"/>
                    </w:rPr>
                    <w:t>3</w:t>
                  </w:r>
                </w:p>
              </w:tc>
              <w:tc>
                <w:tcPr>
                  <w:tcW w:w="899" w:type="dxa"/>
                  <w:tcBorders>
                    <w:tl2br w:val="nil"/>
                    <w:tr2bl w:val="nil"/>
                  </w:tcBorders>
                  <w:noWrap w:val="0"/>
                  <w:vAlign w:val="center"/>
                </w:tcPr>
                <w:p w14:paraId="1D4F1F7D">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restart"/>
                  <w:tcBorders>
                    <w:tl2br w:val="nil"/>
                    <w:tr2bl w:val="nil"/>
                  </w:tcBorders>
                  <w:noWrap w:val="0"/>
                  <w:vAlign w:val="center"/>
                </w:tcPr>
                <w:p w14:paraId="5A3A7A07">
                  <w:pPr>
                    <w:snapToGrid w:val="0"/>
                    <w:spacing w:line="240" w:lineRule="auto"/>
                    <w:jc w:val="center"/>
                    <w:rPr>
                      <w:rFonts w:hint="default" w:ascii="Times New Roman" w:hAnsi="Times New Roman" w:eastAsia="宋体" w:cs="Times New Roman"/>
                      <w:bCs/>
                      <w:color w:val="auto"/>
                      <w:kern w:val="0"/>
                      <w:sz w:val="21"/>
                      <w:szCs w:val="21"/>
                      <w:highlight w:val="none"/>
                      <w:lang w:val="en-US" w:eastAsia="zh-CN" w:bidi="ar"/>
                    </w:rPr>
                  </w:pPr>
                  <w:r>
                    <w:rPr>
                      <w:rFonts w:hint="default" w:ascii="Times New Roman" w:hAnsi="Times New Roman" w:eastAsia="宋体" w:cs="Times New Roman"/>
                      <w:bCs/>
                      <w:color w:val="auto"/>
                      <w:kern w:val="0"/>
                      <w:sz w:val="21"/>
                      <w:szCs w:val="21"/>
                      <w:highlight w:val="none"/>
                      <w:lang w:val="en-US" w:eastAsia="zh-CN" w:bidi="ar"/>
                    </w:rPr>
                    <w:t>液体加盖、添加除臭剂、及时清运污泥</w:t>
                  </w:r>
                </w:p>
              </w:tc>
              <w:tc>
                <w:tcPr>
                  <w:tcW w:w="0" w:type="auto"/>
                  <w:tcBorders>
                    <w:tl2br w:val="nil"/>
                    <w:tr2bl w:val="nil"/>
                  </w:tcBorders>
                  <w:noWrap w:val="0"/>
                  <w:vAlign w:val="center"/>
                </w:tcPr>
                <w:p w14:paraId="49810DF9">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70E8A0DA">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tr w14:paraId="64DFD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3" w:type="dxa"/>
                  <w:vMerge w:val="continue"/>
                  <w:tcBorders>
                    <w:tl2br w:val="nil"/>
                    <w:tr2bl w:val="nil"/>
                  </w:tcBorders>
                  <w:noWrap w:val="0"/>
                  <w:vAlign w:val="center"/>
                </w:tcPr>
                <w:p w14:paraId="3B460E29">
                  <w:pPr>
                    <w:snapToGrid w:val="0"/>
                    <w:spacing w:line="240" w:lineRule="auto"/>
                    <w:jc w:val="center"/>
                    <w:rPr>
                      <w:rFonts w:hint="default" w:ascii="Times New Roman" w:hAnsi="Times New Roman" w:eastAsia="宋体" w:cs="Times New Roman"/>
                      <w:color w:val="auto"/>
                      <w:kern w:val="2"/>
                      <w:sz w:val="21"/>
                      <w:szCs w:val="21"/>
                      <w:highlight w:val="none"/>
                      <w:lang w:val="en-US" w:eastAsia="zh-CN" w:bidi="ar"/>
                    </w:rPr>
                  </w:pPr>
                </w:p>
              </w:tc>
              <w:tc>
                <w:tcPr>
                  <w:tcW w:w="847" w:type="dxa"/>
                  <w:tcBorders>
                    <w:tl2br w:val="nil"/>
                    <w:tr2bl w:val="nil"/>
                  </w:tcBorders>
                  <w:noWrap w:val="0"/>
                  <w:vAlign w:val="center"/>
                </w:tcPr>
                <w:p w14:paraId="370260CE">
                  <w:pPr>
                    <w:spacing w:line="240" w:lineRule="auto"/>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H</w:t>
                  </w:r>
                  <w:r>
                    <w:rPr>
                      <w:rFonts w:hint="default" w:ascii="Times New Roman" w:hAnsi="Times New Roman" w:eastAsia="宋体" w:cs="Times New Roman"/>
                      <w:b w:val="0"/>
                      <w:bCs/>
                      <w:color w:val="auto"/>
                      <w:kern w:val="2"/>
                      <w:sz w:val="21"/>
                      <w:szCs w:val="21"/>
                      <w:highlight w:val="none"/>
                      <w:vertAlign w:val="subscript"/>
                      <w:lang w:val="en-US" w:eastAsia="zh-CN" w:bidi="ar-SA"/>
                    </w:rPr>
                    <w:t>2</w:t>
                  </w:r>
                  <w:r>
                    <w:rPr>
                      <w:rFonts w:hint="default" w:ascii="Times New Roman" w:hAnsi="Times New Roman" w:eastAsia="宋体" w:cs="Times New Roman"/>
                      <w:b w:val="0"/>
                      <w:bCs/>
                      <w:color w:val="auto"/>
                      <w:kern w:val="2"/>
                      <w:sz w:val="21"/>
                      <w:szCs w:val="21"/>
                      <w:highlight w:val="none"/>
                      <w:lang w:val="en-US" w:eastAsia="zh-CN" w:bidi="ar-SA"/>
                    </w:rPr>
                    <w:t>S</w:t>
                  </w:r>
                </w:p>
              </w:tc>
              <w:tc>
                <w:tcPr>
                  <w:tcW w:w="899" w:type="dxa"/>
                  <w:tcBorders>
                    <w:tl2br w:val="nil"/>
                    <w:tr2bl w:val="nil"/>
                  </w:tcBorders>
                  <w:noWrap w:val="0"/>
                  <w:vAlign w:val="center"/>
                </w:tcPr>
                <w:p w14:paraId="03DFD2A4">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2951" w:type="dxa"/>
                  <w:gridSpan w:val="3"/>
                  <w:vMerge w:val="continue"/>
                  <w:tcBorders>
                    <w:tl2br w:val="nil"/>
                    <w:tr2bl w:val="nil"/>
                  </w:tcBorders>
                  <w:noWrap w:val="0"/>
                  <w:vAlign w:val="center"/>
                </w:tcPr>
                <w:p w14:paraId="63C3BE9C">
                  <w:pPr>
                    <w:snapToGrid w:val="0"/>
                    <w:spacing w:line="240" w:lineRule="auto"/>
                    <w:jc w:val="center"/>
                    <w:rPr>
                      <w:rFonts w:hint="default" w:ascii="Times New Roman" w:hAnsi="Times New Roman" w:eastAsia="宋体" w:cs="Times New Roman"/>
                      <w:bCs/>
                      <w:color w:val="auto"/>
                      <w:kern w:val="0"/>
                      <w:sz w:val="21"/>
                      <w:szCs w:val="21"/>
                      <w:highlight w:val="none"/>
                      <w:lang w:val="en-US" w:eastAsia="zh-CN" w:bidi="ar"/>
                    </w:rPr>
                  </w:pPr>
                </w:p>
              </w:tc>
              <w:tc>
                <w:tcPr>
                  <w:tcW w:w="0" w:type="auto"/>
                  <w:tcBorders>
                    <w:tl2br w:val="nil"/>
                    <w:tr2bl w:val="nil"/>
                  </w:tcBorders>
                  <w:noWrap w:val="0"/>
                  <w:vAlign w:val="center"/>
                </w:tcPr>
                <w:p w14:paraId="35891146">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0" w:type="auto"/>
                  <w:gridSpan w:val="2"/>
                  <w:tcBorders>
                    <w:tl2br w:val="nil"/>
                    <w:tr2bl w:val="nil"/>
                  </w:tcBorders>
                  <w:noWrap w:val="0"/>
                  <w:vAlign w:val="center"/>
                </w:tcPr>
                <w:p w14:paraId="64E0A7D8">
                  <w:pPr>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r>
            <w:bookmarkEnd w:id="14"/>
          </w:tbl>
          <w:p w14:paraId="4BFD6386">
            <w:pPr>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由上表可知，经处理，本项目</w:t>
            </w:r>
            <w:r>
              <w:rPr>
                <w:rFonts w:hint="eastAsia" w:ascii="Times New Roman" w:hAnsi="Times New Roman" w:eastAsia="宋体" w:cs="Times New Roman"/>
                <w:sz w:val="24"/>
                <w:szCs w:val="24"/>
                <w:lang w:val="en-US" w:eastAsia="zh-CN"/>
              </w:rPr>
              <w:t>加弹、塑形工序</w:t>
            </w:r>
            <w:r>
              <w:rPr>
                <w:rFonts w:hint="default" w:ascii="Times New Roman" w:hAnsi="Times New Roman" w:eastAsia="宋体" w:cs="Times New Roman"/>
                <w:sz w:val="24"/>
                <w:szCs w:val="24"/>
                <w:lang w:val="en-US" w:eastAsia="zh-CN"/>
              </w:rPr>
              <w:t>有组织</w:t>
            </w:r>
            <w:r>
              <w:rPr>
                <w:rFonts w:hint="eastAsia" w:ascii="Times New Roman" w:hAnsi="Times New Roman" w:eastAsia="宋体" w:cs="Times New Roman"/>
                <w:sz w:val="24"/>
                <w:szCs w:val="24"/>
                <w:lang w:val="en-US" w:eastAsia="zh-CN"/>
              </w:rPr>
              <w:t>废气NMHC、颗粒物满足</w:t>
            </w:r>
            <w:r>
              <w:rPr>
                <w:rFonts w:hint="default" w:ascii="Times New Roman" w:hAnsi="Times New Roman" w:eastAsia="宋体" w:cs="Times New Roman"/>
                <w:sz w:val="24"/>
                <w:szCs w:val="24"/>
                <w:lang w:val="en-US" w:eastAsia="zh-CN"/>
              </w:rPr>
              <w:t>《大气污染物综合排放标准》（GB 16297-1996）</w:t>
            </w:r>
            <w:r>
              <w:rPr>
                <w:rFonts w:hint="eastAsia" w:ascii="Times New Roman" w:hAnsi="Times New Roman" w:eastAsia="宋体" w:cs="Times New Roman"/>
                <w:sz w:val="24"/>
                <w:szCs w:val="24"/>
                <w:lang w:val="en-US" w:eastAsia="zh-CN"/>
              </w:rPr>
              <w:t>限值，烘干燃烧有组织废气颗粒物、</w:t>
            </w:r>
            <w:r>
              <w:rPr>
                <w:rFonts w:hint="default" w:ascii="Times New Roman" w:hAnsi="Times New Roman" w:eastAsia="宋体" w:cs="Times New Roman"/>
                <w:sz w:val="24"/>
                <w:szCs w:val="24"/>
                <w:lang w:val="en-US" w:eastAsia="zh-CN"/>
              </w:rPr>
              <w:t>烟气黑度</w:t>
            </w:r>
            <w:r>
              <w:rPr>
                <w:rFonts w:hint="eastAsia" w:ascii="Times New Roman" w:hAnsi="Times New Roman" w:eastAsia="宋体" w:cs="Times New Roman"/>
                <w:sz w:val="24"/>
                <w:szCs w:val="24"/>
                <w:lang w:val="en-US" w:eastAsia="zh-CN"/>
              </w:rPr>
              <w:t>满足</w:t>
            </w:r>
            <w:r>
              <w:rPr>
                <w:rFonts w:hint="default" w:ascii="Times New Roman" w:hAnsi="Times New Roman" w:eastAsia="宋体" w:cs="Times New Roman"/>
                <w:sz w:val="24"/>
                <w:szCs w:val="24"/>
                <w:lang w:val="en-US" w:eastAsia="zh-CN"/>
              </w:rPr>
              <w:t>《工业炉窑大气污染物排放标准》（GB 9078-1996）</w:t>
            </w:r>
            <w:r>
              <w:rPr>
                <w:rFonts w:hint="eastAsia" w:ascii="Times New Roman" w:hAnsi="Times New Roman" w:eastAsia="宋体" w:cs="Times New Roman"/>
                <w:sz w:val="24"/>
                <w:szCs w:val="24"/>
                <w:lang w:val="en-US" w:eastAsia="zh-CN"/>
              </w:rPr>
              <w:t>限值，</w:t>
            </w:r>
            <w:r>
              <w:rPr>
                <w:rFonts w:hint="default" w:ascii="Times New Roman" w:hAnsi="Times New Roman" w:eastAsia="宋体" w:cs="Times New Roman"/>
                <w:sz w:val="24"/>
                <w:szCs w:val="24"/>
                <w:lang w:val="en-US" w:eastAsia="zh-CN"/>
              </w:rPr>
              <w:t>SO</w:t>
            </w:r>
            <w:r>
              <w:rPr>
                <w:rFonts w:hint="default"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NOx</w:t>
            </w:r>
            <w:r>
              <w:rPr>
                <w:rFonts w:hint="eastAsia" w:ascii="Times New Roman" w:hAnsi="Times New Roman" w:eastAsia="宋体" w:cs="Times New Roman"/>
                <w:sz w:val="24"/>
                <w:szCs w:val="24"/>
                <w:lang w:val="en-US" w:eastAsia="zh-CN"/>
              </w:rPr>
              <w:t>满足</w:t>
            </w:r>
            <w:r>
              <w:rPr>
                <w:rFonts w:hint="default" w:ascii="Times New Roman" w:hAnsi="Times New Roman" w:eastAsia="宋体" w:cs="Times New Roman"/>
                <w:sz w:val="24"/>
                <w:szCs w:val="24"/>
                <w:lang w:val="en-US" w:eastAsia="zh-CN"/>
              </w:rPr>
              <w:t>《大气污染物综合排放标准》（GB 16297-1996）表2</w:t>
            </w:r>
            <w:r>
              <w:rPr>
                <w:rFonts w:hint="eastAsia" w:ascii="Times New Roman" w:hAnsi="Times New Roman" w:eastAsia="宋体" w:cs="Times New Roman"/>
                <w:sz w:val="24"/>
                <w:szCs w:val="24"/>
                <w:lang w:val="en-US" w:eastAsia="zh-CN"/>
              </w:rPr>
              <w:t>限值</w:t>
            </w:r>
            <w:r>
              <w:rPr>
                <w:rFonts w:hint="default" w:ascii="Times New Roman" w:hAnsi="Times New Roman" w:eastAsia="宋体" w:cs="Times New Roman"/>
                <w:sz w:val="24"/>
                <w:szCs w:val="24"/>
                <w:lang w:val="en-US" w:eastAsia="zh-CN"/>
              </w:rPr>
              <w:t>，可以实现达标排放</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无组织</w:t>
            </w:r>
            <w:r>
              <w:rPr>
                <w:rFonts w:hint="eastAsia" w:ascii="Times New Roman" w:hAnsi="Times New Roman" w:eastAsia="宋体" w:cs="Times New Roman"/>
                <w:sz w:val="24"/>
                <w:szCs w:val="24"/>
                <w:lang w:val="en-US" w:eastAsia="zh-CN"/>
              </w:rPr>
              <w:t>NMHC、颗粒物、</w:t>
            </w:r>
            <w:r>
              <w:rPr>
                <w:rFonts w:hint="default" w:ascii="Times New Roman" w:hAnsi="Times New Roman" w:eastAsia="宋体" w:cs="Times New Roman"/>
                <w:sz w:val="24"/>
                <w:szCs w:val="24"/>
                <w:lang w:val="en-US" w:eastAsia="zh-CN"/>
              </w:rPr>
              <w:t>SO</w:t>
            </w:r>
            <w:r>
              <w:rPr>
                <w:rFonts w:hint="default" w:ascii="Times New Roman" w:hAnsi="Times New Roman" w:eastAsia="宋体" w:cs="Times New Roman"/>
                <w:sz w:val="24"/>
                <w:szCs w:val="24"/>
                <w:vertAlign w:val="subscript"/>
                <w:lang w:val="en-US" w:eastAsia="zh-CN"/>
              </w:rPr>
              <w:t>2</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NOx可满足《大气污染物综合排放标准》（GB 16297-1996）表2中无组织排放监控浓度限值，NH</w:t>
            </w:r>
            <w:r>
              <w:rPr>
                <w:rFonts w:hint="default" w:ascii="Times New Roman" w:hAnsi="Times New Roman" w:eastAsia="宋体" w:cs="Times New Roman"/>
                <w:sz w:val="24"/>
                <w:szCs w:val="24"/>
                <w:vertAlign w:val="subscript"/>
                <w:lang w:val="en-US" w:eastAsia="zh-CN"/>
              </w:rPr>
              <w:t>3</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H</w:t>
            </w:r>
            <w:r>
              <w:rPr>
                <w:rFonts w:hint="default" w:ascii="Times New Roman" w:hAnsi="Times New Roman" w:eastAsia="宋体" w:cs="Times New Roman"/>
                <w:sz w:val="24"/>
                <w:szCs w:val="24"/>
                <w:vertAlign w:val="subscript"/>
                <w:lang w:val="en-US" w:eastAsia="zh-CN"/>
              </w:rPr>
              <w:t>2</w:t>
            </w:r>
            <w:r>
              <w:rPr>
                <w:rFonts w:hint="default" w:ascii="Times New Roman" w:hAnsi="Times New Roman" w:eastAsia="宋体" w:cs="Times New Roman"/>
                <w:sz w:val="24"/>
                <w:szCs w:val="24"/>
                <w:lang w:val="en-US" w:eastAsia="zh-CN"/>
              </w:rPr>
              <w:t>S</w:t>
            </w:r>
            <w:r>
              <w:rPr>
                <w:rFonts w:hint="eastAsia" w:ascii="Times New Roman" w:hAnsi="Times New Roman" w:eastAsia="宋体" w:cs="Times New Roman"/>
                <w:sz w:val="24"/>
                <w:szCs w:val="24"/>
                <w:lang w:val="en-US" w:eastAsia="zh-CN"/>
              </w:rPr>
              <w:t>满足</w:t>
            </w:r>
            <w:r>
              <w:rPr>
                <w:rFonts w:hint="default" w:ascii="Times New Roman" w:hAnsi="Times New Roman" w:eastAsia="宋体" w:cs="Times New Roman"/>
                <w:sz w:val="24"/>
                <w:szCs w:val="24"/>
                <w:lang w:val="en-US" w:eastAsia="zh-CN"/>
              </w:rPr>
              <w:t>《恶臭污染物排放标准》（GB14554-93）</w:t>
            </w:r>
            <w:r>
              <w:rPr>
                <w:rFonts w:hint="eastAsia" w:ascii="Times New Roman" w:hAnsi="Times New Roman" w:eastAsia="宋体" w:cs="Times New Roman"/>
                <w:sz w:val="24"/>
                <w:szCs w:val="24"/>
                <w:lang w:val="en-US" w:eastAsia="zh-CN"/>
              </w:rPr>
              <w:t>要求，</w:t>
            </w:r>
            <w:r>
              <w:rPr>
                <w:rFonts w:hint="default" w:ascii="Times New Roman" w:hAnsi="Times New Roman" w:eastAsia="宋体" w:cs="Times New Roman"/>
                <w:sz w:val="24"/>
                <w:szCs w:val="24"/>
                <w:lang w:val="en-US" w:eastAsia="zh-CN"/>
              </w:rPr>
              <w:t>可以实现达标排放。</w:t>
            </w:r>
          </w:p>
          <w:p w14:paraId="09CD0A76">
            <w:pPr>
              <w:pStyle w:val="2"/>
              <w:spacing w:before="120" w:beforeLines="50"/>
              <w:outlineLvl w:val="9"/>
              <w:rPr>
                <w:sz w:val="24"/>
                <w:szCs w:val="24"/>
                <w:lang w:eastAsia="zh-CN"/>
              </w:rPr>
            </w:pPr>
            <w:r>
              <w:rPr>
                <w:sz w:val="24"/>
                <w:szCs w:val="24"/>
                <w:lang w:eastAsia="zh-CN"/>
              </w:rPr>
              <w:t>1.</w:t>
            </w:r>
            <w:r>
              <w:rPr>
                <w:rFonts w:hint="eastAsia"/>
                <w:sz w:val="24"/>
                <w:szCs w:val="24"/>
                <w:lang w:eastAsia="zh-CN"/>
              </w:rPr>
              <w:t>2废气环保措施可行性分析</w:t>
            </w:r>
          </w:p>
          <w:p w14:paraId="2889465C">
            <w:pPr>
              <w:pStyle w:val="2"/>
              <w:jc w:val="center"/>
              <w:outlineLvl w:val="9"/>
              <w:rPr>
                <w:rFonts w:hint="eastAsia" w:cs="Times New Roman"/>
                <w:sz w:val="24"/>
                <w:szCs w:val="24"/>
                <w:lang w:val="en-US" w:eastAsia="zh-CN"/>
              </w:rPr>
            </w:pPr>
            <w:r>
              <w:rPr>
                <w:rFonts w:hint="eastAsia" w:cs="Times New Roman"/>
                <w:sz w:val="24"/>
                <w:szCs w:val="24"/>
                <w:lang w:val="en-US" w:eastAsia="zh-CN"/>
              </w:rPr>
              <w:t>略</w:t>
            </w:r>
          </w:p>
          <w:p w14:paraId="7BEFDD9F">
            <w:pPr>
              <w:pStyle w:val="2"/>
              <w:outlineLvl w:val="9"/>
              <w:rPr>
                <w:sz w:val="24"/>
                <w:szCs w:val="24"/>
                <w:lang w:eastAsia="zh-CN"/>
              </w:rPr>
            </w:pPr>
            <w:r>
              <w:rPr>
                <w:sz w:val="24"/>
                <w:szCs w:val="24"/>
                <w:lang w:eastAsia="zh-CN"/>
              </w:rPr>
              <w:t>1.</w:t>
            </w:r>
            <w:r>
              <w:rPr>
                <w:rFonts w:hint="eastAsia"/>
                <w:sz w:val="24"/>
                <w:szCs w:val="24"/>
                <w:lang w:eastAsia="zh-CN"/>
              </w:rPr>
              <w:t>3</w:t>
            </w:r>
            <w:r>
              <w:rPr>
                <w:rFonts w:cs="Times New Roman"/>
                <w:sz w:val="24"/>
                <w:szCs w:val="24"/>
                <w:lang w:eastAsia="zh-CN"/>
              </w:rPr>
              <w:t>排污口设置情况及监控计划</w:t>
            </w:r>
          </w:p>
          <w:p w14:paraId="3C162309">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根据《排污单位自行监测技术指南总则》（HJ819-2017）和《排污许可证申请与核发技术规范总则》（HJ942-2018），制定本项目大气监测计划如下：</w:t>
            </w:r>
          </w:p>
          <w:p w14:paraId="384AD6ED">
            <w:pPr>
              <w:jc w:val="center"/>
              <w:rPr>
                <w:rFonts w:ascii="Times New Roman" w:hAnsi="Times New Roman" w:cs="Times New Roman"/>
                <w:b/>
                <w:bCs/>
                <w:sz w:val="21"/>
                <w:szCs w:val="21"/>
                <w:lang w:eastAsia="zh-CN"/>
              </w:rPr>
            </w:pPr>
            <w:r>
              <w:rPr>
                <w:rFonts w:hint="eastAsia" w:ascii="Times New Roman" w:hAnsi="Times New Roman" w:cs="Times New Roman"/>
                <w:b/>
                <w:bCs/>
                <w:sz w:val="21"/>
                <w:szCs w:val="21"/>
                <w:lang w:eastAsia="zh-CN"/>
              </w:rPr>
              <w:t>表4-</w:t>
            </w:r>
            <w:r>
              <w:rPr>
                <w:rFonts w:hint="eastAsia" w:ascii="Times New Roman" w:hAnsi="Times New Roman" w:cs="Times New Roman"/>
                <w:b/>
                <w:bCs/>
                <w:sz w:val="21"/>
                <w:szCs w:val="21"/>
                <w:lang w:val="en-US" w:eastAsia="zh-CN"/>
              </w:rPr>
              <w:t>3</w:t>
            </w:r>
            <w:r>
              <w:rPr>
                <w:rFonts w:hint="eastAsia"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项目排气口设置及大气污染物监测计划</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880"/>
              <w:gridCol w:w="800"/>
              <w:gridCol w:w="800"/>
              <w:gridCol w:w="852"/>
              <w:gridCol w:w="2959"/>
              <w:gridCol w:w="426"/>
              <w:gridCol w:w="880"/>
              <w:gridCol w:w="847"/>
              <w:gridCol w:w="426"/>
            </w:tblGrid>
            <w:tr w14:paraId="53685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Merge w:val="restart"/>
                  <w:vAlign w:val="center"/>
                </w:tcPr>
                <w:p w14:paraId="2A2426F4">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污染源类别</w:t>
                  </w:r>
                </w:p>
              </w:tc>
              <w:tc>
                <w:tcPr>
                  <w:tcW w:w="835" w:type="dxa"/>
                  <w:vMerge w:val="restart"/>
                  <w:vAlign w:val="center"/>
                </w:tcPr>
                <w:p w14:paraId="47F724D9">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排污口编号及名称</w:t>
                  </w:r>
                </w:p>
              </w:tc>
              <w:tc>
                <w:tcPr>
                  <w:tcW w:w="5837" w:type="dxa"/>
                  <w:gridSpan w:val="5"/>
                  <w:vAlign w:val="center"/>
                </w:tcPr>
                <w:p w14:paraId="6F4D7A3C">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排放口基本情况</w:t>
                  </w:r>
                </w:p>
              </w:tc>
              <w:tc>
                <w:tcPr>
                  <w:tcW w:w="2108" w:type="dxa"/>
                  <w:gridSpan w:val="3"/>
                  <w:vAlign w:val="center"/>
                </w:tcPr>
                <w:p w14:paraId="0A575519">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监测要求</w:t>
                  </w:r>
                </w:p>
              </w:tc>
            </w:tr>
            <w:tr w14:paraId="735D3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Merge w:val="continue"/>
                  <w:vAlign w:val="center"/>
                </w:tcPr>
                <w:p w14:paraId="65295D4F">
                  <w:pPr>
                    <w:spacing w:line="300" w:lineRule="exact"/>
                    <w:jc w:val="center"/>
                    <w:rPr>
                      <w:rFonts w:hint="default" w:ascii="Times New Roman" w:hAnsi="Times New Roman" w:eastAsia="宋体" w:cs="Times New Roman"/>
                      <w:sz w:val="21"/>
                      <w:szCs w:val="21"/>
                      <w:highlight w:val="none"/>
                      <w:lang w:eastAsia="zh-CN"/>
                    </w:rPr>
                  </w:pPr>
                </w:p>
              </w:tc>
              <w:tc>
                <w:tcPr>
                  <w:tcW w:w="835" w:type="dxa"/>
                  <w:vMerge w:val="continue"/>
                  <w:vAlign w:val="center"/>
                </w:tcPr>
                <w:p w14:paraId="7EED8347">
                  <w:pPr>
                    <w:spacing w:line="300" w:lineRule="exact"/>
                    <w:jc w:val="center"/>
                    <w:rPr>
                      <w:rFonts w:hint="default" w:ascii="Times New Roman" w:hAnsi="Times New Roman" w:eastAsia="宋体" w:cs="Times New Roman"/>
                      <w:sz w:val="21"/>
                      <w:szCs w:val="21"/>
                      <w:highlight w:val="none"/>
                      <w:lang w:eastAsia="zh-CN"/>
                    </w:rPr>
                  </w:pPr>
                </w:p>
              </w:tc>
              <w:tc>
                <w:tcPr>
                  <w:tcW w:w="800" w:type="dxa"/>
                  <w:vAlign w:val="center"/>
                </w:tcPr>
                <w:p w14:paraId="78D223FD">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高度（m）</w:t>
                  </w:r>
                </w:p>
              </w:tc>
              <w:tc>
                <w:tcPr>
                  <w:tcW w:w="800" w:type="dxa"/>
                  <w:vAlign w:val="center"/>
                </w:tcPr>
                <w:p w14:paraId="30BBA203">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内径（m）</w:t>
                  </w:r>
                </w:p>
              </w:tc>
              <w:tc>
                <w:tcPr>
                  <w:tcW w:w="852" w:type="dxa"/>
                  <w:vAlign w:val="center"/>
                </w:tcPr>
                <w:p w14:paraId="294325BB">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温度（℃）</w:t>
                  </w:r>
                </w:p>
              </w:tc>
              <w:tc>
                <w:tcPr>
                  <w:tcW w:w="2959" w:type="dxa"/>
                  <w:vAlign w:val="center"/>
                </w:tcPr>
                <w:p w14:paraId="100B4C35">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坐标</w:t>
                  </w:r>
                </w:p>
              </w:tc>
              <w:tc>
                <w:tcPr>
                  <w:tcW w:w="426" w:type="dxa"/>
                  <w:vAlign w:val="center"/>
                </w:tcPr>
                <w:p w14:paraId="1C77357E">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类型</w:t>
                  </w:r>
                </w:p>
              </w:tc>
              <w:tc>
                <w:tcPr>
                  <w:tcW w:w="835" w:type="dxa"/>
                  <w:vAlign w:val="center"/>
                </w:tcPr>
                <w:p w14:paraId="244BEB02">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监测点位</w:t>
                  </w:r>
                </w:p>
              </w:tc>
              <w:tc>
                <w:tcPr>
                  <w:tcW w:w="847" w:type="dxa"/>
                  <w:vAlign w:val="center"/>
                </w:tcPr>
                <w:p w14:paraId="0F83631A">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监测因子</w:t>
                  </w:r>
                </w:p>
              </w:tc>
              <w:tc>
                <w:tcPr>
                  <w:tcW w:w="426" w:type="dxa"/>
                  <w:vAlign w:val="center"/>
                </w:tcPr>
                <w:p w14:paraId="3E7D98D7">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监测频次</w:t>
                  </w:r>
                </w:p>
              </w:tc>
            </w:tr>
            <w:tr w14:paraId="1940A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5" w:hRule="atLeast"/>
                <w:jc w:val="center"/>
              </w:trPr>
              <w:tc>
                <w:tcPr>
                  <w:tcW w:w="426" w:type="dxa"/>
                  <w:vMerge w:val="restart"/>
                  <w:vAlign w:val="center"/>
                </w:tcPr>
                <w:p w14:paraId="597B0229">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有组织</w:t>
                  </w:r>
                </w:p>
              </w:tc>
              <w:tc>
                <w:tcPr>
                  <w:tcW w:w="835" w:type="dxa"/>
                  <w:vAlign w:val="center"/>
                </w:tcPr>
                <w:p w14:paraId="5F0EB356">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排气筒DA</w:t>
                  </w:r>
                  <w:r>
                    <w:rPr>
                      <w:rFonts w:hint="eastAsia" w:ascii="Times New Roman" w:hAnsi="Times New Roman" w:cs="Times New Roman"/>
                      <w:color w:val="auto"/>
                      <w:kern w:val="2"/>
                      <w:sz w:val="24"/>
                      <w:szCs w:val="24"/>
                      <w:highlight w:val="none"/>
                      <w:lang w:val="en-US" w:eastAsia="zh-CN" w:bidi="ar"/>
                    </w:rPr>
                    <w:t>***</w:t>
                  </w:r>
                </w:p>
              </w:tc>
              <w:tc>
                <w:tcPr>
                  <w:tcW w:w="800" w:type="dxa"/>
                  <w:vAlign w:val="center"/>
                </w:tcPr>
                <w:p w14:paraId="5202DF48">
                  <w:pPr>
                    <w:spacing w:line="300" w:lineRule="exac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color w:val="auto"/>
                      <w:kern w:val="2"/>
                      <w:sz w:val="24"/>
                      <w:szCs w:val="24"/>
                      <w:highlight w:val="none"/>
                      <w:lang w:val="en-US" w:eastAsia="zh-CN" w:bidi="ar"/>
                    </w:rPr>
                    <w:t>***</w:t>
                  </w:r>
                </w:p>
              </w:tc>
              <w:tc>
                <w:tcPr>
                  <w:tcW w:w="800" w:type="dxa"/>
                  <w:vAlign w:val="center"/>
                </w:tcPr>
                <w:p w14:paraId="533C9C5B">
                  <w:pPr>
                    <w:spacing w:line="300" w:lineRule="exac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color w:val="auto"/>
                      <w:kern w:val="2"/>
                      <w:sz w:val="24"/>
                      <w:szCs w:val="24"/>
                      <w:highlight w:val="none"/>
                      <w:lang w:val="en-US" w:eastAsia="zh-CN" w:bidi="ar"/>
                    </w:rPr>
                    <w:t>***</w:t>
                  </w:r>
                </w:p>
              </w:tc>
              <w:tc>
                <w:tcPr>
                  <w:tcW w:w="852" w:type="dxa"/>
                  <w:vAlign w:val="center"/>
                </w:tcPr>
                <w:p w14:paraId="574728AC">
                  <w:pPr>
                    <w:spacing w:line="300" w:lineRule="exac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color w:val="auto"/>
                      <w:kern w:val="2"/>
                      <w:sz w:val="24"/>
                      <w:szCs w:val="24"/>
                      <w:highlight w:val="none"/>
                      <w:lang w:val="en-US" w:eastAsia="zh-CN" w:bidi="ar"/>
                    </w:rPr>
                    <w:t>***</w:t>
                  </w:r>
                </w:p>
              </w:tc>
              <w:tc>
                <w:tcPr>
                  <w:tcW w:w="2959" w:type="dxa"/>
                  <w:vAlign w:val="center"/>
                </w:tcPr>
                <w:p w14:paraId="5FF0319D">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426" w:type="dxa"/>
                  <w:vAlign w:val="center"/>
                </w:tcPr>
                <w:p w14:paraId="1CAC39CA">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一般排放口</w:t>
                  </w:r>
                </w:p>
              </w:tc>
              <w:tc>
                <w:tcPr>
                  <w:tcW w:w="835" w:type="dxa"/>
                  <w:vAlign w:val="center"/>
                </w:tcPr>
                <w:p w14:paraId="1631C77D">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排气筒DA</w:t>
                  </w:r>
                  <w:r>
                    <w:rPr>
                      <w:rFonts w:hint="eastAsia" w:ascii="Times New Roman" w:hAnsi="Times New Roman" w:cs="Times New Roman"/>
                      <w:color w:val="auto"/>
                      <w:kern w:val="2"/>
                      <w:sz w:val="24"/>
                      <w:szCs w:val="24"/>
                      <w:highlight w:val="none"/>
                      <w:lang w:val="en-US" w:eastAsia="zh-CN" w:bidi="ar"/>
                    </w:rPr>
                    <w:t>***</w:t>
                  </w:r>
                </w:p>
              </w:tc>
              <w:tc>
                <w:tcPr>
                  <w:tcW w:w="847" w:type="dxa"/>
                  <w:vAlign w:val="center"/>
                </w:tcPr>
                <w:p w14:paraId="0EBEB65E">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NMHC</w:t>
                  </w:r>
                </w:p>
              </w:tc>
              <w:tc>
                <w:tcPr>
                  <w:tcW w:w="426" w:type="dxa"/>
                  <w:vAlign w:val="center"/>
                </w:tcPr>
                <w:p w14:paraId="4566F137">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1次</w:t>
                  </w:r>
                  <w:r>
                    <w:rPr>
                      <w:rFonts w:hint="default" w:ascii="Times New Roman" w:hAnsi="Times New Roman" w:eastAsia="宋体" w:cs="Times New Roman"/>
                      <w:sz w:val="21"/>
                      <w:szCs w:val="21"/>
                      <w:highlight w:val="none"/>
                      <w:lang w:eastAsia="zh-CN"/>
                    </w:rPr>
                    <w:t>/</w:t>
                  </w:r>
                  <w:r>
                    <w:rPr>
                      <w:rFonts w:hint="eastAsia" w:ascii="Times New Roman" w:hAnsi="Times New Roman" w:cs="Times New Roman"/>
                      <w:sz w:val="21"/>
                      <w:szCs w:val="21"/>
                      <w:highlight w:val="none"/>
                      <w:lang w:val="en-US" w:eastAsia="zh-CN"/>
                    </w:rPr>
                    <w:t>季度</w:t>
                  </w:r>
                </w:p>
              </w:tc>
            </w:tr>
            <w:tr w14:paraId="078E9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426" w:type="dxa"/>
                  <w:vMerge w:val="continue"/>
                  <w:vAlign w:val="center"/>
                </w:tcPr>
                <w:p w14:paraId="764CCFB4">
                  <w:pPr>
                    <w:spacing w:line="300" w:lineRule="exact"/>
                    <w:jc w:val="center"/>
                    <w:rPr>
                      <w:rFonts w:hint="default" w:ascii="Times New Roman" w:hAnsi="Times New Roman" w:eastAsia="宋体" w:cs="Times New Roman"/>
                      <w:sz w:val="21"/>
                      <w:szCs w:val="21"/>
                      <w:highlight w:val="none"/>
                      <w:lang w:eastAsia="zh-CN"/>
                    </w:rPr>
                  </w:pPr>
                </w:p>
              </w:tc>
              <w:tc>
                <w:tcPr>
                  <w:tcW w:w="835" w:type="dxa"/>
                  <w:vMerge w:val="restart"/>
                  <w:vAlign w:val="center"/>
                </w:tcPr>
                <w:p w14:paraId="6E032C28">
                  <w:pPr>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排气筒DA</w:t>
                  </w:r>
                  <w:r>
                    <w:rPr>
                      <w:rFonts w:hint="eastAsia" w:ascii="Times New Roman" w:hAnsi="Times New Roman" w:cs="Times New Roman"/>
                      <w:color w:val="auto"/>
                      <w:kern w:val="2"/>
                      <w:sz w:val="24"/>
                      <w:szCs w:val="24"/>
                      <w:highlight w:val="none"/>
                      <w:lang w:val="en-US" w:eastAsia="zh-CN" w:bidi="ar"/>
                    </w:rPr>
                    <w:t>***</w:t>
                  </w:r>
                </w:p>
              </w:tc>
              <w:tc>
                <w:tcPr>
                  <w:tcW w:w="800" w:type="dxa"/>
                  <w:vMerge w:val="restart"/>
                  <w:vAlign w:val="center"/>
                </w:tcPr>
                <w:p w14:paraId="768B94F0">
                  <w:pPr>
                    <w:spacing w:line="300" w:lineRule="exac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color w:val="auto"/>
                      <w:kern w:val="2"/>
                      <w:sz w:val="24"/>
                      <w:szCs w:val="24"/>
                      <w:highlight w:val="none"/>
                      <w:lang w:val="en-US" w:eastAsia="zh-CN" w:bidi="ar"/>
                    </w:rPr>
                    <w:t>***</w:t>
                  </w:r>
                </w:p>
              </w:tc>
              <w:tc>
                <w:tcPr>
                  <w:tcW w:w="800" w:type="dxa"/>
                  <w:vMerge w:val="restart"/>
                  <w:vAlign w:val="center"/>
                </w:tcPr>
                <w:p w14:paraId="19ECADD3">
                  <w:pPr>
                    <w:spacing w:line="300" w:lineRule="exac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color w:val="auto"/>
                      <w:kern w:val="2"/>
                      <w:sz w:val="24"/>
                      <w:szCs w:val="24"/>
                      <w:highlight w:val="none"/>
                      <w:lang w:val="en-US" w:eastAsia="zh-CN" w:bidi="ar"/>
                    </w:rPr>
                    <w:t>***</w:t>
                  </w:r>
                </w:p>
              </w:tc>
              <w:tc>
                <w:tcPr>
                  <w:tcW w:w="852" w:type="dxa"/>
                  <w:vMerge w:val="restart"/>
                  <w:vAlign w:val="center"/>
                </w:tcPr>
                <w:p w14:paraId="6C251595">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2959" w:type="dxa"/>
                  <w:vMerge w:val="restart"/>
                  <w:vAlign w:val="center"/>
                </w:tcPr>
                <w:p w14:paraId="0BCB89DC">
                  <w:pPr>
                    <w:spacing w:line="300" w:lineRule="exact"/>
                    <w:jc w:val="center"/>
                    <w:rPr>
                      <w:rFonts w:hint="default"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w:t>
                  </w:r>
                </w:p>
              </w:tc>
              <w:tc>
                <w:tcPr>
                  <w:tcW w:w="426" w:type="dxa"/>
                  <w:vMerge w:val="restart"/>
                  <w:vAlign w:val="center"/>
                </w:tcPr>
                <w:p w14:paraId="42BB73E2">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一般排放口</w:t>
                  </w:r>
                </w:p>
              </w:tc>
              <w:tc>
                <w:tcPr>
                  <w:tcW w:w="835" w:type="dxa"/>
                  <w:vMerge w:val="restart"/>
                  <w:vAlign w:val="center"/>
                </w:tcPr>
                <w:p w14:paraId="34BB3D88">
                  <w:pPr>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排气筒DA</w:t>
                  </w:r>
                  <w:r>
                    <w:rPr>
                      <w:rFonts w:hint="eastAsia" w:ascii="Times New Roman" w:hAnsi="Times New Roman" w:cs="Times New Roman"/>
                      <w:color w:val="auto"/>
                      <w:kern w:val="2"/>
                      <w:sz w:val="24"/>
                      <w:szCs w:val="24"/>
                      <w:highlight w:val="none"/>
                      <w:lang w:val="en-US" w:eastAsia="zh-CN" w:bidi="ar"/>
                    </w:rPr>
                    <w:t>***</w:t>
                  </w:r>
                </w:p>
              </w:tc>
              <w:tc>
                <w:tcPr>
                  <w:tcW w:w="847" w:type="dxa"/>
                  <w:vAlign w:val="center"/>
                </w:tcPr>
                <w:p w14:paraId="39B59C8F">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二氧化硫</w:t>
                  </w:r>
                </w:p>
              </w:tc>
              <w:tc>
                <w:tcPr>
                  <w:tcW w:w="426" w:type="dxa"/>
                  <w:vMerge w:val="restart"/>
                  <w:vAlign w:val="center"/>
                </w:tcPr>
                <w:p w14:paraId="1C5E140B">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1次</w:t>
                  </w:r>
                  <w:r>
                    <w:rPr>
                      <w:rFonts w:hint="default" w:ascii="Times New Roman" w:hAnsi="Times New Roman" w:eastAsia="宋体" w:cs="Times New Roman"/>
                      <w:sz w:val="21"/>
                      <w:szCs w:val="21"/>
                      <w:highlight w:val="none"/>
                      <w:lang w:eastAsia="zh-CN"/>
                    </w:rPr>
                    <w:t>/</w:t>
                  </w:r>
                  <w:r>
                    <w:rPr>
                      <w:rFonts w:hint="eastAsia" w:ascii="Times New Roman" w:hAnsi="Times New Roman" w:cs="Times New Roman"/>
                      <w:sz w:val="21"/>
                      <w:szCs w:val="21"/>
                      <w:highlight w:val="none"/>
                      <w:lang w:val="en-US" w:eastAsia="zh-CN"/>
                    </w:rPr>
                    <w:t>季度</w:t>
                  </w:r>
                </w:p>
              </w:tc>
            </w:tr>
            <w:tr w14:paraId="61661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426" w:type="dxa"/>
                  <w:vMerge w:val="continue"/>
                  <w:vAlign w:val="center"/>
                </w:tcPr>
                <w:p w14:paraId="5FBCDA06">
                  <w:pPr>
                    <w:spacing w:line="300" w:lineRule="exact"/>
                    <w:jc w:val="center"/>
                    <w:rPr>
                      <w:sz w:val="21"/>
                      <w:szCs w:val="21"/>
                      <w:highlight w:val="none"/>
                    </w:rPr>
                  </w:pPr>
                </w:p>
              </w:tc>
              <w:tc>
                <w:tcPr>
                  <w:tcW w:w="835" w:type="dxa"/>
                  <w:vMerge w:val="continue"/>
                  <w:vAlign w:val="center"/>
                </w:tcPr>
                <w:p w14:paraId="6DCFE4F0">
                  <w:pPr>
                    <w:spacing w:line="300" w:lineRule="exact"/>
                    <w:jc w:val="center"/>
                    <w:rPr>
                      <w:sz w:val="21"/>
                      <w:szCs w:val="21"/>
                      <w:highlight w:val="none"/>
                    </w:rPr>
                  </w:pPr>
                </w:p>
              </w:tc>
              <w:tc>
                <w:tcPr>
                  <w:tcW w:w="800" w:type="dxa"/>
                  <w:vMerge w:val="continue"/>
                  <w:vAlign w:val="center"/>
                </w:tcPr>
                <w:p w14:paraId="1AD94FFF">
                  <w:pPr>
                    <w:spacing w:line="300" w:lineRule="exact"/>
                    <w:jc w:val="center"/>
                    <w:rPr>
                      <w:sz w:val="21"/>
                      <w:szCs w:val="21"/>
                      <w:highlight w:val="none"/>
                    </w:rPr>
                  </w:pPr>
                </w:p>
              </w:tc>
              <w:tc>
                <w:tcPr>
                  <w:tcW w:w="800" w:type="dxa"/>
                  <w:vMerge w:val="continue"/>
                  <w:vAlign w:val="center"/>
                </w:tcPr>
                <w:p w14:paraId="458E39C8">
                  <w:pPr>
                    <w:spacing w:line="300" w:lineRule="exact"/>
                    <w:jc w:val="center"/>
                    <w:rPr>
                      <w:sz w:val="21"/>
                      <w:szCs w:val="21"/>
                      <w:highlight w:val="none"/>
                    </w:rPr>
                  </w:pPr>
                </w:p>
              </w:tc>
              <w:tc>
                <w:tcPr>
                  <w:tcW w:w="852" w:type="dxa"/>
                  <w:vMerge w:val="continue"/>
                  <w:vAlign w:val="center"/>
                </w:tcPr>
                <w:p w14:paraId="528E3FB9">
                  <w:pPr>
                    <w:spacing w:line="300" w:lineRule="exact"/>
                    <w:jc w:val="center"/>
                    <w:rPr>
                      <w:sz w:val="21"/>
                      <w:szCs w:val="21"/>
                      <w:highlight w:val="none"/>
                    </w:rPr>
                  </w:pPr>
                </w:p>
              </w:tc>
              <w:tc>
                <w:tcPr>
                  <w:tcW w:w="2959" w:type="dxa"/>
                  <w:vMerge w:val="continue"/>
                  <w:vAlign w:val="center"/>
                </w:tcPr>
                <w:p w14:paraId="37098102">
                  <w:pPr>
                    <w:spacing w:line="300" w:lineRule="exact"/>
                    <w:jc w:val="center"/>
                    <w:rPr>
                      <w:sz w:val="21"/>
                      <w:szCs w:val="21"/>
                      <w:highlight w:val="none"/>
                    </w:rPr>
                  </w:pPr>
                </w:p>
              </w:tc>
              <w:tc>
                <w:tcPr>
                  <w:tcW w:w="426" w:type="dxa"/>
                  <w:vMerge w:val="continue"/>
                  <w:vAlign w:val="center"/>
                </w:tcPr>
                <w:p w14:paraId="5B166DF4">
                  <w:pPr>
                    <w:spacing w:line="300" w:lineRule="exact"/>
                    <w:jc w:val="center"/>
                    <w:rPr>
                      <w:sz w:val="21"/>
                      <w:szCs w:val="21"/>
                      <w:highlight w:val="none"/>
                    </w:rPr>
                  </w:pPr>
                </w:p>
              </w:tc>
              <w:tc>
                <w:tcPr>
                  <w:tcW w:w="835" w:type="dxa"/>
                  <w:vMerge w:val="continue"/>
                  <w:vAlign w:val="center"/>
                </w:tcPr>
                <w:p w14:paraId="1B6B12CB">
                  <w:pPr>
                    <w:spacing w:line="300" w:lineRule="exact"/>
                    <w:jc w:val="center"/>
                    <w:rPr>
                      <w:sz w:val="21"/>
                      <w:szCs w:val="21"/>
                      <w:highlight w:val="none"/>
                    </w:rPr>
                  </w:pPr>
                </w:p>
              </w:tc>
              <w:tc>
                <w:tcPr>
                  <w:tcW w:w="847" w:type="dxa"/>
                  <w:vAlign w:val="center"/>
                </w:tcPr>
                <w:p w14:paraId="24074DE8">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氮氧化物</w:t>
                  </w:r>
                </w:p>
              </w:tc>
              <w:tc>
                <w:tcPr>
                  <w:tcW w:w="426" w:type="dxa"/>
                  <w:vMerge w:val="continue"/>
                  <w:vAlign w:val="center"/>
                </w:tcPr>
                <w:p w14:paraId="78A15E9B">
                  <w:pPr>
                    <w:spacing w:line="300" w:lineRule="exact"/>
                    <w:jc w:val="center"/>
                    <w:rPr>
                      <w:rFonts w:hint="default" w:ascii="Times New Roman" w:hAnsi="Times New Roman" w:eastAsia="宋体" w:cs="Times New Roman"/>
                      <w:sz w:val="21"/>
                      <w:szCs w:val="21"/>
                      <w:highlight w:val="none"/>
                      <w:lang w:eastAsia="zh-CN"/>
                    </w:rPr>
                  </w:pPr>
                </w:p>
              </w:tc>
            </w:tr>
            <w:tr w14:paraId="6080F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426" w:type="dxa"/>
                  <w:vMerge w:val="continue"/>
                  <w:vAlign w:val="center"/>
                </w:tcPr>
                <w:p w14:paraId="6CABFD6B">
                  <w:pPr>
                    <w:spacing w:line="300" w:lineRule="exact"/>
                    <w:jc w:val="center"/>
                    <w:rPr>
                      <w:rFonts w:hint="default" w:ascii="Times New Roman" w:hAnsi="Times New Roman" w:eastAsia="宋体" w:cs="Times New Roman"/>
                      <w:sz w:val="21"/>
                      <w:szCs w:val="21"/>
                      <w:highlight w:val="none"/>
                      <w:lang w:eastAsia="zh-CN"/>
                    </w:rPr>
                  </w:pPr>
                </w:p>
              </w:tc>
              <w:tc>
                <w:tcPr>
                  <w:tcW w:w="835" w:type="dxa"/>
                  <w:vMerge w:val="continue"/>
                  <w:vAlign w:val="center"/>
                </w:tcPr>
                <w:p w14:paraId="039C25F1">
                  <w:pPr>
                    <w:spacing w:line="300" w:lineRule="exact"/>
                    <w:jc w:val="center"/>
                    <w:rPr>
                      <w:rFonts w:hint="default" w:ascii="Times New Roman" w:hAnsi="Times New Roman" w:eastAsia="宋体" w:cs="Times New Roman"/>
                      <w:sz w:val="21"/>
                      <w:szCs w:val="21"/>
                      <w:highlight w:val="none"/>
                      <w:lang w:eastAsia="zh-CN"/>
                    </w:rPr>
                  </w:pPr>
                </w:p>
              </w:tc>
              <w:tc>
                <w:tcPr>
                  <w:tcW w:w="800" w:type="dxa"/>
                  <w:vMerge w:val="continue"/>
                  <w:vAlign w:val="center"/>
                </w:tcPr>
                <w:p w14:paraId="7D326CFC">
                  <w:pPr>
                    <w:spacing w:line="300" w:lineRule="exact"/>
                    <w:jc w:val="center"/>
                    <w:rPr>
                      <w:rFonts w:hint="default" w:ascii="Times New Roman" w:hAnsi="Times New Roman" w:eastAsia="宋体" w:cs="Times New Roman"/>
                      <w:sz w:val="21"/>
                      <w:szCs w:val="21"/>
                      <w:highlight w:val="none"/>
                      <w:lang w:eastAsia="zh-CN"/>
                    </w:rPr>
                  </w:pPr>
                </w:p>
              </w:tc>
              <w:tc>
                <w:tcPr>
                  <w:tcW w:w="800" w:type="dxa"/>
                  <w:vMerge w:val="continue"/>
                  <w:vAlign w:val="center"/>
                </w:tcPr>
                <w:p w14:paraId="07AC30BC">
                  <w:pPr>
                    <w:spacing w:line="300" w:lineRule="exact"/>
                    <w:jc w:val="center"/>
                    <w:rPr>
                      <w:rFonts w:hint="default" w:ascii="Times New Roman" w:hAnsi="Times New Roman" w:eastAsia="宋体" w:cs="Times New Roman"/>
                      <w:sz w:val="21"/>
                      <w:szCs w:val="21"/>
                      <w:highlight w:val="none"/>
                      <w:lang w:eastAsia="zh-CN"/>
                    </w:rPr>
                  </w:pPr>
                </w:p>
              </w:tc>
              <w:tc>
                <w:tcPr>
                  <w:tcW w:w="852" w:type="dxa"/>
                  <w:vMerge w:val="continue"/>
                  <w:vAlign w:val="center"/>
                </w:tcPr>
                <w:p w14:paraId="400347DB">
                  <w:pPr>
                    <w:spacing w:line="300" w:lineRule="exact"/>
                    <w:jc w:val="center"/>
                    <w:rPr>
                      <w:rFonts w:hint="default" w:ascii="Times New Roman" w:hAnsi="Times New Roman" w:eastAsia="宋体" w:cs="Times New Roman"/>
                      <w:sz w:val="21"/>
                      <w:szCs w:val="21"/>
                      <w:highlight w:val="none"/>
                      <w:lang w:eastAsia="zh-CN"/>
                    </w:rPr>
                  </w:pPr>
                </w:p>
              </w:tc>
              <w:tc>
                <w:tcPr>
                  <w:tcW w:w="2959" w:type="dxa"/>
                  <w:vMerge w:val="continue"/>
                  <w:vAlign w:val="center"/>
                </w:tcPr>
                <w:p w14:paraId="74B7012B">
                  <w:pPr>
                    <w:spacing w:line="300" w:lineRule="exact"/>
                    <w:jc w:val="center"/>
                    <w:rPr>
                      <w:rFonts w:hint="default" w:ascii="Times New Roman" w:hAnsi="Times New Roman" w:eastAsia="宋体" w:cs="Times New Roman"/>
                      <w:sz w:val="21"/>
                      <w:szCs w:val="21"/>
                      <w:highlight w:val="none"/>
                      <w:lang w:eastAsia="zh-CN"/>
                    </w:rPr>
                  </w:pPr>
                </w:p>
              </w:tc>
              <w:tc>
                <w:tcPr>
                  <w:tcW w:w="426" w:type="dxa"/>
                  <w:vMerge w:val="continue"/>
                  <w:vAlign w:val="center"/>
                </w:tcPr>
                <w:p w14:paraId="0566E628">
                  <w:pPr>
                    <w:spacing w:line="300" w:lineRule="exact"/>
                    <w:jc w:val="center"/>
                    <w:rPr>
                      <w:rFonts w:hint="default" w:ascii="Times New Roman" w:hAnsi="Times New Roman" w:eastAsia="宋体" w:cs="Times New Roman"/>
                      <w:sz w:val="21"/>
                      <w:szCs w:val="21"/>
                      <w:highlight w:val="none"/>
                      <w:lang w:eastAsia="zh-CN"/>
                    </w:rPr>
                  </w:pPr>
                </w:p>
              </w:tc>
              <w:tc>
                <w:tcPr>
                  <w:tcW w:w="835" w:type="dxa"/>
                  <w:vMerge w:val="continue"/>
                  <w:vAlign w:val="center"/>
                </w:tcPr>
                <w:p w14:paraId="7298F9CB">
                  <w:pPr>
                    <w:spacing w:line="300" w:lineRule="exact"/>
                    <w:jc w:val="center"/>
                    <w:rPr>
                      <w:rFonts w:hint="default" w:ascii="Times New Roman" w:hAnsi="Times New Roman" w:eastAsia="宋体" w:cs="Times New Roman"/>
                      <w:sz w:val="21"/>
                      <w:szCs w:val="21"/>
                      <w:highlight w:val="none"/>
                      <w:lang w:eastAsia="zh-CN"/>
                    </w:rPr>
                  </w:pPr>
                </w:p>
              </w:tc>
              <w:tc>
                <w:tcPr>
                  <w:tcW w:w="847" w:type="dxa"/>
                  <w:vAlign w:val="center"/>
                </w:tcPr>
                <w:p w14:paraId="0090B83B">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颗粒物</w:t>
                  </w:r>
                </w:p>
              </w:tc>
              <w:tc>
                <w:tcPr>
                  <w:tcW w:w="426" w:type="dxa"/>
                  <w:vMerge w:val="continue"/>
                  <w:vAlign w:val="center"/>
                </w:tcPr>
                <w:p w14:paraId="6699D927">
                  <w:pPr>
                    <w:spacing w:line="300" w:lineRule="exact"/>
                    <w:jc w:val="center"/>
                    <w:rPr>
                      <w:rFonts w:hint="default" w:ascii="Times New Roman" w:hAnsi="Times New Roman" w:eastAsia="宋体" w:cs="Times New Roman"/>
                      <w:sz w:val="21"/>
                      <w:szCs w:val="21"/>
                      <w:highlight w:val="none"/>
                      <w:lang w:eastAsia="zh-CN"/>
                    </w:rPr>
                  </w:pPr>
                </w:p>
              </w:tc>
            </w:tr>
            <w:tr w14:paraId="455E3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426" w:type="dxa"/>
                  <w:vMerge w:val="continue"/>
                  <w:vAlign w:val="center"/>
                </w:tcPr>
                <w:p w14:paraId="0F71E4A8">
                  <w:pPr>
                    <w:spacing w:line="300" w:lineRule="exact"/>
                    <w:jc w:val="center"/>
                    <w:rPr>
                      <w:rFonts w:hint="default" w:ascii="Times New Roman" w:hAnsi="Times New Roman" w:eastAsia="宋体" w:cs="Times New Roman"/>
                      <w:sz w:val="21"/>
                      <w:szCs w:val="21"/>
                      <w:highlight w:val="none"/>
                      <w:lang w:eastAsia="zh-CN"/>
                    </w:rPr>
                  </w:pPr>
                </w:p>
              </w:tc>
              <w:tc>
                <w:tcPr>
                  <w:tcW w:w="835" w:type="dxa"/>
                  <w:vMerge w:val="continue"/>
                  <w:vAlign w:val="center"/>
                </w:tcPr>
                <w:p w14:paraId="078D6DC2">
                  <w:pPr>
                    <w:spacing w:line="300" w:lineRule="exact"/>
                    <w:jc w:val="center"/>
                    <w:rPr>
                      <w:rFonts w:hint="default" w:ascii="Times New Roman" w:hAnsi="Times New Roman" w:eastAsia="宋体" w:cs="Times New Roman"/>
                      <w:sz w:val="21"/>
                      <w:szCs w:val="21"/>
                      <w:highlight w:val="none"/>
                      <w:lang w:eastAsia="zh-CN"/>
                    </w:rPr>
                  </w:pPr>
                </w:p>
              </w:tc>
              <w:tc>
                <w:tcPr>
                  <w:tcW w:w="800" w:type="dxa"/>
                  <w:vMerge w:val="continue"/>
                  <w:vAlign w:val="center"/>
                </w:tcPr>
                <w:p w14:paraId="75103ABC">
                  <w:pPr>
                    <w:spacing w:line="300" w:lineRule="exact"/>
                    <w:jc w:val="center"/>
                    <w:rPr>
                      <w:rFonts w:hint="default" w:ascii="Times New Roman" w:hAnsi="Times New Roman" w:eastAsia="宋体" w:cs="Times New Roman"/>
                      <w:sz w:val="21"/>
                      <w:szCs w:val="21"/>
                      <w:highlight w:val="none"/>
                      <w:lang w:eastAsia="zh-CN"/>
                    </w:rPr>
                  </w:pPr>
                </w:p>
              </w:tc>
              <w:tc>
                <w:tcPr>
                  <w:tcW w:w="800" w:type="dxa"/>
                  <w:vMerge w:val="continue"/>
                  <w:vAlign w:val="center"/>
                </w:tcPr>
                <w:p w14:paraId="12C4D7A6">
                  <w:pPr>
                    <w:spacing w:line="300" w:lineRule="exact"/>
                    <w:jc w:val="center"/>
                    <w:rPr>
                      <w:rFonts w:hint="default" w:ascii="Times New Roman" w:hAnsi="Times New Roman" w:eastAsia="宋体" w:cs="Times New Roman"/>
                      <w:sz w:val="21"/>
                      <w:szCs w:val="21"/>
                      <w:highlight w:val="none"/>
                      <w:lang w:eastAsia="zh-CN"/>
                    </w:rPr>
                  </w:pPr>
                </w:p>
              </w:tc>
              <w:tc>
                <w:tcPr>
                  <w:tcW w:w="852" w:type="dxa"/>
                  <w:vMerge w:val="continue"/>
                  <w:vAlign w:val="center"/>
                </w:tcPr>
                <w:p w14:paraId="3EB659A9">
                  <w:pPr>
                    <w:spacing w:line="300" w:lineRule="exact"/>
                    <w:jc w:val="center"/>
                    <w:rPr>
                      <w:rFonts w:hint="default" w:ascii="Times New Roman" w:hAnsi="Times New Roman" w:eastAsia="宋体" w:cs="Times New Roman"/>
                      <w:sz w:val="21"/>
                      <w:szCs w:val="21"/>
                      <w:highlight w:val="none"/>
                      <w:lang w:eastAsia="zh-CN"/>
                    </w:rPr>
                  </w:pPr>
                </w:p>
              </w:tc>
              <w:tc>
                <w:tcPr>
                  <w:tcW w:w="2959" w:type="dxa"/>
                  <w:vMerge w:val="continue"/>
                  <w:vAlign w:val="center"/>
                </w:tcPr>
                <w:p w14:paraId="40727DE4">
                  <w:pPr>
                    <w:spacing w:line="300" w:lineRule="exact"/>
                    <w:jc w:val="center"/>
                    <w:rPr>
                      <w:rFonts w:hint="default" w:ascii="Times New Roman" w:hAnsi="Times New Roman" w:eastAsia="宋体" w:cs="Times New Roman"/>
                      <w:sz w:val="21"/>
                      <w:szCs w:val="21"/>
                      <w:highlight w:val="none"/>
                      <w:lang w:eastAsia="zh-CN"/>
                    </w:rPr>
                  </w:pPr>
                </w:p>
              </w:tc>
              <w:tc>
                <w:tcPr>
                  <w:tcW w:w="426" w:type="dxa"/>
                  <w:vMerge w:val="continue"/>
                  <w:vAlign w:val="center"/>
                </w:tcPr>
                <w:p w14:paraId="129A10D3">
                  <w:pPr>
                    <w:spacing w:line="300" w:lineRule="exact"/>
                    <w:jc w:val="center"/>
                    <w:rPr>
                      <w:rFonts w:hint="default" w:ascii="Times New Roman" w:hAnsi="Times New Roman" w:eastAsia="宋体" w:cs="Times New Roman"/>
                      <w:sz w:val="21"/>
                      <w:szCs w:val="21"/>
                      <w:highlight w:val="none"/>
                      <w:lang w:eastAsia="zh-CN"/>
                    </w:rPr>
                  </w:pPr>
                </w:p>
              </w:tc>
              <w:tc>
                <w:tcPr>
                  <w:tcW w:w="835" w:type="dxa"/>
                  <w:vMerge w:val="continue"/>
                  <w:vAlign w:val="center"/>
                </w:tcPr>
                <w:p w14:paraId="036291E1">
                  <w:pPr>
                    <w:spacing w:line="300" w:lineRule="exact"/>
                    <w:jc w:val="center"/>
                    <w:rPr>
                      <w:rFonts w:hint="default" w:ascii="Times New Roman" w:hAnsi="Times New Roman" w:eastAsia="宋体" w:cs="Times New Roman"/>
                      <w:sz w:val="21"/>
                      <w:szCs w:val="21"/>
                      <w:highlight w:val="none"/>
                      <w:lang w:eastAsia="zh-CN"/>
                    </w:rPr>
                  </w:pPr>
                </w:p>
              </w:tc>
              <w:tc>
                <w:tcPr>
                  <w:tcW w:w="847" w:type="dxa"/>
                  <w:vAlign w:val="center"/>
                </w:tcPr>
                <w:p w14:paraId="14337BEA">
                  <w:pPr>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NMHC</w:t>
                  </w:r>
                </w:p>
              </w:tc>
              <w:tc>
                <w:tcPr>
                  <w:tcW w:w="426" w:type="dxa"/>
                  <w:vMerge w:val="continue"/>
                  <w:vAlign w:val="center"/>
                </w:tcPr>
                <w:p w14:paraId="0212D9FC">
                  <w:pPr>
                    <w:spacing w:line="300" w:lineRule="exact"/>
                    <w:jc w:val="center"/>
                    <w:rPr>
                      <w:rFonts w:hint="default" w:ascii="Times New Roman" w:hAnsi="Times New Roman" w:eastAsia="宋体" w:cs="Times New Roman"/>
                      <w:sz w:val="21"/>
                      <w:szCs w:val="21"/>
                      <w:highlight w:val="none"/>
                      <w:lang w:val="en-US" w:eastAsia="zh-CN"/>
                    </w:rPr>
                  </w:pPr>
                </w:p>
              </w:tc>
            </w:tr>
            <w:tr w14:paraId="613DF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restart"/>
                  <w:vAlign w:val="center"/>
                </w:tcPr>
                <w:p w14:paraId="60367B81">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无组织</w:t>
                  </w:r>
                </w:p>
              </w:tc>
              <w:tc>
                <w:tcPr>
                  <w:tcW w:w="835" w:type="dxa"/>
                  <w:vMerge w:val="restart"/>
                  <w:vAlign w:val="center"/>
                </w:tcPr>
                <w:p w14:paraId="252CDBAE">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厂界</w:t>
                  </w:r>
                </w:p>
              </w:tc>
              <w:tc>
                <w:tcPr>
                  <w:tcW w:w="800" w:type="dxa"/>
                  <w:vMerge w:val="restart"/>
                  <w:vAlign w:val="center"/>
                </w:tcPr>
                <w:p w14:paraId="44F4778E">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800" w:type="dxa"/>
                  <w:vMerge w:val="restart"/>
                  <w:vAlign w:val="center"/>
                </w:tcPr>
                <w:p w14:paraId="719B5827">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852" w:type="dxa"/>
                  <w:vMerge w:val="restart"/>
                  <w:vAlign w:val="center"/>
                </w:tcPr>
                <w:p w14:paraId="6F91BAA3">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2959" w:type="dxa"/>
                  <w:vMerge w:val="restart"/>
                  <w:vAlign w:val="center"/>
                </w:tcPr>
                <w:p w14:paraId="44B203C3">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426" w:type="dxa"/>
                  <w:vMerge w:val="restart"/>
                  <w:vAlign w:val="center"/>
                </w:tcPr>
                <w:p w14:paraId="7C47361D">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835" w:type="dxa"/>
                  <w:vMerge w:val="restart"/>
                  <w:vAlign w:val="center"/>
                </w:tcPr>
                <w:p w14:paraId="52F3F46A">
                  <w:pPr>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厂界</w:t>
                  </w:r>
                </w:p>
              </w:tc>
              <w:tc>
                <w:tcPr>
                  <w:tcW w:w="847" w:type="dxa"/>
                  <w:vAlign w:val="center"/>
                </w:tcPr>
                <w:p w14:paraId="4BE02051">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二氧化硫</w:t>
                  </w:r>
                </w:p>
              </w:tc>
              <w:tc>
                <w:tcPr>
                  <w:tcW w:w="426" w:type="dxa"/>
                  <w:vMerge w:val="restart"/>
                  <w:vAlign w:val="center"/>
                </w:tcPr>
                <w:p w14:paraId="0206FDA9">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1次</w:t>
                  </w:r>
                  <w:r>
                    <w:rPr>
                      <w:rFonts w:hint="default" w:ascii="Times New Roman" w:hAnsi="Times New Roman" w:eastAsia="宋体" w:cs="Times New Roman"/>
                      <w:sz w:val="21"/>
                      <w:szCs w:val="21"/>
                      <w:highlight w:val="none"/>
                      <w:lang w:eastAsia="zh-CN"/>
                    </w:rPr>
                    <w:t>/</w:t>
                  </w:r>
                  <w:r>
                    <w:rPr>
                      <w:rFonts w:hint="eastAsia" w:ascii="Times New Roman" w:hAnsi="Times New Roman" w:cs="Times New Roman"/>
                      <w:sz w:val="21"/>
                      <w:szCs w:val="21"/>
                      <w:highlight w:val="none"/>
                      <w:lang w:val="en-US" w:eastAsia="zh-CN"/>
                    </w:rPr>
                    <w:t>季度</w:t>
                  </w:r>
                </w:p>
              </w:tc>
            </w:tr>
            <w:tr w14:paraId="4D4F8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continue"/>
                  <w:vAlign w:val="center"/>
                </w:tcPr>
                <w:p w14:paraId="7F0F4075">
                  <w:pPr>
                    <w:spacing w:line="300" w:lineRule="exact"/>
                    <w:jc w:val="center"/>
                  </w:pPr>
                </w:p>
              </w:tc>
              <w:tc>
                <w:tcPr>
                  <w:tcW w:w="835" w:type="dxa"/>
                  <w:vMerge w:val="continue"/>
                  <w:vAlign w:val="center"/>
                </w:tcPr>
                <w:p w14:paraId="2AD3616D">
                  <w:pPr>
                    <w:spacing w:line="300" w:lineRule="exact"/>
                    <w:jc w:val="center"/>
                  </w:pPr>
                </w:p>
              </w:tc>
              <w:tc>
                <w:tcPr>
                  <w:tcW w:w="800" w:type="dxa"/>
                  <w:vMerge w:val="continue"/>
                  <w:vAlign w:val="center"/>
                </w:tcPr>
                <w:p w14:paraId="617B935B">
                  <w:pPr>
                    <w:spacing w:line="300" w:lineRule="exact"/>
                    <w:jc w:val="center"/>
                  </w:pPr>
                </w:p>
              </w:tc>
              <w:tc>
                <w:tcPr>
                  <w:tcW w:w="800" w:type="dxa"/>
                  <w:vMerge w:val="continue"/>
                  <w:vAlign w:val="center"/>
                </w:tcPr>
                <w:p w14:paraId="6A93B123">
                  <w:pPr>
                    <w:spacing w:line="300" w:lineRule="exact"/>
                    <w:jc w:val="center"/>
                  </w:pPr>
                </w:p>
              </w:tc>
              <w:tc>
                <w:tcPr>
                  <w:tcW w:w="852" w:type="dxa"/>
                  <w:vMerge w:val="continue"/>
                  <w:vAlign w:val="center"/>
                </w:tcPr>
                <w:p w14:paraId="5B852A2B">
                  <w:pPr>
                    <w:spacing w:line="300" w:lineRule="exact"/>
                    <w:jc w:val="center"/>
                  </w:pPr>
                </w:p>
              </w:tc>
              <w:tc>
                <w:tcPr>
                  <w:tcW w:w="2959" w:type="dxa"/>
                  <w:vMerge w:val="continue"/>
                  <w:vAlign w:val="center"/>
                </w:tcPr>
                <w:p w14:paraId="3854F234">
                  <w:pPr>
                    <w:spacing w:line="300" w:lineRule="exact"/>
                    <w:jc w:val="center"/>
                  </w:pPr>
                </w:p>
              </w:tc>
              <w:tc>
                <w:tcPr>
                  <w:tcW w:w="426" w:type="dxa"/>
                  <w:vMerge w:val="continue"/>
                  <w:vAlign w:val="center"/>
                </w:tcPr>
                <w:p w14:paraId="7D0A1181">
                  <w:pPr>
                    <w:spacing w:line="300" w:lineRule="exact"/>
                    <w:jc w:val="center"/>
                  </w:pPr>
                </w:p>
              </w:tc>
              <w:tc>
                <w:tcPr>
                  <w:tcW w:w="835" w:type="dxa"/>
                  <w:vMerge w:val="continue"/>
                  <w:vAlign w:val="center"/>
                </w:tcPr>
                <w:p w14:paraId="7AB363E9">
                  <w:pPr>
                    <w:spacing w:line="300" w:lineRule="exact"/>
                    <w:jc w:val="center"/>
                  </w:pPr>
                </w:p>
              </w:tc>
              <w:tc>
                <w:tcPr>
                  <w:tcW w:w="847" w:type="dxa"/>
                  <w:vAlign w:val="center"/>
                </w:tcPr>
                <w:p w14:paraId="4ACC42AB">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氮氧化物</w:t>
                  </w:r>
                </w:p>
              </w:tc>
              <w:tc>
                <w:tcPr>
                  <w:tcW w:w="426" w:type="dxa"/>
                  <w:vMerge w:val="continue"/>
                  <w:vAlign w:val="center"/>
                </w:tcPr>
                <w:p w14:paraId="7F84B96B">
                  <w:pPr>
                    <w:spacing w:line="300" w:lineRule="exact"/>
                    <w:jc w:val="center"/>
                    <w:rPr>
                      <w:rFonts w:hint="default" w:ascii="Times New Roman" w:hAnsi="Times New Roman" w:eastAsia="宋体" w:cs="Times New Roman"/>
                      <w:sz w:val="21"/>
                      <w:szCs w:val="21"/>
                      <w:highlight w:val="none"/>
                      <w:lang w:val="en-US" w:eastAsia="zh-CN"/>
                    </w:rPr>
                  </w:pPr>
                </w:p>
              </w:tc>
            </w:tr>
            <w:tr w14:paraId="0B46F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continue"/>
                  <w:vAlign w:val="center"/>
                </w:tcPr>
                <w:p w14:paraId="20D453CC">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366D8E58">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60A2B151">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2B09D206">
                  <w:pPr>
                    <w:spacing w:line="300" w:lineRule="exact"/>
                    <w:jc w:val="center"/>
                    <w:rPr>
                      <w:rFonts w:hint="default" w:ascii="Times New Roman" w:hAnsi="Times New Roman" w:eastAsia="宋体" w:cs="Times New Roman"/>
                      <w:sz w:val="21"/>
                      <w:szCs w:val="21"/>
                      <w:highlight w:val="none"/>
                      <w:lang w:val="en-US" w:eastAsia="zh-CN"/>
                    </w:rPr>
                  </w:pPr>
                </w:p>
              </w:tc>
              <w:tc>
                <w:tcPr>
                  <w:tcW w:w="852" w:type="dxa"/>
                  <w:vMerge w:val="continue"/>
                  <w:vAlign w:val="center"/>
                </w:tcPr>
                <w:p w14:paraId="6016D36E">
                  <w:pPr>
                    <w:spacing w:line="300" w:lineRule="exact"/>
                    <w:jc w:val="center"/>
                    <w:rPr>
                      <w:rFonts w:hint="default" w:ascii="Times New Roman" w:hAnsi="Times New Roman" w:eastAsia="宋体" w:cs="Times New Roman"/>
                      <w:sz w:val="21"/>
                      <w:szCs w:val="21"/>
                      <w:highlight w:val="none"/>
                      <w:lang w:val="en-US" w:eastAsia="zh-CN"/>
                    </w:rPr>
                  </w:pPr>
                </w:p>
              </w:tc>
              <w:tc>
                <w:tcPr>
                  <w:tcW w:w="2959" w:type="dxa"/>
                  <w:vMerge w:val="continue"/>
                  <w:vAlign w:val="center"/>
                </w:tcPr>
                <w:p w14:paraId="217A3311">
                  <w:pPr>
                    <w:spacing w:line="300" w:lineRule="exact"/>
                    <w:jc w:val="center"/>
                    <w:rPr>
                      <w:rFonts w:hint="default" w:ascii="Times New Roman" w:hAnsi="Times New Roman" w:eastAsia="宋体" w:cs="Times New Roman"/>
                      <w:sz w:val="21"/>
                      <w:szCs w:val="21"/>
                      <w:highlight w:val="none"/>
                      <w:lang w:val="en-US" w:eastAsia="zh-CN"/>
                    </w:rPr>
                  </w:pPr>
                </w:p>
              </w:tc>
              <w:tc>
                <w:tcPr>
                  <w:tcW w:w="426" w:type="dxa"/>
                  <w:vMerge w:val="continue"/>
                  <w:vAlign w:val="center"/>
                </w:tcPr>
                <w:p w14:paraId="2A0D7B3A">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4AF4D425">
                  <w:pPr>
                    <w:spacing w:line="300" w:lineRule="exact"/>
                    <w:jc w:val="center"/>
                    <w:rPr>
                      <w:rFonts w:hint="default" w:ascii="Times New Roman" w:hAnsi="Times New Roman" w:eastAsia="宋体" w:cs="Times New Roman"/>
                      <w:sz w:val="21"/>
                      <w:szCs w:val="21"/>
                      <w:highlight w:val="none"/>
                      <w:lang w:val="en-US" w:eastAsia="zh-CN"/>
                    </w:rPr>
                  </w:pPr>
                </w:p>
              </w:tc>
              <w:tc>
                <w:tcPr>
                  <w:tcW w:w="847" w:type="dxa"/>
                  <w:vAlign w:val="center"/>
                </w:tcPr>
                <w:p w14:paraId="183FD8EC">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颗粒物</w:t>
                  </w:r>
                </w:p>
              </w:tc>
              <w:tc>
                <w:tcPr>
                  <w:tcW w:w="426" w:type="dxa"/>
                  <w:vMerge w:val="continue"/>
                  <w:vAlign w:val="center"/>
                </w:tcPr>
                <w:p w14:paraId="27ED8A62">
                  <w:pPr>
                    <w:spacing w:line="300" w:lineRule="exact"/>
                    <w:jc w:val="center"/>
                    <w:rPr>
                      <w:rFonts w:hint="default" w:ascii="Times New Roman" w:hAnsi="Times New Roman" w:eastAsia="宋体" w:cs="Times New Roman"/>
                      <w:sz w:val="21"/>
                      <w:szCs w:val="21"/>
                      <w:highlight w:val="none"/>
                      <w:lang w:val="en-US" w:eastAsia="zh-CN"/>
                    </w:rPr>
                  </w:pPr>
                </w:p>
              </w:tc>
            </w:tr>
            <w:tr w14:paraId="13D59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continue"/>
                  <w:vAlign w:val="center"/>
                </w:tcPr>
                <w:p w14:paraId="1D9B68BC">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11B2484D">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1C9848AE">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3E8EB001">
                  <w:pPr>
                    <w:spacing w:line="300" w:lineRule="exact"/>
                    <w:jc w:val="center"/>
                    <w:rPr>
                      <w:rFonts w:hint="default" w:ascii="Times New Roman" w:hAnsi="Times New Roman" w:eastAsia="宋体" w:cs="Times New Roman"/>
                      <w:sz w:val="21"/>
                      <w:szCs w:val="21"/>
                      <w:highlight w:val="none"/>
                      <w:lang w:val="en-US" w:eastAsia="zh-CN"/>
                    </w:rPr>
                  </w:pPr>
                </w:p>
              </w:tc>
              <w:tc>
                <w:tcPr>
                  <w:tcW w:w="852" w:type="dxa"/>
                  <w:vMerge w:val="continue"/>
                  <w:vAlign w:val="center"/>
                </w:tcPr>
                <w:p w14:paraId="5457A3AD">
                  <w:pPr>
                    <w:spacing w:line="300" w:lineRule="exact"/>
                    <w:jc w:val="center"/>
                    <w:rPr>
                      <w:rFonts w:hint="default" w:ascii="Times New Roman" w:hAnsi="Times New Roman" w:eastAsia="宋体" w:cs="Times New Roman"/>
                      <w:sz w:val="21"/>
                      <w:szCs w:val="21"/>
                      <w:highlight w:val="none"/>
                      <w:lang w:val="en-US" w:eastAsia="zh-CN"/>
                    </w:rPr>
                  </w:pPr>
                </w:p>
              </w:tc>
              <w:tc>
                <w:tcPr>
                  <w:tcW w:w="2959" w:type="dxa"/>
                  <w:vMerge w:val="continue"/>
                  <w:vAlign w:val="center"/>
                </w:tcPr>
                <w:p w14:paraId="29827181">
                  <w:pPr>
                    <w:spacing w:line="300" w:lineRule="exact"/>
                    <w:jc w:val="center"/>
                    <w:rPr>
                      <w:rFonts w:hint="default" w:ascii="Times New Roman" w:hAnsi="Times New Roman" w:eastAsia="宋体" w:cs="Times New Roman"/>
                      <w:sz w:val="21"/>
                      <w:szCs w:val="21"/>
                      <w:highlight w:val="none"/>
                      <w:lang w:val="en-US" w:eastAsia="zh-CN"/>
                    </w:rPr>
                  </w:pPr>
                </w:p>
              </w:tc>
              <w:tc>
                <w:tcPr>
                  <w:tcW w:w="426" w:type="dxa"/>
                  <w:vMerge w:val="continue"/>
                  <w:vAlign w:val="center"/>
                </w:tcPr>
                <w:p w14:paraId="06C6BEC6">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24EAAA2B">
                  <w:pPr>
                    <w:spacing w:line="300" w:lineRule="exact"/>
                    <w:jc w:val="center"/>
                    <w:rPr>
                      <w:rFonts w:hint="default" w:ascii="Times New Roman" w:hAnsi="Times New Roman" w:eastAsia="宋体" w:cs="Times New Roman"/>
                      <w:sz w:val="21"/>
                      <w:szCs w:val="21"/>
                      <w:highlight w:val="none"/>
                      <w:lang w:val="en-US" w:eastAsia="zh-CN"/>
                    </w:rPr>
                  </w:pPr>
                </w:p>
              </w:tc>
              <w:tc>
                <w:tcPr>
                  <w:tcW w:w="847" w:type="dxa"/>
                  <w:vAlign w:val="center"/>
                </w:tcPr>
                <w:p w14:paraId="758D3A17">
                  <w:pPr>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NMHC</w:t>
                  </w:r>
                </w:p>
              </w:tc>
              <w:tc>
                <w:tcPr>
                  <w:tcW w:w="426" w:type="dxa"/>
                  <w:vMerge w:val="continue"/>
                  <w:vAlign w:val="center"/>
                </w:tcPr>
                <w:p w14:paraId="549434CC">
                  <w:pPr>
                    <w:spacing w:line="300" w:lineRule="exact"/>
                    <w:jc w:val="center"/>
                    <w:rPr>
                      <w:rFonts w:hint="default" w:ascii="Times New Roman" w:hAnsi="Times New Roman" w:eastAsia="宋体" w:cs="Times New Roman"/>
                      <w:sz w:val="21"/>
                      <w:szCs w:val="21"/>
                      <w:highlight w:val="none"/>
                      <w:lang w:val="en-US" w:eastAsia="zh-CN"/>
                    </w:rPr>
                  </w:pPr>
                </w:p>
              </w:tc>
            </w:tr>
            <w:tr w14:paraId="0EA0E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continue"/>
                  <w:vAlign w:val="center"/>
                </w:tcPr>
                <w:p w14:paraId="57CA224D">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1598579F">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221CE805">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36935CC7">
                  <w:pPr>
                    <w:spacing w:line="300" w:lineRule="exact"/>
                    <w:jc w:val="center"/>
                    <w:rPr>
                      <w:rFonts w:hint="default" w:ascii="Times New Roman" w:hAnsi="Times New Roman" w:eastAsia="宋体" w:cs="Times New Roman"/>
                      <w:sz w:val="21"/>
                      <w:szCs w:val="21"/>
                      <w:highlight w:val="none"/>
                      <w:lang w:val="en-US" w:eastAsia="zh-CN"/>
                    </w:rPr>
                  </w:pPr>
                </w:p>
              </w:tc>
              <w:tc>
                <w:tcPr>
                  <w:tcW w:w="852" w:type="dxa"/>
                  <w:vMerge w:val="continue"/>
                  <w:vAlign w:val="center"/>
                </w:tcPr>
                <w:p w14:paraId="76E82E80">
                  <w:pPr>
                    <w:spacing w:line="300" w:lineRule="exact"/>
                    <w:jc w:val="center"/>
                    <w:rPr>
                      <w:rFonts w:hint="default" w:ascii="Times New Roman" w:hAnsi="Times New Roman" w:eastAsia="宋体" w:cs="Times New Roman"/>
                      <w:sz w:val="21"/>
                      <w:szCs w:val="21"/>
                      <w:highlight w:val="none"/>
                      <w:lang w:val="en-US" w:eastAsia="zh-CN"/>
                    </w:rPr>
                  </w:pPr>
                </w:p>
              </w:tc>
              <w:tc>
                <w:tcPr>
                  <w:tcW w:w="2959" w:type="dxa"/>
                  <w:vMerge w:val="continue"/>
                  <w:vAlign w:val="center"/>
                </w:tcPr>
                <w:p w14:paraId="6E864E7E">
                  <w:pPr>
                    <w:spacing w:line="300" w:lineRule="exact"/>
                    <w:jc w:val="center"/>
                    <w:rPr>
                      <w:rFonts w:hint="default" w:ascii="Times New Roman" w:hAnsi="Times New Roman" w:eastAsia="宋体" w:cs="Times New Roman"/>
                      <w:sz w:val="21"/>
                      <w:szCs w:val="21"/>
                      <w:highlight w:val="none"/>
                      <w:lang w:val="en-US" w:eastAsia="zh-CN"/>
                    </w:rPr>
                  </w:pPr>
                </w:p>
              </w:tc>
              <w:tc>
                <w:tcPr>
                  <w:tcW w:w="426" w:type="dxa"/>
                  <w:vMerge w:val="continue"/>
                  <w:vAlign w:val="center"/>
                </w:tcPr>
                <w:p w14:paraId="3B4EFCA5">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6969D0B3">
                  <w:pPr>
                    <w:spacing w:line="300" w:lineRule="exact"/>
                    <w:jc w:val="center"/>
                    <w:rPr>
                      <w:rFonts w:hint="default" w:ascii="Times New Roman" w:hAnsi="Times New Roman" w:eastAsia="宋体" w:cs="Times New Roman"/>
                      <w:sz w:val="21"/>
                      <w:szCs w:val="21"/>
                      <w:highlight w:val="none"/>
                      <w:lang w:val="en-US" w:eastAsia="zh-CN"/>
                    </w:rPr>
                  </w:pPr>
                </w:p>
              </w:tc>
              <w:tc>
                <w:tcPr>
                  <w:tcW w:w="847" w:type="dxa"/>
                  <w:vAlign w:val="center"/>
                </w:tcPr>
                <w:p w14:paraId="614E89CA">
                  <w:pPr>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氨气</w:t>
                  </w:r>
                </w:p>
              </w:tc>
              <w:tc>
                <w:tcPr>
                  <w:tcW w:w="426" w:type="dxa"/>
                  <w:vMerge w:val="continue"/>
                  <w:vAlign w:val="center"/>
                </w:tcPr>
                <w:p w14:paraId="25D698A1">
                  <w:pPr>
                    <w:spacing w:line="300" w:lineRule="exact"/>
                    <w:jc w:val="center"/>
                    <w:rPr>
                      <w:rFonts w:hint="default" w:ascii="Times New Roman" w:hAnsi="Times New Roman" w:eastAsia="宋体" w:cs="Times New Roman"/>
                      <w:sz w:val="21"/>
                      <w:szCs w:val="21"/>
                      <w:highlight w:val="none"/>
                      <w:lang w:val="en-US" w:eastAsia="zh-CN"/>
                    </w:rPr>
                  </w:pPr>
                </w:p>
              </w:tc>
            </w:tr>
            <w:tr w14:paraId="1F3EE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continue"/>
                  <w:vAlign w:val="center"/>
                </w:tcPr>
                <w:p w14:paraId="7FAA123A">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7AB51782">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541CF421">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0FA58148">
                  <w:pPr>
                    <w:spacing w:line="300" w:lineRule="exact"/>
                    <w:jc w:val="center"/>
                    <w:rPr>
                      <w:rFonts w:hint="default" w:ascii="Times New Roman" w:hAnsi="Times New Roman" w:eastAsia="宋体" w:cs="Times New Roman"/>
                      <w:sz w:val="21"/>
                      <w:szCs w:val="21"/>
                      <w:highlight w:val="none"/>
                      <w:lang w:val="en-US" w:eastAsia="zh-CN"/>
                    </w:rPr>
                  </w:pPr>
                </w:p>
              </w:tc>
              <w:tc>
                <w:tcPr>
                  <w:tcW w:w="852" w:type="dxa"/>
                  <w:vMerge w:val="continue"/>
                  <w:vAlign w:val="center"/>
                </w:tcPr>
                <w:p w14:paraId="71CDBB2E">
                  <w:pPr>
                    <w:spacing w:line="300" w:lineRule="exact"/>
                    <w:jc w:val="center"/>
                    <w:rPr>
                      <w:rFonts w:hint="default" w:ascii="Times New Roman" w:hAnsi="Times New Roman" w:eastAsia="宋体" w:cs="Times New Roman"/>
                      <w:sz w:val="21"/>
                      <w:szCs w:val="21"/>
                      <w:highlight w:val="none"/>
                      <w:lang w:val="en-US" w:eastAsia="zh-CN"/>
                    </w:rPr>
                  </w:pPr>
                </w:p>
              </w:tc>
              <w:tc>
                <w:tcPr>
                  <w:tcW w:w="2959" w:type="dxa"/>
                  <w:vMerge w:val="continue"/>
                  <w:vAlign w:val="center"/>
                </w:tcPr>
                <w:p w14:paraId="45B56FD1">
                  <w:pPr>
                    <w:spacing w:line="300" w:lineRule="exact"/>
                    <w:jc w:val="center"/>
                    <w:rPr>
                      <w:rFonts w:hint="default" w:ascii="Times New Roman" w:hAnsi="Times New Roman" w:eastAsia="宋体" w:cs="Times New Roman"/>
                      <w:sz w:val="21"/>
                      <w:szCs w:val="21"/>
                      <w:highlight w:val="none"/>
                      <w:lang w:val="en-US" w:eastAsia="zh-CN"/>
                    </w:rPr>
                  </w:pPr>
                </w:p>
              </w:tc>
              <w:tc>
                <w:tcPr>
                  <w:tcW w:w="426" w:type="dxa"/>
                  <w:vMerge w:val="continue"/>
                  <w:vAlign w:val="center"/>
                </w:tcPr>
                <w:p w14:paraId="1A9C56E9">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2CEE79AC">
                  <w:pPr>
                    <w:spacing w:line="300" w:lineRule="exact"/>
                    <w:jc w:val="center"/>
                    <w:rPr>
                      <w:rFonts w:hint="default" w:ascii="Times New Roman" w:hAnsi="Times New Roman" w:eastAsia="宋体" w:cs="Times New Roman"/>
                      <w:sz w:val="21"/>
                      <w:szCs w:val="21"/>
                      <w:highlight w:val="none"/>
                      <w:lang w:val="en-US" w:eastAsia="zh-CN"/>
                    </w:rPr>
                  </w:pPr>
                </w:p>
              </w:tc>
              <w:tc>
                <w:tcPr>
                  <w:tcW w:w="847" w:type="dxa"/>
                  <w:vAlign w:val="center"/>
                </w:tcPr>
                <w:p w14:paraId="3D477444">
                  <w:pPr>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硫化氢</w:t>
                  </w:r>
                </w:p>
              </w:tc>
              <w:tc>
                <w:tcPr>
                  <w:tcW w:w="426" w:type="dxa"/>
                  <w:vMerge w:val="continue"/>
                  <w:vAlign w:val="center"/>
                </w:tcPr>
                <w:p w14:paraId="32D5B159">
                  <w:pPr>
                    <w:spacing w:line="300" w:lineRule="exact"/>
                    <w:jc w:val="center"/>
                    <w:rPr>
                      <w:rFonts w:hint="default" w:ascii="Times New Roman" w:hAnsi="Times New Roman" w:eastAsia="宋体" w:cs="Times New Roman"/>
                      <w:sz w:val="21"/>
                      <w:szCs w:val="21"/>
                      <w:highlight w:val="none"/>
                      <w:lang w:val="en-US" w:eastAsia="zh-CN"/>
                    </w:rPr>
                  </w:pPr>
                </w:p>
              </w:tc>
            </w:tr>
            <w:tr w14:paraId="73EDB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426" w:type="dxa"/>
                  <w:vMerge w:val="continue"/>
                  <w:vAlign w:val="center"/>
                </w:tcPr>
                <w:p w14:paraId="2A30ACDD">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0FFE4527">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10E11AE0">
                  <w:pPr>
                    <w:spacing w:line="300" w:lineRule="exact"/>
                    <w:jc w:val="center"/>
                    <w:rPr>
                      <w:rFonts w:hint="default" w:ascii="Times New Roman" w:hAnsi="Times New Roman" w:eastAsia="宋体" w:cs="Times New Roman"/>
                      <w:sz w:val="21"/>
                      <w:szCs w:val="21"/>
                      <w:highlight w:val="none"/>
                      <w:lang w:val="en-US" w:eastAsia="zh-CN"/>
                    </w:rPr>
                  </w:pPr>
                </w:p>
              </w:tc>
              <w:tc>
                <w:tcPr>
                  <w:tcW w:w="800" w:type="dxa"/>
                  <w:vMerge w:val="continue"/>
                  <w:vAlign w:val="center"/>
                </w:tcPr>
                <w:p w14:paraId="0DD4FB3B">
                  <w:pPr>
                    <w:spacing w:line="300" w:lineRule="exact"/>
                    <w:jc w:val="center"/>
                    <w:rPr>
                      <w:rFonts w:hint="default" w:ascii="Times New Roman" w:hAnsi="Times New Roman" w:eastAsia="宋体" w:cs="Times New Roman"/>
                      <w:sz w:val="21"/>
                      <w:szCs w:val="21"/>
                      <w:highlight w:val="none"/>
                      <w:lang w:val="en-US" w:eastAsia="zh-CN"/>
                    </w:rPr>
                  </w:pPr>
                </w:p>
              </w:tc>
              <w:tc>
                <w:tcPr>
                  <w:tcW w:w="852" w:type="dxa"/>
                  <w:vMerge w:val="continue"/>
                  <w:vAlign w:val="center"/>
                </w:tcPr>
                <w:p w14:paraId="30A9F041">
                  <w:pPr>
                    <w:spacing w:line="300" w:lineRule="exact"/>
                    <w:jc w:val="center"/>
                    <w:rPr>
                      <w:rFonts w:hint="default" w:ascii="Times New Roman" w:hAnsi="Times New Roman" w:eastAsia="宋体" w:cs="Times New Roman"/>
                      <w:sz w:val="21"/>
                      <w:szCs w:val="21"/>
                      <w:highlight w:val="none"/>
                      <w:lang w:val="en-US" w:eastAsia="zh-CN"/>
                    </w:rPr>
                  </w:pPr>
                </w:p>
              </w:tc>
              <w:tc>
                <w:tcPr>
                  <w:tcW w:w="2959" w:type="dxa"/>
                  <w:vMerge w:val="continue"/>
                  <w:vAlign w:val="center"/>
                </w:tcPr>
                <w:p w14:paraId="489EFEA0">
                  <w:pPr>
                    <w:spacing w:line="300" w:lineRule="exact"/>
                    <w:jc w:val="center"/>
                    <w:rPr>
                      <w:rFonts w:hint="default" w:ascii="Times New Roman" w:hAnsi="Times New Roman" w:eastAsia="宋体" w:cs="Times New Roman"/>
                      <w:sz w:val="21"/>
                      <w:szCs w:val="21"/>
                      <w:highlight w:val="none"/>
                      <w:lang w:val="en-US" w:eastAsia="zh-CN"/>
                    </w:rPr>
                  </w:pPr>
                </w:p>
              </w:tc>
              <w:tc>
                <w:tcPr>
                  <w:tcW w:w="426" w:type="dxa"/>
                  <w:vMerge w:val="continue"/>
                  <w:vAlign w:val="center"/>
                </w:tcPr>
                <w:p w14:paraId="2EE0D3CA">
                  <w:pPr>
                    <w:spacing w:line="300" w:lineRule="exact"/>
                    <w:jc w:val="center"/>
                    <w:rPr>
                      <w:rFonts w:hint="default" w:ascii="Times New Roman" w:hAnsi="Times New Roman" w:eastAsia="宋体" w:cs="Times New Roman"/>
                      <w:sz w:val="21"/>
                      <w:szCs w:val="21"/>
                      <w:highlight w:val="none"/>
                      <w:lang w:val="en-US" w:eastAsia="zh-CN"/>
                    </w:rPr>
                  </w:pPr>
                </w:p>
              </w:tc>
              <w:tc>
                <w:tcPr>
                  <w:tcW w:w="835" w:type="dxa"/>
                  <w:vMerge w:val="continue"/>
                  <w:vAlign w:val="center"/>
                </w:tcPr>
                <w:p w14:paraId="2BB614D2">
                  <w:pPr>
                    <w:spacing w:line="300" w:lineRule="exact"/>
                    <w:jc w:val="center"/>
                    <w:rPr>
                      <w:rFonts w:hint="default" w:ascii="Times New Roman" w:hAnsi="Times New Roman" w:eastAsia="宋体" w:cs="Times New Roman"/>
                      <w:sz w:val="21"/>
                      <w:szCs w:val="21"/>
                      <w:highlight w:val="none"/>
                      <w:lang w:val="en-US" w:eastAsia="zh-CN"/>
                    </w:rPr>
                  </w:pPr>
                </w:p>
              </w:tc>
              <w:tc>
                <w:tcPr>
                  <w:tcW w:w="847" w:type="dxa"/>
                  <w:vAlign w:val="center"/>
                </w:tcPr>
                <w:p w14:paraId="060AECA3">
                  <w:pPr>
                    <w:spacing w:line="30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臭气浓度</w:t>
                  </w:r>
                </w:p>
              </w:tc>
              <w:tc>
                <w:tcPr>
                  <w:tcW w:w="426" w:type="dxa"/>
                  <w:vMerge w:val="continue"/>
                  <w:vAlign w:val="center"/>
                </w:tcPr>
                <w:p w14:paraId="65D80E6E">
                  <w:pPr>
                    <w:spacing w:line="300" w:lineRule="exact"/>
                    <w:jc w:val="center"/>
                    <w:rPr>
                      <w:rFonts w:hint="default" w:ascii="Times New Roman" w:hAnsi="Times New Roman" w:eastAsia="宋体" w:cs="Times New Roman"/>
                      <w:sz w:val="21"/>
                      <w:szCs w:val="21"/>
                      <w:highlight w:val="none"/>
                      <w:lang w:val="en-US" w:eastAsia="zh-CN"/>
                    </w:rPr>
                  </w:pPr>
                </w:p>
              </w:tc>
            </w:tr>
          </w:tbl>
          <w:p w14:paraId="2272754E">
            <w:pPr>
              <w:pStyle w:val="2"/>
              <w:spacing w:before="120" w:beforeLines="50"/>
              <w:outlineLvl w:val="9"/>
              <w:rPr>
                <w:sz w:val="24"/>
                <w:szCs w:val="24"/>
                <w:lang w:eastAsia="zh-CN"/>
              </w:rPr>
            </w:pPr>
            <w:r>
              <w:rPr>
                <w:sz w:val="24"/>
                <w:szCs w:val="24"/>
                <w:lang w:eastAsia="zh-CN"/>
              </w:rPr>
              <w:t>1.</w:t>
            </w:r>
            <w:r>
              <w:rPr>
                <w:rFonts w:hint="eastAsia"/>
                <w:sz w:val="24"/>
                <w:szCs w:val="24"/>
                <w:lang w:eastAsia="zh-CN"/>
              </w:rPr>
              <w:t>4</w:t>
            </w:r>
            <w:r>
              <w:rPr>
                <w:rFonts w:cs="Times New Roman"/>
                <w:sz w:val="24"/>
                <w:szCs w:val="24"/>
                <w:lang w:eastAsia="zh-CN"/>
              </w:rPr>
              <w:t>非正常工况</w:t>
            </w:r>
          </w:p>
          <w:p w14:paraId="1C0AFEAA">
            <w:pPr>
              <w:spacing w:line="360" w:lineRule="auto"/>
              <w:ind w:firstLine="480" w:firstLineChars="200"/>
              <w:rPr>
                <w:rFonts w:hint="default" w:ascii="Times New Roman" w:hAnsi="Times New Roman" w:cs="Times New Roman"/>
                <w:bCs/>
                <w:color w:val="000000"/>
                <w:sz w:val="24"/>
                <w:lang w:eastAsia="zh-CN"/>
              </w:rPr>
            </w:pPr>
            <w:r>
              <w:rPr>
                <w:rFonts w:hint="default" w:ascii="Times New Roman" w:hAnsi="Times New Roman" w:cs="Times New Roman"/>
                <w:bCs/>
                <w:color w:val="000000"/>
                <w:sz w:val="24"/>
                <w:lang w:eastAsia="zh-CN"/>
              </w:rPr>
              <w:t>非正常情况指生产过程中生产设备开停、检修、工艺设备运转异常等非正常工况下的污染物排放，以及污染物排放控制达不到应有效率等情况下的排放。本次评价废气非正常工况排放主要考虑项目废气治理措施出现故障状态下的排放，即去除效率为0的排放。废气非正常工况源强情况见表4-</w:t>
            </w:r>
            <w:r>
              <w:rPr>
                <w:rFonts w:hint="eastAsia" w:ascii="Times New Roman" w:hAnsi="Times New Roman" w:cs="Times New Roman"/>
                <w:bCs/>
                <w:color w:val="000000"/>
                <w:sz w:val="24"/>
                <w:lang w:val="en-US" w:eastAsia="zh-CN"/>
              </w:rPr>
              <w:t>4</w:t>
            </w:r>
            <w:r>
              <w:rPr>
                <w:rFonts w:hint="default" w:ascii="Times New Roman" w:hAnsi="Times New Roman" w:cs="Times New Roman"/>
                <w:bCs/>
                <w:color w:val="000000"/>
                <w:sz w:val="24"/>
                <w:lang w:eastAsia="zh-CN"/>
              </w:rPr>
              <w:t>。</w:t>
            </w:r>
          </w:p>
          <w:p w14:paraId="6CD8849D">
            <w:pPr>
              <w:jc w:val="center"/>
              <w:rPr>
                <w:rFonts w:hint="eastAsia"/>
                <w:b/>
                <w:sz w:val="21"/>
                <w:szCs w:val="21"/>
                <w:lang w:eastAsia="zh-CN"/>
              </w:rPr>
            </w:pPr>
            <w:r>
              <w:rPr>
                <w:b/>
                <w:sz w:val="21"/>
                <w:szCs w:val="21"/>
                <w:lang w:eastAsia="zh-CN"/>
              </w:rPr>
              <w:t>表4-</w:t>
            </w:r>
            <w:r>
              <w:rPr>
                <w:rFonts w:hint="eastAsia"/>
                <w:b/>
                <w:sz w:val="21"/>
                <w:szCs w:val="21"/>
                <w:lang w:val="en-US" w:eastAsia="zh-CN"/>
              </w:rPr>
              <w:t>4</w:t>
            </w:r>
            <w:r>
              <w:rPr>
                <w:rFonts w:hint="eastAsia"/>
                <w:b/>
                <w:sz w:val="21"/>
                <w:szCs w:val="21"/>
                <w:lang w:eastAsia="zh-CN"/>
              </w:rPr>
              <w:t xml:space="preserve"> </w:t>
            </w:r>
            <w:r>
              <w:rPr>
                <w:b/>
                <w:sz w:val="21"/>
                <w:szCs w:val="21"/>
                <w:lang w:eastAsia="zh-CN"/>
              </w:rPr>
              <w:t>废气非正常工况排放量核算表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426"/>
              <w:gridCol w:w="1996"/>
              <w:gridCol w:w="847"/>
              <w:gridCol w:w="1195"/>
              <w:gridCol w:w="1010"/>
              <w:gridCol w:w="741"/>
              <w:gridCol w:w="846"/>
              <w:gridCol w:w="1719"/>
            </w:tblGrid>
            <w:tr w14:paraId="5A3BCB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Align w:val="center"/>
                </w:tcPr>
                <w:p w14:paraId="49647877">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序号</w:t>
                  </w:r>
                </w:p>
              </w:tc>
              <w:tc>
                <w:tcPr>
                  <w:tcW w:w="426" w:type="dxa"/>
                  <w:vAlign w:val="center"/>
                </w:tcPr>
                <w:p w14:paraId="2E6E49C5">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污染源</w:t>
                  </w:r>
                </w:p>
              </w:tc>
              <w:tc>
                <w:tcPr>
                  <w:tcW w:w="1996" w:type="dxa"/>
                  <w:vAlign w:val="center"/>
                </w:tcPr>
                <w:p w14:paraId="5810CA8E">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非正常排放原因</w:t>
                  </w:r>
                </w:p>
              </w:tc>
              <w:tc>
                <w:tcPr>
                  <w:tcW w:w="847" w:type="dxa"/>
                  <w:vAlign w:val="center"/>
                </w:tcPr>
                <w:p w14:paraId="17378813">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污染物</w:t>
                  </w:r>
                </w:p>
              </w:tc>
              <w:tc>
                <w:tcPr>
                  <w:tcW w:w="1195" w:type="dxa"/>
                  <w:vAlign w:val="center"/>
                </w:tcPr>
                <w:p w14:paraId="486BF640">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非正常排放浓度（mg/m</w:t>
                  </w:r>
                  <w:r>
                    <w:rPr>
                      <w:rFonts w:hint="default" w:ascii="Times New Roman" w:hAnsi="Times New Roman" w:eastAsia="宋体" w:cs="Times New Roman"/>
                      <w:bCs/>
                      <w:sz w:val="21"/>
                      <w:szCs w:val="21"/>
                      <w:vertAlign w:val="superscript"/>
                      <w:lang w:eastAsia="zh-CN"/>
                    </w:rPr>
                    <w:t>3</w:t>
                  </w:r>
                  <w:r>
                    <w:rPr>
                      <w:rFonts w:hint="default" w:ascii="Times New Roman" w:hAnsi="Times New Roman" w:eastAsia="宋体" w:cs="Times New Roman"/>
                      <w:bCs/>
                      <w:sz w:val="21"/>
                      <w:szCs w:val="21"/>
                      <w:lang w:eastAsia="zh-CN"/>
                    </w:rPr>
                    <w:t>）</w:t>
                  </w:r>
                </w:p>
              </w:tc>
              <w:tc>
                <w:tcPr>
                  <w:tcW w:w="1010" w:type="dxa"/>
                  <w:vAlign w:val="center"/>
                </w:tcPr>
                <w:p w14:paraId="70D2DBAD">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非正常排放速率（kg/h）</w:t>
                  </w:r>
                </w:p>
              </w:tc>
              <w:tc>
                <w:tcPr>
                  <w:tcW w:w="741" w:type="dxa"/>
                  <w:vAlign w:val="center"/>
                </w:tcPr>
                <w:p w14:paraId="6442614C">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单词持续时间（h）</w:t>
                  </w:r>
                </w:p>
              </w:tc>
              <w:tc>
                <w:tcPr>
                  <w:tcW w:w="846" w:type="dxa"/>
                  <w:vAlign w:val="center"/>
                </w:tcPr>
                <w:p w14:paraId="619B9EB6">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每年发生频次（次）</w:t>
                  </w:r>
                </w:p>
              </w:tc>
              <w:tc>
                <w:tcPr>
                  <w:tcW w:w="1719" w:type="dxa"/>
                  <w:vAlign w:val="center"/>
                </w:tcPr>
                <w:p w14:paraId="2A24A0DB">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应对措施</w:t>
                  </w:r>
                </w:p>
              </w:tc>
            </w:tr>
            <w:tr w14:paraId="0164D7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Align w:val="center"/>
                </w:tcPr>
                <w:p w14:paraId="42F119FC">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426" w:type="dxa"/>
                  <w:vAlign w:val="center"/>
                </w:tcPr>
                <w:p w14:paraId="367EBA2E">
                  <w:pPr>
                    <w:spacing w:line="240" w:lineRule="auto"/>
                    <w:jc w:val="center"/>
                    <w:rPr>
                      <w:rFonts w:hint="default" w:ascii="Times New Roman" w:hAnsi="Times New Roman" w:eastAsia="宋体" w:cs="Times New Roman"/>
                      <w:bCs/>
                      <w:sz w:val="21"/>
                      <w:szCs w:val="21"/>
                      <w:lang w:eastAsia="zh-CN"/>
                    </w:rPr>
                  </w:pPr>
                  <w:r>
                    <w:rPr>
                      <w:rFonts w:hint="eastAsia" w:ascii="Times New Roman" w:hAnsi="Times New Roman" w:cs="Times New Roman"/>
                      <w:bCs/>
                      <w:sz w:val="21"/>
                      <w:szCs w:val="21"/>
                      <w:lang w:val="en-US" w:eastAsia="zh-CN"/>
                    </w:rPr>
                    <w:t>加弹</w:t>
                  </w:r>
                </w:p>
              </w:tc>
              <w:tc>
                <w:tcPr>
                  <w:tcW w:w="1996" w:type="dxa"/>
                  <w:vAlign w:val="center"/>
                </w:tcPr>
                <w:p w14:paraId="36B94430">
                  <w:pPr>
                    <w:spacing w:line="240" w:lineRule="auto"/>
                    <w:jc w:val="left"/>
                    <w:rPr>
                      <w:rFonts w:hint="default" w:ascii="Times New Roman" w:hAnsi="Times New Roman" w:eastAsia="宋体" w:cs="Times New Roman"/>
                      <w:bCs/>
                      <w:sz w:val="21"/>
                      <w:szCs w:val="21"/>
                      <w:lang w:eastAsia="zh-CN"/>
                    </w:rPr>
                  </w:pPr>
                  <w:r>
                    <w:rPr>
                      <w:rFonts w:hint="eastAsia" w:ascii="Times New Roman" w:hAnsi="Times New Roman" w:cs="Times New Roman"/>
                      <w:bCs/>
                      <w:sz w:val="21"/>
                      <w:szCs w:val="21"/>
                      <w:lang w:val="en-US" w:eastAsia="zh-CN"/>
                    </w:rPr>
                    <w:t>加弹</w:t>
                  </w:r>
                  <w:r>
                    <w:rPr>
                      <w:rFonts w:hint="default" w:ascii="Times New Roman" w:hAnsi="Times New Roman" w:eastAsia="宋体" w:cs="Times New Roman"/>
                      <w:bCs/>
                      <w:sz w:val="21"/>
                      <w:szCs w:val="21"/>
                      <w:lang w:eastAsia="zh-CN"/>
                    </w:rPr>
                    <w:t>阶段</w:t>
                  </w:r>
                  <w:r>
                    <w:rPr>
                      <w:rFonts w:hint="eastAsia" w:ascii="Times New Roman" w:hAnsi="Times New Roman" w:cs="Times New Roman"/>
                      <w:bCs/>
                      <w:sz w:val="21"/>
                      <w:szCs w:val="21"/>
                      <w:lang w:val="en-US" w:eastAsia="zh-CN"/>
                    </w:rPr>
                    <w:t>NMHC</w:t>
                  </w:r>
                  <w:r>
                    <w:rPr>
                      <w:rFonts w:hint="default" w:ascii="Times New Roman" w:hAnsi="Times New Roman" w:eastAsia="宋体" w:cs="Times New Roman"/>
                      <w:bCs/>
                      <w:sz w:val="21"/>
                      <w:szCs w:val="21"/>
                      <w:lang w:eastAsia="zh-CN"/>
                    </w:rPr>
                    <w:t>处理设施“</w:t>
                  </w:r>
                  <w:r>
                    <w:rPr>
                      <w:rFonts w:hint="eastAsia" w:ascii="Times New Roman" w:hAnsi="Times New Roman" w:cs="Times New Roman"/>
                      <w:bCs/>
                      <w:sz w:val="21"/>
                      <w:szCs w:val="21"/>
                      <w:lang w:val="en-US" w:eastAsia="zh-CN"/>
                    </w:rPr>
                    <w:t>静电除油</w:t>
                  </w:r>
                  <w:r>
                    <w:rPr>
                      <w:rFonts w:hint="default" w:ascii="Times New Roman" w:hAnsi="Times New Roman" w:eastAsia="宋体" w:cs="Times New Roman"/>
                      <w:bCs/>
                      <w:sz w:val="21"/>
                      <w:szCs w:val="21"/>
                      <w:lang w:eastAsia="zh-CN"/>
                    </w:rPr>
                    <w:t>”处理效率下降或故障，处理效率为0。</w:t>
                  </w:r>
                </w:p>
              </w:tc>
              <w:tc>
                <w:tcPr>
                  <w:tcW w:w="847" w:type="dxa"/>
                  <w:vAlign w:val="center"/>
                </w:tcPr>
                <w:p w14:paraId="7C79B83B">
                  <w:pPr>
                    <w:spacing w:line="240" w:lineRule="auto"/>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NMHC</w:t>
                  </w:r>
                </w:p>
              </w:tc>
              <w:tc>
                <w:tcPr>
                  <w:tcW w:w="1195" w:type="dxa"/>
                  <w:vAlign w:val="center"/>
                </w:tcPr>
                <w:p w14:paraId="649DA49F">
                  <w:pPr>
                    <w:spacing w:line="240" w:lineRule="auto"/>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color w:val="auto"/>
                      <w:kern w:val="2"/>
                      <w:sz w:val="24"/>
                      <w:szCs w:val="24"/>
                      <w:highlight w:val="none"/>
                      <w:lang w:val="en-US" w:eastAsia="zh-CN" w:bidi="ar"/>
                    </w:rPr>
                    <w:t>***</w:t>
                  </w:r>
                </w:p>
              </w:tc>
              <w:tc>
                <w:tcPr>
                  <w:tcW w:w="1010" w:type="dxa"/>
                  <w:vAlign w:val="center"/>
                </w:tcPr>
                <w:p w14:paraId="0EC144E7">
                  <w:pPr>
                    <w:spacing w:line="240" w:lineRule="auto"/>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color w:val="auto"/>
                      <w:kern w:val="2"/>
                      <w:sz w:val="24"/>
                      <w:szCs w:val="24"/>
                      <w:highlight w:val="none"/>
                      <w:lang w:val="en-US" w:eastAsia="zh-CN" w:bidi="ar"/>
                    </w:rPr>
                    <w:t>***</w:t>
                  </w:r>
                </w:p>
              </w:tc>
              <w:tc>
                <w:tcPr>
                  <w:tcW w:w="741" w:type="dxa"/>
                  <w:vAlign w:val="center"/>
                </w:tcPr>
                <w:p w14:paraId="277CFCEE">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846" w:type="dxa"/>
                  <w:vAlign w:val="center"/>
                </w:tcPr>
                <w:p w14:paraId="00FFF3FB">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1719" w:type="dxa"/>
                  <w:vMerge w:val="restart"/>
                  <w:vAlign w:val="center"/>
                </w:tcPr>
                <w:p w14:paraId="763F9C87">
                  <w:pPr>
                    <w:spacing w:line="240" w:lineRule="auto"/>
                    <w:jc w:val="left"/>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立即停止生产进行检修，直至废气治理设施正常运行。并定期对废气处理装置维护、维修、保养。</w:t>
                  </w:r>
                </w:p>
              </w:tc>
            </w:tr>
            <w:tr w14:paraId="1DD4B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Merge w:val="restart"/>
                  <w:vAlign w:val="center"/>
                </w:tcPr>
                <w:p w14:paraId="207FCA3D">
                  <w:pPr>
                    <w:spacing w:line="240" w:lineRule="auto"/>
                    <w:jc w:val="center"/>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2</w:t>
                  </w:r>
                </w:p>
              </w:tc>
              <w:tc>
                <w:tcPr>
                  <w:tcW w:w="426" w:type="dxa"/>
                  <w:vMerge w:val="restart"/>
                  <w:vAlign w:val="center"/>
                </w:tcPr>
                <w:p w14:paraId="6DF6DC25">
                  <w:pPr>
                    <w:spacing w:line="240" w:lineRule="auto"/>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塑形烘干</w:t>
                  </w:r>
                </w:p>
              </w:tc>
              <w:tc>
                <w:tcPr>
                  <w:tcW w:w="1996" w:type="dxa"/>
                  <w:vAlign w:val="center"/>
                </w:tcPr>
                <w:p w14:paraId="69F7E3E8">
                  <w:pPr>
                    <w:spacing w:line="240" w:lineRule="auto"/>
                    <w:jc w:val="left"/>
                    <w:rPr>
                      <w:rFonts w:hint="default" w:ascii="Times New Roman" w:hAnsi="Times New Roman" w:eastAsia="宋体" w:cs="Times New Roman"/>
                      <w:bCs/>
                      <w:sz w:val="21"/>
                      <w:szCs w:val="21"/>
                      <w:highlight w:val="none"/>
                      <w:lang w:eastAsia="zh-CN"/>
                    </w:rPr>
                  </w:pPr>
                  <w:r>
                    <w:rPr>
                      <w:rFonts w:hint="eastAsia" w:ascii="Times New Roman" w:hAnsi="Times New Roman" w:cs="Times New Roman"/>
                      <w:bCs/>
                      <w:sz w:val="21"/>
                      <w:szCs w:val="21"/>
                      <w:highlight w:val="none"/>
                      <w:lang w:val="en-US" w:eastAsia="zh-CN"/>
                    </w:rPr>
                    <w:t>塑形烘干</w:t>
                  </w:r>
                  <w:r>
                    <w:rPr>
                      <w:rFonts w:hint="default" w:ascii="Times New Roman" w:hAnsi="Times New Roman" w:eastAsia="宋体" w:cs="Times New Roman"/>
                      <w:bCs/>
                      <w:sz w:val="21"/>
                      <w:szCs w:val="21"/>
                      <w:highlight w:val="none"/>
                      <w:lang w:eastAsia="zh-CN"/>
                    </w:rPr>
                    <w:t>阶段颗粒物处理设施“</w:t>
                  </w:r>
                  <w:r>
                    <w:rPr>
                      <w:rFonts w:hint="eastAsia" w:ascii="Times New Roman" w:hAnsi="Times New Roman" w:eastAsia="宋体" w:cs="Times New Roman"/>
                      <w:b w:val="0"/>
                      <w:bCs/>
                      <w:color w:val="auto"/>
                      <w:kern w:val="0"/>
                      <w:sz w:val="21"/>
                      <w:szCs w:val="21"/>
                      <w:highlight w:val="none"/>
                      <w:lang w:val="en-US" w:eastAsia="zh-CN" w:bidi="ar-SA"/>
                    </w:rPr>
                    <w:t>水喷淋+除雾</w:t>
                  </w:r>
                  <w:r>
                    <w:rPr>
                      <w:rFonts w:hint="default" w:ascii="Times New Roman" w:hAnsi="Times New Roman" w:eastAsia="宋体" w:cs="Times New Roman"/>
                      <w:bCs/>
                      <w:sz w:val="21"/>
                      <w:szCs w:val="21"/>
                      <w:highlight w:val="none"/>
                      <w:lang w:eastAsia="zh-CN"/>
                    </w:rPr>
                    <w:t>”处理效率下降或故障，处理效率为0。</w:t>
                  </w:r>
                </w:p>
              </w:tc>
              <w:tc>
                <w:tcPr>
                  <w:tcW w:w="847" w:type="dxa"/>
                  <w:vAlign w:val="center"/>
                </w:tcPr>
                <w:p w14:paraId="2446473C">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颗粒物</w:t>
                  </w:r>
                </w:p>
              </w:tc>
              <w:tc>
                <w:tcPr>
                  <w:tcW w:w="1195" w:type="dxa"/>
                  <w:vAlign w:val="center"/>
                </w:tcPr>
                <w:p w14:paraId="5D041247">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snapToGrid w:val="0"/>
                      <w:color w:val="auto"/>
                      <w:kern w:val="0"/>
                      <w:sz w:val="21"/>
                      <w:szCs w:val="21"/>
                      <w:highlight w:val="none"/>
                      <w:u w:val="none" w:color="auto"/>
                      <w:lang w:val="en-US" w:eastAsia="zh-CN" w:bidi="ar"/>
                    </w:rPr>
                  </w:pPr>
                  <w:r>
                    <w:rPr>
                      <w:rFonts w:hint="eastAsia" w:ascii="Times New Roman" w:hAnsi="Times New Roman" w:cs="Times New Roman"/>
                      <w:color w:val="auto"/>
                      <w:kern w:val="2"/>
                      <w:sz w:val="24"/>
                      <w:szCs w:val="24"/>
                      <w:highlight w:val="none"/>
                      <w:lang w:val="en-US" w:eastAsia="zh-CN" w:bidi="ar"/>
                    </w:rPr>
                    <w:t>***</w:t>
                  </w:r>
                </w:p>
              </w:tc>
              <w:tc>
                <w:tcPr>
                  <w:tcW w:w="1010" w:type="dxa"/>
                  <w:vAlign w:val="center"/>
                </w:tcPr>
                <w:p w14:paraId="05F059FA">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 w:val="0"/>
                      <w:bCs/>
                      <w:snapToGrid w:val="0"/>
                      <w:color w:val="auto"/>
                      <w:kern w:val="0"/>
                      <w:sz w:val="21"/>
                      <w:szCs w:val="21"/>
                      <w:highlight w:val="none"/>
                      <w:u w:val="none" w:color="auto"/>
                      <w:lang w:val="en-US" w:eastAsia="zh-CN" w:bidi="ar"/>
                    </w:rPr>
                  </w:pPr>
                  <w:r>
                    <w:rPr>
                      <w:rFonts w:hint="eastAsia" w:ascii="Times New Roman" w:hAnsi="Times New Roman" w:cs="Times New Roman"/>
                      <w:color w:val="auto"/>
                      <w:kern w:val="2"/>
                      <w:sz w:val="24"/>
                      <w:szCs w:val="24"/>
                      <w:highlight w:val="none"/>
                      <w:lang w:val="en-US" w:eastAsia="zh-CN" w:bidi="ar"/>
                    </w:rPr>
                    <w:t>***</w:t>
                  </w:r>
                </w:p>
              </w:tc>
              <w:tc>
                <w:tcPr>
                  <w:tcW w:w="741" w:type="dxa"/>
                  <w:vAlign w:val="center"/>
                </w:tcPr>
                <w:p w14:paraId="6D610585">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846" w:type="dxa"/>
                  <w:vAlign w:val="center"/>
                </w:tcPr>
                <w:p w14:paraId="12EA8D6C">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1719" w:type="dxa"/>
                  <w:vMerge w:val="continue"/>
                  <w:vAlign w:val="center"/>
                </w:tcPr>
                <w:p w14:paraId="616D0350">
                  <w:pPr>
                    <w:spacing w:line="240" w:lineRule="auto"/>
                    <w:jc w:val="left"/>
                    <w:rPr>
                      <w:rFonts w:hint="default" w:ascii="Times New Roman" w:hAnsi="Times New Roman" w:eastAsia="宋体" w:cs="Times New Roman"/>
                      <w:bCs/>
                      <w:sz w:val="21"/>
                      <w:szCs w:val="21"/>
                      <w:lang w:eastAsia="zh-CN"/>
                    </w:rPr>
                  </w:pPr>
                </w:p>
              </w:tc>
            </w:tr>
            <w:tr w14:paraId="53507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Merge w:val="continue"/>
                  <w:vAlign w:val="center"/>
                </w:tcPr>
                <w:p w14:paraId="32EDF176">
                  <w:pPr>
                    <w:spacing w:line="240" w:lineRule="auto"/>
                    <w:jc w:val="center"/>
                    <w:rPr>
                      <w:rFonts w:hint="default" w:ascii="Times New Roman" w:hAnsi="Times New Roman" w:eastAsia="宋体" w:cs="Times New Roman"/>
                      <w:bCs/>
                      <w:sz w:val="21"/>
                      <w:szCs w:val="21"/>
                      <w:lang w:eastAsia="zh-CN"/>
                    </w:rPr>
                  </w:pPr>
                </w:p>
              </w:tc>
              <w:tc>
                <w:tcPr>
                  <w:tcW w:w="426" w:type="dxa"/>
                  <w:vMerge w:val="continue"/>
                  <w:vAlign w:val="center"/>
                </w:tcPr>
                <w:p w14:paraId="5D9EEA20">
                  <w:pPr>
                    <w:spacing w:line="240" w:lineRule="auto"/>
                    <w:jc w:val="center"/>
                    <w:rPr>
                      <w:rFonts w:hint="default" w:ascii="Times New Roman" w:hAnsi="Times New Roman" w:eastAsia="宋体" w:cs="Times New Roman"/>
                      <w:bCs/>
                      <w:sz w:val="21"/>
                      <w:szCs w:val="21"/>
                      <w:lang w:eastAsia="zh-CN"/>
                    </w:rPr>
                  </w:pPr>
                </w:p>
              </w:tc>
              <w:tc>
                <w:tcPr>
                  <w:tcW w:w="1996" w:type="dxa"/>
                  <w:vAlign w:val="center"/>
                </w:tcPr>
                <w:p w14:paraId="0FBE0395">
                  <w:pPr>
                    <w:spacing w:line="240" w:lineRule="auto"/>
                    <w:jc w:val="left"/>
                    <w:rPr>
                      <w:rFonts w:hint="default" w:ascii="Times New Roman" w:hAnsi="Times New Roman" w:eastAsia="宋体" w:cs="Times New Roman"/>
                      <w:bCs/>
                      <w:sz w:val="21"/>
                      <w:szCs w:val="21"/>
                      <w:highlight w:val="none"/>
                      <w:lang w:eastAsia="zh-CN"/>
                    </w:rPr>
                  </w:pPr>
                  <w:r>
                    <w:rPr>
                      <w:rFonts w:hint="eastAsia" w:ascii="Times New Roman" w:hAnsi="Times New Roman" w:cs="Times New Roman"/>
                      <w:bCs/>
                      <w:sz w:val="21"/>
                      <w:szCs w:val="21"/>
                      <w:highlight w:val="none"/>
                      <w:lang w:val="en-US" w:eastAsia="zh-CN"/>
                    </w:rPr>
                    <w:t>塑形烘干阶</w:t>
                  </w:r>
                  <w:r>
                    <w:rPr>
                      <w:rFonts w:hint="default" w:ascii="Times New Roman" w:hAnsi="Times New Roman" w:eastAsia="宋体" w:cs="Times New Roman"/>
                      <w:bCs/>
                      <w:sz w:val="21"/>
                      <w:szCs w:val="21"/>
                      <w:highlight w:val="none"/>
                      <w:lang w:eastAsia="zh-CN"/>
                    </w:rPr>
                    <w:t>段</w:t>
                  </w:r>
                  <w:r>
                    <w:rPr>
                      <w:rFonts w:hint="eastAsia" w:ascii="Times New Roman" w:hAnsi="Times New Roman" w:cs="Times New Roman"/>
                      <w:bCs/>
                      <w:sz w:val="21"/>
                      <w:szCs w:val="21"/>
                      <w:highlight w:val="none"/>
                      <w:lang w:val="en-US" w:eastAsia="zh-CN"/>
                    </w:rPr>
                    <w:t>NMHC</w:t>
                  </w:r>
                  <w:r>
                    <w:rPr>
                      <w:rFonts w:hint="default" w:ascii="Times New Roman" w:hAnsi="Times New Roman" w:eastAsia="宋体" w:cs="Times New Roman"/>
                      <w:bCs/>
                      <w:sz w:val="21"/>
                      <w:szCs w:val="21"/>
                      <w:highlight w:val="none"/>
                      <w:lang w:eastAsia="zh-CN"/>
                    </w:rPr>
                    <w:t>处理设施“</w:t>
                  </w:r>
                  <w:r>
                    <w:rPr>
                      <w:rFonts w:hint="eastAsia" w:ascii="Times New Roman" w:hAnsi="Times New Roman" w:eastAsia="宋体" w:cs="Times New Roman"/>
                      <w:b w:val="0"/>
                      <w:bCs/>
                      <w:color w:val="auto"/>
                      <w:kern w:val="0"/>
                      <w:sz w:val="21"/>
                      <w:szCs w:val="21"/>
                      <w:highlight w:val="none"/>
                      <w:lang w:val="en-US" w:eastAsia="zh-CN" w:bidi="ar-SA"/>
                    </w:rPr>
                    <w:t>静电除油</w:t>
                  </w:r>
                  <w:r>
                    <w:rPr>
                      <w:rFonts w:hint="default" w:ascii="Times New Roman" w:hAnsi="Times New Roman" w:eastAsia="宋体" w:cs="Times New Roman"/>
                      <w:bCs/>
                      <w:sz w:val="21"/>
                      <w:szCs w:val="21"/>
                      <w:highlight w:val="none"/>
                      <w:lang w:eastAsia="zh-CN"/>
                    </w:rPr>
                    <w:t>”处理效率下降或故障，处理效率为0。</w:t>
                  </w:r>
                </w:p>
              </w:tc>
              <w:tc>
                <w:tcPr>
                  <w:tcW w:w="847" w:type="dxa"/>
                  <w:vAlign w:val="center"/>
                </w:tcPr>
                <w:p w14:paraId="5B165DB5">
                  <w:pPr>
                    <w:spacing w:line="240" w:lineRule="auto"/>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NMHC</w:t>
                  </w:r>
                </w:p>
              </w:tc>
              <w:tc>
                <w:tcPr>
                  <w:tcW w:w="1195" w:type="dxa"/>
                  <w:vAlign w:val="center"/>
                </w:tcPr>
                <w:p w14:paraId="5602EFE4">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1010" w:type="dxa"/>
                  <w:vAlign w:val="center"/>
                </w:tcPr>
                <w:p w14:paraId="7B47A4F5">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741" w:type="dxa"/>
                  <w:vAlign w:val="center"/>
                </w:tcPr>
                <w:p w14:paraId="46727F4C">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846" w:type="dxa"/>
                  <w:vAlign w:val="center"/>
                </w:tcPr>
                <w:p w14:paraId="788C6B66">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1719" w:type="dxa"/>
                  <w:vMerge w:val="continue"/>
                  <w:vAlign w:val="center"/>
                </w:tcPr>
                <w:p w14:paraId="4AA5075D">
                  <w:pPr>
                    <w:spacing w:line="240" w:lineRule="auto"/>
                    <w:jc w:val="left"/>
                    <w:rPr>
                      <w:rFonts w:hint="default" w:ascii="Times New Roman" w:hAnsi="Times New Roman" w:eastAsia="宋体" w:cs="Times New Roman"/>
                      <w:bCs/>
                      <w:sz w:val="21"/>
                      <w:szCs w:val="21"/>
                      <w:lang w:eastAsia="zh-CN"/>
                    </w:rPr>
                  </w:pPr>
                </w:p>
              </w:tc>
            </w:tr>
            <w:tr w14:paraId="33F90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Merge w:val="continue"/>
                  <w:vAlign w:val="center"/>
                </w:tcPr>
                <w:p w14:paraId="30E89305">
                  <w:pPr>
                    <w:spacing w:line="240" w:lineRule="auto"/>
                    <w:jc w:val="center"/>
                    <w:rPr>
                      <w:rFonts w:hint="default" w:ascii="Times New Roman" w:hAnsi="Times New Roman" w:eastAsia="宋体" w:cs="Times New Roman"/>
                      <w:bCs/>
                      <w:sz w:val="21"/>
                      <w:szCs w:val="21"/>
                      <w:lang w:eastAsia="zh-CN"/>
                    </w:rPr>
                  </w:pPr>
                </w:p>
              </w:tc>
              <w:tc>
                <w:tcPr>
                  <w:tcW w:w="426" w:type="dxa"/>
                  <w:vMerge w:val="continue"/>
                  <w:vAlign w:val="center"/>
                </w:tcPr>
                <w:p w14:paraId="6CF8CD3D">
                  <w:pPr>
                    <w:spacing w:line="240" w:lineRule="auto"/>
                    <w:jc w:val="center"/>
                    <w:rPr>
                      <w:rFonts w:hint="default" w:ascii="Times New Roman" w:hAnsi="Times New Roman" w:eastAsia="宋体" w:cs="Times New Roman"/>
                      <w:bCs/>
                      <w:sz w:val="21"/>
                      <w:szCs w:val="21"/>
                      <w:lang w:eastAsia="zh-CN"/>
                    </w:rPr>
                  </w:pPr>
                </w:p>
              </w:tc>
              <w:tc>
                <w:tcPr>
                  <w:tcW w:w="1996" w:type="dxa"/>
                  <w:vAlign w:val="center"/>
                </w:tcPr>
                <w:p w14:paraId="583D7E0F">
                  <w:pPr>
                    <w:spacing w:line="240" w:lineRule="auto"/>
                    <w:jc w:val="left"/>
                    <w:rPr>
                      <w:rFonts w:hint="default" w:ascii="Times New Roman" w:hAnsi="Times New Roman" w:cs="Times New Roman"/>
                      <w:bCs/>
                      <w:sz w:val="21"/>
                      <w:szCs w:val="21"/>
                      <w:highlight w:val="none"/>
                      <w:lang w:val="en-US" w:eastAsia="zh-CN"/>
                    </w:rPr>
                  </w:pPr>
                  <w:r>
                    <w:rPr>
                      <w:rFonts w:hint="eastAsia" w:ascii="Times New Roman" w:hAnsi="Times New Roman" w:cs="Times New Roman"/>
                      <w:bCs/>
                      <w:sz w:val="21"/>
                      <w:szCs w:val="21"/>
                      <w:highlight w:val="none"/>
                      <w:lang w:val="en-US" w:eastAsia="zh-CN"/>
                    </w:rPr>
                    <w:t>塑形烘干机颗粒物</w:t>
                  </w:r>
                  <w:r>
                    <w:rPr>
                      <w:rFonts w:hint="default" w:ascii="Times New Roman" w:hAnsi="Times New Roman" w:eastAsia="宋体" w:cs="Times New Roman"/>
                      <w:bCs/>
                      <w:sz w:val="21"/>
                      <w:szCs w:val="21"/>
                      <w:highlight w:val="none"/>
                      <w:lang w:eastAsia="zh-CN"/>
                    </w:rPr>
                    <w:t>处理设施“</w:t>
                  </w:r>
                  <w:r>
                    <w:rPr>
                      <w:rFonts w:hint="eastAsia" w:ascii="Times New Roman" w:hAnsi="Times New Roman" w:eastAsia="宋体" w:cs="Times New Roman"/>
                      <w:b w:val="0"/>
                      <w:bCs/>
                      <w:color w:val="auto"/>
                      <w:kern w:val="0"/>
                      <w:sz w:val="21"/>
                      <w:szCs w:val="21"/>
                      <w:highlight w:val="none"/>
                      <w:lang w:val="en-US" w:eastAsia="zh-CN" w:bidi="ar-SA"/>
                    </w:rPr>
                    <w:t>水喷淋+除雾</w:t>
                  </w:r>
                  <w:r>
                    <w:rPr>
                      <w:rFonts w:hint="default" w:ascii="Times New Roman" w:hAnsi="Times New Roman" w:eastAsia="宋体" w:cs="Times New Roman"/>
                      <w:bCs/>
                      <w:sz w:val="21"/>
                      <w:szCs w:val="21"/>
                      <w:highlight w:val="none"/>
                      <w:lang w:eastAsia="zh-CN"/>
                    </w:rPr>
                    <w:t>”处理效率下降或故障，处理效率为0。</w:t>
                  </w:r>
                </w:p>
              </w:tc>
              <w:tc>
                <w:tcPr>
                  <w:tcW w:w="847" w:type="dxa"/>
                  <w:vAlign w:val="center"/>
                </w:tcPr>
                <w:p w14:paraId="6D6E0D4E">
                  <w:pPr>
                    <w:spacing w:line="240" w:lineRule="auto"/>
                    <w:jc w:val="center"/>
                    <w:rPr>
                      <w:rFonts w:hint="eastAsia" w:ascii="Times New Roman" w:hAnsi="Times New Roman" w:cs="Times New Roman"/>
                      <w:bCs/>
                      <w:sz w:val="21"/>
                      <w:szCs w:val="21"/>
                      <w:lang w:val="en-US" w:eastAsia="zh-CN"/>
                    </w:rPr>
                  </w:pPr>
                  <w:r>
                    <w:rPr>
                      <w:rFonts w:hint="default" w:ascii="Times New Roman" w:hAnsi="Times New Roman" w:eastAsia="宋体" w:cs="Times New Roman"/>
                      <w:bCs/>
                      <w:sz w:val="21"/>
                      <w:szCs w:val="21"/>
                      <w:lang w:eastAsia="zh-CN"/>
                    </w:rPr>
                    <w:t>颗粒物</w:t>
                  </w:r>
                </w:p>
              </w:tc>
              <w:tc>
                <w:tcPr>
                  <w:tcW w:w="1195" w:type="dxa"/>
                  <w:vAlign w:val="center"/>
                </w:tcPr>
                <w:p w14:paraId="4F33A95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1010" w:type="dxa"/>
                  <w:vAlign w:val="center"/>
                </w:tcPr>
                <w:p w14:paraId="51686F2F">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741" w:type="dxa"/>
                  <w:vAlign w:val="center"/>
                </w:tcPr>
                <w:p w14:paraId="6E04DBD7">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846" w:type="dxa"/>
                  <w:vAlign w:val="center"/>
                </w:tcPr>
                <w:p w14:paraId="22C579BD">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1719" w:type="dxa"/>
                  <w:vMerge w:val="continue"/>
                  <w:vAlign w:val="center"/>
                </w:tcPr>
                <w:p w14:paraId="057B199D">
                  <w:pPr>
                    <w:spacing w:line="240" w:lineRule="auto"/>
                    <w:jc w:val="left"/>
                    <w:rPr>
                      <w:rFonts w:hint="default" w:ascii="Times New Roman" w:hAnsi="Times New Roman" w:eastAsia="宋体" w:cs="Times New Roman"/>
                      <w:bCs/>
                      <w:sz w:val="21"/>
                      <w:szCs w:val="21"/>
                      <w:lang w:eastAsia="zh-CN"/>
                    </w:rPr>
                  </w:pPr>
                </w:p>
              </w:tc>
            </w:tr>
            <w:tr w14:paraId="22E08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26" w:type="dxa"/>
                  <w:vMerge w:val="continue"/>
                  <w:vAlign w:val="center"/>
                </w:tcPr>
                <w:p w14:paraId="38E10864">
                  <w:pPr>
                    <w:spacing w:line="240" w:lineRule="auto"/>
                    <w:jc w:val="center"/>
                    <w:rPr>
                      <w:rFonts w:hint="default" w:ascii="Times New Roman" w:hAnsi="Times New Roman" w:eastAsia="宋体" w:cs="Times New Roman"/>
                      <w:bCs/>
                      <w:sz w:val="21"/>
                      <w:szCs w:val="21"/>
                      <w:lang w:eastAsia="zh-CN"/>
                    </w:rPr>
                  </w:pPr>
                </w:p>
              </w:tc>
              <w:tc>
                <w:tcPr>
                  <w:tcW w:w="426" w:type="dxa"/>
                  <w:vMerge w:val="continue"/>
                  <w:vAlign w:val="center"/>
                </w:tcPr>
                <w:p w14:paraId="1455DCC2">
                  <w:pPr>
                    <w:spacing w:line="240" w:lineRule="auto"/>
                    <w:jc w:val="center"/>
                    <w:rPr>
                      <w:rFonts w:hint="default" w:ascii="Times New Roman" w:hAnsi="Times New Roman" w:eastAsia="宋体" w:cs="Times New Roman"/>
                      <w:bCs/>
                      <w:sz w:val="21"/>
                      <w:szCs w:val="21"/>
                      <w:lang w:eastAsia="zh-CN"/>
                    </w:rPr>
                  </w:pPr>
                </w:p>
              </w:tc>
              <w:tc>
                <w:tcPr>
                  <w:tcW w:w="1996" w:type="dxa"/>
                  <w:vAlign w:val="center"/>
                </w:tcPr>
                <w:p w14:paraId="05294AD8">
                  <w:pPr>
                    <w:spacing w:line="240" w:lineRule="auto"/>
                    <w:jc w:val="left"/>
                    <w:rPr>
                      <w:rFonts w:hint="eastAsia" w:ascii="Times New Roman" w:hAnsi="Times New Roman" w:cs="Times New Roman"/>
                      <w:bCs/>
                      <w:sz w:val="21"/>
                      <w:szCs w:val="21"/>
                      <w:highlight w:val="none"/>
                      <w:lang w:val="en-US" w:eastAsia="zh-CN"/>
                    </w:rPr>
                  </w:pPr>
                  <w:r>
                    <w:rPr>
                      <w:rFonts w:hint="eastAsia" w:ascii="Times New Roman" w:hAnsi="Times New Roman" w:cs="Times New Roman"/>
                      <w:bCs/>
                      <w:sz w:val="21"/>
                      <w:szCs w:val="21"/>
                      <w:highlight w:val="none"/>
                      <w:lang w:val="en-US" w:eastAsia="zh-CN"/>
                    </w:rPr>
                    <w:t>塑形烘干机</w:t>
                  </w:r>
                  <w:r>
                    <w:rPr>
                      <w:rFonts w:hint="eastAsia" w:ascii="Times New Roman" w:hAnsi="Times New Roman" w:cs="Times New Roman"/>
                      <w:bCs/>
                      <w:sz w:val="21"/>
                      <w:szCs w:val="21"/>
                      <w:lang w:val="en-US" w:eastAsia="zh-CN"/>
                    </w:rPr>
                    <w:t>NOx</w:t>
                  </w:r>
                  <w:r>
                    <w:rPr>
                      <w:rFonts w:hint="default" w:ascii="Times New Roman" w:hAnsi="Times New Roman" w:eastAsia="宋体" w:cs="Times New Roman"/>
                      <w:bCs/>
                      <w:sz w:val="21"/>
                      <w:szCs w:val="21"/>
                      <w:highlight w:val="none"/>
                      <w:lang w:eastAsia="zh-CN"/>
                    </w:rPr>
                    <w:t>处理设施“</w:t>
                  </w:r>
                  <w:r>
                    <w:rPr>
                      <w:rFonts w:hint="eastAsia" w:ascii="Times New Roman" w:hAnsi="Times New Roman" w:cs="Times New Roman"/>
                      <w:bCs/>
                      <w:sz w:val="21"/>
                      <w:szCs w:val="21"/>
                      <w:highlight w:val="none"/>
                      <w:lang w:val="en-US" w:eastAsia="zh-CN"/>
                    </w:rPr>
                    <w:t>低氮燃烧装置</w:t>
                  </w:r>
                  <w:r>
                    <w:rPr>
                      <w:rFonts w:hint="default" w:ascii="Times New Roman" w:hAnsi="Times New Roman" w:eastAsia="宋体" w:cs="Times New Roman"/>
                      <w:bCs/>
                      <w:sz w:val="21"/>
                      <w:szCs w:val="21"/>
                      <w:highlight w:val="none"/>
                      <w:lang w:eastAsia="zh-CN"/>
                    </w:rPr>
                    <w:t>”处理效率下降或故障，处理效率为0。</w:t>
                  </w:r>
                </w:p>
              </w:tc>
              <w:tc>
                <w:tcPr>
                  <w:tcW w:w="847" w:type="dxa"/>
                  <w:vAlign w:val="center"/>
                </w:tcPr>
                <w:p w14:paraId="5A03D4FC">
                  <w:pPr>
                    <w:spacing w:line="240" w:lineRule="auto"/>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NOx</w:t>
                  </w:r>
                </w:p>
              </w:tc>
              <w:tc>
                <w:tcPr>
                  <w:tcW w:w="1195" w:type="dxa"/>
                  <w:vAlign w:val="center"/>
                </w:tcPr>
                <w:p w14:paraId="5C97A92E">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1010" w:type="dxa"/>
                  <w:vAlign w:val="center"/>
                </w:tcPr>
                <w:p w14:paraId="7BB322C4">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color w:val="auto"/>
                      <w:kern w:val="2"/>
                      <w:sz w:val="24"/>
                      <w:szCs w:val="24"/>
                      <w:highlight w:val="none"/>
                      <w:lang w:val="en-US" w:eastAsia="zh-CN" w:bidi="ar"/>
                    </w:rPr>
                    <w:t>***</w:t>
                  </w:r>
                </w:p>
              </w:tc>
              <w:tc>
                <w:tcPr>
                  <w:tcW w:w="741" w:type="dxa"/>
                  <w:vAlign w:val="center"/>
                </w:tcPr>
                <w:p w14:paraId="2E1AD1A0">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846" w:type="dxa"/>
                  <w:vAlign w:val="center"/>
                </w:tcPr>
                <w:p w14:paraId="4E183A61">
                  <w:pPr>
                    <w:spacing w:line="240" w:lineRule="auto"/>
                    <w:jc w:val="center"/>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1</w:t>
                  </w:r>
                </w:p>
              </w:tc>
              <w:tc>
                <w:tcPr>
                  <w:tcW w:w="1719" w:type="dxa"/>
                  <w:vMerge w:val="continue"/>
                  <w:vAlign w:val="center"/>
                </w:tcPr>
                <w:p w14:paraId="198B677D">
                  <w:pPr>
                    <w:spacing w:line="240" w:lineRule="auto"/>
                    <w:jc w:val="left"/>
                    <w:rPr>
                      <w:rFonts w:hint="default" w:ascii="Times New Roman" w:hAnsi="Times New Roman" w:eastAsia="宋体" w:cs="Times New Roman"/>
                      <w:bCs/>
                      <w:sz w:val="21"/>
                      <w:szCs w:val="21"/>
                      <w:lang w:eastAsia="zh-CN"/>
                    </w:rPr>
                  </w:pPr>
                </w:p>
              </w:tc>
            </w:tr>
          </w:tbl>
          <w:p w14:paraId="14B25413">
            <w:pPr>
              <w:spacing w:before="120" w:beforeLines="50" w:line="360" w:lineRule="auto"/>
              <w:ind w:firstLine="480" w:firstLineChars="200"/>
              <w:rPr>
                <w:rFonts w:hint="eastAsia"/>
                <w:bCs/>
                <w:sz w:val="24"/>
                <w:szCs w:val="24"/>
                <w:lang w:eastAsia="zh-CN"/>
              </w:rPr>
            </w:pPr>
            <w:r>
              <w:rPr>
                <w:bCs/>
                <w:sz w:val="24"/>
                <w:szCs w:val="24"/>
                <w:lang w:eastAsia="zh-CN"/>
              </w:rPr>
              <w:t>为防止生产废气非正常工况排放，企业必须加强废气处理设施的管理，定期检修，确保废气处理设施正常运行，在废气处理设备停止运行或出现故障时，产生废气的各工序也必须相应停止生产。为杜绝废气非正常排放，应采取以下措施确保废气达标排放：</w:t>
            </w:r>
          </w:p>
          <w:p w14:paraId="1850230A">
            <w:pPr>
              <w:spacing w:line="360" w:lineRule="auto"/>
              <w:ind w:firstLine="480" w:firstLineChars="200"/>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（1）安排专人负责环保设备的日常维护和管理，每个固定时间检查、汇报情况，及时发现废气处理设备的隐患，确保废气处理系统正常运行；</w:t>
            </w:r>
          </w:p>
          <w:p w14:paraId="555CF635">
            <w:pPr>
              <w:keepNext w:val="0"/>
              <w:keepLines w:val="0"/>
              <w:pageBreakBefore w:val="0"/>
              <w:widowControl w:val="0"/>
              <w:kinsoku/>
              <w:wordWrap/>
              <w:overflowPunct/>
              <w:topLinePunct w:val="0"/>
              <w:autoSpaceDE w:val="0"/>
              <w:autoSpaceDN w:val="0"/>
              <w:bidi w:val="0"/>
              <w:spacing w:line="360" w:lineRule="auto"/>
              <w:ind w:firstLine="480" w:firstLineChars="200"/>
              <w:textAlignment w:val="auto"/>
              <w:rPr>
                <w:rFonts w:hint="default" w:ascii="Times New Roman" w:hAnsi="Times New Roman" w:cs="Times New Roman"/>
                <w:bCs/>
                <w:sz w:val="24"/>
                <w:szCs w:val="24"/>
                <w:lang w:eastAsia="zh-CN"/>
              </w:rPr>
            </w:pPr>
            <w:r>
              <w:rPr>
                <w:rFonts w:hint="default" w:ascii="Times New Roman" w:hAnsi="Times New Roman" w:cs="Times New Roman"/>
                <w:bCs/>
                <w:sz w:val="24"/>
                <w:szCs w:val="24"/>
                <w:lang w:eastAsia="zh-CN"/>
              </w:rPr>
              <w:t>（2）应定期维护、检修废气净化装置，以保持废气处理装置的净化能力和净化容量。</w:t>
            </w:r>
          </w:p>
          <w:p w14:paraId="6A5E40F5">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eastAsia"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2.</w:t>
            </w:r>
            <w:r>
              <w:rPr>
                <w:rFonts w:ascii="Times New Roman" w:hAnsi="Times New Roman" w:cs="Times New Roman" w:eastAsiaTheme="minorEastAsia"/>
                <w:b/>
                <w:bCs/>
                <w:sz w:val="28"/>
                <w:szCs w:val="28"/>
                <w:lang w:eastAsia="zh-CN"/>
              </w:rPr>
              <w:t>废水</w:t>
            </w:r>
            <w:r>
              <w:rPr>
                <w:rFonts w:hint="eastAsia" w:ascii="Times New Roman" w:hAnsi="Times New Roman" w:cs="Times New Roman" w:eastAsiaTheme="minorEastAsia"/>
                <w:b/>
                <w:bCs/>
                <w:sz w:val="28"/>
                <w:szCs w:val="28"/>
                <w:lang w:eastAsia="zh-CN"/>
              </w:rPr>
              <w:t>环境影响及保护措施</w:t>
            </w:r>
          </w:p>
          <w:p w14:paraId="012ABD85">
            <w:pPr>
              <w:pStyle w:val="2"/>
              <w:keepNext w:val="0"/>
              <w:keepLines w:val="0"/>
              <w:pageBreakBefore w:val="0"/>
              <w:widowControl w:val="0"/>
              <w:kinsoku/>
              <w:wordWrap/>
              <w:overflowPunct/>
              <w:topLinePunct w:val="0"/>
              <w:autoSpaceDE w:val="0"/>
              <w:autoSpaceDN w:val="0"/>
              <w:bidi w:val="0"/>
              <w:textAlignment w:val="auto"/>
              <w:outlineLvl w:val="9"/>
              <w:rPr>
                <w:rFonts w:hint="default"/>
                <w:sz w:val="24"/>
                <w:szCs w:val="24"/>
                <w:lang w:val="en-US" w:eastAsia="zh-CN"/>
              </w:rPr>
            </w:pPr>
            <w:r>
              <w:rPr>
                <w:rFonts w:hint="eastAsia"/>
                <w:sz w:val="24"/>
                <w:szCs w:val="24"/>
                <w:lang w:val="en-US" w:eastAsia="zh-CN"/>
              </w:rPr>
              <w:t>2.1废水产生及排放情况</w:t>
            </w:r>
          </w:p>
          <w:p w14:paraId="1DA025B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本项目包括生产废水和生活污水，生产废水主要为织造废水和清洗废水，织造产生的废水和清洗废水通过收集后排入厂区自建污水处理站处理后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回用生产线</w:t>
            </w:r>
            <w:r>
              <w:rPr>
                <w:rFonts w:hint="eastAsia" w:ascii="Times New Roman" w:hAnsi="Times New Roman" w:cs="Times New Roman"/>
                <w:color w:val="auto"/>
                <w:sz w:val="24"/>
                <w:szCs w:val="24"/>
                <w:lang w:val="en-US" w:eastAsia="zh-CN"/>
              </w:rPr>
              <w:t>，生活污水排入园区污水管网至园区污水处理厂。</w:t>
            </w:r>
          </w:p>
          <w:p w14:paraId="5BCFE53B">
            <w:pPr>
              <w:adjustRightInd w:val="0"/>
              <w:snapToGrid w:val="0"/>
              <w:spacing w:line="360" w:lineRule="auto"/>
              <w:ind w:firstLine="480" w:firstLineChars="200"/>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1.织造废水</w:t>
            </w:r>
          </w:p>
          <w:p w14:paraId="2F1A2E0A">
            <w:pPr>
              <w:adjustRightInd w:val="0"/>
              <w:snapToGrid w:val="0"/>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采用的喷水织机利用水作为引纬介质通过喷射水流对纬丝产生摩擦牵引力，将固定筒子上的纬丝引入梭口。根据《纺织染整工业废水治理工程技术规范（HJ471-2020）》及工程案例，本项目喷水织机满负荷运营状况下，单台喷水织机每天平均用水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。参考《喷水织机废水处理工艺研究》（上海交大梁海燕），在喷水织造过程中，水量约有</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%在喷水引纬中浸润入织物纤维中，约</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%随着织造蒸发至空气中，剩余</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%作为引纬废水排出。根据前文内容，项目设置喷水织机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台，计算可得织造用水量为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t/d，织造废水产生量为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t/d，损耗量为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t/d，损耗部分定期补充，织造废水经自建污水处理站处理后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回用于生产，则回用水为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t/a）。</w:t>
            </w:r>
          </w:p>
          <w:p w14:paraId="3D7A5A73">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水洗机用水</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喷水织机工艺后织物进入水洗机水洗，根</w:t>
            </w:r>
            <w:r>
              <w:rPr>
                <w:rFonts w:hint="default" w:ascii="Times New Roman" w:hAnsi="Times New Roman" w:cs="Times New Roman"/>
                <w:color w:val="auto"/>
                <w:sz w:val="24"/>
                <w:szCs w:val="24"/>
                <w:lang w:val="en-US" w:eastAsia="zh-CN"/>
              </w:rPr>
              <w:t>据建设单位提供数据，单台</w:t>
            </w:r>
            <w:r>
              <w:rPr>
                <w:rFonts w:hint="eastAsia" w:ascii="Times New Roman" w:hAnsi="Times New Roman" w:cs="Times New Roman"/>
                <w:color w:val="auto"/>
                <w:sz w:val="24"/>
                <w:szCs w:val="24"/>
                <w:lang w:val="en-US" w:eastAsia="zh-CN"/>
              </w:rPr>
              <w:t>水洗机</w:t>
            </w:r>
            <w:r>
              <w:rPr>
                <w:rFonts w:hint="default" w:ascii="Times New Roman" w:hAnsi="Times New Roman" w:cs="Times New Roman"/>
                <w:color w:val="auto"/>
                <w:sz w:val="24"/>
                <w:szCs w:val="24"/>
                <w:lang w:val="en-US" w:eastAsia="zh-CN"/>
              </w:rPr>
              <w:t>每天平均用水量约为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3</w:t>
            </w:r>
            <w:r>
              <w:rPr>
                <w:rFonts w:hint="default" w:ascii="Times New Roman" w:hAnsi="Times New Roman" w:cs="Times New Roman"/>
                <w:color w:val="auto"/>
                <w:sz w:val="24"/>
                <w:szCs w:val="24"/>
                <w:lang w:val="en-US" w:eastAsia="zh-CN"/>
              </w:rPr>
              <w:t>，项目设置</w:t>
            </w:r>
            <w:r>
              <w:rPr>
                <w:rFonts w:hint="eastAsia" w:ascii="Times New Roman" w:hAnsi="Times New Roman" w:cs="Times New Roman"/>
                <w:color w:val="auto"/>
                <w:sz w:val="24"/>
                <w:szCs w:val="24"/>
                <w:lang w:val="en-US" w:eastAsia="zh-CN"/>
              </w:rPr>
              <w:t>水洗</w:t>
            </w:r>
            <w:r>
              <w:rPr>
                <w:rFonts w:hint="default" w:ascii="Times New Roman" w:hAnsi="Times New Roman" w:cs="Times New Roman"/>
                <w:color w:val="auto"/>
                <w:sz w:val="24"/>
                <w:szCs w:val="24"/>
                <w:lang w:val="en-US" w:eastAsia="zh-CN"/>
              </w:rPr>
              <w:t>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台，计算可得</w:t>
            </w:r>
            <w:r>
              <w:rPr>
                <w:rFonts w:hint="eastAsia" w:ascii="Times New Roman" w:hAnsi="Times New Roman" w:cs="Times New Roman"/>
                <w:color w:val="auto"/>
                <w:sz w:val="24"/>
                <w:szCs w:val="24"/>
                <w:lang w:val="en-US" w:eastAsia="zh-CN"/>
              </w:rPr>
              <w:t>水洗</w:t>
            </w:r>
            <w:r>
              <w:rPr>
                <w:rFonts w:hint="default" w:ascii="Times New Roman" w:hAnsi="Times New Roman" w:cs="Times New Roman"/>
                <w:color w:val="auto"/>
                <w:sz w:val="24"/>
                <w:szCs w:val="24"/>
                <w:lang w:val="en-US" w:eastAsia="zh-CN"/>
              </w:rPr>
              <w:t>用水量为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sz w:val="24"/>
                <w:szCs w:val="24"/>
                <w:lang w:val="en-US" w:eastAsia="zh-CN"/>
              </w:rPr>
              <w:t>蒸发量估算为总用水量的</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sz w:val="24"/>
                <w:szCs w:val="24"/>
                <w:lang w:val="en-US" w:eastAsia="zh-CN"/>
              </w:rPr>
              <w:t>，则水洗</w:t>
            </w:r>
            <w:r>
              <w:rPr>
                <w:rFonts w:hint="default" w:ascii="Times New Roman" w:hAnsi="Times New Roman" w:cs="Times New Roman"/>
                <w:color w:val="auto"/>
                <w:sz w:val="24"/>
                <w:szCs w:val="24"/>
                <w:lang w:val="en-US" w:eastAsia="zh-CN"/>
              </w:rPr>
              <w:t>废水产生量为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t/d，损耗量为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t/d，损耗部分定期补充，</w:t>
            </w:r>
            <w:r>
              <w:rPr>
                <w:rFonts w:hint="eastAsia" w:ascii="Times New Roman" w:hAnsi="Times New Roman" w:cs="Times New Roman"/>
                <w:color w:val="auto"/>
                <w:sz w:val="24"/>
                <w:szCs w:val="24"/>
                <w:lang w:val="en-US" w:eastAsia="zh-CN"/>
              </w:rPr>
              <w:t>水洗废水</w:t>
            </w:r>
            <w:r>
              <w:rPr>
                <w:rFonts w:hint="default" w:ascii="Times New Roman" w:hAnsi="Times New Roman" w:cs="Times New Roman"/>
                <w:color w:val="auto"/>
                <w:sz w:val="24"/>
                <w:szCs w:val="24"/>
                <w:lang w:val="en-US" w:eastAsia="zh-CN"/>
              </w:rPr>
              <w:t>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回用于生产，则回用水为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t/a）。</w:t>
            </w:r>
          </w:p>
          <w:p w14:paraId="4C5F2229">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本项目综丝人工清洗过程中会产生一定量的清洗废水。据建设单位提供数据，每台喷水织机清洗产生的废水量为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kg/次</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台，采用无磷洗衣粉，平均每月清洗</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次，年</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次，清洗水蒸发损耗约为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%，其余</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%形成清洗废水；本项目喷水织机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台，项目清洗用水量为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t/a，产生的综丝清洗废水为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t/a，全年工作日按</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天计，平均日产清洗废水</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t/d。损耗量为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t/d（</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t/a），损耗部分定期补充。清洗废水经自建污水处理站处理后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回用于生产</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则回用水为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w:t>
            </w:r>
            <w:r>
              <w:rPr>
                <w:rFonts w:hint="eastAsia" w:ascii="Times New Roman" w:hAnsi="Times New Roman" w:cs="Times New Roman"/>
                <w:color w:val="auto"/>
                <w:sz w:val="24"/>
                <w:szCs w:val="24"/>
                <w:lang w:val="en-US" w:eastAsia="zh-CN"/>
              </w:rPr>
              <w:t>d</w:t>
            </w:r>
            <w:r>
              <w:rPr>
                <w:rFonts w:hint="default" w:ascii="Times New Roman" w:hAnsi="Times New Roman" w:cs="Times New Roman"/>
                <w:color w:val="auto"/>
                <w:sz w:val="24"/>
                <w:szCs w:val="24"/>
                <w:lang w:val="en-US" w:eastAsia="zh-CN"/>
              </w:rPr>
              <w:t>（</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cs="Times New Roman"/>
                <w:color w:val="auto"/>
                <w:sz w:val="24"/>
                <w:szCs w:val="24"/>
                <w:lang w:val="en-US" w:eastAsia="zh-CN"/>
              </w:rPr>
              <w:t>t/</w:t>
            </w:r>
            <w:r>
              <w:rPr>
                <w:rFonts w:hint="eastAsia" w:ascii="Times New Roman" w:hAnsi="Times New Roman" w:cs="Times New Roman"/>
                <w:color w:val="auto"/>
                <w:sz w:val="24"/>
                <w:szCs w:val="24"/>
                <w:lang w:val="en-US" w:eastAsia="zh-CN"/>
              </w:rPr>
              <w:t>a</w:t>
            </w:r>
            <w:r>
              <w:rPr>
                <w:rFonts w:hint="default" w:ascii="Times New Roman" w:hAnsi="Times New Roman" w:cs="Times New Roman"/>
                <w:color w:val="auto"/>
                <w:sz w:val="24"/>
                <w:szCs w:val="24"/>
                <w:lang w:val="en-US" w:eastAsia="zh-CN"/>
              </w:rPr>
              <w:t>）。</w:t>
            </w:r>
          </w:p>
          <w:p w14:paraId="21622931">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2.喷淋废水</w:t>
            </w:r>
          </w:p>
          <w:p w14:paraId="54BA0980">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w:t>
            </w:r>
            <w:r>
              <w:rPr>
                <w:rFonts w:hint="eastAsia" w:ascii="Times New Roman" w:hAnsi="Times New Roman" w:cs="Times New Roman"/>
                <w:color w:val="auto"/>
                <w:sz w:val="24"/>
                <w:szCs w:val="24"/>
                <w:lang w:val="en-US" w:eastAsia="zh-CN"/>
              </w:rPr>
              <w:t>塑形</w:t>
            </w:r>
            <w:r>
              <w:rPr>
                <w:rFonts w:hint="default" w:ascii="Times New Roman" w:hAnsi="Times New Roman" w:eastAsia="宋体" w:cs="Times New Roman"/>
                <w:color w:val="auto"/>
                <w:sz w:val="24"/>
                <w:szCs w:val="24"/>
                <w:lang w:val="en-US" w:eastAsia="zh-CN"/>
              </w:rPr>
              <w:t>烘干过程产生的废气通过水喷淋进行处理，水喷淋用水使用一段时间后因蒸发损耗需定期补充新鲜水，同时需溢流一部分保证水质，根据同行业经验，水喷淋设备用水量一般按照液气比</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L/m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塑形烘干</w:t>
            </w:r>
            <w:r>
              <w:rPr>
                <w:rFonts w:hint="default" w:ascii="Times New Roman" w:hAnsi="Times New Roman" w:eastAsia="宋体" w:cs="Times New Roman"/>
                <w:color w:val="auto"/>
                <w:sz w:val="24"/>
                <w:szCs w:val="24"/>
                <w:lang w:val="en-US" w:eastAsia="zh-CN"/>
              </w:rPr>
              <w:t>废气风机风量共为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/h（</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万m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/a），则水喷淋用水量为</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/a，水喷淋用水循环使用，一方面废气与水接触发生损耗，约有</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%水量被带走，则带走水量为</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/a，另一方面，约5%的水喷淋用水需定期更换，保持水质，则喷淋废水量为</w:t>
            </w:r>
            <w:r>
              <w:rPr>
                <w:rFonts w:hint="eastAsia" w:ascii="Times New Roman" w:hAnsi="Times New Roman" w:cs="Times New Roman"/>
                <w:color w:val="auto"/>
                <w:kern w:val="2"/>
                <w:sz w:val="24"/>
                <w:szCs w:val="24"/>
                <w:highlight w:val="none"/>
                <w:lang w:val="en-US" w:eastAsia="zh-CN" w:bidi="ar"/>
              </w:rPr>
              <w:t>***</w:t>
            </w:r>
            <w:r>
              <w:rPr>
                <w:rFonts w:hint="eastAsia" w:ascii="Times New Roman" w:hAnsi="Times New Roman" w:cs="Times New Roman"/>
                <w:color w:val="auto"/>
                <w:sz w:val="24"/>
                <w:szCs w:val="24"/>
                <w:lang w:val="en-US" w:eastAsia="zh-CN"/>
              </w:rPr>
              <w:t>t</w:t>
            </w:r>
            <w:r>
              <w:rPr>
                <w:rFonts w:hint="default" w:ascii="Times New Roman" w:hAnsi="Times New Roman" w:eastAsia="宋体" w:cs="Times New Roman"/>
                <w:color w:val="auto"/>
                <w:sz w:val="24"/>
                <w:szCs w:val="24"/>
                <w:lang w:val="en-US" w:eastAsia="zh-CN"/>
              </w:rPr>
              <w:t>/a</w:t>
            </w:r>
            <w:r>
              <w:rPr>
                <w:rFonts w:hint="eastAsia" w:ascii="Times New Roman" w:hAnsi="Times New Roman" w:cs="Times New Roman"/>
                <w:color w:val="auto"/>
                <w:sz w:val="24"/>
                <w:szCs w:val="24"/>
                <w:lang w:val="en-US" w:eastAsia="zh-CN"/>
              </w:rPr>
              <w:t>，喷淋废水</w:t>
            </w:r>
            <w:r>
              <w:rPr>
                <w:rFonts w:hint="default" w:ascii="Times New Roman" w:hAnsi="Times New Roman" w:cs="Times New Roman"/>
                <w:color w:val="auto"/>
                <w:sz w:val="24"/>
                <w:szCs w:val="24"/>
                <w:lang w:val="en-US" w:eastAsia="zh-CN"/>
              </w:rPr>
              <w:t>经自建污水处理站处理后</w:t>
            </w:r>
            <w:r>
              <w:rPr>
                <w:rFonts w:hint="eastAsia" w:ascii="Times New Roman" w:hAnsi="Times New Roman" w:cs="Times New Roman"/>
                <w:color w:val="auto"/>
                <w:sz w:val="24"/>
                <w:szCs w:val="24"/>
                <w:lang w:val="en-US" w:eastAsia="zh-CN"/>
              </w:rPr>
              <w:t>全部</w:t>
            </w:r>
            <w:r>
              <w:rPr>
                <w:rFonts w:hint="default" w:ascii="Times New Roman" w:hAnsi="Times New Roman" w:cs="Times New Roman"/>
                <w:color w:val="auto"/>
                <w:sz w:val="24"/>
                <w:szCs w:val="24"/>
                <w:lang w:val="en-US" w:eastAsia="zh-CN"/>
              </w:rPr>
              <w:t>回用。</w:t>
            </w:r>
          </w:p>
          <w:p w14:paraId="13DE5FD4">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3.生活污水</w:t>
            </w:r>
          </w:p>
          <w:p w14:paraId="041DF01C">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本项目劳动定员总计</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人，不在</w:t>
            </w:r>
            <w:r>
              <w:rPr>
                <w:rFonts w:hint="default" w:ascii="Times New Roman" w:hAnsi="Times New Roman" w:cs="Times New Roman"/>
                <w:color w:val="auto"/>
                <w:sz w:val="24"/>
                <w:szCs w:val="24"/>
                <w:lang w:val="en-US" w:eastAsia="zh-CN"/>
              </w:rPr>
              <w:t>厂区</w:t>
            </w:r>
            <w:r>
              <w:rPr>
                <w:rFonts w:hint="default" w:ascii="Times New Roman" w:hAnsi="Times New Roman" w:eastAsia="宋体" w:cs="Times New Roman"/>
                <w:color w:val="auto"/>
                <w:sz w:val="24"/>
                <w:szCs w:val="24"/>
                <w:lang w:val="en-US" w:eastAsia="zh-CN"/>
              </w:rPr>
              <w:t>食宿，年工作</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天，根据《建筑给水排水设计规范》（GB50015-2019）及《新疆维吾尔自治区工业和生活用水定额》（2007.7.31）职工生活用水以70L/人·d计，生活用水量约为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/a）。本项目生活污水排放量按照用水量的</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%计，则生活污水排放量为</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p>
          <w:p w14:paraId="74606F0D">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根据《排污许可证申请与核发技术规范纺织印染工业》（HJ861-2017）、《排污单位自行监测技术指南纺织印染工业》（HJ879-2017）及《纺织工业污染防治可行技术指南》（HJ1177-2021）中的相关要求，本项目水质指标主要选取pH值、COD、BOD</w:t>
            </w:r>
            <w:r>
              <w:rPr>
                <w:rFonts w:hint="default" w:ascii="Times New Roman" w:hAnsi="Times New Roman" w:cs="Times New Roman"/>
                <w:color w:val="auto"/>
                <w:sz w:val="24"/>
                <w:szCs w:val="24"/>
                <w:vertAlign w:val="subscript"/>
                <w:lang w:val="en-US" w:eastAsia="zh-CN"/>
              </w:rPr>
              <w:t>5</w:t>
            </w:r>
            <w:r>
              <w:rPr>
                <w:rFonts w:hint="default" w:ascii="Times New Roman" w:hAnsi="Times New Roman" w:cs="Times New Roman"/>
                <w:color w:val="auto"/>
                <w:sz w:val="24"/>
                <w:szCs w:val="24"/>
                <w:lang w:val="en-US" w:eastAsia="zh-CN"/>
              </w:rPr>
              <w:t>、SS、氨氮、石油类、总氮、总磷。</w:t>
            </w:r>
            <w:r>
              <w:rPr>
                <w:rFonts w:hint="eastAsia" w:ascii="Times New Roman" w:hAnsi="Times New Roman" w:cs="Times New Roman"/>
                <w:color w:val="auto"/>
                <w:sz w:val="24"/>
                <w:szCs w:val="24"/>
                <w:lang w:val="en-US" w:eastAsia="zh-CN"/>
              </w:rPr>
              <w:t>其中COD、</w:t>
            </w:r>
            <w:r>
              <w:rPr>
                <w:rFonts w:hint="default" w:ascii="Times New Roman" w:hAnsi="Times New Roman" w:cs="Times New Roman"/>
                <w:color w:val="auto"/>
                <w:sz w:val="24"/>
                <w:szCs w:val="24"/>
                <w:lang w:val="en-US" w:eastAsia="zh-CN"/>
              </w:rPr>
              <w:t>氨氮、总氮、总磷</w:t>
            </w:r>
            <w:r>
              <w:rPr>
                <w:rFonts w:hint="eastAsia" w:ascii="Times New Roman" w:hAnsi="Times New Roman" w:cs="Times New Roman"/>
                <w:color w:val="auto"/>
                <w:sz w:val="24"/>
                <w:szCs w:val="24"/>
                <w:lang w:val="en-US" w:eastAsia="zh-CN"/>
              </w:rPr>
              <w:t>污染因子源强参数</w:t>
            </w:r>
            <w:r>
              <w:rPr>
                <w:rFonts w:hint="default" w:ascii="Times New Roman" w:hAnsi="Times New Roman" w:cs="Times New Roman"/>
                <w:color w:val="auto"/>
                <w:sz w:val="24"/>
                <w:szCs w:val="24"/>
                <w:lang w:val="en-US" w:eastAsia="zh-CN"/>
              </w:rPr>
              <w:t>根据《排放源统计调查产排污核算方法和系数手册》中“1751化纤织造加工行业系数手册”中化纤织造加工行业系数表</w:t>
            </w:r>
            <w:r>
              <w:rPr>
                <w:rFonts w:hint="eastAsia" w:ascii="Times New Roman" w:hAnsi="Times New Roman" w:cs="Times New Roman"/>
                <w:color w:val="auto"/>
                <w:sz w:val="24"/>
                <w:szCs w:val="24"/>
                <w:lang w:val="en-US" w:eastAsia="zh-CN"/>
              </w:rPr>
              <w:t>，pH值、SS、石油类、BOD</w:t>
            </w:r>
            <w:r>
              <w:rPr>
                <w:rFonts w:hint="eastAsia" w:ascii="Times New Roman" w:hAnsi="Times New Roman" w:cs="Times New Roman"/>
                <w:color w:val="auto"/>
                <w:sz w:val="24"/>
                <w:szCs w:val="24"/>
                <w:vertAlign w:val="subscript"/>
                <w:lang w:val="en-US" w:eastAsia="zh-CN"/>
              </w:rPr>
              <w:t>5</w:t>
            </w:r>
            <w:r>
              <w:rPr>
                <w:rFonts w:hint="eastAsia" w:ascii="Times New Roman" w:hAnsi="Times New Roman" w:cs="Times New Roman"/>
                <w:color w:val="auto"/>
                <w:sz w:val="24"/>
                <w:szCs w:val="24"/>
                <w:lang w:val="en-US" w:eastAsia="zh-CN"/>
              </w:rPr>
              <w:t>污染因子源强取值参考《喷水织机废水水质分析及回用技术研究进展》（山东省环境保护科学研究设计院山东·济南；岜山集团有限公司山东·淄博，苏颖、孙正、常功法等）及类比采用喷水织造工艺的项目。</w:t>
            </w:r>
          </w:p>
          <w:p w14:paraId="7185C247">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项目织造废水源强见下表。</w:t>
            </w:r>
          </w:p>
          <w:p w14:paraId="21AFA42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cs="Times New Roman"/>
                <w:b/>
                <w:bCs/>
                <w:color w:val="auto"/>
                <w:sz w:val="21"/>
                <w:szCs w:val="21"/>
                <w:vertAlign w:val="baseline"/>
                <w:lang w:val="en-US" w:eastAsia="zh-CN"/>
              </w:rPr>
            </w:pPr>
            <w:r>
              <w:rPr>
                <w:rFonts w:hint="eastAsia" w:ascii="Times New Roman" w:hAnsi="Times New Roman" w:cs="Times New Roman"/>
                <w:b/>
                <w:bCs/>
                <w:color w:val="auto"/>
                <w:sz w:val="21"/>
                <w:szCs w:val="21"/>
                <w:lang w:val="en-US" w:eastAsia="zh-CN"/>
              </w:rPr>
              <w:t>表4-5  本项目织造废水源强参数一览表</w:t>
            </w:r>
          </w:p>
          <w:tbl>
            <w:tblPr>
              <w:tblStyle w:val="2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41"/>
              <w:gridCol w:w="1943"/>
              <w:gridCol w:w="1944"/>
              <w:gridCol w:w="1944"/>
              <w:gridCol w:w="1944"/>
            </w:tblGrid>
            <w:tr w14:paraId="04ACD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0AF2CFD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序号</w:t>
                  </w:r>
                </w:p>
              </w:tc>
              <w:tc>
                <w:tcPr>
                  <w:tcW w:w="1000" w:type="pct"/>
                  <w:tcBorders>
                    <w:tl2br w:val="nil"/>
                    <w:tr2bl w:val="nil"/>
                  </w:tcBorders>
                  <w:vAlign w:val="top"/>
                </w:tcPr>
                <w:p w14:paraId="0440F1E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污染因子</w:t>
                  </w:r>
                </w:p>
              </w:tc>
              <w:tc>
                <w:tcPr>
                  <w:tcW w:w="1000" w:type="pct"/>
                  <w:tcBorders>
                    <w:tl2br w:val="nil"/>
                    <w:tr2bl w:val="nil"/>
                  </w:tcBorders>
                  <w:vAlign w:val="top"/>
                </w:tcPr>
                <w:p w14:paraId="183ACB72">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单位</w:t>
                  </w:r>
                </w:p>
              </w:tc>
              <w:tc>
                <w:tcPr>
                  <w:tcW w:w="1000" w:type="pct"/>
                  <w:tcBorders>
                    <w:tl2br w:val="nil"/>
                    <w:tr2bl w:val="nil"/>
                  </w:tcBorders>
                  <w:vAlign w:val="top"/>
                </w:tcPr>
                <w:p w14:paraId="2C599CC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污染物浓度</w:t>
                  </w:r>
                </w:p>
              </w:tc>
              <w:tc>
                <w:tcPr>
                  <w:tcW w:w="1000" w:type="pct"/>
                  <w:tcBorders>
                    <w:tl2br w:val="nil"/>
                    <w:tr2bl w:val="nil"/>
                  </w:tcBorders>
                  <w:vAlign w:val="top"/>
                </w:tcPr>
                <w:p w14:paraId="0A6691F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说明</w:t>
                  </w:r>
                </w:p>
              </w:tc>
            </w:tr>
            <w:tr w14:paraId="70F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17B78BC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p>
              </w:tc>
              <w:tc>
                <w:tcPr>
                  <w:tcW w:w="1000" w:type="pct"/>
                  <w:tcBorders>
                    <w:tl2br w:val="nil"/>
                    <w:tr2bl w:val="nil"/>
                  </w:tcBorders>
                  <w:vAlign w:val="top"/>
                </w:tcPr>
                <w:p w14:paraId="00A0959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PH</w:t>
                  </w:r>
                </w:p>
              </w:tc>
              <w:tc>
                <w:tcPr>
                  <w:tcW w:w="1000" w:type="pct"/>
                  <w:tcBorders>
                    <w:tl2br w:val="nil"/>
                    <w:tr2bl w:val="nil"/>
                  </w:tcBorders>
                  <w:vAlign w:val="top"/>
                </w:tcPr>
                <w:p w14:paraId="01AB845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无量纲</w:t>
                  </w:r>
                </w:p>
              </w:tc>
              <w:tc>
                <w:tcPr>
                  <w:tcW w:w="1000" w:type="pct"/>
                  <w:tcBorders>
                    <w:tl2br w:val="nil"/>
                    <w:tr2bl w:val="nil"/>
                  </w:tcBorders>
                  <w:vAlign w:val="top"/>
                </w:tcPr>
                <w:p w14:paraId="6360AB6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w:t>
                  </w:r>
                  <w:r>
                    <w:rPr>
                      <w:rFonts w:hint="eastAsia" w:ascii="Times New Roman" w:hAnsi="Times New Roman" w:eastAsia="宋体" w:cs="Times New Roman"/>
                      <w:b w:val="0"/>
                      <w:bCs w:val="0"/>
                      <w:color w:val="auto"/>
                      <w:sz w:val="21"/>
                      <w:szCs w:val="21"/>
                      <w:vertAlign w:val="baseline"/>
                      <w:lang w:val="en-US" w:eastAsia="zh-CN"/>
                    </w:rPr>
                    <w:t>~</w:t>
                  </w:r>
                  <w:r>
                    <w:rPr>
                      <w:rFonts w:hint="default" w:ascii="Times New Roman" w:hAnsi="Times New Roman" w:eastAsia="宋体" w:cs="Times New Roman"/>
                      <w:b w:val="0"/>
                      <w:bCs w:val="0"/>
                      <w:color w:val="auto"/>
                      <w:sz w:val="21"/>
                      <w:szCs w:val="21"/>
                      <w:vertAlign w:val="baseline"/>
                      <w:lang w:val="en-US" w:eastAsia="zh-CN"/>
                    </w:rPr>
                    <w:t>9</w:t>
                  </w:r>
                </w:p>
              </w:tc>
              <w:tc>
                <w:tcPr>
                  <w:tcW w:w="1000" w:type="pct"/>
                  <w:tcBorders>
                    <w:tl2br w:val="nil"/>
                    <w:tr2bl w:val="nil"/>
                  </w:tcBorders>
                  <w:vAlign w:val="top"/>
                </w:tcPr>
                <w:p w14:paraId="5567C32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277F3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22FDF5F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p>
              </w:tc>
              <w:tc>
                <w:tcPr>
                  <w:tcW w:w="1000" w:type="pct"/>
                  <w:tcBorders>
                    <w:tl2br w:val="nil"/>
                    <w:tr2bl w:val="nil"/>
                  </w:tcBorders>
                  <w:vAlign w:val="top"/>
                </w:tcPr>
                <w:p w14:paraId="4146837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COD</w:t>
                  </w:r>
                </w:p>
              </w:tc>
              <w:tc>
                <w:tcPr>
                  <w:tcW w:w="1000" w:type="pct"/>
                  <w:tcBorders>
                    <w:tl2br w:val="nil"/>
                    <w:tr2bl w:val="nil"/>
                  </w:tcBorders>
                  <w:vAlign w:val="top"/>
                </w:tcPr>
                <w:p w14:paraId="1DF5E7E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198DBB3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467.4</w:t>
                  </w:r>
                </w:p>
              </w:tc>
              <w:tc>
                <w:tcPr>
                  <w:tcW w:w="1000" w:type="pct"/>
                  <w:tcBorders>
                    <w:tl2br w:val="nil"/>
                    <w:tr2bl w:val="nil"/>
                  </w:tcBorders>
                  <w:vAlign w:val="top"/>
                </w:tcPr>
                <w:p w14:paraId="4D0C5AB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产污系数</w:t>
                  </w:r>
                </w:p>
              </w:tc>
            </w:tr>
            <w:tr w14:paraId="16D97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64CD3EE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w:t>
                  </w:r>
                </w:p>
              </w:tc>
              <w:tc>
                <w:tcPr>
                  <w:tcW w:w="1000" w:type="pct"/>
                  <w:tcBorders>
                    <w:tl2br w:val="nil"/>
                    <w:tr2bl w:val="nil"/>
                  </w:tcBorders>
                  <w:vAlign w:val="top"/>
                </w:tcPr>
                <w:p w14:paraId="72C0BB6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BOD</w:t>
                  </w:r>
                  <w:r>
                    <w:rPr>
                      <w:rFonts w:hint="default" w:ascii="Times New Roman" w:hAnsi="Times New Roman" w:eastAsia="宋体" w:cs="Times New Roman"/>
                      <w:b w:val="0"/>
                      <w:bCs w:val="0"/>
                      <w:color w:val="auto"/>
                      <w:sz w:val="21"/>
                      <w:szCs w:val="21"/>
                      <w:vertAlign w:val="subscript"/>
                      <w:lang w:val="en-US" w:eastAsia="zh-CN"/>
                    </w:rPr>
                    <w:t>5</w:t>
                  </w:r>
                </w:p>
              </w:tc>
              <w:tc>
                <w:tcPr>
                  <w:tcW w:w="1000" w:type="pct"/>
                  <w:tcBorders>
                    <w:tl2br w:val="nil"/>
                    <w:tr2bl w:val="nil"/>
                  </w:tcBorders>
                  <w:vAlign w:val="top"/>
                </w:tcPr>
                <w:p w14:paraId="4E3E5BB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1C2B3D6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60</w:t>
                  </w:r>
                </w:p>
              </w:tc>
              <w:tc>
                <w:tcPr>
                  <w:tcW w:w="1000" w:type="pct"/>
                  <w:tcBorders>
                    <w:tl2br w:val="nil"/>
                    <w:tr2bl w:val="nil"/>
                  </w:tcBorders>
                  <w:vAlign w:val="top"/>
                </w:tcPr>
                <w:p w14:paraId="261D6C2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2A36B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680EB23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w:t>
                  </w:r>
                </w:p>
              </w:tc>
              <w:tc>
                <w:tcPr>
                  <w:tcW w:w="1000" w:type="pct"/>
                  <w:tcBorders>
                    <w:tl2br w:val="nil"/>
                    <w:tr2bl w:val="nil"/>
                  </w:tcBorders>
                  <w:vAlign w:val="top"/>
                </w:tcPr>
                <w:p w14:paraId="649ED03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SS</w:t>
                  </w:r>
                </w:p>
              </w:tc>
              <w:tc>
                <w:tcPr>
                  <w:tcW w:w="1000" w:type="pct"/>
                  <w:tcBorders>
                    <w:tl2br w:val="nil"/>
                    <w:tr2bl w:val="nil"/>
                  </w:tcBorders>
                  <w:vAlign w:val="top"/>
                </w:tcPr>
                <w:p w14:paraId="2AE33CE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6E3A881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100</w:t>
                  </w:r>
                </w:p>
              </w:tc>
              <w:tc>
                <w:tcPr>
                  <w:tcW w:w="1000" w:type="pct"/>
                  <w:tcBorders>
                    <w:tl2br w:val="nil"/>
                    <w:tr2bl w:val="nil"/>
                  </w:tcBorders>
                  <w:vAlign w:val="top"/>
                </w:tcPr>
                <w:p w14:paraId="4A9783A2">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17EDC0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2333D6F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5</w:t>
                  </w:r>
                </w:p>
              </w:tc>
              <w:tc>
                <w:tcPr>
                  <w:tcW w:w="1000" w:type="pct"/>
                  <w:tcBorders>
                    <w:tl2br w:val="nil"/>
                    <w:tr2bl w:val="nil"/>
                  </w:tcBorders>
                  <w:vAlign w:val="top"/>
                </w:tcPr>
                <w:p w14:paraId="72C2B7A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氨氮</w:t>
                  </w:r>
                </w:p>
              </w:tc>
              <w:tc>
                <w:tcPr>
                  <w:tcW w:w="1000" w:type="pct"/>
                  <w:tcBorders>
                    <w:tl2br w:val="nil"/>
                    <w:tr2bl w:val="nil"/>
                  </w:tcBorders>
                  <w:vAlign w:val="top"/>
                </w:tcPr>
                <w:p w14:paraId="152EB67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37FF154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1.6</w:t>
                  </w:r>
                </w:p>
              </w:tc>
              <w:tc>
                <w:tcPr>
                  <w:tcW w:w="1000" w:type="pct"/>
                  <w:tcBorders>
                    <w:tl2br w:val="nil"/>
                    <w:tr2bl w:val="nil"/>
                  </w:tcBorders>
                  <w:vAlign w:val="top"/>
                </w:tcPr>
                <w:p w14:paraId="09A16D5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产污系数</w:t>
                  </w:r>
                </w:p>
              </w:tc>
            </w:tr>
            <w:tr w14:paraId="2161D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7C76FC2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w:t>
                  </w:r>
                </w:p>
              </w:tc>
              <w:tc>
                <w:tcPr>
                  <w:tcW w:w="1000" w:type="pct"/>
                  <w:tcBorders>
                    <w:tl2br w:val="nil"/>
                    <w:tr2bl w:val="nil"/>
                  </w:tcBorders>
                  <w:vAlign w:val="top"/>
                </w:tcPr>
                <w:p w14:paraId="76CB045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石油类</w:t>
                  </w:r>
                </w:p>
              </w:tc>
              <w:tc>
                <w:tcPr>
                  <w:tcW w:w="1000" w:type="pct"/>
                  <w:tcBorders>
                    <w:tl2br w:val="nil"/>
                    <w:tr2bl w:val="nil"/>
                  </w:tcBorders>
                  <w:vAlign w:val="top"/>
                </w:tcPr>
                <w:p w14:paraId="231C794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3C45599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20</w:t>
                  </w:r>
                </w:p>
              </w:tc>
              <w:tc>
                <w:tcPr>
                  <w:tcW w:w="1000" w:type="pct"/>
                  <w:tcBorders>
                    <w:tl2br w:val="nil"/>
                    <w:tr2bl w:val="nil"/>
                  </w:tcBorders>
                  <w:vAlign w:val="top"/>
                </w:tcPr>
                <w:p w14:paraId="3136DC4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类比</w:t>
                  </w:r>
                </w:p>
              </w:tc>
            </w:tr>
            <w:tr w14:paraId="4C0CB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58B576E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7</w:t>
                  </w:r>
                </w:p>
              </w:tc>
              <w:tc>
                <w:tcPr>
                  <w:tcW w:w="1000" w:type="pct"/>
                  <w:tcBorders>
                    <w:tl2br w:val="nil"/>
                    <w:tr2bl w:val="nil"/>
                  </w:tcBorders>
                  <w:vAlign w:val="top"/>
                </w:tcPr>
                <w:p w14:paraId="4D5D056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总氮</w:t>
                  </w:r>
                </w:p>
              </w:tc>
              <w:tc>
                <w:tcPr>
                  <w:tcW w:w="1000" w:type="pct"/>
                  <w:tcBorders>
                    <w:tl2br w:val="nil"/>
                    <w:tr2bl w:val="nil"/>
                  </w:tcBorders>
                  <w:vAlign w:val="top"/>
                </w:tcPr>
                <w:p w14:paraId="1EE452DB">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1D84B26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4.6</w:t>
                  </w:r>
                </w:p>
              </w:tc>
              <w:tc>
                <w:tcPr>
                  <w:tcW w:w="1000" w:type="pct"/>
                  <w:tcBorders>
                    <w:tl2br w:val="nil"/>
                    <w:tr2bl w:val="nil"/>
                  </w:tcBorders>
                  <w:vAlign w:val="top"/>
                </w:tcPr>
                <w:p w14:paraId="4A8F4E4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产污系数</w:t>
                  </w:r>
                </w:p>
              </w:tc>
            </w:tr>
            <w:tr w14:paraId="0FBC1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vAlign w:val="top"/>
                </w:tcPr>
                <w:p w14:paraId="2470C58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8</w:t>
                  </w:r>
                </w:p>
              </w:tc>
              <w:tc>
                <w:tcPr>
                  <w:tcW w:w="1000" w:type="pct"/>
                  <w:tcBorders>
                    <w:tl2br w:val="nil"/>
                    <w:tr2bl w:val="nil"/>
                  </w:tcBorders>
                  <w:vAlign w:val="top"/>
                </w:tcPr>
                <w:p w14:paraId="0D51094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总磷</w:t>
                  </w:r>
                </w:p>
              </w:tc>
              <w:tc>
                <w:tcPr>
                  <w:tcW w:w="1000" w:type="pct"/>
                  <w:tcBorders>
                    <w:tl2br w:val="nil"/>
                    <w:tr2bl w:val="nil"/>
                  </w:tcBorders>
                  <w:vAlign w:val="top"/>
                </w:tcPr>
                <w:p w14:paraId="46FA7C4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000" w:type="pct"/>
                  <w:tcBorders>
                    <w:tl2br w:val="nil"/>
                    <w:tr2bl w:val="nil"/>
                  </w:tcBorders>
                  <w:vAlign w:val="top"/>
                </w:tcPr>
                <w:p w14:paraId="78C550B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0.3</w:t>
                  </w:r>
                </w:p>
              </w:tc>
              <w:tc>
                <w:tcPr>
                  <w:tcW w:w="1000" w:type="pct"/>
                  <w:tcBorders>
                    <w:tl2br w:val="nil"/>
                    <w:tr2bl w:val="nil"/>
                  </w:tcBorders>
                  <w:vAlign w:val="top"/>
                </w:tcPr>
                <w:p w14:paraId="42EC9D0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产污系数</w:t>
                  </w:r>
                </w:p>
              </w:tc>
            </w:tr>
          </w:tbl>
          <w:p w14:paraId="4C45F8AB">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喷淋废水</w:t>
            </w:r>
            <w:r>
              <w:rPr>
                <w:rFonts w:hint="default" w:ascii="Times New Roman" w:hAnsi="Times New Roman" w:cs="Times New Roman"/>
                <w:color w:val="auto"/>
                <w:sz w:val="24"/>
                <w:szCs w:val="24"/>
                <w:lang w:val="en-US" w:eastAsia="zh-CN"/>
              </w:rPr>
              <w:t>水质指标主要选取COD、SS、石油类</w:t>
            </w:r>
            <w:r>
              <w:rPr>
                <w:rFonts w:hint="eastAsia" w:ascii="Times New Roman" w:hAnsi="Times New Roman" w:cs="Times New Roman"/>
                <w:color w:val="auto"/>
                <w:sz w:val="24"/>
                <w:szCs w:val="24"/>
                <w:lang w:val="en-US" w:eastAsia="zh-CN"/>
              </w:rPr>
              <w:t>。污染因子源强类比采用喷淋处理工艺的纺织项目，喷淋废水源强见下表。</w:t>
            </w:r>
          </w:p>
          <w:p w14:paraId="32DD624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cs="Times New Roman"/>
                <w:b/>
                <w:bCs/>
                <w:color w:val="auto"/>
                <w:sz w:val="21"/>
                <w:szCs w:val="21"/>
                <w:vertAlign w:val="baseline"/>
                <w:lang w:val="en-US" w:eastAsia="zh-CN"/>
              </w:rPr>
            </w:pPr>
            <w:r>
              <w:rPr>
                <w:rFonts w:hint="eastAsia" w:ascii="Times New Roman" w:hAnsi="Times New Roman" w:cs="Times New Roman"/>
                <w:b/>
                <w:bCs/>
                <w:color w:val="auto"/>
                <w:sz w:val="21"/>
                <w:szCs w:val="21"/>
                <w:lang w:val="en-US" w:eastAsia="zh-CN"/>
              </w:rPr>
              <w:t>表4-6  本项目喷淋废水源强参数一览表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1847"/>
              <w:gridCol w:w="1847"/>
              <w:gridCol w:w="1847"/>
              <w:gridCol w:w="1848"/>
            </w:tblGrid>
            <w:tr w14:paraId="03BA90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847" w:type="dxa"/>
                  <w:tcBorders>
                    <w:tl2br w:val="nil"/>
                    <w:tr2bl w:val="nil"/>
                  </w:tcBorders>
                  <w:vAlign w:val="center"/>
                </w:tcPr>
                <w:p w14:paraId="46589B4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序号</w:t>
                  </w:r>
                </w:p>
              </w:tc>
              <w:tc>
                <w:tcPr>
                  <w:tcW w:w="1847" w:type="dxa"/>
                  <w:tcBorders>
                    <w:tl2br w:val="nil"/>
                    <w:tr2bl w:val="nil"/>
                  </w:tcBorders>
                  <w:vAlign w:val="center"/>
                </w:tcPr>
                <w:p w14:paraId="55B1927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污染因子</w:t>
                  </w:r>
                </w:p>
              </w:tc>
              <w:tc>
                <w:tcPr>
                  <w:tcW w:w="1847" w:type="dxa"/>
                  <w:tcBorders>
                    <w:tl2br w:val="nil"/>
                    <w:tr2bl w:val="nil"/>
                  </w:tcBorders>
                  <w:vAlign w:val="center"/>
                </w:tcPr>
                <w:p w14:paraId="043047DC">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单位</w:t>
                  </w:r>
                </w:p>
              </w:tc>
              <w:tc>
                <w:tcPr>
                  <w:tcW w:w="1847" w:type="dxa"/>
                  <w:tcBorders>
                    <w:tl2br w:val="nil"/>
                    <w:tr2bl w:val="nil"/>
                  </w:tcBorders>
                  <w:vAlign w:val="center"/>
                </w:tcPr>
                <w:p w14:paraId="64FC11F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污染物浓度</w:t>
                  </w:r>
                </w:p>
              </w:tc>
              <w:tc>
                <w:tcPr>
                  <w:tcW w:w="1848" w:type="dxa"/>
                  <w:tcBorders>
                    <w:tl2br w:val="nil"/>
                    <w:tr2bl w:val="nil"/>
                  </w:tcBorders>
                  <w:vAlign w:val="center"/>
                </w:tcPr>
                <w:p w14:paraId="7FD0A55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说明</w:t>
                  </w:r>
                </w:p>
              </w:tc>
            </w:tr>
            <w:tr w14:paraId="48E34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0A949B41">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p>
              </w:tc>
              <w:tc>
                <w:tcPr>
                  <w:tcW w:w="1847" w:type="dxa"/>
                  <w:tcBorders>
                    <w:tl2br w:val="nil"/>
                    <w:tr2bl w:val="nil"/>
                  </w:tcBorders>
                  <w:vAlign w:val="center"/>
                </w:tcPr>
                <w:p w14:paraId="52AFEFD3">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COD</w:t>
                  </w:r>
                </w:p>
              </w:tc>
              <w:tc>
                <w:tcPr>
                  <w:tcW w:w="1847" w:type="dxa"/>
                  <w:tcBorders>
                    <w:tl2br w:val="nil"/>
                    <w:tr2bl w:val="nil"/>
                  </w:tcBorders>
                  <w:vAlign w:val="center"/>
                </w:tcPr>
                <w:p w14:paraId="5167CC6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0168F39C">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500</w:t>
                  </w:r>
                </w:p>
              </w:tc>
              <w:tc>
                <w:tcPr>
                  <w:tcW w:w="1848" w:type="dxa"/>
                  <w:tcBorders>
                    <w:tl2br w:val="nil"/>
                    <w:tr2bl w:val="nil"/>
                  </w:tcBorders>
                  <w:vAlign w:val="center"/>
                </w:tcPr>
                <w:p w14:paraId="6196EC8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6647D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40DC29B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p>
              </w:tc>
              <w:tc>
                <w:tcPr>
                  <w:tcW w:w="1847" w:type="dxa"/>
                  <w:tcBorders>
                    <w:tl2br w:val="nil"/>
                    <w:tr2bl w:val="nil"/>
                  </w:tcBorders>
                  <w:vAlign w:val="center"/>
                </w:tcPr>
                <w:p w14:paraId="4E17AEB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SS</w:t>
                  </w:r>
                </w:p>
              </w:tc>
              <w:tc>
                <w:tcPr>
                  <w:tcW w:w="1847" w:type="dxa"/>
                  <w:tcBorders>
                    <w:tl2br w:val="nil"/>
                    <w:tr2bl w:val="nil"/>
                  </w:tcBorders>
                  <w:vAlign w:val="center"/>
                </w:tcPr>
                <w:p w14:paraId="792363A3">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391A31F6">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300</w:t>
                  </w:r>
                </w:p>
              </w:tc>
              <w:tc>
                <w:tcPr>
                  <w:tcW w:w="1848" w:type="dxa"/>
                  <w:tcBorders>
                    <w:tl2br w:val="nil"/>
                    <w:tr2bl w:val="nil"/>
                  </w:tcBorders>
                  <w:vAlign w:val="center"/>
                </w:tcPr>
                <w:p w14:paraId="7722A90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10130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6D4AABB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w:t>
                  </w:r>
                </w:p>
              </w:tc>
              <w:tc>
                <w:tcPr>
                  <w:tcW w:w="1847" w:type="dxa"/>
                  <w:tcBorders>
                    <w:tl2br w:val="nil"/>
                    <w:tr2bl w:val="nil"/>
                  </w:tcBorders>
                  <w:vAlign w:val="center"/>
                </w:tcPr>
                <w:p w14:paraId="58FC4489">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石油类</w:t>
                  </w:r>
                </w:p>
              </w:tc>
              <w:tc>
                <w:tcPr>
                  <w:tcW w:w="1847" w:type="dxa"/>
                  <w:tcBorders>
                    <w:tl2br w:val="nil"/>
                    <w:tr2bl w:val="nil"/>
                  </w:tcBorders>
                  <w:vAlign w:val="center"/>
                </w:tcPr>
                <w:p w14:paraId="619D8AC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30AE3EA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30</w:t>
                  </w:r>
                </w:p>
              </w:tc>
              <w:tc>
                <w:tcPr>
                  <w:tcW w:w="1848" w:type="dxa"/>
                  <w:tcBorders>
                    <w:tl2br w:val="nil"/>
                    <w:tr2bl w:val="nil"/>
                  </w:tcBorders>
                  <w:vAlign w:val="center"/>
                </w:tcPr>
                <w:p w14:paraId="342C5CF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bl>
          <w:p w14:paraId="34853BD9">
            <w:pPr>
              <w:keepNext w:val="0"/>
              <w:keepLines w:val="0"/>
              <w:pageBreakBefore w:val="0"/>
              <w:widowControl w:val="0"/>
              <w:numPr>
                <w:ilvl w:val="0"/>
                <w:numId w:val="0"/>
              </w:numPr>
              <w:suppressLineNumbers w:val="0"/>
              <w:kinsoku/>
              <w:wordWrap/>
              <w:bidi w:val="0"/>
              <w:spacing w:before="0" w:beforeAutospacing="0" w:after="0" w:afterAutospacing="0" w:line="360" w:lineRule="auto"/>
              <w:ind w:right="0" w:rightChars="0" w:firstLine="480" w:firstLineChars="200"/>
              <w:jc w:val="left"/>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生活污水</w:t>
            </w:r>
            <w:r>
              <w:rPr>
                <w:rFonts w:hint="default" w:ascii="Times New Roman" w:hAnsi="Times New Roman" w:cs="Times New Roman"/>
                <w:color w:val="auto"/>
                <w:sz w:val="24"/>
                <w:szCs w:val="24"/>
                <w:lang w:val="en-US" w:eastAsia="zh-CN"/>
              </w:rPr>
              <w:t>水质指标主要选取COD、</w:t>
            </w:r>
            <w:r>
              <w:rPr>
                <w:rFonts w:hint="default" w:ascii="Times New Roman" w:hAnsi="Times New Roman" w:eastAsia="宋体" w:cs="Times New Roman"/>
                <w:b w:val="0"/>
                <w:bCs w:val="0"/>
                <w:color w:val="auto"/>
                <w:sz w:val="24"/>
                <w:szCs w:val="24"/>
                <w:lang w:val="en-US" w:eastAsia="zh-CN"/>
              </w:rPr>
              <w:t>BOD</w:t>
            </w:r>
            <w:r>
              <w:rPr>
                <w:rFonts w:hint="default" w:ascii="Times New Roman" w:hAnsi="Times New Roman" w:eastAsia="宋体" w:cs="Times New Roman"/>
                <w:b w:val="0"/>
                <w:bCs w:val="0"/>
                <w:color w:val="auto"/>
                <w:sz w:val="24"/>
                <w:szCs w:val="24"/>
                <w:vertAlign w:val="subscript"/>
                <w:lang w:val="en-US" w:eastAsia="zh-CN"/>
              </w:rPr>
              <w:t>5</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氨氮</w:t>
            </w:r>
            <w:r>
              <w:rPr>
                <w:rFonts w:hint="eastAsia" w:ascii="Times New Roman" w:hAnsi="Times New Roman" w:cs="Times New Roman"/>
                <w:b w:val="0"/>
                <w:bCs w:val="0"/>
                <w:color w:val="auto"/>
                <w:sz w:val="24"/>
                <w:szCs w:val="24"/>
                <w:lang w:val="en-US" w:eastAsia="zh-CN"/>
              </w:rPr>
              <w:t>、SS</w:t>
            </w:r>
            <w:r>
              <w:rPr>
                <w:rFonts w:hint="eastAsia" w:ascii="Times New Roman" w:hAnsi="Times New Roman" w:cs="Times New Roman"/>
                <w:color w:val="auto"/>
                <w:sz w:val="24"/>
                <w:szCs w:val="24"/>
                <w:lang w:val="en-US" w:eastAsia="zh-CN"/>
              </w:rPr>
              <w:t>，生活污水源强见下表。</w:t>
            </w:r>
          </w:p>
          <w:p w14:paraId="267E5FC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eastAsia" w:ascii="Times New Roman" w:hAnsi="Times New Roman" w:cs="Times New Roman"/>
                <w:color w:val="auto"/>
                <w:sz w:val="24"/>
                <w:szCs w:val="24"/>
                <w:lang w:val="en-US" w:eastAsia="zh-CN"/>
              </w:rPr>
            </w:pPr>
            <w:r>
              <w:rPr>
                <w:rFonts w:hint="eastAsia" w:ascii="Times New Roman" w:hAnsi="Times New Roman" w:cs="Times New Roman"/>
                <w:b/>
                <w:bCs/>
                <w:color w:val="auto"/>
                <w:sz w:val="21"/>
                <w:szCs w:val="21"/>
                <w:lang w:val="en-US" w:eastAsia="zh-CN"/>
              </w:rPr>
              <w:t>表4-7  本项目生活污水源强参数一览表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1847"/>
              <w:gridCol w:w="1847"/>
              <w:gridCol w:w="1847"/>
              <w:gridCol w:w="1848"/>
            </w:tblGrid>
            <w:tr w14:paraId="43FB72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004A0CE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序号</w:t>
                  </w:r>
                </w:p>
              </w:tc>
              <w:tc>
                <w:tcPr>
                  <w:tcW w:w="1847" w:type="dxa"/>
                  <w:tcBorders>
                    <w:tl2br w:val="nil"/>
                    <w:tr2bl w:val="nil"/>
                  </w:tcBorders>
                  <w:vAlign w:val="center"/>
                </w:tcPr>
                <w:p w14:paraId="41B1356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污染因子</w:t>
                  </w:r>
                </w:p>
              </w:tc>
              <w:tc>
                <w:tcPr>
                  <w:tcW w:w="1847" w:type="dxa"/>
                  <w:tcBorders>
                    <w:tl2br w:val="nil"/>
                    <w:tr2bl w:val="nil"/>
                  </w:tcBorders>
                  <w:vAlign w:val="center"/>
                </w:tcPr>
                <w:p w14:paraId="6269D8F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单位</w:t>
                  </w:r>
                </w:p>
              </w:tc>
              <w:tc>
                <w:tcPr>
                  <w:tcW w:w="1847" w:type="dxa"/>
                  <w:tcBorders>
                    <w:tl2br w:val="nil"/>
                    <w:tr2bl w:val="nil"/>
                  </w:tcBorders>
                  <w:vAlign w:val="center"/>
                </w:tcPr>
                <w:p w14:paraId="7A11E8F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污染物浓度</w:t>
                  </w:r>
                </w:p>
              </w:tc>
              <w:tc>
                <w:tcPr>
                  <w:tcW w:w="1848" w:type="dxa"/>
                  <w:tcBorders>
                    <w:tl2br w:val="nil"/>
                    <w:tr2bl w:val="nil"/>
                  </w:tcBorders>
                  <w:vAlign w:val="center"/>
                </w:tcPr>
                <w:p w14:paraId="21B8FE8F">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说明</w:t>
                  </w:r>
                </w:p>
              </w:tc>
            </w:tr>
            <w:tr w14:paraId="59A5F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13DE5AB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w:t>
                  </w:r>
                </w:p>
              </w:tc>
              <w:tc>
                <w:tcPr>
                  <w:tcW w:w="1847" w:type="dxa"/>
                  <w:tcBorders>
                    <w:tl2br w:val="nil"/>
                    <w:tr2bl w:val="nil"/>
                  </w:tcBorders>
                  <w:vAlign w:val="center"/>
                </w:tcPr>
                <w:p w14:paraId="2E8372F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COD</w:t>
                  </w:r>
                </w:p>
              </w:tc>
              <w:tc>
                <w:tcPr>
                  <w:tcW w:w="1847" w:type="dxa"/>
                  <w:tcBorders>
                    <w:tl2br w:val="nil"/>
                    <w:tr2bl w:val="nil"/>
                  </w:tcBorders>
                  <w:vAlign w:val="center"/>
                </w:tcPr>
                <w:p w14:paraId="00AA036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64306DB6">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300</w:t>
                  </w:r>
                </w:p>
              </w:tc>
              <w:tc>
                <w:tcPr>
                  <w:tcW w:w="1848" w:type="dxa"/>
                  <w:tcBorders>
                    <w:tl2br w:val="nil"/>
                    <w:tr2bl w:val="nil"/>
                  </w:tcBorders>
                  <w:vAlign w:val="center"/>
                </w:tcPr>
                <w:p w14:paraId="5BA319C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7F7BB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741063A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w:t>
                  </w:r>
                </w:p>
              </w:tc>
              <w:tc>
                <w:tcPr>
                  <w:tcW w:w="1847" w:type="dxa"/>
                  <w:tcBorders>
                    <w:tl2br w:val="nil"/>
                    <w:tr2bl w:val="nil"/>
                  </w:tcBorders>
                  <w:vAlign w:val="center"/>
                </w:tcPr>
                <w:p w14:paraId="0D82D20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BOD</w:t>
                  </w:r>
                  <w:r>
                    <w:rPr>
                      <w:rFonts w:hint="default" w:ascii="Times New Roman" w:hAnsi="Times New Roman" w:eastAsia="宋体" w:cs="Times New Roman"/>
                      <w:b w:val="0"/>
                      <w:bCs w:val="0"/>
                      <w:color w:val="auto"/>
                      <w:sz w:val="21"/>
                      <w:szCs w:val="21"/>
                      <w:vertAlign w:val="subscript"/>
                      <w:lang w:val="en-US" w:eastAsia="zh-CN"/>
                    </w:rPr>
                    <w:t>5</w:t>
                  </w:r>
                </w:p>
              </w:tc>
              <w:tc>
                <w:tcPr>
                  <w:tcW w:w="1847" w:type="dxa"/>
                  <w:tcBorders>
                    <w:tl2br w:val="nil"/>
                    <w:tr2bl w:val="nil"/>
                  </w:tcBorders>
                  <w:vAlign w:val="center"/>
                </w:tcPr>
                <w:p w14:paraId="5AE3D4E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4D5A1C9F">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150</w:t>
                  </w:r>
                </w:p>
              </w:tc>
              <w:tc>
                <w:tcPr>
                  <w:tcW w:w="1848" w:type="dxa"/>
                  <w:tcBorders>
                    <w:tl2br w:val="nil"/>
                    <w:tr2bl w:val="nil"/>
                  </w:tcBorders>
                  <w:vAlign w:val="center"/>
                </w:tcPr>
                <w:p w14:paraId="6428733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5DD7E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159A2DE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w:t>
                  </w:r>
                </w:p>
              </w:tc>
              <w:tc>
                <w:tcPr>
                  <w:tcW w:w="1847" w:type="dxa"/>
                  <w:tcBorders>
                    <w:tl2br w:val="nil"/>
                    <w:tr2bl w:val="nil"/>
                  </w:tcBorders>
                  <w:vAlign w:val="center"/>
                </w:tcPr>
                <w:p w14:paraId="0F998F9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氨氮</w:t>
                  </w:r>
                </w:p>
              </w:tc>
              <w:tc>
                <w:tcPr>
                  <w:tcW w:w="1847" w:type="dxa"/>
                  <w:tcBorders>
                    <w:tl2br w:val="nil"/>
                    <w:tr2bl w:val="nil"/>
                  </w:tcBorders>
                  <w:vAlign w:val="center"/>
                </w:tcPr>
                <w:p w14:paraId="74868003">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651DF8E3">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50</w:t>
                  </w:r>
                </w:p>
              </w:tc>
              <w:tc>
                <w:tcPr>
                  <w:tcW w:w="1848" w:type="dxa"/>
                  <w:tcBorders>
                    <w:tl2br w:val="nil"/>
                    <w:tr2bl w:val="nil"/>
                  </w:tcBorders>
                  <w:vAlign w:val="center"/>
                </w:tcPr>
                <w:p w14:paraId="404743E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r w14:paraId="4A932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847" w:type="dxa"/>
                  <w:tcBorders>
                    <w:tl2br w:val="nil"/>
                    <w:tr2bl w:val="nil"/>
                  </w:tcBorders>
                  <w:vAlign w:val="center"/>
                </w:tcPr>
                <w:p w14:paraId="67AE876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4</w:t>
                  </w:r>
                </w:p>
              </w:tc>
              <w:tc>
                <w:tcPr>
                  <w:tcW w:w="1847" w:type="dxa"/>
                  <w:tcBorders>
                    <w:tl2br w:val="nil"/>
                    <w:tr2bl w:val="nil"/>
                  </w:tcBorders>
                  <w:vAlign w:val="center"/>
                </w:tcPr>
                <w:p w14:paraId="2A7BF01E">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SS</w:t>
                  </w:r>
                </w:p>
              </w:tc>
              <w:tc>
                <w:tcPr>
                  <w:tcW w:w="1847" w:type="dxa"/>
                  <w:tcBorders>
                    <w:tl2br w:val="nil"/>
                    <w:tr2bl w:val="nil"/>
                  </w:tcBorders>
                  <w:vAlign w:val="center"/>
                </w:tcPr>
                <w:p w14:paraId="2CF99DD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mg/L</w:t>
                  </w:r>
                </w:p>
              </w:tc>
              <w:tc>
                <w:tcPr>
                  <w:tcW w:w="1847" w:type="dxa"/>
                  <w:tcBorders>
                    <w:tl2br w:val="nil"/>
                    <w:tr2bl w:val="nil"/>
                  </w:tcBorders>
                  <w:vAlign w:val="center"/>
                </w:tcPr>
                <w:p w14:paraId="58BDD816">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cs="Times New Roman"/>
                      <w:b w:val="0"/>
                      <w:bCs w:val="0"/>
                      <w:color w:val="auto"/>
                      <w:sz w:val="21"/>
                      <w:szCs w:val="21"/>
                      <w:vertAlign w:val="baseline"/>
                      <w:lang w:val="en-US" w:eastAsia="zh-CN"/>
                    </w:rPr>
                  </w:pPr>
                  <w:r>
                    <w:rPr>
                      <w:rFonts w:hint="eastAsia" w:ascii="Times New Roman" w:hAnsi="Times New Roman" w:cs="Times New Roman"/>
                      <w:b w:val="0"/>
                      <w:bCs w:val="0"/>
                      <w:color w:val="auto"/>
                      <w:sz w:val="21"/>
                      <w:szCs w:val="21"/>
                      <w:vertAlign w:val="baseline"/>
                      <w:lang w:val="en-US" w:eastAsia="zh-CN"/>
                    </w:rPr>
                    <w:t>200</w:t>
                  </w:r>
                </w:p>
              </w:tc>
              <w:tc>
                <w:tcPr>
                  <w:tcW w:w="1848" w:type="dxa"/>
                  <w:tcBorders>
                    <w:tl2br w:val="nil"/>
                    <w:tr2bl w:val="nil"/>
                  </w:tcBorders>
                  <w:vAlign w:val="center"/>
                </w:tcPr>
                <w:p w14:paraId="6DC8A52C">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类比</w:t>
                  </w:r>
                </w:p>
              </w:tc>
            </w:tr>
          </w:tbl>
          <w:p w14:paraId="6276330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eastAsia" w:ascii="Times New Roman" w:hAnsi="Times New Roman" w:cs="Times New Roman"/>
                <w:color w:val="auto"/>
                <w:sz w:val="24"/>
                <w:szCs w:val="24"/>
                <w:lang w:val="en-US" w:eastAsia="zh-CN"/>
              </w:rPr>
            </w:pPr>
            <w:r>
              <w:rPr>
                <w:rFonts w:hint="eastAsia" w:ascii="Times New Roman" w:hAnsi="Times New Roman" w:cs="Times New Roman"/>
                <w:b/>
                <w:bCs/>
                <w:color w:val="auto"/>
                <w:sz w:val="21"/>
                <w:szCs w:val="21"/>
                <w:lang w:val="en-US" w:eastAsia="zh-CN"/>
              </w:rPr>
              <w:t>表4-8  本项目废水水质产生情况表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917"/>
              <w:gridCol w:w="918"/>
              <w:gridCol w:w="1240"/>
              <w:gridCol w:w="1069"/>
              <w:gridCol w:w="946"/>
              <w:gridCol w:w="1240"/>
              <w:gridCol w:w="1069"/>
              <w:gridCol w:w="1240"/>
            </w:tblGrid>
            <w:tr w14:paraId="6A269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613A997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污染源</w:t>
                  </w:r>
                </w:p>
              </w:tc>
              <w:tc>
                <w:tcPr>
                  <w:tcW w:w="0" w:type="auto"/>
                  <w:vMerge w:val="restart"/>
                  <w:tcBorders>
                    <w:tl2br w:val="nil"/>
                    <w:tr2bl w:val="nil"/>
                  </w:tcBorders>
                  <w:vAlign w:val="center"/>
                </w:tcPr>
                <w:p w14:paraId="4D4AAC4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污水量（t）</w:t>
                  </w:r>
                </w:p>
              </w:tc>
              <w:tc>
                <w:tcPr>
                  <w:tcW w:w="0" w:type="auto"/>
                  <w:vMerge w:val="restart"/>
                  <w:tcBorders>
                    <w:tl2br w:val="nil"/>
                    <w:tr2bl w:val="nil"/>
                  </w:tcBorders>
                  <w:vAlign w:val="center"/>
                </w:tcPr>
                <w:p w14:paraId="0AE33EB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污染物名称</w:t>
                  </w:r>
                </w:p>
              </w:tc>
              <w:tc>
                <w:tcPr>
                  <w:tcW w:w="0" w:type="auto"/>
                  <w:gridSpan w:val="2"/>
                  <w:tcBorders>
                    <w:tl2br w:val="nil"/>
                    <w:tr2bl w:val="nil"/>
                  </w:tcBorders>
                  <w:vAlign w:val="center"/>
                </w:tcPr>
                <w:p w14:paraId="51826D0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产生情况</w:t>
                  </w:r>
                </w:p>
              </w:tc>
              <w:tc>
                <w:tcPr>
                  <w:tcW w:w="0" w:type="auto"/>
                  <w:vMerge w:val="restart"/>
                  <w:tcBorders>
                    <w:tl2br w:val="nil"/>
                    <w:tr2bl w:val="nil"/>
                  </w:tcBorders>
                  <w:vAlign w:val="center"/>
                </w:tcPr>
                <w:p w14:paraId="5A14935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拟采取的处理方式</w:t>
                  </w:r>
                </w:p>
              </w:tc>
              <w:tc>
                <w:tcPr>
                  <w:tcW w:w="0" w:type="auto"/>
                  <w:gridSpan w:val="2"/>
                  <w:tcBorders>
                    <w:tl2br w:val="nil"/>
                    <w:tr2bl w:val="nil"/>
                  </w:tcBorders>
                  <w:vAlign w:val="center"/>
                </w:tcPr>
                <w:p w14:paraId="06DF5E5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排放情况</w:t>
                  </w:r>
                </w:p>
              </w:tc>
              <w:tc>
                <w:tcPr>
                  <w:tcW w:w="0" w:type="auto"/>
                  <w:vMerge w:val="restart"/>
                  <w:tcBorders>
                    <w:tl2br w:val="nil"/>
                    <w:tr2bl w:val="nil"/>
                  </w:tcBorders>
                  <w:vAlign w:val="center"/>
                </w:tcPr>
                <w:p w14:paraId="14DBCE3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标准（</w:t>
                  </w:r>
                  <w:r>
                    <w:rPr>
                      <w:rFonts w:hint="default" w:ascii="Times New Roman" w:hAnsi="Times New Roman" w:eastAsia="宋体" w:cs="Times New Roman"/>
                      <w:b w:val="0"/>
                      <w:bCs w:val="0"/>
                      <w:color w:val="auto"/>
                      <w:sz w:val="21"/>
                      <w:szCs w:val="21"/>
                      <w:vertAlign w:val="baseline"/>
                      <w:lang w:val="en-US" w:eastAsia="zh-CN"/>
                    </w:rPr>
                    <w:t>mg/L</w:t>
                  </w:r>
                  <w:r>
                    <w:rPr>
                      <w:rFonts w:hint="default" w:ascii="Times New Roman" w:hAnsi="Times New Roman" w:eastAsia="宋体" w:cs="Times New Roman"/>
                      <w:color w:val="auto"/>
                      <w:sz w:val="21"/>
                      <w:szCs w:val="21"/>
                      <w:vertAlign w:val="baseline"/>
                      <w:lang w:val="en-US" w:eastAsia="zh-CN"/>
                    </w:rPr>
                    <w:t>）</w:t>
                  </w:r>
                </w:p>
              </w:tc>
            </w:tr>
            <w:tr w14:paraId="603C3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564B1AF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left"/>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72B4339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left"/>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615DFF8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left"/>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5A7FB8EB">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浓度（</w:t>
                  </w:r>
                  <w:r>
                    <w:rPr>
                      <w:rFonts w:hint="default" w:ascii="Times New Roman" w:hAnsi="Times New Roman" w:eastAsia="宋体" w:cs="Times New Roman"/>
                      <w:b w:val="0"/>
                      <w:bCs w:val="0"/>
                      <w:color w:val="auto"/>
                      <w:sz w:val="21"/>
                      <w:szCs w:val="21"/>
                      <w:vertAlign w:val="baseline"/>
                      <w:lang w:val="en-US" w:eastAsia="zh-CN"/>
                    </w:rPr>
                    <w:t>mg/L</w:t>
                  </w:r>
                  <w:r>
                    <w:rPr>
                      <w:rFonts w:hint="default" w:ascii="Times New Roman" w:hAnsi="Times New Roman" w:eastAsia="宋体" w:cs="Times New Roman"/>
                      <w:color w:val="auto"/>
                      <w:sz w:val="21"/>
                      <w:szCs w:val="21"/>
                      <w:vertAlign w:val="baseline"/>
                      <w:lang w:val="en-US" w:eastAsia="zh-CN"/>
                    </w:rPr>
                    <w:t>）</w:t>
                  </w:r>
                </w:p>
              </w:tc>
              <w:tc>
                <w:tcPr>
                  <w:tcW w:w="0" w:type="auto"/>
                  <w:tcBorders>
                    <w:tl2br w:val="nil"/>
                    <w:tr2bl w:val="nil"/>
                  </w:tcBorders>
                  <w:vAlign w:val="center"/>
                </w:tcPr>
                <w:p w14:paraId="1A3E14F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产生量（t/a）</w:t>
                  </w:r>
                </w:p>
              </w:tc>
              <w:tc>
                <w:tcPr>
                  <w:tcW w:w="0" w:type="auto"/>
                  <w:vMerge w:val="continue"/>
                  <w:tcBorders>
                    <w:tl2br w:val="nil"/>
                    <w:tr2bl w:val="nil"/>
                  </w:tcBorders>
                  <w:vAlign w:val="center"/>
                </w:tcPr>
                <w:p w14:paraId="4084F87B">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32E6108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浓度（</w:t>
                  </w:r>
                  <w:r>
                    <w:rPr>
                      <w:rFonts w:hint="default" w:ascii="Times New Roman" w:hAnsi="Times New Roman" w:eastAsia="宋体" w:cs="Times New Roman"/>
                      <w:b w:val="0"/>
                      <w:bCs w:val="0"/>
                      <w:color w:val="auto"/>
                      <w:sz w:val="21"/>
                      <w:szCs w:val="21"/>
                      <w:vertAlign w:val="baseline"/>
                      <w:lang w:val="en-US" w:eastAsia="zh-CN"/>
                    </w:rPr>
                    <w:t>mg/L</w:t>
                  </w:r>
                  <w:r>
                    <w:rPr>
                      <w:rFonts w:hint="default" w:ascii="Times New Roman" w:hAnsi="Times New Roman" w:eastAsia="宋体" w:cs="Times New Roman"/>
                      <w:color w:val="auto"/>
                      <w:sz w:val="21"/>
                      <w:szCs w:val="21"/>
                      <w:vertAlign w:val="baseline"/>
                      <w:lang w:val="en-US" w:eastAsia="zh-CN"/>
                    </w:rPr>
                    <w:t>）</w:t>
                  </w:r>
                </w:p>
              </w:tc>
              <w:tc>
                <w:tcPr>
                  <w:tcW w:w="0" w:type="auto"/>
                  <w:tcBorders>
                    <w:tl2br w:val="nil"/>
                    <w:tr2bl w:val="nil"/>
                  </w:tcBorders>
                  <w:vAlign w:val="center"/>
                </w:tcPr>
                <w:p w14:paraId="26015C5F">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产生量（t/a）</w:t>
                  </w:r>
                </w:p>
              </w:tc>
              <w:tc>
                <w:tcPr>
                  <w:tcW w:w="0" w:type="auto"/>
                  <w:vMerge w:val="continue"/>
                  <w:tcBorders>
                    <w:tl2br w:val="nil"/>
                    <w:tr2bl w:val="nil"/>
                  </w:tcBorders>
                  <w:vAlign w:val="center"/>
                </w:tcPr>
                <w:p w14:paraId="64F3A2C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left"/>
                    <w:rPr>
                      <w:rFonts w:hint="default" w:ascii="Times New Roman" w:hAnsi="Times New Roman" w:eastAsia="宋体" w:cs="Times New Roman"/>
                      <w:color w:val="auto"/>
                      <w:sz w:val="21"/>
                      <w:szCs w:val="21"/>
                      <w:vertAlign w:val="baseline"/>
                      <w:lang w:val="en-US" w:eastAsia="zh-CN"/>
                    </w:rPr>
                  </w:pPr>
                </w:p>
              </w:tc>
            </w:tr>
            <w:tr w14:paraId="0CDBE2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03ADB42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纺织废水（回用）</w:t>
                  </w:r>
                </w:p>
              </w:tc>
              <w:tc>
                <w:tcPr>
                  <w:tcW w:w="0" w:type="auto"/>
                  <w:vMerge w:val="restart"/>
                  <w:tcBorders>
                    <w:tl2br w:val="nil"/>
                    <w:tr2bl w:val="nil"/>
                  </w:tcBorders>
                  <w:vAlign w:val="center"/>
                </w:tcPr>
                <w:p w14:paraId="6064E0B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337C0EE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COD</w:t>
                  </w:r>
                </w:p>
              </w:tc>
              <w:tc>
                <w:tcPr>
                  <w:tcW w:w="0" w:type="auto"/>
                  <w:tcBorders>
                    <w:tl2br w:val="nil"/>
                    <w:tr2bl w:val="nil"/>
                  </w:tcBorders>
                  <w:vAlign w:val="center"/>
                </w:tcPr>
                <w:p w14:paraId="7B1107E9">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467.4</w:t>
                  </w:r>
                </w:p>
              </w:tc>
              <w:tc>
                <w:tcPr>
                  <w:tcW w:w="0" w:type="auto"/>
                  <w:tcBorders>
                    <w:tl2br w:val="nil"/>
                    <w:tr2bl w:val="nil"/>
                  </w:tcBorders>
                  <w:vAlign w:val="center"/>
                </w:tcPr>
                <w:p w14:paraId="6E9BAAAE">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restart"/>
                  <w:tcBorders>
                    <w:tl2br w:val="nil"/>
                    <w:tr2bl w:val="nil"/>
                  </w:tcBorders>
                  <w:vAlign w:val="center"/>
                </w:tcPr>
                <w:p w14:paraId="6D8A6D6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污水处理站</w:t>
                  </w:r>
                </w:p>
              </w:tc>
              <w:tc>
                <w:tcPr>
                  <w:tcW w:w="0" w:type="auto"/>
                  <w:tcBorders>
                    <w:tl2br w:val="nil"/>
                    <w:tr2bl w:val="nil"/>
                  </w:tcBorders>
                  <w:vAlign w:val="center"/>
                </w:tcPr>
                <w:p w14:paraId="4478E61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12C3BE8">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A13E7E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80</w:t>
                  </w:r>
                </w:p>
              </w:tc>
            </w:tr>
            <w:tr w14:paraId="5D14B1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1A08622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633FCA3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6DAF7D5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BOD</w:t>
                  </w:r>
                  <w:r>
                    <w:rPr>
                      <w:rFonts w:hint="default" w:ascii="Times New Roman" w:hAnsi="Times New Roman" w:eastAsia="宋体" w:cs="Times New Roman"/>
                      <w:b w:val="0"/>
                      <w:bCs w:val="0"/>
                      <w:color w:val="auto"/>
                      <w:sz w:val="21"/>
                      <w:szCs w:val="21"/>
                      <w:vertAlign w:val="subscript"/>
                      <w:lang w:val="en-US" w:eastAsia="zh-CN"/>
                    </w:rPr>
                    <w:t>5</w:t>
                  </w:r>
                </w:p>
              </w:tc>
              <w:tc>
                <w:tcPr>
                  <w:tcW w:w="0" w:type="auto"/>
                  <w:tcBorders>
                    <w:tl2br w:val="nil"/>
                    <w:tr2bl w:val="nil"/>
                  </w:tcBorders>
                  <w:vAlign w:val="center"/>
                </w:tcPr>
                <w:p w14:paraId="2DF9DA39">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60</w:t>
                  </w:r>
                </w:p>
              </w:tc>
              <w:tc>
                <w:tcPr>
                  <w:tcW w:w="0" w:type="auto"/>
                  <w:tcBorders>
                    <w:tl2br w:val="nil"/>
                    <w:tr2bl w:val="nil"/>
                  </w:tcBorders>
                  <w:vAlign w:val="center"/>
                </w:tcPr>
                <w:p w14:paraId="377A568D">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4AE4239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30DD94B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9CEF8DF">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6E809A9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20</w:t>
                  </w:r>
                </w:p>
              </w:tc>
            </w:tr>
            <w:tr w14:paraId="065C8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6B20034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6751617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31AAFFD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SS</w:t>
                  </w:r>
                </w:p>
              </w:tc>
              <w:tc>
                <w:tcPr>
                  <w:tcW w:w="0" w:type="auto"/>
                  <w:tcBorders>
                    <w:tl2br w:val="nil"/>
                    <w:tr2bl w:val="nil"/>
                  </w:tcBorders>
                  <w:vAlign w:val="center"/>
                </w:tcPr>
                <w:p w14:paraId="3346C149">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100</w:t>
                  </w:r>
                </w:p>
              </w:tc>
              <w:tc>
                <w:tcPr>
                  <w:tcW w:w="0" w:type="auto"/>
                  <w:tcBorders>
                    <w:tl2br w:val="nil"/>
                    <w:tr2bl w:val="nil"/>
                  </w:tcBorders>
                  <w:vAlign w:val="center"/>
                </w:tcPr>
                <w:p w14:paraId="44F8651F">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7A84670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06E2226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11D8E254">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3AF300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5BC15A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4C8ACA6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4A14B94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63EB4EF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氨氮</w:t>
                  </w:r>
                </w:p>
              </w:tc>
              <w:tc>
                <w:tcPr>
                  <w:tcW w:w="0" w:type="auto"/>
                  <w:tcBorders>
                    <w:tl2br w:val="nil"/>
                    <w:tr2bl w:val="nil"/>
                  </w:tcBorders>
                  <w:vAlign w:val="center"/>
                </w:tcPr>
                <w:p w14:paraId="0949711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1.6</w:t>
                  </w:r>
                </w:p>
              </w:tc>
              <w:tc>
                <w:tcPr>
                  <w:tcW w:w="0" w:type="auto"/>
                  <w:tcBorders>
                    <w:tl2br w:val="nil"/>
                    <w:tr2bl w:val="nil"/>
                  </w:tcBorders>
                  <w:vAlign w:val="center"/>
                </w:tcPr>
                <w:p w14:paraId="14506F09">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2FCFC4D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7E4899A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0A4C3594">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9018C3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73ED23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75C527F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1552883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18B6856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石油类</w:t>
                  </w:r>
                </w:p>
              </w:tc>
              <w:tc>
                <w:tcPr>
                  <w:tcW w:w="0" w:type="auto"/>
                  <w:tcBorders>
                    <w:tl2br w:val="nil"/>
                    <w:tr2bl w:val="nil"/>
                  </w:tcBorders>
                  <w:vAlign w:val="center"/>
                </w:tcPr>
                <w:p w14:paraId="0960272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20</w:t>
                  </w:r>
                </w:p>
              </w:tc>
              <w:tc>
                <w:tcPr>
                  <w:tcW w:w="0" w:type="auto"/>
                  <w:tcBorders>
                    <w:tl2br w:val="nil"/>
                    <w:tr2bl w:val="nil"/>
                  </w:tcBorders>
                  <w:vAlign w:val="center"/>
                </w:tcPr>
                <w:p w14:paraId="4D2E334A">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6D64E5C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5F9F7F9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13B1DFB8">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ABFB27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w:t>
                  </w:r>
                </w:p>
              </w:tc>
            </w:tr>
            <w:tr w14:paraId="717F1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2769448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02A780F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388840F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总氮</w:t>
                  </w:r>
                </w:p>
              </w:tc>
              <w:tc>
                <w:tcPr>
                  <w:tcW w:w="0" w:type="auto"/>
                  <w:tcBorders>
                    <w:tl2br w:val="nil"/>
                    <w:tr2bl w:val="nil"/>
                  </w:tcBorders>
                  <w:vAlign w:val="center"/>
                </w:tcPr>
                <w:p w14:paraId="3BF9F7B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4.6</w:t>
                  </w:r>
                </w:p>
              </w:tc>
              <w:tc>
                <w:tcPr>
                  <w:tcW w:w="0" w:type="auto"/>
                  <w:tcBorders>
                    <w:tl2br w:val="nil"/>
                    <w:tr2bl w:val="nil"/>
                  </w:tcBorders>
                  <w:vAlign w:val="center"/>
                </w:tcPr>
                <w:p w14:paraId="5F10B79C">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785E2B0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1730736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12705DD">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787F7E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13E08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7351ACC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618EFB9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51908FE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总磷</w:t>
                  </w:r>
                </w:p>
              </w:tc>
              <w:tc>
                <w:tcPr>
                  <w:tcW w:w="0" w:type="auto"/>
                  <w:tcBorders>
                    <w:tl2br w:val="nil"/>
                    <w:tr2bl w:val="nil"/>
                  </w:tcBorders>
                  <w:vAlign w:val="center"/>
                </w:tcPr>
                <w:p w14:paraId="063B2981">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0.3</w:t>
                  </w:r>
                </w:p>
              </w:tc>
              <w:tc>
                <w:tcPr>
                  <w:tcW w:w="0" w:type="auto"/>
                  <w:tcBorders>
                    <w:tl2br w:val="nil"/>
                    <w:tr2bl w:val="nil"/>
                  </w:tcBorders>
                  <w:vAlign w:val="center"/>
                </w:tcPr>
                <w:p w14:paraId="13AA9C5C">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6499D84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1B0FE4E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0C710B0F">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1142667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0CB57B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0696ABE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喷淋废水（回用）</w:t>
                  </w:r>
                </w:p>
              </w:tc>
              <w:tc>
                <w:tcPr>
                  <w:tcW w:w="0" w:type="auto"/>
                  <w:vMerge w:val="restart"/>
                  <w:tcBorders>
                    <w:tl2br w:val="nil"/>
                    <w:tr2bl w:val="nil"/>
                  </w:tcBorders>
                  <w:vAlign w:val="center"/>
                </w:tcPr>
                <w:p w14:paraId="6336349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7360089">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COD</w:t>
                  </w:r>
                </w:p>
              </w:tc>
              <w:tc>
                <w:tcPr>
                  <w:tcW w:w="0" w:type="auto"/>
                  <w:tcBorders>
                    <w:tl2br w:val="nil"/>
                    <w:tr2bl w:val="nil"/>
                  </w:tcBorders>
                  <w:vAlign w:val="center"/>
                </w:tcPr>
                <w:p w14:paraId="5279D84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500</w:t>
                  </w:r>
                </w:p>
              </w:tc>
              <w:tc>
                <w:tcPr>
                  <w:tcW w:w="0" w:type="auto"/>
                  <w:tcBorders>
                    <w:tl2br w:val="nil"/>
                    <w:tr2bl w:val="nil"/>
                  </w:tcBorders>
                  <w:vAlign w:val="center"/>
                </w:tcPr>
                <w:p w14:paraId="034F1269">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6566FA7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7C0AF3D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05681F00">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2F69AB4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80</w:t>
                  </w:r>
                </w:p>
              </w:tc>
            </w:tr>
            <w:tr w14:paraId="44201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1BA5971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1AE3C9E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2457ED5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SS</w:t>
                  </w:r>
                </w:p>
              </w:tc>
              <w:tc>
                <w:tcPr>
                  <w:tcW w:w="0" w:type="auto"/>
                  <w:tcBorders>
                    <w:tl2br w:val="nil"/>
                    <w:tr2bl w:val="nil"/>
                  </w:tcBorders>
                  <w:vAlign w:val="center"/>
                </w:tcPr>
                <w:p w14:paraId="4DB76C01">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300</w:t>
                  </w:r>
                </w:p>
              </w:tc>
              <w:tc>
                <w:tcPr>
                  <w:tcW w:w="0" w:type="auto"/>
                  <w:tcBorders>
                    <w:tl2br w:val="nil"/>
                    <w:tr2bl w:val="nil"/>
                  </w:tcBorders>
                  <w:vAlign w:val="center"/>
                </w:tcPr>
                <w:p w14:paraId="1C7C3273">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6320C4A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775C308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04080CC">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0626717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3AB7D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0C884CE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6E36FC1B">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698E490F">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石油类</w:t>
                  </w:r>
                </w:p>
              </w:tc>
              <w:tc>
                <w:tcPr>
                  <w:tcW w:w="0" w:type="auto"/>
                  <w:tcBorders>
                    <w:tl2br w:val="nil"/>
                    <w:tr2bl w:val="nil"/>
                  </w:tcBorders>
                  <w:vAlign w:val="center"/>
                </w:tcPr>
                <w:p w14:paraId="4E4B843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30</w:t>
                  </w:r>
                </w:p>
              </w:tc>
              <w:tc>
                <w:tcPr>
                  <w:tcW w:w="0" w:type="auto"/>
                  <w:tcBorders>
                    <w:tl2br w:val="nil"/>
                    <w:tr2bl w:val="nil"/>
                  </w:tcBorders>
                  <w:vAlign w:val="center"/>
                </w:tcPr>
                <w:p w14:paraId="30D082A0">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6386F27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0EB8E19B">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608ECAC1">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C6A854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w:t>
                  </w:r>
                </w:p>
              </w:tc>
            </w:tr>
            <w:tr w14:paraId="6227B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7607390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生活污水</w:t>
                  </w:r>
                </w:p>
              </w:tc>
              <w:tc>
                <w:tcPr>
                  <w:tcW w:w="0" w:type="auto"/>
                  <w:vMerge w:val="restart"/>
                  <w:tcBorders>
                    <w:tl2br w:val="nil"/>
                    <w:tr2bl w:val="nil"/>
                  </w:tcBorders>
                  <w:vAlign w:val="center"/>
                </w:tcPr>
                <w:p w14:paraId="183B83B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F5D918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vertAlign w:val="baseline"/>
                      <w:lang w:val="en-US" w:eastAsia="zh-CN"/>
                    </w:rPr>
                    <w:t>COD</w:t>
                  </w:r>
                </w:p>
              </w:tc>
              <w:tc>
                <w:tcPr>
                  <w:tcW w:w="0" w:type="auto"/>
                  <w:tcBorders>
                    <w:tl2br w:val="nil"/>
                    <w:tr2bl w:val="nil"/>
                  </w:tcBorders>
                  <w:vAlign w:val="center"/>
                </w:tcPr>
                <w:p w14:paraId="3FF2813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300</w:t>
                  </w:r>
                </w:p>
              </w:tc>
              <w:tc>
                <w:tcPr>
                  <w:tcW w:w="0" w:type="auto"/>
                  <w:tcBorders>
                    <w:tl2br w:val="nil"/>
                    <w:tr2bl w:val="nil"/>
                  </w:tcBorders>
                  <w:vAlign w:val="center"/>
                </w:tcPr>
                <w:p w14:paraId="6AD225BE">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restart"/>
                  <w:tcBorders>
                    <w:tl2br w:val="nil"/>
                    <w:tr2bl w:val="nil"/>
                  </w:tcBorders>
                  <w:vAlign w:val="center"/>
                </w:tcPr>
                <w:p w14:paraId="40B90E1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园区污水管网</w:t>
                  </w:r>
                </w:p>
              </w:tc>
              <w:tc>
                <w:tcPr>
                  <w:tcW w:w="0" w:type="auto"/>
                  <w:tcBorders>
                    <w:tl2br w:val="nil"/>
                    <w:tr2bl w:val="nil"/>
                  </w:tcBorders>
                  <w:vAlign w:val="center"/>
                </w:tcPr>
                <w:p w14:paraId="0523585F">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66A97143">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7297D140">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6FFE2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03BFAB9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424F3612">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3DC5D41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BOD</w:t>
                  </w:r>
                  <w:r>
                    <w:rPr>
                      <w:rFonts w:hint="default" w:ascii="Times New Roman" w:hAnsi="Times New Roman" w:eastAsia="宋体" w:cs="Times New Roman"/>
                      <w:b w:val="0"/>
                      <w:bCs w:val="0"/>
                      <w:color w:val="auto"/>
                      <w:sz w:val="21"/>
                      <w:szCs w:val="21"/>
                      <w:vertAlign w:val="subscript"/>
                      <w:lang w:val="en-US" w:eastAsia="zh-CN"/>
                    </w:rPr>
                    <w:t>5</w:t>
                  </w:r>
                </w:p>
              </w:tc>
              <w:tc>
                <w:tcPr>
                  <w:tcW w:w="0" w:type="auto"/>
                  <w:tcBorders>
                    <w:tl2br w:val="nil"/>
                    <w:tr2bl w:val="nil"/>
                  </w:tcBorders>
                  <w:vAlign w:val="center"/>
                </w:tcPr>
                <w:p w14:paraId="1B9DF12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150</w:t>
                  </w:r>
                </w:p>
              </w:tc>
              <w:tc>
                <w:tcPr>
                  <w:tcW w:w="0" w:type="auto"/>
                  <w:tcBorders>
                    <w:tl2br w:val="nil"/>
                    <w:tr2bl w:val="nil"/>
                  </w:tcBorders>
                  <w:vAlign w:val="center"/>
                </w:tcPr>
                <w:p w14:paraId="26CEABB1">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39F556D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2ED8C585">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3ACB1DDC">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481E19F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05FF0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24BAE6C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3134364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1033219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氨氮</w:t>
                  </w:r>
                </w:p>
              </w:tc>
              <w:tc>
                <w:tcPr>
                  <w:tcW w:w="0" w:type="auto"/>
                  <w:tcBorders>
                    <w:tl2br w:val="nil"/>
                    <w:tr2bl w:val="nil"/>
                  </w:tcBorders>
                  <w:vAlign w:val="center"/>
                </w:tcPr>
                <w:p w14:paraId="5AA0C7D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50</w:t>
                  </w:r>
                </w:p>
              </w:tc>
              <w:tc>
                <w:tcPr>
                  <w:tcW w:w="0" w:type="auto"/>
                  <w:tcBorders>
                    <w:tl2br w:val="nil"/>
                    <w:tr2bl w:val="nil"/>
                  </w:tcBorders>
                  <w:vAlign w:val="center"/>
                </w:tcPr>
                <w:p w14:paraId="673F2C87">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34C5652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216CCD7C">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7C85B745">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01C8513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r w14:paraId="24C080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40A4B1D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vMerge w:val="continue"/>
                  <w:tcBorders>
                    <w:tl2br w:val="nil"/>
                    <w:tr2bl w:val="nil"/>
                  </w:tcBorders>
                  <w:vAlign w:val="center"/>
                </w:tcPr>
                <w:p w14:paraId="485DA24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2B899B74">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SS</w:t>
                  </w:r>
                </w:p>
              </w:tc>
              <w:tc>
                <w:tcPr>
                  <w:tcW w:w="0" w:type="auto"/>
                  <w:tcBorders>
                    <w:tl2br w:val="nil"/>
                    <w:tr2bl w:val="nil"/>
                  </w:tcBorders>
                  <w:vAlign w:val="center"/>
                </w:tcPr>
                <w:p w14:paraId="6B5CC91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200</w:t>
                  </w:r>
                </w:p>
              </w:tc>
              <w:tc>
                <w:tcPr>
                  <w:tcW w:w="0" w:type="auto"/>
                  <w:tcBorders>
                    <w:tl2br w:val="nil"/>
                    <w:tr2bl w:val="nil"/>
                  </w:tcBorders>
                  <w:vAlign w:val="center"/>
                </w:tcPr>
                <w:p w14:paraId="12E37E11">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vMerge w:val="continue"/>
                  <w:tcBorders>
                    <w:tl2br w:val="nil"/>
                    <w:tr2bl w:val="nil"/>
                  </w:tcBorders>
                  <w:vAlign w:val="center"/>
                </w:tcPr>
                <w:p w14:paraId="29714BA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p>
              </w:tc>
              <w:tc>
                <w:tcPr>
                  <w:tcW w:w="0" w:type="auto"/>
                  <w:tcBorders>
                    <w:tl2br w:val="nil"/>
                    <w:tr2bl w:val="nil"/>
                  </w:tcBorders>
                  <w:vAlign w:val="center"/>
                </w:tcPr>
                <w:p w14:paraId="3C644F3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239F116D">
                  <w:pPr>
                    <w:keepNext w:val="0"/>
                    <w:keepLines w:val="0"/>
                    <w:widowControl/>
                    <w:suppressLineNumbers w:val="0"/>
                    <w:spacing w:line="300" w:lineRule="exact"/>
                    <w:jc w:val="center"/>
                    <w:textAlignment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i w:val="0"/>
                      <w:iCs w:val="0"/>
                      <w:color w:val="000000"/>
                      <w:kern w:val="0"/>
                      <w:sz w:val="21"/>
                      <w:szCs w:val="21"/>
                      <w:u w:val="none"/>
                      <w:lang w:val="en-US" w:eastAsia="zh-CN" w:bidi="ar"/>
                    </w:rPr>
                    <w:t>***</w:t>
                  </w:r>
                </w:p>
              </w:tc>
              <w:tc>
                <w:tcPr>
                  <w:tcW w:w="0" w:type="auto"/>
                  <w:tcBorders>
                    <w:tl2br w:val="nil"/>
                    <w:tr2bl w:val="nil"/>
                  </w:tcBorders>
                  <w:vAlign w:val="center"/>
                </w:tcPr>
                <w:p w14:paraId="5E7157B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w:t>
                  </w:r>
                </w:p>
              </w:tc>
            </w:tr>
          </w:tbl>
          <w:p w14:paraId="5B8A1156">
            <w:pPr>
              <w:pStyle w:val="2"/>
              <w:keepNext w:val="0"/>
              <w:keepLines w:val="0"/>
              <w:pageBreakBefore w:val="0"/>
              <w:widowControl w:val="0"/>
              <w:kinsoku/>
              <w:wordWrap/>
              <w:overflowPunct/>
              <w:topLinePunct w:val="0"/>
              <w:autoSpaceDE w:val="0"/>
              <w:autoSpaceDN w:val="0"/>
              <w:bidi w:val="0"/>
              <w:textAlignment w:val="auto"/>
              <w:outlineLvl w:val="9"/>
              <w:rPr>
                <w:rFonts w:hint="eastAsia"/>
                <w:sz w:val="24"/>
                <w:szCs w:val="24"/>
                <w:lang w:val="en-US" w:eastAsia="zh-CN"/>
              </w:rPr>
            </w:pPr>
            <w:r>
              <w:rPr>
                <w:rFonts w:hint="eastAsia"/>
                <w:sz w:val="24"/>
                <w:szCs w:val="24"/>
                <w:lang w:val="en-US" w:eastAsia="zh-CN"/>
              </w:rPr>
              <w:t>2.2废水治理措施及可行性分析</w:t>
            </w:r>
          </w:p>
          <w:p w14:paraId="7BE14711">
            <w:pPr>
              <w:pStyle w:val="2"/>
              <w:keepNext w:val="0"/>
              <w:keepLines w:val="0"/>
              <w:pageBreakBefore w:val="0"/>
              <w:widowControl w:val="0"/>
              <w:kinsoku/>
              <w:wordWrap/>
              <w:overflowPunct/>
              <w:topLinePunct w:val="0"/>
              <w:autoSpaceDE w:val="0"/>
              <w:autoSpaceDN w:val="0"/>
              <w:bidi w:val="0"/>
              <w:ind w:firstLine="480" w:firstLineChars="200"/>
              <w:textAlignment w:val="auto"/>
              <w:outlineLvl w:val="9"/>
              <w:rPr>
                <w:rFonts w:hint="default" w:ascii="宋体" w:hAnsi="宋体" w:eastAsia="宋体" w:cs="Times New Roman"/>
                <w:b w:val="0"/>
                <w:sz w:val="24"/>
                <w:szCs w:val="24"/>
                <w:lang w:val="en-US" w:eastAsia="zh-CN" w:bidi="ar-SA"/>
              </w:rPr>
            </w:pPr>
            <w:r>
              <w:rPr>
                <w:rFonts w:hint="default" w:ascii="宋体" w:hAnsi="宋体" w:eastAsia="宋体" w:cs="Times New Roman"/>
                <w:b w:val="0"/>
                <w:sz w:val="24"/>
                <w:szCs w:val="24"/>
                <w:lang w:val="en-US" w:eastAsia="zh-CN" w:bidi="ar-SA"/>
              </w:rPr>
              <w:t>本项目生活污水</w:t>
            </w:r>
            <w:r>
              <w:rPr>
                <w:rFonts w:hint="eastAsia" w:ascii="宋体" w:hAnsi="宋体" w:cs="Times New Roman"/>
                <w:b w:val="0"/>
                <w:sz w:val="24"/>
                <w:szCs w:val="24"/>
                <w:lang w:val="en-US" w:eastAsia="zh-CN" w:bidi="ar-SA"/>
              </w:rPr>
              <w:t>排入园区下水管网</w:t>
            </w:r>
            <w:r>
              <w:rPr>
                <w:rFonts w:hint="default" w:ascii="宋体" w:hAnsi="宋体" w:eastAsia="宋体" w:cs="Times New Roman"/>
                <w:b w:val="0"/>
                <w:sz w:val="24"/>
                <w:szCs w:val="24"/>
                <w:lang w:val="en-US" w:eastAsia="zh-CN" w:bidi="ar-SA"/>
              </w:rPr>
              <w:t>，生产废水通过自建污水处理站处理后</w:t>
            </w:r>
            <w:r>
              <w:rPr>
                <w:rFonts w:hint="eastAsia" w:ascii="宋体" w:hAnsi="宋体" w:cs="Times New Roman"/>
                <w:b w:val="0"/>
                <w:sz w:val="24"/>
                <w:szCs w:val="24"/>
                <w:lang w:val="en-US" w:eastAsia="zh-CN" w:bidi="ar-SA"/>
              </w:rPr>
              <w:t>全部回用于生产</w:t>
            </w:r>
            <w:r>
              <w:rPr>
                <w:rFonts w:hint="default" w:ascii="宋体" w:hAnsi="宋体" w:eastAsia="宋体" w:cs="Times New Roman"/>
                <w:b w:val="0"/>
                <w:sz w:val="24"/>
                <w:szCs w:val="24"/>
                <w:lang w:val="en-US" w:eastAsia="zh-CN" w:bidi="ar-SA"/>
              </w:rPr>
              <w:t>。</w:t>
            </w:r>
          </w:p>
          <w:p w14:paraId="0A6782D7">
            <w:pPr>
              <w:pStyle w:val="2"/>
              <w:keepNext w:val="0"/>
              <w:keepLines w:val="0"/>
              <w:pageBreakBefore w:val="0"/>
              <w:widowControl w:val="0"/>
              <w:numPr>
                <w:ilvl w:val="0"/>
                <w:numId w:val="5"/>
              </w:numPr>
              <w:kinsoku/>
              <w:wordWrap/>
              <w:overflowPunct/>
              <w:topLinePunct w:val="0"/>
              <w:autoSpaceDE w:val="0"/>
              <w:autoSpaceDN w:val="0"/>
              <w:bidi w:val="0"/>
              <w:ind w:firstLine="562" w:firstLineChars="200"/>
              <w:textAlignment w:val="auto"/>
              <w:outlineLvl w:val="9"/>
              <w:rPr>
                <w:rFonts w:hint="default" w:ascii="宋体" w:hAnsi="宋体" w:eastAsia="宋体" w:cs="Times New Roman"/>
                <w:b w:val="0"/>
                <w:sz w:val="24"/>
                <w:szCs w:val="24"/>
                <w:lang w:val="en-US" w:eastAsia="zh-CN" w:bidi="ar-SA"/>
              </w:rPr>
            </w:pPr>
            <w:r>
              <w:drawing>
                <wp:anchor distT="0" distB="0" distL="114300" distR="114300" simplePos="0" relativeHeight="251664384" behindDoc="0" locked="0" layoutInCell="1" allowOverlap="1">
                  <wp:simplePos x="0" y="0"/>
                  <wp:positionH relativeFrom="column">
                    <wp:posOffset>224790</wp:posOffset>
                  </wp:positionH>
                  <wp:positionV relativeFrom="paragraph">
                    <wp:posOffset>1324610</wp:posOffset>
                  </wp:positionV>
                  <wp:extent cx="5343525" cy="4752975"/>
                  <wp:effectExtent l="0" t="0" r="9525" b="9525"/>
                  <wp:wrapTopAndBottom/>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1"/>
                          <a:stretch>
                            <a:fillRect/>
                          </a:stretch>
                        </pic:blipFill>
                        <pic:spPr>
                          <a:xfrm>
                            <a:off x="0" y="0"/>
                            <a:ext cx="5343525" cy="4752975"/>
                          </a:xfrm>
                          <a:prstGeom prst="rect">
                            <a:avLst/>
                          </a:prstGeom>
                          <a:noFill/>
                          <a:ln>
                            <a:noFill/>
                          </a:ln>
                        </pic:spPr>
                      </pic:pic>
                    </a:graphicData>
                  </a:graphic>
                </wp:anchor>
              </w:drawing>
            </w:r>
            <w:r>
              <w:rPr>
                <w:rFonts w:hint="default" w:ascii="宋体" w:hAnsi="宋体" w:eastAsia="宋体" w:cs="Times New Roman"/>
                <w:b w:val="0"/>
                <w:sz w:val="24"/>
                <w:szCs w:val="24"/>
                <w:lang w:val="en-US" w:eastAsia="zh-CN" w:bidi="ar-SA"/>
              </w:rPr>
              <w:t>本项目污水处理措施可行性分析拟建项目污水处理站设计规模为</w:t>
            </w:r>
            <w:r>
              <w:rPr>
                <w:rFonts w:hint="eastAsia" w:ascii="Times New Roman" w:hAnsi="Times New Roman" w:cs="Times New Roman"/>
                <w:i w:val="0"/>
                <w:iCs w:val="0"/>
                <w:color w:val="000000"/>
                <w:kern w:val="0"/>
                <w:sz w:val="21"/>
                <w:szCs w:val="21"/>
                <w:u w:val="none"/>
                <w:lang w:val="en-US" w:eastAsia="zh-CN" w:bidi="ar"/>
              </w:rPr>
              <w:t>***</w:t>
            </w:r>
            <w:r>
              <w:rPr>
                <w:rFonts w:hint="default" w:ascii="宋体" w:hAnsi="宋体" w:eastAsia="宋体" w:cs="Times New Roman"/>
                <w:b w:val="0"/>
                <w:sz w:val="24"/>
                <w:szCs w:val="24"/>
                <w:lang w:val="en-US" w:eastAsia="zh-CN" w:bidi="ar-SA"/>
              </w:rPr>
              <w:t>m</w:t>
            </w:r>
            <w:r>
              <w:rPr>
                <w:rFonts w:hint="default" w:ascii="宋体" w:hAnsi="宋体" w:eastAsia="宋体" w:cs="Times New Roman"/>
                <w:b w:val="0"/>
                <w:sz w:val="24"/>
                <w:szCs w:val="24"/>
                <w:vertAlign w:val="superscript"/>
                <w:lang w:val="en-US" w:eastAsia="zh-CN" w:bidi="ar-SA"/>
              </w:rPr>
              <w:t>3</w:t>
            </w:r>
            <w:r>
              <w:rPr>
                <w:rFonts w:hint="default" w:ascii="宋体" w:hAnsi="宋体" w:eastAsia="宋体" w:cs="Times New Roman"/>
                <w:b w:val="0"/>
                <w:sz w:val="24"/>
                <w:szCs w:val="24"/>
                <w:lang w:val="en-US" w:eastAsia="zh-CN" w:bidi="ar-SA"/>
              </w:rPr>
              <w:t>/d，本项目的生产废水产生量为</w:t>
            </w:r>
            <w:r>
              <w:rPr>
                <w:rFonts w:hint="eastAsia" w:ascii="Times New Roman" w:hAnsi="Times New Roman" w:cs="Times New Roman"/>
                <w:i w:val="0"/>
                <w:iCs w:val="0"/>
                <w:color w:val="000000"/>
                <w:kern w:val="0"/>
                <w:sz w:val="21"/>
                <w:szCs w:val="21"/>
                <w:u w:val="none"/>
                <w:lang w:val="en-US" w:eastAsia="zh-CN" w:bidi="ar"/>
              </w:rPr>
              <w:t>***</w:t>
            </w:r>
            <w:r>
              <w:rPr>
                <w:rFonts w:hint="default" w:ascii="宋体" w:hAnsi="宋体" w:eastAsia="宋体" w:cs="Times New Roman"/>
                <w:b w:val="0"/>
                <w:sz w:val="24"/>
                <w:szCs w:val="24"/>
                <w:lang w:val="en-US" w:eastAsia="zh-CN" w:bidi="ar-SA"/>
              </w:rPr>
              <w:t>m</w:t>
            </w:r>
            <w:r>
              <w:rPr>
                <w:rFonts w:hint="default" w:ascii="宋体" w:hAnsi="宋体" w:eastAsia="宋体" w:cs="Times New Roman"/>
                <w:b w:val="0"/>
                <w:sz w:val="24"/>
                <w:szCs w:val="24"/>
                <w:vertAlign w:val="superscript"/>
                <w:lang w:val="en-US" w:eastAsia="zh-CN" w:bidi="ar-SA"/>
              </w:rPr>
              <w:t>3</w:t>
            </w:r>
            <w:r>
              <w:rPr>
                <w:rFonts w:hint="default" w:ascii="宋体" w:hAnsi="宋体" w:eastAsia="宋体" w:cs="Times New Roman"/>
                <w:b w:val="0"/>
                <w:sz w:val="24"/>
                <w:szCs w:val="24"/>
                <w:lang w:val="en-US" w:eastAsia="zh-CN" w:bidi="ar-SA"/>
              </w:rPr>
              <w:t>/d，故污水处理规模可满足本项目的污水处理要求，处理工艺为“格栅+隔油+调节+气浮+混凝沉淀+生物接触氧化”。污水处理站处理工艺符合《纺织工业污染防治可行技术指南》（HJ1177—2021）中可行技术要求。污水处理工艺流程图如下。</w:t>
            </w:r>
          </w:p>
          <w:p w14:paraId="231442D6">
            <w:pPr>
              <w:pageBreakBefore w:val="0"/>
              <w:tabs>
                <w:tab w:val="left" w:pos="823"/>
              </w:tabs>
              <w:kinsoku/>
              <w:wordWrap/>
              <w:bidi w:val="0"/>
              <w:spacing w:line="360" w:lineRule="auto"/>
              <w:jc w:val="center"/>
              <w:rPr>
                <w:rFonts w:hint="default" w:ascii="宋体" w:hAnsi="宋体" w:eastAsia="宋体" w:cs="宋体"/>
                <w:b/>
                <w:bCs/>
                <w:sz w:val="21"/>
                <w:szCs w:val="21"/>
                <w:highlight w:val="none"/>
                <w:lang w:val="en-US" w:eastAsia="zh-CN"/>
              </w:rPr>
            </w:pPr>
            <w:r>
              <w:rPr>
                <w:rFonts w:hint="eastAsia" w:cs="宋体"/>
                <w:b/>
                <w:bCs/>
                <w:sz w:val="21"/>
                <w:szCs w:val="21"/>
                <w:highlight w:val="none"/>
                <w:lang w:val="en-US" w:eastAsia="zh-CN"/>
              </w:rPr>
              <w:t>图4</w:t>
            </w:r>
            <w:r>
              <w:rPr>
                <w:rFonts w:hint="eastAsia" w:ascii="宋体" w:hAnsi="宋体" w:eastAsia="宋体" w:cs="宋体"/>
                <w:b/>
                <w:bCs/>
                <w:sz w:val="21"/>
                <w:szCs w:val="21"/>
                <w:highlight w:val="none"/>
                <w:lang w:val="en-US" w:eastAsia="zh-CN"/>
              </w:rPr>
              <w:t>-</w:t>
            </w:r>
            <w:r>
              <w:rPr>
                <w:rFonts w:hint="eastAsia" w:cs="宋体"/>
                <w:b/>
                <w:bCs/>
                <w:sz w:val="21"/>
                <w:szCs w:val="21"/>
                <w:highlight w:val="none"/>
                <w:lang w:val="en-US" w:eastAsia="zh-CN"/>
              </w:rPr>
              <w:t>1</w:t>
            </w:r>
            <w:r>
              <w:rPr>
                <w:rFonts w:hint="eastAsia" w:ascii="宋体" w:hAnsi="宋体" w:eastAsia="宋体" w:cs="宋体"/>
                <w:b/>
                <w:bCs/>
                <w:sz w:val="21"/>
                <w:szCs w:val="21"/>
                <w:highlight w:val="none"/>
                <w:lang w:val="en-US" w:eastAsia="zh-CN"/>
              </w:rPr>
              <w:t xml:space="preserve">  </w:t>
            </w:r>
            <w:r>
              <w:rPr>
                <w:rFonts w:hint="eastAsia" w:cs="宋体"/>
                <w:b/>
                <w:bCs/>
                <w:color w:val="auto"/>
                <w:sz w:val="21"/>
                <w:szCs w:val="21"/>
                <w:highlight w:val="none"/>
                <w:lang w:val="en-US" w:eastAsia="zh-CN"/>
              </w:rPr>
              <w:t>本项目污水处理工艺流程图</w:t>
            </w:r>
          </w:p>
          <w:p w14:paraId="0AFDD04E">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工艺说明：</w:t>
            </w:r>
          </w:p>
          <w:p w14:paraId="081A7F72">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格栅：生产废水经过格栅初步处理后，收集汇入集水池，废水在此调节水质及水量。工艺设置机械格栅两台，以去除喷水织机废水中的软性纤维物及大颗粒杂质等，以防堵塞水泵、阀门、管道、确保处理设备的正常运行，为系统的长期运行提供了基本保证。机械格栅是一种可以连接自动清除各种形状杂物，达到固液分离目的的装置，是目前国内最为先进的固液筛分设备，它是由一种独特的耙齿装配成一组回转链，在电机减速机的传动下，经链轮传动耙齿进行回转运行，耙齿链的下部浸没于排水沟槽中，与耙齿链按工作方向运行时，每排槽轴齿即把液体中的固态悬浮物质从液体中分离出来。采用该设备具有能耗少，劳动强度低，不</w:t>
            </w:r>
            <w:r>
              <w:rPr>
                <w:rFonts w:hint="eastAsia" w:ascii="Times New Roman" w:hAnsi="Times New Roman" w:cs="Times New Roman"/>
                <w:color w:val="auto"/>
                <w:sz w:val="24"/>
                <w:szCs w:val="24"/>
                <w:lang w:val="en-US" w:eastAsia="zh-CN"/>
              </w:rPr>
              <w:t>需</w:t>
            </w:r>
            <w:r>
              <w:rPr>
                <w:rFonts w:hint="eastAsia" w:ascii="Times New Roman" w:hAnsi="Times New Roman" w:eastAsia="宋体" w:cs="Times New Roman"/>
                <w:color w:val="auto"/>
                <w:sz w:val="24"/>
                <w:szCs w:val="24"/>
                <w:lang w:val="en-US" w:eastAsia="zh-CN"/>
              </w:rPr>
              <w:t>人工看管，可以定期定时或连续工作的优点。废水经机械格栅处理后接入隔油集水池。</w:t>
            </w:r>
          </w:p>
          <w:p w14:paraId="5E9CA077">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隔油：利用油滴与水的密度差产生上浮作用来去除废水中可浮性油类物质。在隔油集水池池中沉淀下来的油及其他杂质，积聚到池底，通过排泥管进入污泥管中。废水则通过水泵进入调节池，进行后续处理。</w:t>
            </w:r>
          </w:p>
          <w:p w14:paraId="47942045">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调节：初步调节废水的pH值，之后进入混凝池。</w:t>
            </w:r>
          </w:p>
          <w:p w14:paraId="374AE92C">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气浮：织造废水、清洗废水中主要含有悬浮物、短纤维、纤维素和表面油脂，因此设置高效气浮装置主要去除水中的短纤维、胶体、油脂，同时去除废水中的COD。本项目设置高效气浮装置对废水进行处理，以确保废水SS、COD含量达标。气浮是利用释放器产生的微小气泡沾附在污泥颗粒上，使其浮于水面，然后由刮渣机将其带走，达到理想的固液分离效果，同时由于充分的空气进入，可进一步彻底氧化剩余有机物。气浮的工作过程：当废水进入气浮池接触室与溶气水释放器放出微气泡相遇，絮粒与气泡</w:t>
            </w:r>
            <w:r>
              <w:rPr>
                <w:rFonts w:hint="eastAsia" w:ascii="Times New Roman" w:hAnsi="Times New Roman" w:cs="Times New Roman"/>
                <w:color w:val="auto"/>
                <w:sz w:val="24"/>
                <w:szCs w:val="24"/>
                <w:lang w:val="en-US" w:eastAsia="zh-CN"/>
              </w:rPr>
              <w:t>黏附</w:t>
            </w:r>
            <w:r>
              <w:rPr>
                <w:rFonts w:hint="eastAsia" w:ascii="Times New Roman" w:hAnsi="Times New Roman" w:eastAsia="宋体" w:cs="Times New Roman"/>
                <w:color w:val="auto"/>
                <w:sz w:val="24"/>
                <w:szCs w:val="24"/>
                <w:lang w:val="en-US" w:eastAsia="zh-CN"/>
              </w:rPr>
              <w:t>，即在气浮分离室进行渣、水分离，浮渣布于池面，定期刮入排渣槽，流入污泥池，清水由集水槽引出，入沉淀池。其中部分清水则经回流水泵加压进入压力溶气罐，与此同时，空气经射流器进入压力溶气罐，在溶气罐内形成溶气水，溶气水由溶气罐直接压入溶气释放器，供气浮使用，实现固液分离。</w:t>
            </w:r>
          </w:p>
          <w:p w14:paraId="24121640">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混凝沉淀：经过气浮池处理后的废水在混凝池、絮凝池内进一步反应沉淀，结构原理</w:t>
            </w:r>
            <w:r>
              <w:rPr>
                <w:rFonts w:hint="eastAsia" w:ascii="Times New Roman" w:hAnsi="Times New Roman" w:cs="Times New Roman"/>
                <w:color w:val="auto"/>
                <w:sz w:val="24"/>
                <w:szCs w:val="24"/>
                <w:lang w:val="en-US" w:eastAsia="zh-CN"/>
              </w:rPr>
              <w:t>与</w:t>
            </w:r>
            <w:r>
              <w:rPr>
                <w:rFonts w:hint="eastAsia" w:ascii="Times New Roman" w:hAnsi="Times New Roman" w:eastAsia="宋体" w:cs="Times New Roman"/>
                <w:color w:val="auto"/>
                <w:sz w:val="24"/>
                <w:szCs w:val="24"/>
                <w:lang w:val="en-US" w:eastAsia="zh-CN"/>
              </w:rPr>
              <w:t>前一阶段相同。充分反应后的废水在沉淀池内除去絮凝产生的絮状物质。</w:t>
            </w:r>
          </w:p>
          <w:p w14:paraId="6B8F263E">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生物接触氧化：生物接触氧化滤池也被称为淹没式生物滤池。该方法的原理是利用生物膜的作用使污水得到净化。污水通过可调进水堰板进入，滤布采用新型纳米记忆功能纤维材料</w:t>
            </w:r>
            <w:r>
              <w:rPr>
                <w:rFonts w:hint="eastAsia" w:ascii="Times New Roman" w:hAnsi="Times New Roman" w:cs="Times New Roman"/>
                <w:color w:val="auto"/>
                <w:sz w:val="24"/>
                <w:szCs w:val="24"/>
                <w:lang w:val="en-US" w:eastAsia="zh-CN"/>
              </w:rPr>
              <w:t>编织</w:t>
            </w:r>
            <w:r>
              <w:rPr>
                <w:rFonts w:hint="eastAsia" w:ascii="Times New Roman" w:hAnsi="Times New Roman" w:eastAsia="宋体" w:cs="Times New Roman"/>
                <w:color w:val="auto"/>
                <w:sz w:val="24"/>
                <w:szCs w:val="24"/>
                <w:lang w:val="en-US" w:eastAsia="zh-CN"/>
              </w:rPr>
              <w:t>而成，滤布在水压作用下，表面具有的纤维编织毛绒形成有序的倒伏层，形成了过滤精度为10微米的过滤间隙，污染物被毛绒滤布有效截留。滤后水在滤盘内外压力差作用下，经上方的出水管汇集入总出水管排入清水池。其特点在于其高效的节能性和较小的占地面积，此外还具有耐冲击负荷、运行管理方便等优势。</w:t>
            </w:r>
          </w:p>
          <w:p w14:paraId="532EB823">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清水池：经过处理后喷水织机的织造废水满足回用水要求后，80%回用于项目喷水织机的织造工段。处理后的清水在清水池内暂存，通过提升泵将处理达标后的回用水提升车间管网，供喷水织机使用。</w:t>
            </w:r>
          </w:p>
          <w:p w14:paraId="62277415">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污泥压滤：污泥先进行压滤处理，将污泥池中含有的大量废水去除，经压滤处理后的污泥含水率在85%左右。</w:t>
            </w:r>
          </w:p>
          <w:p w14:paraId="3E5A05F2">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（2）污水处理效果及规模</w:t>
            </w:r>
          </w:p>
          <w:p w14:paraId="2E745615">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①处理规模本项目生产废水产生量为</w:t>
            </w:r>
            <w:r>
              <w:rPr>
                <w:rFonts w:hint="eastAsia" w:ascii="Times New Roman" w:hAnsi="Times New Roman" w:cs="Times New Roman"/>
                <w:i w:val="0"/>
                <w:iCs w:val="0"/>
                <w:color w:val="000000"/>
                <w:kern w:val="0"/>
                <w:sz w:val="21"/>
                <w:szCs w:val="21"/>
                <w:u w:val="none"/>
                <w:lang w:val="en-US" w:eastAsia="zh-CN" w:bidi="ar"/>
              </w:rPr>
              <w:t>***</w:t>
            </w:r>
            <w:r>
              <w:rPr>
                <w:rFonts w:hint="eastAsia" w:ascii="Times New Roman" w:hAnsi="Times New Roman" w:eastAsia="宋体" w:cs="Times New Roman"/>
                <w:color w:val="auto"/>
                <w:sz w:val="24"/>
                <w:szCs w:val="24"/>
                <w:lang w:val="en-US" w:eastAsia="zh-CN"/>
              </w:rPr>
              <w:t>t/d，本次污水处理设施设计处理能</w:t>
            </w:r>
            <w:r>
              <w:rPr>
                <w:rFonts w:hint="eastAsia" w:ascii="Times New Roman" w:hAnsi="Times New Roman" w:cs="Times New Roman"/>
                <w:color w:val="auto"/>
                <w:sz w:val="24"/>
                <w:szCs w:val="24"/>
                <w:lang w:val="en-US" w:eastAsia="zh-CN"/>
              </w:rPr>
              <w:t>力为</w:t>
            </w:r>
            <w:r>
              <w:rPr>
                <w:rFonts w:hint="eastAsia" w:ascii="Times New Roman" w:hAnsi="Times New Roman" w:cs="Times New Roman"/>
                <w:i w:val="0"/>
                <w:iCs w:val="0"/>
                <w:color w:val="000000"/>
                <w:kern w:val="0"/>
                <w:sz w:val="21"/>
                <w:szCs w:val="21"/>
                <w:u w:val="none"/>
                <w:lang w:val="en-US" w:eastAsia="zh-CN" w:bidi="ar"/>
              </w:rPr>
              <w:t>***</w:t>
            </w:r>
            <w:r>
              <w:rPr>
                <w:rFonts w:hint="eastAsia" w:ascii="Times New Roman" w:hAnsi="Times New Roman" w:eastAsia="宋体" w:cs="Times New Roman"/>
                <w:color w:val="auto"/>
                <w:sz w:val="24"/>
                <w:szCs w:val="24"/>
                <w:lang w:val="en-US" w:eastAsia="zh-CN"/>
              </w:rPr>
              <w:t>t/d。污水处理站有能力接纳本项目生产废水，项目生产废水处理有保证。</w:t>
            </w:r>
          </w:p>
          <w:p w14:paraId="04886A4B">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②处理效果根据废水方案设计单位提供的工艺参数，本项目厂区污水处理设施各工序处理效果预估如下表。</w:t>
            </w:r>
          </w:p>
          <w:p w14:paraId="7A75ECD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cs="Times New Roman"/>
                <w:color w:val="auto"/>
                <w:sz w:val="24"/>
                <w:szCs w:val="24"/>
                <w:lang w:val="en-US" w:eastAsia="zh-CN"/>
              </w:rPr>
            </w:pPr>
            <w:r>
              <w:rPr>
                <w:rFonts w:hint="eastAsia" w:ascii="Times New Roman" w:hAnsi="Times New Roman" w:cs="Times New Roman"/>
                <w:b/>
                <w:bCs/>
                <w:color w:val="auto"/>
                <w:sz w:val="21"/>
                <w:szCs w:val="21"/>
                <w:lang w:val="en-US" w:eastAsia="zh-CN"/>
              </w:rPr>
              <w:t>表4-9  本项目废水污染物处理效率一览表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765"/>
              <w:gridCol w:w="1367"/>
              <w:gridCol w:w="990"/>
              <w:gridCol w:w="660"/>
              <w:gridCol w:w="728"/>
              <w:gridCol w:w="531"/>
              <w:gridCol w:w="625"/>
              <w:gridCol w:w="813"/>
              <w:gridCol w:w="625"/>
              <w:gridCol w:w="626"/>
            </w:tblGrid>
            <w:tr w14:paraId="70598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37C3AA06">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类别</w:t>
                  </w:r>
                </w:p>
              </w:tc>
              <w:tc>
                <w:tcPr>
                  <w:tcW w:w="0" w:type="auto"/>
                  <w:tcBorders>
                    <w:tl2br w:val="nil"/>
                    <w:tr2bl w:val="nil"/>
                  </w:tcBorders>
                  <w:vAlign w:val="center"/>
                </w:tcPr>
                <w:p w14:paraId="1D3026FC">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对应工序</w:t>
                  </w:r>
                </w:p>
              </w:tc>
              <w:tc>
                <w:tcPr>
                  <w:tcW w:w="0" w:type="auto"/>
                  <w:tcBorders>
                    <w:tl2br w:val="nil"/>
                    <w:tr2bl w:val="nil"/>
                  </w:tcBorders>
                  <w:vAlign w:val="center"/>
                </w:tcPr>
                <w:p w14:paraId="2FC5899D">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处理工艺</w:t>
                  </w:r>
                </w:p>
              </w:tc>
              <w:tc>
                <w:tcPr>
                  <w:tcW w:w="0" w:type="auto"/>
                  <w:tcBorders>
                    <w:tl2br w:val="nil"/>
                    <w:tr2bl w:val="nil"/>
                  </w:tcBorders>
                  <w:vAlign w:val="center"/>
                </w:tcPr>
                <w:p w14:paraId="62B2ACA1">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处理效率</w:t>
                  </w:r>
                </w:p>
              </w:tc>
              <w:tc>
                <w:tcPr>
                  <w:tcW w:w="0" w:type="auto"/>
                  <w:tcBorders>
                    <w:tl2br w:val="nil"/>
                    <w:tr2bl w:val="nil"/>
                  </w:tcBorders>
                  <w:vAlign w:val="center"/>
                </w:tcPr>
                <w:p w14:paraId="49FDF5C1">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COD</w:t>
                  </w:r>
                </w:p>
              </w:tc>
              <w:tc>
                <w:tcPr>
                  <w:tcW w:w="0" w:type="auto"/>
                  <w:tcBorders>
                    <w:tl2br w:val="nil"/>
                    <w:tr2bl w:val="nil"/>
                  </w:tcBorders>
                  <w:vAlign w:val="center"/>
                </w:tcPr>
                <w:p w14:paraId="0C9257B0">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BOD</w:t>
                  </w:r>
                  <w:r>
                    <w:rPr>
                      <w:rFonts w:hint="default" w:ascii="Times New Roman" w:hAnsi="Times New Roman" w:eastAsia="宋体" w:cs="Times New Roman"/>
                      <w:i w:val="0"/>
                      <w:iCs w:val="0"/>
                      <w:color w:val="000000"/>
                      <w:kern w:val="0"/>
                      <w:sz w:val="21"/>
                      <w:szCs w:val="21"/>
                      <w:u w:val="none"/>
                      <w:vertAlign w:val="subscript"/>
                      <w:lang w:val="en-US" w:eastAsia="zh-CN" w:bidi="ar"/>
                    </w:rPr>
                    <w:t>5</w:t>
                  </w:r>
                </w:p>
              </w:tc>
              <w:tc>
                <w:tcPr>
                  <w:tcW w:w="0" w:type="auto"/>
                  <w:tcBorders>
                    <w:tl2br w:val="nil"/>
                    <w:tr2bl w:val="nil"/>
                  </w:tcBorders>
                  <w:vAlign w:val="center"/>
                </w:tcPr>
                <w:p w14:paraId="49A5D684">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SS</w:t>
                  </w:r>
                </w:p>
              </w:tc>
              <w:tc>
                <w:tcPr>
                  <w:tcW w:w="0" w:type="auto"/>
                  <w:tcBorders>
                    <w:tl2br w:val="nil"/>
                    <w:tr2bl w:val="nil"/>
                  </w:tcBorders>
                  <w:vAlign w:val="center"/>
                </w:tcPr>
                <w:p w14:paraId="78D658D1">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氨氮</w:t>
                  </w:r>
                </w:p>
              </w:tc>
              <w:tc>
                <w:tcPr>
                  <w:tcW w:w="0" w:type="auto"/>
                  <w:tcBorders>
                    <w:tl2br w:val="nil"/>
                    <w:tr2bl w:val="nil"/>
                  </w:tcBorders>
                  <w:vAlign w:val="center"/>
                </w:tcPr>
                <w:p w14:paraId="0837094F">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石油类</w:t>
                  </w:r>
                </w:p>
              </w:tc>
              <w:tc>
                <w:tcPr>
                  <w:tcW w:w="0" w:type="auto"/>
                  <w:tcBorders>
                    <w:tl2br w:val="nil"/>
                    <w:tr2bl w:val="nil"/>
                  </w:tcBorders>
                  <w:vAlign w:val="center"/>
                </w:tcPr>
                <w:p w14:paraId="43BB0056">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总氮</w:t>
                  </w:r>
                </w:p>
              </w:tc>
              <w:tc>
                <w:tcPr>
                  <w:tcW w:w="0" w:type="auto"/>
                  <w:tcBorders>
                    <w:tl2br w:val="nil"/>
                    <w:tr2bl w:val="nil"/>
                  </w:tcBorders>
                  <w:vAlign w:val="center"/>
                </w:tcPr>
                <w:p w14:paraId="502E214A">
                  <w:pPr>
                    <w:keepNext w:val="0"/>
                    <w:keepLines w:val="0"/>
                    <w:widowControl/>
                    <w:suppressLineNumbers w:val="0"/>
                    <w:spacing w:line="240" w:lineRule="auto"/>
                    <w:jc w:val="center"/>
                    <w:textAlignment w:val="center"/>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总磷</w:t>
                  </w:r>
                </w:p>
              </w:tc>
            </w:tr>
            <w:tr w14:paraId="7D731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799CE83B">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生产废水</w:t>
                  </w:r>
                </w:p>
              </w:tc>
              <w:tc>
                <w:tcPr>
                  <w:tcW w:w="0" w:type="auto"/>
                  <w:vMerge w:val="restart"/>
                  <w:tcBorders>
                    <w:tl2br w:val="nil"/>
                    <w:tr2bl w:val="nil"/>
                  </w:tcBorders>
                  <w:vAlign w:val="center"/>
                </w:tcPr>
                <w:p w14:paraId="19F9AD4F">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ascii="Times New Roman" w:hAnsi="Times New Roman" w:eastAsia="宋体" w:cs="Times New Roman"/>
                      <w:b w:val="0"/>
                      <w:sz w:val="21"/>
                      <w:szCs w:val="21"/>
                      <w:vertAlign w:val="baseline"/>
                      <w:lang w:val="en-US" w:eastAsia="zh-CN" w:bidi="ar-SA"/>
                    </w:rPr>
                    <w:t>织造、清洗、喷淋</w:t>
                  </w:r>
                </w:p>
              </w:tc>
              <w:tc>
                <w:tcPr>
                  <w:tcW w:w="0" w:type="auto"/>
                  <w:tcBorders>
                    <w:tl2br w:val="nil"/>
                    <w:tr2bl w:val="nil"/>
                  </w:tcBorders>
                  <w:vAlign w:val="center"/>
                </w:tcPr>
                <w:p w14:paraId="470B00B0">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隔油</w:t>
                  </w:r>
                </w:p>
              </w:tc>
              <w:tc>
                <w:tcPr>
                  <w:tcW w:w="0" w:type="auto"/>
                  <w:vMerge w:val="restart"/>
                  <w:tcBorders>
                    <w:tl2br w:val="nil"/>
                    <w:tr2bl w:val="nil"/>
                  </w:tcBorders>
                  <w:vAlign w:val="center"/>
                </w:tcPr>
                <w:p w14:paraId="605F5AE2">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w:t>
                  </w:r>
                </w:p>
              </w:tc>
              <w:tc>
                <w:tcPr>
                  <w:tcW w:w="0" w:type="auto"/>
                  <w:tcBorders>
                    <w:tl2br w:val="nil"/>
                    <w:tr2bl w:val="nil"/>
                  </w:tcBorders>
                  <w:vAlign w:val="center"/>
                </w:tcPr>
                <w:p w14:paraId="254DAA41">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2CFB36FC">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24B91AFE">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772A53A5">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00F99296">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AFA34A2">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7AB09483">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r>
            <w:tr w14:paraId="78B84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498244F9">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vMerge w:val="continue"/>
                  <w:tcBorders>
                    <w:tl2br w:val="nil"/>
                    <w:tr2bl w:val="nil"/>
                  </w:tcBorders>
                  <w:vAlign w:val="center"/>
                </w:tcPr>
                <w:p w14:paraId="2C143A65">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tcBorders>
                    <w:tl2br w:val="nil"/>
                    <w:tr2bl w:val="nil"/>
                  </w:tcBorders>
                  <w:vAlign w:val="center"/>
                </w:tcPr>
                <w:p w14:paraId="2C146EB5">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气浮</w:t>
                  </w:r>
                </w:p>
              </w:tc>
              <w:tc>
                <w:tcPr>
                  <w:tcW w:w="0" w:type="auto"/>
                  <w:vMerge w:val="continue"/>
                  <w:tcBorders>
                    <w:tl2br w:val="nil"/>
                    <w:tr2bl w:val="nil"/>
                  </w:tcBorders>
                  <w:vAlign w:val="center"/>
                </w:tcPr>
                <w:p w14:paraId="54EEA726">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tcBorders>
                    <w:tl2br w:val="nil"/>
                    <w:tr2bl w:val="nil"/>
                  </w:tcBorders>
                  <w:vAlign w:val="center"/>
                </w:tcPr>
                <w:p w14:paraId="3826FB7F">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488E547A">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A70F627">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51A57C18">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7475E3C8">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03436F9B">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4058AF3B">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r>
            <w:tr w14:paraId="5F9A3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561F7338">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vMerge w:val="continue"/>
                  <w:tcBorders>
                    <w:tl2br w:val="nil"/>
                    <w:tr2bl w:val="nil"/>
                  </w:tcBorders>
                  <w:vAlign w:val="center"/>
                </w:tcPr>
                <w:p w14:paraId="5D79A83C">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tcBorders>
                    <w:tl2br w:val="nil"/>
                    <w:tr2bl w:val="nil"/>
                  </w:tcBorders>
                  <w:vAlign w:val="center"/>
                </w:tcPr>
                <w:p w14:paraId="47D4ED68">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混凝沉淀</w:t>
                  </w:r>
                </w:p>
              </w:tc>
              <w:tc>
                <w:tcPr>
                  <w:tcW w:w="0" w:type="auto"/>
                  <w:vMerge w:val="continue"/>
                  <w:tcBorders>
                    <w:tl2br w:val="nil"/>
                    <w:tr2bl w:val="nil"/>
                  </w:tcBorders>
                  <w:vAlign w:val="center"/>
                </w:tcPr>
                <w:p w14:paraId="430CED37">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tcBorders>
                    <w:tl2br w:val="nil"/>
                    <w:tr2bl w:val="nil"/>
                  </w:tcBorders>
                  <w:vAlign w:val="center"/>
                </w:tcPr>
                <w:p w14:paraId="4B3986D8">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3B876BC7">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362D3AEA">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5EFD3F30">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39A80B4F">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10112DFF">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32042E83">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r>
            <w:tr w14:paraId="0A182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22F60BC5">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vMerge w:val="continue"/>
                  <w:tcBorders>
                    <w:tl2br w:val="nil"/>
                    <w:tr2bl w:val="nil"/>
                  </w:tcBorders>
                  <w:vAlign w:val="center"/>
                </w:tcPr>
                <w:p w14:paraId="59323302">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tcBorders>
                    <w:tl2br w:val="nil"/>
                    <w:tr2bl w:val="nil"/>
                  </w:tcBorders>
                  <w:vAlign w:val="center"/>
                </w:tcPr>
                <w:p w14:paraId="64A704B3">
                  <w:pPr>
                    <w:pStyle w:val="2"/>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default" w:ascii="Times New Roman" w:hAnsi="Times New Roman" w:eastAsia="宋体" w:cs="Times New Roman"/>
                      <w:b w:val="0"/>
                      <w:sz w:val="21"/>
                      <w:szCs w:val="21"/>
                      <w:vertAlign w:val="baseline"/>
                      <w:lang w:val="en-US" w:eastAsia="zh-CN" w:bidi="ar-SA"/>
                    </w:rPr>
                    <w:t>生物接触氧化</w:t>
                  </w:r>
                </w:p>
              </w:tc>
              <w:tc>
                <w:tcPr>
                  <w:tcW w:w="0" w:type="auto"/>
                  <w:vMerge w:val="continue"/>
                  <w:tcBorders>
                    <w:tl2br w:val="nil"/>
                    <w:tr2bl w:val="nil"/>
                  </w:tcBorders>
                  <w:vAlign w:val="center"/>
                </w:tcPr>
                <w:p w14:paraId="26622D1E">
                  <w:pPr>
                    <w:keepNext w:val="0"/>
                    <w:keepLines w:val="0"/>
                    <w:pageBreakBefore w:val="0"/>
                    <w:widowControl w:val="0"/>
                    <w:numPr>
                      <w:ilvl w:val="0"/>
                      <w:numId w:val="0"/>
                    </w:numPr>
                    <w:kinsoku/>
                    <w:wordWrap/>
                    <w:overflowPunct/>
                    <w:topLinePunct w:val="0"/>
                    <w:autoSpaceDE w:val="0"/>
                    <w:autoSpaceDN w:val="0"/>
                    <w:bidi w:val="0"/>
                    <w:spacing w:line="240" w:lineRule="auto"/>
                    <w:jc w:val="center"/>
                    <w:textAlignment w:val="auto"/>
                    <w:outlineLvl w:val="9"/>
                    <w:rPr>
                      <w:rFonts w:hint="default" w:ascii="Times New Roman" w:hAnsi="Times New Roman" w:eastAsia="宋体" w:cs="Times New Roman"/>
                      <w:b w:val="0"/>
                      <w:sz w:val="21"/>
                      <w:szCs w:val="21"/>
                      <w:vertAlign w:val="baseline"/>
                      <w:lang w:val="en-US" w:eastAsia="zh-CN" w:bidi="ar-SA"/>
                    </w:rPr>
                  </w:pPr>
                </w:p>
              </w:tc>
              <w:tc>
                <w:tcPr>
                  <w:tcW w:w="0" w:type="auto"/>
                  <w:tcBorders>
                    <w:tl2br w:val="nil"/>
                    <w:tr2bl w:val="nil"/>
                  </w:tcBorders>
                  <w:vAlign w:val="center"/>
                </w:tcPr>
                <w:p w14:paraId="03F6B04A">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22C0EBEF">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5020185E">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C122411">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21D05EB">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FA936D1">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41FF3DD1">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outlineLvl w:val="9"/>
                    <w:rPr>
                      <w:rFonts w:hint="default" w:ascii="Times New Roman" w:hAnsi="Times New Roman" w:eastAsia="宋体" w:cs="Times New Roman"/>
                      <w:b w:val="0"/>
                      <w:sz w:val="21"/>
                      <w:szCs w:val="21"/>
                      <w:vertAlign w:val="baseline"/>
                      <w:lang w:val="en-US" w:eastAsia="zh-CN" w:bidi="ar-SA"/>
                    </w:rPr>
                  </w:pPr>
                  <w:r>
                    <w:rPr>
                      <w:rFonts w:hint="eastAsia" w:cs="Times New Roman"/>
                      <w:b w:val="0"/>
                      <w:sz w:val="21"/>
                      <w:szCs w:val="21"/>
                      <w:vertAlign w:val="baseline"/>
                      <w:lang w:val="en-US" w:eastAsia="zh-CN" w:bidi="ar-SA"/>
                    </w:rPr>
                    <w:t>***</w:t>
                  </w:r>
                </w:p>
              </w:tc>
            </w:tr>
          </w:tbl>
          <w:p w14:paraId="3248D7C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eastAsia" w:ascii="Times New Roman" w:hAnsi="Times New Roman"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表4-10  本项目生产废水产生及接管情况一览表</w:t>
            </w:r>
          </w:p>
          <w:tbl>
            <w:tblPr>
              <w:tblStyle w:val="2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439"/>
              <w:gridCol w:w="919"/>
              <w:gridCol w:w="2097"/>
              <w:gridCol w:w="1793"/>
              <w:gridCol w:w="2325"/>
            </w:tblGrid>
            <w:tr w14:paraId="5F3805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6EE5C9F9">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污染源</w:t>
                  </w:r>
                </w:p>
              </w:tc>
              <w:tc>
                <w:tcPr>
                  <w:tcW w:w="0" w:type="auto"/>
                  <w:tcBorders>
                    <w:tl2br w:val="nil"/>
                    <w:tr2bl w:val="nil"/>
                  </w:tcBorders>
                  <w:vAlign w:val="center"/>
                </w:tcPr>
                <w:p w14:paraId="53500F2C">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污水量（t）</w:t>
                  </w:r>
                </w:p>
              </w:tc>
              <w:tc>
                <w:tcPr>
                  <w:tcW w:w="0" w:type="auto"/>
                  <w:tcBorders>
                    <w:tl2br w:val="nil"/>
                    <w:tr2bl w:val="nil"/>
                  </w:tcBorders>
                  <w:vAlign w:val="center"/>
                </w:tcPr>
                <w:p w14:paraId="29BFB70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污染物</w:t>
                  </w:r>
                </w:p>
              </w:tc>
              <w:tc>
                <w:tcPr>
                  <w:tcW w:w="0" w:type="auto"/>
                  <w:tcBorders>
                    <w:tl2br w:val="nil"/>
                    <w:tr2bl w:val="nil"/>
                  </w:tcBorders>
                  <w:vAlign w:val="center"/>
                </w:tcPr>
                <w:p w14:paraId="2CDA275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产生浓度（mg/L）</w:t>
                  </w:r>
                </w:p>
              </w:tc>
              <w:tc>
                <w:tcPr>
                  <w:tcW w:w="0" w:type="auto"/>
                  <w:tcBorders>
                    <w:tl2br w:val="nil"/>
                    <w:tr2bl w:val="nil"/>
                  </w:tcBorders>
                  <w:vAlign w:val="center"/>
                </w:tcPr>
                <w:p w14:paraId="1DCBFFF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处理效率（%）</w:t>
                  </w:r>
                </w:p>
              </w:tc>
              <w:tc>
                <w:tcPr>
                  <w:tcW w:w="0" w:type="auto"/>
                  <w:tcBorders>
                    <w:tl2br w:val="nil"/>
                    <w:tr2bl w:val="nil"/>
                  </w:tcBorders>
                  <w:vAlign w:val="center"/>
                </w:tcPr>
                <w:p w14:paraId="0A665BC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处理后浓度（mg/L）</w:t>
                  </w:r>
                </w:p>
              </w:tc>
            </w:tr>
            <w:tr w14:paraId="3D55B9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l2br w:val="nil"/>
                    <w:tr2bl w:val="nil"/>
                  </w:tcBorders>
                  <w:vAlign w:val="center"/>
                </w:tcPr>
                <w:p w14:paraId="40B79FC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生产废水</w:t>
                  </w:r>
                </w:p>
              </w:tc>
              <w:tc>
                <w:tcPr>
                  <w:tcW w:w="0" w:type="auto"/>
                  <w:vMerge w:val="restart"/>
                  <w:tcBorders>
                    <w:tl2br w:val="nil"/>
                    <w:tr2bl w:val="nil"/>
                  </w:tcBorders>
                  <w:vAlign w:val="center"/>
                </w:tcPr>
                <w:p w14:paraId="339F3F3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1081435</w:t>
                  </w:r>
                </w:p>
              </w:tc>
              <w:tc>
                <w:tcPr>
                  <w:tcW w:w="0" w:type="auto"/>
                  <w:tcBorders>
                    <w:tl2br w:val="nil"/>
                    <w:tr2bl w:val="nil"/>
                  </w:tcBorders>
                  <w:vAlign w:val="center"/>
                </w:tcPr>
                <w:p w14:paraId="1D90D1C6">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COD</w:t>
                  </w:r>
                </w:p>
              </w:tc>
              <w:tc>
                <w:tcPr>
                  <w:tcW w:w="0" w:type="auto"/>
                  <w:tcBorders>
                    <w:tl2br w:val="nil"/>
                    <w:tr2bl w:val="nil"/>
                  </w:tcBorders>
                  <w:vAlign w:val="center"/>
                </w:tcPr>
                <w:p w14:paraId="3F2D01F6">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467.4</w:t>
                  </w:r>
                </w:p>
              </w:tc>
              <w:tc>
                <w:tcPr>
                  <w:tcW w:w="0" w:type="auto"/>
                  <w:tcBorders>
                    <w:tl2br w:val="nil"/>
                    <w:tr2bl w:val="nil"/>
                  </w:tcBorders>
                  <w:vAlign w:val="center"/>
                </w:tcPr>
                <w:p w14:paraId="66374CA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A74FC3A">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r w14:paraId="704FC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1AE2BE8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vMerge w:val="continue"/>
                  <w:tcBorders>
                    <w:tl2br w:val="nil"/>
                    <w:tr2bl w:val="nil"/>
                  </w:tcBorders>
                  <w:vAlign w:val="center"/>
                </w:tcPr>
                <w:p w14:paraId="117FE2B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tcBorders>
                    <w:tl2br w:val="nil"/>
                    <w:tr2bl w:val="nil"/>
                  </w:tcBorders>
                  <w:vAlign w:val="center"/>
                </w:tcPr>
                <w:p w14:paraId="3D2B2E3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BOD</w:t>
                  </w:r>
                  <w:r>
                    <w:rPr>
                      <w:rFonts w:hint="default" w:ascii="Times New Roman" w:hAnsi="Times New Roman" w:eastAsia="宋体" w:cs="Times New Roman"/>
                      <w:b w:val="0"/>
                      <w:bCs w:val="0"/>
                      <w:color w:val="auto"/>
                      <w:sz w:val="21"/>
                      <w:szCs w:val="21"/>
                      <w:vertAlign w:val="subscript"/>
                      <w:lang w:val="en-US" w:eastAsia="zh-CN"/>
                    </w:rPr>
                    <w:t>5</w:t>
                  </w:r>
                </w:p>
              </w:tc>
              <w:tc>
                <w:tcPr>
                  <w:tcW w:w="0" w:type="auto"/>
                  <w:tcBorders>
                    <w:tl2br w:val="nil"/>
                    <w:tr2bl w:val="nil"/>
                  </w:tcBorders>
                  <w:vAlign w:val="center"/>
                </w:tcPr>
                <w:p w14:paraId="5A840CC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60</w:t>
                  </w:r>
                </w:p>
              </w:tc>
              <w:tc>
                <w:tcPr>
                  <w:tcW w:w="0" w:type="auto"/>
                  <w:tcBorders>
                    <w:tl2br w:val="nil"/>
                    <w:tr2bl w:val="nil"/>
                  </w:tcBorders>
                  <w:vAlign w:val="center"/>
                </w:tcPr>
                <w:p w14:paraId="4B17A82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18E3B953">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r w14:paraId="43CE2B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4BCD26E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vMerge w:val="continue"/>
                  <w:tcBorders>
                    <w:tl2br w:val="nil"/>
                    <w:tr2bl w:val="nil"/>
                  </w:tcBorders>
                  <w:vAlign w:val="center"/>
                </w:tcPr>
                <w:p w14:paraId="55921A5F">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tcBorders>
                    <w:tl2br w:val="nil"/>
                    <w:tr2bl w:val="nil"/>
                  </w:tcBorders>
                  <w:vAlign w:val="center"/>
                </w:tcPr>
                <w:p w14:paraId="3475F9D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SS</w:t>
                  </w:r>
                </w:p>
              </w:tc>
              <w:tc>
                <w:tcPr>
                  <w:tcW w:w="0" w:type="auto"/>
                  <w:tcBorders>
                    <w:tl2br w:val="nil"/>
                    <w:tr2bl w:val="nil"/>
                  </w:tcBorders>
                  <w:vAlign w:val="center"/>
                </w:tcPr>
                <w:p w14:paraId="021CD15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100</w:t>
                  </w:r>
                </w:p>
              </w:tc>
              <w:tc>
                <w:tcPr>
                  <w:tcW w:w="0" w:type="auto"/>
                  <w:tcBorders>
                    <w:tl2br w:val="nil"/>
                    <w:tr2bl w:val="nil"/>
                  </w:tcBorders>
                  <w:vAlign w:val="center"/>
                </w:tcPr>
                <w:p w14:paraId="43B0395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6DC58F8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r w14:paraId="05D850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77121FA6">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vMerge w:val="continue"/>
                  <w:tcBorders>
                    <w:tl2br w:val="nil"/>
                    <w:tr2bl w:val="nil"/>
                  </w:tcBorders>
                  <w:vAlign w:val="center"/>
                </w:tcPr>
                <w:p w14:paraId="7F96B45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tcBorders>
                    <w:tl2br w:val="nil"/>
                    <w:tr2bl w:val="nil"/>
                  </w:tcBorders>
                  <w:vAlign w:val="center"/>
                </w:tcPr>
                <w:p w14:paraId="37F41E7D">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氨氮</w:t>
                  </w:r>
                </w:p>
              </w:tc>
              <w:tc>
                <w:tcPr>
                  <w:tcW w:w="0" w:type="auto"/>
                  <w:tcBorders>
                    <w:tl2br w:val="nil"/>
                    <w:tr2bl w:val="nil"/>
                  </w:tcBorders>
                  <w:vAlign w:val="center"/>
                </w:tcPr>
                <w:p w14:paraId="3553E88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1.6</w:t>
                  </w:r>
                </w:p>
              </w:tc>
              <w:tc>
                <w:tcPr>
                  <w:tcW w:w="0" w:type="auto"/>
                  <w:tcBorders>
                    <w:tl2br w:val="nil"/>
                    <w:tr2bl w:val="nil"/>
                  </w:tcBorders>
                  <w:vAlign w:val="center"/>
                </w:tcPr>
                <w:p w14:paraId="4A1B3EC5">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3F76462D">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r w14:paraId="0DF45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1A9B4EA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vMerge w:val="continue"/>
                  <w:tcBorders>
                    <w:tl2br w:val="nil"/>
                    <w:tr2bl w:val="nil"/>
                  </w:tcBorders>
                  <w:vAlign w:val="center"/>
                </w:tcPr>
                <w:p w14:paraId="7EC99EA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tcBorders>
                    <w:tl2br w:val="nil"/>
                    <w:tr2bl w:val="nil"/>
                  </w:tcBorders>
                  <w:vAlign w:val="center"/>
                </w:tcPr>
                <w:p w14:paraId="6DC99F9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石油类</w:t>
                  </w:r>
                </w:p>
              </w:tc>
              <w:tc>
                <w:tcPr>
                  <w:tcW w:w="0" w:type="auto"/>
                  <w:tcBorders>
                    <w:tl2br w:val="nil"/>
                    <w:tr2bl w:val="nil"/>
                  </w:tcBorders>
                  <w:vAlign w:val="center"/>
                </w:tcPr>
                <w:p w14:paraId="3DD93127">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20</w:t>
                  </w:r>
                </w:p>
              </w:tc>
              <w:tc>
                <w:tcPr>
                  <w:tcW w:w="0" w:type="auto"/>
                  <w:tcBorders>
                    <w:tl2br w:val="nil"/>
                    <w:tr2bl w:val="nil"/>
                  </w:tcBorders>
                  <w:vAlign w:val="center"/>
                </w:tcPr>
                <w:p w14:paraId="5203DF11">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413234A4">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r w14:paraId="0E23A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6CDF0469">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vMerge w:val="continue"/>
                  <w:tcBorders>
                    <w:tl2br w:val="nil"/>
                    <w:tr2bl w:val="nil"/>
                  </w:tcBorders>
                  <w:vAlign w:val="center"/>
                </w:tcPr>
                <w:p w14:paraId="114AFD1E">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tcBorders>
                    <w:tl2br w:val="nil"/>
                    <w:tr2bl w:val="nil"/>
                  </w:tcBorders>
                  <w:vAlign w:val="center"/>
                </w:tcPr>
                <w:p w14:paraId="7F6B9942">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总氮</w:t>
                  </w:r>
                </w:p>
              </w:tc>
              <w:tc>
                <w:tcPr>
                  <w:tcW w:w="0" w:type="auto"/>
                  <w:tcBorders>
                    <w:tl2br w:val="nil"/>
                    <w:tr2bl w:val="nil"/>
                  </w:tcBorders>
                  <w:vAlign w:val="center"/>
                </w:tcPr>
                <w:p w14:paraId="70760F7C">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4.6</w:t>
                  </w:r>
                </w:p>
              </w:tc>
              <w:tc>
                <w:tcPr>
                  <w:tcW w:w="0" w:type="auto"/>
                  <w:tcBorders>
                    <w:tl2br w:val="nil"/>
                    <w:tr2bl w:val="nil"/>
                  </w:tcBorders>
                  <w:vAlign w:val="center"/>
                </w:tcPr>
                <w:p w14:paraId="2ED715FE">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5D356277">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r w14:paraId="01316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l2br w:val="nil"/>
                    <w:tr2bl w:val="nil"/>
                  </w:tcBorders>
                  <w:vAlign w:val="center"/>
                </w:tcPr>
                <w:p w14:paraId="0F61D68C">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vMerge w:val="continue"/>
                  <w:tcBorders>
                    <w:tl2br w:val="nil"/>
                    <w:tr2bl w:val="nil"/>
                  </w:tcBorders>
                  <w:vAlign w:val="center"/>
                </w:tcPr>
                <w:p w14:paraId="00DED8DA">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0" w:type="auto"/>
                  <w:tcBorders>
                    <w:tl2br w:val="nil"/>
                    <w:tr2bl w:val="nil"/>
                  </w:tcBorders>
                  <w:vAlign w:val="center"/>
                </w:tcPr>
                <w:p w14:paraId="5C4C8440">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lang w:val="en-US" w:eastAsia="zh-CN"/>
                    </w:rPr>
                    <w:t>总磷</w:t>
                  </w:r>
                </w:p>
              </w:tc>
              <w:tc>
                <w:tcPr>
                  <w:tcW w:w="0" w:type="auto"/>
                  <w:tcBorders>
                    <w:tl2br w:val="nil"/>
                    <w:tr2bl w:val="nil"/>
                  </w:tcBorders>
                  <w:vAlign w:val="center"/>
                </w:tcPr>
                <w:p w14:paraId="7D5F187B">
                  <w:pPr>
                    <w:keepNext w:val="0"/>
                    <w:keepLines w:val="0"/>
                    <w:pageBreakBefore w:val="0"/>
                    <w:widowControl w:val="0"/>
                    <w:numPr>
                      <w:ilvl w:val="0"/>
                      <w:numId w:val="0"/>
                    </w:numPr>
                    <w:suppressLineNumbers w:val="0"/>
                    <w:kinsoku/>
                    <w:wordWrap/>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0.3</w:t>
                  </w:r>
                </w:p>
              </w:tc>
              <w:tc>
                <w:tcPr>
                  <w:tcW w:w="0" w:type="auto"/>
                  <w:tcBorders>
                    <w:tl2br w:val="nil"/>
                    <w:tr2bl w:val="nil"/>
                  </w:tcBorders>
                  <w:vAlign w:val="center"/>
                </w:tcPr>
                <w:p w14:paraId="3DE8F288">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c>
                <w:tcPr>
                  <w:tcW w:w="0" w:type="auto"/>
                  <w:tcBorders>
                    <w:tl2br w:val="nil"/>
                    <w:tr2bl w:val="nil"/>
                  </w:tcBorders>
                  <w:vAlign w:val="center"/>
                </w:tcPr>
                <w:p w14:paraId="4CE0518F">
                  <w:pPr>
                    <w:keepNext w:val="0"/>
                    <w:keepLines w:val="0"/>
                    <w:pageBreakBefore w:val="0"/>
                    <w:widowControl w:val="0"/>
                    <w:numPr>
                      <w:ilvl w:val="0"/>
                      <w:numId w:val="0"/>
                    </w:numPr>
                    <w:suppressLineNumbers w:val="0"/>
                    <w:kinsoku/>
                    <w:wordWrap/>
                    <w:bidi w:val="0"/>
                    <w:spacing w:before="0" w:beforeAutospacing="0" w:after="0" w:afterAutospacing="0" w:line="240" w:lineRule="auto"/>
                    <w:ind w:right="0" w:right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sz w:val="21"/>
                      <w:szCs w:val="21"/>
                      <w:vertAlign w:val="baseline"/>
                      <w:lang w:val="en-US" w:eastAsia="zh-CN" w:bidi="ar-SA"/>
                    </w:rPr>
                    <w:t>***</w:t>
                  </w:r>
                </w:p>
              </w:tc>
            </w:tr>
          </w:tbl>
          <w:p w14:paraId="62F9C636">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上表可知，织造废水经厂区污水处理设施处理后能达到《喷水织机行业中水回用水质要求》（TJX001-2018）表1中高回用率水质标准要求。（3）污水治理技术可行性根据本行业类别，对照行业已发布的排污许可技术规范《排污许可证申请与核发技术规范纺织印染工业》（HJ861-2017），本项目废水治理措施</w:t>
            </w:r>
            <w:bookmarkStart w:id="33" w:name="_GoBack"/>
            <w:r>
              <w:rPr>
                <w:rFonts w:hint="default" w:ascii="Times New Roman" w:hAnsi="Times New Roman" w:eastAsia="宋体" w:cs="Times New Roman"/>
                <w:color w:val="auto"/>
                <w:sz w:val="24"/>
                <w:szCs w:val="24"/>
                <w:lang w:val="en-US" w:eastAsia="zh-CN"/>
              </w:rPr>
              <w:t>及与</w:t>
            </w:r>
            <w:bookmarkEnd w:id="33"/>
            <w:r>
              <w:rPr>
                <w:rFonts w:hint="default" w:ascii="Times New Roman" w:hAnsi="Times New Roman" w:eastAsia="宋体" w:cs="Times New Roman"/>
                <w:color w:val="auto"/>
                <w:sz w:val="24"/>
                <w:szCs w:val="24"/>
                <w:lang w:val="en-US" w:eastAsia="zh-CN"/>
              </w:rPr>
              <w:t>可行技术对照情况如下表所示。</w:t>
            </w:r>
          </w:p>
          <w:p w14:paraId="3E60D71A">
            <w:pPr>
              <w:adjustRightInd w:val="0"/>
              <w:snapToGrid w:val="0"/>
              <w:jc w:val="center"/>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表4-</w:t>
            </w:r>
            <w:r>
              <w:rPr>
                <w:rFonts w:hint="eastAsia" w:ascii="Times New Roman" w:hAnsi="Times New Roman" w:cs="Times New Roman" w:eastAsiaTheme="minorEastAsia"/>
                <w:b/>
                <w:bCs/>
                <w:sz w:val="21"/>
                <w:szCs w:val="21"/>
                <w:lang w:val="en-US" w:eastAsia="zh-CN"/>
              </w:rPr>
              <w:t xml:space="preserve">11  </w:t>
            </w:r>
            <w:r>
              <w:rPr>
                <w:rFonts w:hint="default" w:ascii="Times New Roman" w:hAnsi="Times New Roman" w:cs="Times New Roman" w:eastAsiaTheme="minorEastAsia"/>
                <w:b/>
                <w:bCs/>
                <w:sz w:val="21"/>
                <w:szCs w:val="21"/>
                <w:lang w:val="en-US" w:eastAsia="zh-CN"/>
              </w:rPr>
              <w:t>项目废水治理措施及行业可行技术对照一览表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1590"/>
              <w:gridCol w:w="609"/>
              <w:gridCol w:w="609"/>
              <w:gridCol w:w="4237"/>
              <w:gridCol w:w="1032"/>
              <w:gridCol w:w="640"/>
            </w:tblGrid>
            <w:tr w14:paraId="4B015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0F53D49F">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废水类别</w:t>
                  </w:r>
                </w:p>
              </w:tc>
              <w:tc>
                <w:tcPr>
                  <w:tcW w:w="0" w:type="auto"/>
                  <w:tcBorders>
                    <w:tl2br w:val="nil"/>
                    <w:tr2bl w:val="nil"/>
                  </w:tcBorders>
                  <w:vAlign w:val="center"/>
                </w:tcPr>
                <w:p w14:paraId="719F3A8A">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污染物项目</w:t>
                  </w:r>
                </w:p>
              </w:tc>
              <w:tc>
                <w:tcPr>
                  <w:tcW w:w="0" w:type="auto"/>
                  <w:tcBorders>
                    <w:tl2br w:val="nil"/>
                    <w:tr2bl w:val="nil"/>
                  </w:tcBorders>
                  <w:vAlign w:val="center"/>
                </w:tcPr>
                <w:p w14:paraId="0FF7C174">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排放去向</w:t>
                  </w:r>
                </w:p>
              </w:tc>
              <w:tc>
                <w:tcPr>
                  <w:tcW w:w="0" w:type="auto"/>
                  <w:tcBorders>
                    <w:tl2br w:val="nil"/>
                    <w:tr2bl w:val="nil"/>
                  </w:tcBorders>
                  <w:vAlign w:val="center"/>
                </w:tcPr>
                <w:p w14:paraId="41EB4EA7">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污染物监控位置</w:t>
                  </w:r>
                </w:p>
              </w:tc>
              <w:tc>
                <w:tcPr>
                  <w:tcW w:w="0" w:type="auto"/>
                  <w:tcBorders>
                    <w:tl2br w:val="nil"/>
                    <w:tr2bl w:val="nil"/>
                  </w:tcBorders>
                  <w:vAlign w:val="center"/>
                </w:tcPr>
                <w:p w14:paraId="6225DA00">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HJ961-2017推荐的可行技术</w:t>
                  </w:r>
                </w:p>
              </w:tc>
              <w:tc>
                <w:tcPr>
                  <w:tcW w:w="0" w:type="auto"/>
                  <w:tcBorders>
                    <w:tl2br w:val="nil"/>
                    <w:tr2bl w:val="nil"/>
                  </w:tcBorders>
                  <w:vAlign w:val="center"/>
                </w:tcPr>
                <w:p w14:paraId="53B86EA0">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项目废水治理措施</w:t>
                  </w:r>
                </w:p>
              </w:tc>
              <w:tc>
                <w:tcPr>
                  <w:tcW w:w="0" w:type="auto"/>
                  <w:tcBorders>
                    <w:tl2br w:val="nil"/>
                    <w:tr2bl w:val="nil"/>
                  </w:tcBorders>
                  <w:vAlign w:val="center"/>
                </w:tcPr>
                <w:p w14:paraId="462312AC">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是否属于可行技术</w:t>
                  </w:r>
                </w:p>
              </w:tc>
            </w:tr>
            <w:tr w14:paraId="70A17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2100AA7">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制造废水、清洗废水、喷淋废水</w:t>
                  </w:r>
                </w:p>
              </w:tc>
              <w:tc>
                <w:tcPr>
                  <w:tcW w:w="0" w:type="auto"/>
                  <w:tcBorders>
                    <w:tl2br w:val="nil"/>
                    <w:tr2bl w:val="nil"/>
                  </w:tcBorders>
                  <w:vAlign w:val="center"/>
                </w:tcPr>
                <w:p w14:paraId="46ABF708">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pH值、悬浮物、化学需氧量、五日生化需氧量、氨氮、石油类、总磷、总氮</w:t>
                  </w:r>
                </w:p>
              </w:tc>
              <w:tc>
                <w:tcPr>
                  <w:tcW w:w="0" w:type="auto"/>
                  <w:tcBorders>
                    <w:tl2br w:val="nil"/>
                    <w:tr2bl w:val="nil"/>
                  </w:tcBorders>
                  <w:vAlign w:val="center"/>
                </w:tcPr>
                <w:p w14:paraId="77D08A8C">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全部回用于生产</w:t>
                  </w:r>
                </w:p>
              </w:tc>
              <w:tc>
                <w:tcPr>
                  <w:tcW w:w="0" w:type="auto"/>
                  <w:tcBorders>
                    <w:tl2br w:val="nil"/>
                    <w:tr2bl w:val="nil"/>
                  </w:tcBorders>
                  <w:vAlign w:val="center"/>
                </w:tcPr>
                <w:p w14:paraId="12746FE4">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w:t>
                  </w:r>
                </w:p>
              </w:tc>
              <w:tc>
                <w:tcPr>
                  <w:tcW w:w="0" w:type="auto"/>
                  <w:tcBorders>
                    <w:tl2br w:val="nil"/>
                    <w:tr2bl w:val="nil"/>
                  </w:tcBorders>
                  <w:vAlign w:val="center"/>
                </w:tcPr>
                <w:p w14:paraId="240C07AF">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一级处理设施：捞毛机、格栅、中和调节、气浮、混凝、沉淀及其他；二级处理设施：水解酸化、厌氧生物法、好氧生物法；深度处理设施：活性炭吸附、曝气生物滤池、高级氧化、臭氧、芬顿氧化、滤池/滤布、离子交换、树脂过滤、膜分离、人工湿地及其他</w:t>
                  </w:r>
                </w:p>
              </w:tc>
              <w:tc>
                <w:tcPr>
                  <w:tcW w:w="0" w:type="auto"/>
                  <w:tcBorders>
                    <w:tl2br w:val="nil"/>
                    <w:tr2bl w:val="nil"/>
                  </w:tcBorders>
                  <w:vAlign w:val="center"/>
                </w:tcPr>
                <w:p w14:paraId="6CE9CABC">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格栅+隔油+调节+气浮+混凝沉淀+生物接触氧化</w:t>
                  </w:r>
                </w:p>
              </w:tc>
              <w:tc>
                <w:tcPr>
                  <w:tcW w:w="0" w:type="auto"/>
                  <w:tcBorders>
                    <w:tl2br w:val="nil"/>
                    <w:tr2bl w:val="nil"/>
                  </w:tcBorders>
                  <w:vAlign w:val="center"/>
                </w:tcPr>
                <w:p w14:paraId="363ED337">
                  <w:pPr>
                    <w:adjustRightInd w:val="0"/>
                    <w:snapToGrid w:val="0"/>
                    <w:spacing w:line="240" w:lineRule="auto"/>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是</w:t>
                  </w:r>
                </w:p>
              </w:tc>
            </w:tr>
          </w:tbl>
          <w:p w14:paraId="5282A2EE">
            <w:pPr>
              <w:adjustRightInd w:val="0"/>
              <w:snapToGrid w:val="0"/>
              <w:jc w:val="center"/>
              <w:rPr>
                <w:rFonts w:hint="default" w:ascii="Times New Roman" w:hAnsi="Times New Roman" w:cs="Times New Roman" w:eastAsiaTheme="minorEastAsia"/>
                <w:b/>
                <w:bCs/>
                <w:sz w:val="21"/>
                <w:szCs w:val="21"/>
                <w:lang w:val="en-US" w:eastAsia="zh-CN"/>
              </w:rPr>
            </w:pPr>
          </w:p>
          <w:p w14:paraId="2ACAC1CF">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根据上表本项目生产废水主要产生于喷水织造工段、清洗工段，该部分废水进入厂区污水处理站处理达标</w:t>
            </w:r>
            <w:r>
              <w:rPr>
                <w:rFonts w:hint="eastAsia" w:ascii="Times New Roman" w:hAnsi="Times New Roman" w:cs="Times New Roman"/>
                <w:color w:val="auto"/>
                <w:sz w:val="24"/>
                <w:szCs w:val="24"/>
                <w:lang w:val="en-US" w:eastAsia="zh-CN"/>
              </w:rPr>
              <w:t>后全部回用于生产</w:t>
            </w:r>
            <w:r>
              <w:rPr>
                <w:rFonts w:hint="eastAsia" w:ascii="Times New Roman" w:hAnsi="Times New Roman" w:eastAsia="宋体" w:cs="Times New Roman"/>
                <w:color w:val="auto"/>
                <w:sz w:val="24"/>
                <w:szCs w:val="24"/>
                <w:lang w:val="en-US" w:eastAsia="zh-CN"/>
              </w:rPr>
              <w:t>；污水处理工艺为“格栅+隔油+调节+气浮+混凝沉淀+生物接触氧化”，属于《排污许可证申请与核发技术规范纺织印染工业》（HJ861-2017）中推荐的可行技术。因此本项目拟采取的废水处理设施是可行的。</w:t>
            </w:r>
          </w:p>
          <w:p w14:paraId="346548F0">
            <w:pPr>
              <w:keepNext w:val="0"/>
              <w:keepLines w:val="0"/>
              <w:pageBreakBefore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cs="Times New Roman"/>
                <w:bCs/>
                <w:sz w:val="24"/>
                <w:szCs w:val="24"/>
                <w:highlight w:val="none"/>
                <w:lang w:eastAsia="zh-CN"/>
              </w:rPr>
              <w:t>本项目</w:t>
            </w:r>
            <w:r>
              <w:rPr>
                <w:rFonts w:hint="eastAsia" w:ascii="Times New Roman" w:hAnsi="Times New Roman" w:cs="Times New Roman"/>
                <w:bCs/>
                <w:sz w:val="24"/>
                <w:szCs w:val="24"/>
                <w:highlight w:val="none"/>
                <w:lang w:val="en-US" w:eastAsia="zh-CN"/>
              </w:rPr>
              <w:t>生活污水</w:t>
            </w:r>
            <w:r>
              <w:rPr>
                <w:rFonts w:hint="default" w:ascii="Times New Roman" w:hAnsi="Times New Roman" w:cs="Times New Roman"/>
                <w:bCs/>
                <w:sz w:val="24"/>
                <w:szCs w:val="24"/>
                <w:highlight w:val="none"/>
                <w:lang w:val="en-US" w:eastAsia="zh-CN"/>
              </w:rPr>
              <w:t>进入</w:t>
            </w:r>
            <w:r>
              <w:rPr>
                <w:rFonts w:hint="eastAsia" w:ascii="Times New Roman" w:hAnsi="Times New Roman" w:cs="Times New Roman"/>
                <w:bCs/>
                <w:sz w:val="24"/>
                <w:szCs w:val="24"/>
                <w:highlight w:val="none"/>
                <w:lang w:val="en-US" w:eastAsia="zh-CN"/>
              </w:rPr>
              <w:t>园区</w:t>
            </w:r>
            <w:r>
              <w:rPr>
                <w:rFonts w:hint="default" w:ascii="Times New Roman" w:hAnsi="Times New Roman" w:cs="Times New Roman"/>
                <w:bCs/>
                <w:sz w:val="24"/>
                <w:szCs w:val="24"/>
                <w:highlight w:val="none"/>
                <w:lang w:val="en-US" w:eastAsia="zh-CN"/>
              </w:rPr>
              <w:t>下水管网</w:t>
            </w:r>
            <w:bookmarkStart w:id="15" w:name="_Hlk194405972"/>
            <w:r>
              <w:rPr>
                <w:rFonts w:hint="default" w:ascii="Times New Roman" w:hAnsi="Times New Roman" w:eastAsia="宋体" w:cs="Times New Roman"/>
                <w:sz w:val="24"/>
                <w:szCs w:val="24"/>
                <w:highlight w:val="none"/>
              </w:rPr>
              <w:t>，最终排入</w:t>
            </w:r>
            <w:r>
              <w:rPr>
                <w:rFonts w:hint="eastAsia" w:ascii="Times New Roman" w:hAnsi="Times New Roman" w:eastAsia="宋体" w:cs="Times New Roman"/>
                <w:color w:val="auto"/>
                <w:sz w:val="24"/>
                <w:szCs w:val="24"/>
                <w:lang w:val="en-US" w:eastAsia="zh-CN"/>
              </w:rPr>
              <w:t>乌苏市污水处理厂</w:t>
            </w:r>
            <w:r>
              <w:rPr>
                <w:rFonts w:hint="default" w:ascii="Times New Roman" w:hAnsi="Times New Roman" w:eastAsia="宋体" w:cs="Times New Roman"/>
                <w:sz w:val="24"/>
                <w:szCs w:val="24"/>
                <w:highlight w:val="none"/>
              </w:rPr>
              <w:t>处理。</w:t>
            </w:r>
          </w:p>
          <w:p w14:paraId="720E8498">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《乌苏市污水处理厂日处理1.5万m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 xml:space="preserve">扩建工程环境影响报告书》于2019年1月21日取得环评批复（新环函〔2019〕100号），于2019年6月30日通过竣工验收（验收意见：乌污水字〔2019〕131号）。根据《乌苏市污水处理厂日处理 </w:t>
            </w:r>
            <w:r>
              <w:rPr>
                <w:rFonts w:hint="default" w:ascii="Times New Roman" w:hAnsi="Times New Roman" w:eastAsia="宋体" w:cs="Times New Roman"/>
                <w:color w:val="auto"/>
                <w:sz w:val="24"/>
                <w:szCs w:val="24"/>
                <w:lang w:val="en-US" w:eastAsia="zh-CN"/>
              </w:rPr>
              <w:t xml:space="preserve">1.5 </w:t>
            </w:r>
            <w:r>
              <w:rPr>
                <w:rFonts w:hint="eastAsia" w:ascii="Times New Roman" w:hAnsi="Times New Roman" w:eastAsia="宋体" w:cs="Times New Roman"/>
                <w:color w:val="auto"/>
                <w:sz w:val="24"/>
                <w:szCs w:val="24"/>
                <w:lang w:val="en-US" w:eastAsia="zh-CN"/>
              </w:rPr>
              <w:t>万吨扩建工程环境影响报告书》，污水处理厂污水处理工艺采用</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粗格栅</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污水提升泵房（潜水排污泵）</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细格栅</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旋流沉砂池</w:t>
            </w:r>
            <w:r>
              <w:rPr>
                <w:rFonts w:hint="default" w:ascii="Times New Roman" w:hAnsi="Times New Roman" w:eastAsia="宋体" w:cs="Times New Roman"/>
                <w:color w:val="auto"/>
                <w:sz w:val="24"/>
                <w:szCs w:val="24"/>
                <w:lang w:val="en-US" w:eastAsia="zh-CN"/>
              </w:rPr>
              <w:t xml:space="preserve">→EBIS </w:t>
            </w:r>
            <w:r>
              <w:rPr>
                <w:rFonts w:hint="eastAsia" w:ascii="Times New Roman" w:hAnsi="Times New Roman" w:eastAsia="宋体" w:cs="Times New Roman"/>
                <w:color w:val="auto"/>
                <w:sz w:val="24"/>
                <w:szCs w:val="24"/>
                <w:lang w:val="en-US" w:eastAsia="zh-CN"/>
              </w:rPr>
              <w:t>生化池</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污水深度处理系统</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消毒。</w:t>
            </w:r>
            <w:r>
              <w:rPr>
                <w:rFonts w:hint="default" w:ascii="Times New Roman" w:hAnsi="Times New Roman" w:eastAsia="宋体" w:cs="Times New Roman"/>
                <w:color w:val="auto"/>
                <w:sz w:val="24"/>
                <w:szCs w:val="24"/>
                <w:lang w:val="en-US" w:eastAsia="zh-CN"/>
              </w:rPr>
              <w:t>出水水质达到《城镇污水厂污染物排放标准》（GB18918-2002）中一级A标准。</w:t>
            </w:r>
          </w:p>
          <w:bookmarkEnd w:id="15"/>
          <w:p w14:paraId="2C10CD45">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hint="eastAsia" w:ascii="Times New Roman" w:hAnsi="Times New Roman" w:eastAsia="宋体" w:cs="Times New Roman"/>
                <w:color w:val="auto"/>
                <w:sz w:val="24"/>
                <w:szCs w:val="24"/>
                <w:lang w:val="en-US" w:eastAsia="zh-CN"/>
              </w:rPr>
              <w:t>生活污水</w:t>
            </w:r>
            <w:r>
              <w:rPr>
                <w:rFonts w:hint="default" w:ascii="Times New Roman" w:hAnsi="Times New Roman" w:eastAsia="宋体" w:cs="Times New Roman"/>
                <w:color w:val="auto"/>
                <w:sz w:val="24"/>
                <w:szCs w:val="24"/>
                <w:lang w:val="en-US" w:eastAsia="zh-CN"/>
              </w:rPr>
              <w:t>量约为</w:t>
            </w:r>
            <w:r>
              <w:rPr>
                <w:rFonts w:hint="eastAsia" w:ascii="Times New Roman" w:hAnsi="Times New Roman" w:cs="Times New Roman"/>
                <w:bCs/>
                <w:sz w:val="24"/>
                <w:szCs w:val="24"/>
                <w:highlight w:val="none"/>
                <w:lang w:val="en-US" w:eastAsia="zh-CN"/>
              </w:rPr>
              <w:t>***</w:t>
            </w:r>
            <w:r>
              <w:rPr>
                <w:rFonts w:hint="default" w:ascii="Times New Roman" w:hAnsi="Times New Roman" w:cs="Times New Roman"/>
                <w:bCs/>
                <w:sz w:val="24"/>
                <w:szCs w:val="24"/>
                <w:highlight w:val="none"/>
                <w:lang w:eastAsia="zh-CN"/>
              </w:rPr>
              <w:t>m</w:t>
            </w:r>
            <w:r>
              <w:rPr>
                <w:rFonts w:hint="default" w:ascii="Times New Roman" w:hAnsi="Times New Roman" w:cs="Times New Roman"/>
                <w:bCs/>
                <w:sz w:val="24"/>
                <w:szCs w:val="24"/>
                <w:highlight w:val="none"/>
                <w:vertAlign w:val="superscript"/>
                <w:lang w:eastAsia="zh-CN"/>
              </w:rPr>
              <w:t>3</w:t>
            </w:r>
            <w:r>
              <w:rPr>
                <w:rFonts w:hint="default" w:ascii="Times New Roman" w:hAnsi="Times New Roman" w:cs="Times New Roman"/>
                <w:bCs/>
                <w:sz w:val="24"/>
                <w:szCs w:val="24"/>
                <w:highlight w:val="none"/>
                <w:lang w:eastAsia="zh-CN"/>
              </w:rPr>
              <w:t>/d</w:t>
            </w:r>
            <w:r>
              <w:rPr>
                <w:rFonts w:hint="default" w:ascii="Times New Roman" w:hAnsi="Times New Roman" w:eastAsia="宋体" w:cs="Times New Roman"/>
                <w:color w:val="auto"/>
                <w:sz w:val="24"/>
                <w:szCs w:val="24"/>
                <w:lang w:val="en-US" w:eastAsia="zh-CN"/>
              </w:rPr>
              <w:t>，占污水处理厂处理水量的</w:t>
            </w:r>
            <w:r>
              <w:rPr>
                <w:rFonts w:hint="eastAsia" w:ascii="Times New Roman" w:hAnsi="Times New Roman" w:cs="Times New Roman"/>
                <w:bCs/>
                <w:sz w:val="24"/>
                <w:szCs w:val="24"/>
                <w:highlight w:val="none"/>
                <w:lang w:val="en-US" w:eastAsia="zh-CN"/>
              </w:rPr>
              <w:t>***</w:t>
            </w:r>
            <w:r>
              <w:rPr>
                <w:rFonts w:hint="default" w:ascii="Times New Roman" w:hAnsi="Times New Roman" w:eastAsia="宋体" w:cs="Times New Roman"/>
                <w:color w:val="auto"/>
                <w:sz w:val="24"/>
                <w:szCs w:val="24"/>
                <w:lang w:val="en-US" w:eastAsia="zh-CN"/>
              </w:rPr>
              <w:t>%，不会对</w:t>
            </w:r>
            <w:r>
              <w:rPr>
                <w:rFonts w:hint="eastAsia" w:ascii="Times New Roman" w:hAnsi="Times New Roman" w:eastAsia="宋体" w:cs="Times New Roman"/>
                <w:color w:val="auto"/>
                <w:sz w:val="24"/>
                <w:szCs w:val="24"/>
                <w:lang w:val="en-US" w:eastAsia="zh-CN"/>
              </w:rPr>
              <w:t>乌苏市污水处理厂</w:t>
            </w:r>
            <w:r>
              <w:rPr>
                <w:rFonts w:hint="default" w:ascii="Times New Roman" w:hAnsi="Times New Roman" w:eastAsia="宋体" w:cs="Times New Roman"/>
                <w:color w:val="auto"/>
                <w:sz w:val="24"/>
                <w:szCs w:val="24"/>
                <w:lang w:val="en-US" w:eastAsia="zh-CN"/>
              </w:rPr>
              <w:t>污水处理负荷冲击。</w:t>
            </w:r>
          </w:p>
          <w:p w14:paraId="2AD87B16">
            <w:pPr>
              <w:adjustRightInd w:val="0"/>
              <w:snapToGrid w:val="0"/>
              <w:spacing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3.</w:t>
            </w:r>
            <w:r>
              <w:rPr>
                <w:rFonts w:ascii="Times New Roman" w:hAnsi="Times New Roman" w:cs="Times New Roman" w:eastAsiaTheme="minorEastAsia"/>
                <w:b/>
                <w:bCs/>
                <w:sz w:val="28"/>
                <w:szCs w:val="28"/>
                <w:lang w:eastAsia="zh-CN"/>
              </w:rPr>
              <w:t>噪声</w:t>
            </w:r>
          </w:p>
          <w:p w14:paraId="4DF6C6AB">
            <w:pPr>
              <w:adjustRightInd w:val="0"/>
              <w:snapToGrid w:val="0"/>
              <w:spacing w:line="360" w:lineRule="auto"/>
              <w:rPr>
                <w:rFonts w:hint="eastAsia" w:cs="Times New Roman"/>
                <w:b/>
                <w:bCs/>
                <w:sz w:val="24"/>
                <w:szCs w:val="24"/>
                <w:lang w:eastAsia="zh-CN"/>
              </w:rPr>
            </w:pPr>
            <w:r>
              <w:rPr>
                <w:rFonts w:hint="eastAsia" w:cs="Times New Roman"/>
                <w:b/>
                <w:bCs/>
                <w:sz w:val="24"/>
                <w:szCs w:val="24"/>
                <w:lang w:eastAsia="zh-CN"/>
              </w:rPr>
              <w:t>3.</w:t>
            </w:r>
            <w:r>
              <w:rPr>
                <w:rFonts w:cs="Times New Roman"/>
                <w:b/>
                <w:bCs/>
                <w:sz w:val="24"/>
                <w:szCs w:val="24"/>
                <w:lang w:eastAsia="zh-CN"/>
              </w:rPr>
              <w:t>1噪声源强</w:t>
            </w:r>
          </w:p>
          <w:p w14:paraId="0F30797F">
            <w:pPr>
              <w:adjustRightInd w:val="0"/>
              <w:snapToGrid w:val="0"/>
              <w:spacing w:line="360" w:lineRule="auto"/>
              <w:ind w:firstLine="480" w:firstLineChars="200"/>
              <w:rPr>
                <w:rFonts w:hint="eastAsia" w:cs="Times New Roman"/>
                <w:sz w:val="24"/>
                <w:szCs w:val="24"/>
                <w:lang w:eastAsia="zh-CN"/>
              </w:rPr>
            </w:pPr>
            <w:r>
              <w:rPr>
                <w:rFonts w:cs="Times New Roman"/>
                <w:sz w:val="24"/>
                <w:szCs w:val="24"/>
                <w:lang w:eastAsia="zh-CN"/>
              </w:rPr>
              <w:t>本项目噪声污染源主要是</w:t>
            </w:r>
            <w:r>
              <w:rPr>
                <w:rFonts w:hint="eastAsia" w:cs="Times New Roman"/>
                <w:sz w:val="24"/>
                <w:szCs w:val="24"/>
                <w:lang w:val="en-US" w:eastAsia="zh-CN"/>
              </w:rPr>
              <w:t>喷水织机</w:t>
            </w:r>
            <w:r>
              <w:rPr>
                <w:rFonts w:ascii="宋体" w:hAnsi="宋体" w:eastAsia="宋体" w:cs="Times New Roman"/>
                <w:sz w:val="24"/>
                <w:szCs w:val="24"/>
                <w:lang w:eastAsia="zh-CN"/>
              </w:rPr>
              <w:t>等</w:t>
            </w:r>
            <w:r>
              <w:rPr>
                <w:rFonts w:cs="Times New Roman"/>
                <w:sz w:val="24"/>
                <w:szCs w:val="24"/>
                <w:lang w:eastAsia="zh-CN"/>
              </w:rPr>
              <w:t>机械设备产生的噪声。</w:t>
            </w:r>
          </w:p>
          <w:p w14:paraId="51B1BBC7">
            <w:pPr>
              <w:adjustRightInd w:val="0"/>
              <w:snapToGrid w:val="0"/>
              <w:jc w:val="center"/>
              <w:rPr>
                <w:rFonts w:ascii="Times New Roman" w:hAnsi="Times New Roman" w:cs="Times New Roman" w:eastAsiaTheme="minorEastAsia"/>
                <w:b/>
                <w:bCs/>
                <w:sz w:val="21"/>
                <w:szCs w:val="21"/>
                <w:lang w:eastAsia="zh-CN"/>
              </w:rPr>
            </w:pPr>
            <w:r>
              <w:rPr>
                <w:rFonts w:ascii="Times New Roman" w:hAnsi="Times New Roman" w:cs="Times New Roman" w:eastAsiaTheme="minorEastAsia"/>
                <w:b/>
                <w:bCs/>
                <w:sz w:val="21"/>
                <w:szCs w:val="21"/>
                <w:lang w:eastAsia="zh-CN"/>
              </w:rPr>
              <w:t>表4-</w:t>
            </w:r>
            <w:r>
              <w:rPr>
                <w:rFonts w:hint="eastAsia" w:ascii="Times New Roman" w:hAnsi="Times New Roman" w:cs="Times New Roman" w:eastAsiaTheme="minorEastAsia"/>
                <w:b/>
                <w:bCs/>
                <w:sz w:val="21"/>
                <w:szCs w:val="21"/>
                <w:lang w:val="en-US" w:eastAsia="zh-CN"/>
              </w:rPr>
              <w:t>12</w:t>
            </w:r>
            <w:r>
              <w:rPr>
                <w:rFonts w:ascii="Times New Roman" w:hAnsi="Times New Roman" w:cs="Times New Roman" w:eastAsiaTheme="minorEastAsia"/>
                <w:b/>
                <w:bCs/>
                <w:sz w:val="21"/>
                <w:szCs w:val="21"/>
                <w:lang w:eastAsia="zh-CN"/>
              </w:rPr>
              <w:t xml:space="preserve"> 项目主要设备噪声源情况</w:t>
            </w:r>
          </w:p>
          <w:tbl>
            <w:tblPr>
              <w:tblStyle w:val="2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429"/>
              <w:gridCol w:w="2430"/>
              <w:gridCol w:w="2430"/>
              <w:gridCol w:w="2431"/>
            </w:tblGrid>
            <w:tr w14:paraId="0651A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5" w:type="dxa"/>
                  <w:vAlign w:val="center"/>
                </w:tcPr>
                <w:p w14:paraId="2A7D9570">
                  <w:pPr>
                    <w:adjustRightInd w:val="0"/>
                    <w:snapToGrid w:val="0"/>
                    <w:spacing w:line="240" w:lineRule="auto"/>
                    <w:jc w:val="center"/>
                    <w:rPr>
                      <w:rFonts w:hint="default" w:ascii="Times New Roman" w:hAnsi="Times New Roman" w:eastAsia="宋体" w:cs="Times New Roman"/>
                      <w:sz w:val="21"/>
                      <w:szCs w:val="21"/>
                      <w:lang w:eastAsia="zh-CN"/>
                    </w:rPr>
                  </w:pPr>
                  <w:bookmarkStart w:id="16" w:name="_Hlk187425292"/>
                  <w:r>
                    <w:rPr>
                      <w:rFonts w:hint="default" w:ascii="Times New Roman" w:hAnsi="Times New Roman" w:eastAsia="宋体" w:cs="Times New Roman"/>
                      <w:sz w:val="21"/>
                      <w:szCs w:val="21"/>
                      <w:lang w:eastAsia="zh-CN"/>
                    </w:rPr>
                    <w:t>噪声源</w:t>
                  </w:r>
                </w:p>
              </w:tc>
              <w:tc>
                <w:tcPr>
                  <w:tcW w:w="2225" w:type="dxa"/>
                  <w:vAlign w:val="center"/>
                </w:tcPr>
                <w:p w14:paraId="2EDAC2DB">
                  <w:pPr>
                    <w:adjustRightInd w:val="0"/>
                    <w:snapToGrid w:val="0"/>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数量（台/套）</w:t>
                  </w:r>
                </w:p>
              </w:tc>
              <w:tc>
                <w:tcPr>
                  <w:tcW w:w="2225" w:type="dxa"/>
                  <w:vAlign w:val="center"/>
                </w:tcPr>
                <w:p w14:paraId="197204E2">
                  <w:pPr>
                    <w:adjustRightInd w:val="0"/>
                    <w:snapToGrid w:val="0"/>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产生强度dB（A）</w:t>
                  </w:r>
                </w:p>
              </w:tc>
              <w:tc>
                <w:tcPr>
                  <w:tcW w:w="2226" w:type="dxa"/>
                  <w:vAlign w:val="center"/>
                </w:tcPr>
                <w:p w14:paraId="463203DB">
                  <w:pPr>
                    <w:adjustRightInd w:val="0"/>
                    <w:snapToGrid w:val="0"/>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降噪措施</w:t>
                  </w:r>
                </w:p>
              </w:tc>
            </w:tr>
            <w:tr w14:paraId="74564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5" w:type="dxa"/>
                  <w:vAlign w:val="center"/>
                </w:tcPr>
                <w:p w14:paraId="06A3C2D5">
                  <w:pPr>
                    <w:adjustRightInd w:val="0"/>
                    <w:snapToGrid w:val="0"/>
                    <w:spacing w:line="240" w:lineRule="auto"/>
                    <w:jc w:val="center"/>
                    <w:rPr>
                      <w:rFonts w:hint="eastAsia" w:ascii="Times New Roman" w:hAnsi="Times New Roman" w:eastAsia="宋体" w:cs="Times New Roman"/>
                      <w:sz w:val="21"/>
                      <w:szCs w:val="21"/>
                      <w:lang w:eastAsia="zh-CN"/>
                    </w:rPr>
                  </w:pPr>
                  <w:r>
                    <w:rPr>
                      <w:rFonts w:hint="eastAsia" w:ascii="Times New Roman" w:hAnsi="Times New Roman" w:cs="Times New Roman"/>
                      <w:color w:val="auto"/>
                      <w:kern w:val="0"/>
                      <w:sz w:val="21"/>
                      <w:szCs w:val="21"/>
                      <w:lang w:val="en-US" w:eastAsia="zh-CN" w:bidi="ar"/>
                    </w:rPr>
                    <w:t>加弹机</w:t>
                  </w:r>
                </w:p>
              </w:tc>
              <w:tc>
                <w:tcPr>
                  <w:tcW w:w="2225" w:type="dxa"/>
                  <w:vAlign w:val="center"/>
                </w:tcPr>
                <w:p w14:paraId="53760F0A">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5" w:type="dxa"/>
                  <w:vAlign w:val="center"/>
                </w:tcPr>
                <w:p w14:paraId="732BCC2B">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6" w:type="dxa"/>
                  <w:vMerge w:val="restart"/>
                  <w:vAlign w:val="center"/>
                </w:tcPr>
                <w:p w14:paraId="72449025">
                  <w:pPr>
                    <w:adjustRightInd w:val="0"/>
                    <w:snapToGrid w:val="0"/>
                    <w:spacing w:line="240" w:lineRule="auto"/>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隔声减震、合理布局、关闭门窗、远离厂界</w:t>
                  </w:r>
                </w:p>
              </w:tc>
            </w:tr>
            <w:tr w14:paraId="0FE29A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5" w:type="dxa"/>
                  <w:vAlign w:val="center"/>
                </w:tcPr>
                <w:p w14:paraId="2C0742A9">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整并机</w:t>
                  </w:r>
                </w:p>
              </w:tc>
              <w:tc>
                <w:tcPr>
                  <w:tcW w:w="2225" w:type="dxa"/>
                  <w:vAlign w:val="center"/>
                </w:tcPr>
                <w:p w14:paraId="2D951BD9">
                  <w:pPr>
                    <w:adjustRightInd w:val="0"/>
                    <w:snapToGrid w:val="0"/>
                    <w:spacing w:line="240" w:lineRule="auto"/>
                    <w:jc w:val="center"/>
                    <w:rPr>
                      <w:rFonts w:hint="default" w:ascii="Times New Roman" w:hAnsi="Times New Roman" w:eastAsia="宋体" w:cs="Times New Roman"/>
                      <w:sz w:val="21"/>
                      <w:szCs w:val="21"/>
                      <w:lang w:eastAsia="zh-CN"/>
                    </w:rPr>
                  </w:pPr>
                  <w:r>
                    <w:rPr>
                      <w:rFonts w:hint="eastAsia" w:ascii="Times New Roman" w:hAnsi="Times New Roman" w:cs="Times New Roman"/>
                      <w:bCs/>
                      <w:sz w:val="24"/>
                      <w:szCs w:val="24"/>
                      <w:highlight w:val="none"/>
                      <w:lang w:val="en-US" w:eastAsia="zh-CN"/>
                    </w:rPr>
                    <w:t>***</w:t>
                  </w:r>
                </w:p>
              </w:tc>
              <w:tc>
                <w:tcPr>
                  <w:tcW w:w="2225" w:type="dxa"/>
                  <w:vAlign w:val="center"/>
                </w:tcPr>
                <w:p w14:paraId="4C5A0E20">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6" w:type="dxa"/>
                  <w:vMerge w:val="continue"/>
                  <w:vAlign w:val="center"/>
                </w:tcPr>
                <w:p w14:paraId="35DCC79A">
                  <w:pPr>
                    <w:adjustRightInd w:val="0"/>
                    <w:snapToGrid w:val="0"/>
                    <w:spacing w:line="240" w:lineRule="auto"/>
                    <w:jc w:val="center"/>
                    <w:rPr>
                      <w:rFonts w:hint="default" w:ascii="Times New Roman" w:hAnsi="Times New Roman" w:eastAsia="宋体" w:cs="Times New Roman"/>
                      <w:sz w:val="21"/>
                      <w:szCs w:val="21"/>
                      <w:lang w:eastAsia="zh-CN"/>
                    </w:rPr>
                  </w:pPr>
                </w:p>
              </w:tc>
            </w:tr>
            <w:tr w14:paraId="1308BC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5" w:type="dxa"/>
                  <w:vAlign w:val="center"/>
                </w:tcPr>
                <w:p w14:paraId="03519DDA">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i w:val="0"/>
                      <w:iCs w:val="0"/>
                      <w:color w:val="000000"/>
                      <w:kern w:val="0"/>
                      <w:sz w:val="21"/>
                      <w:szCs w:val="21"/>
                      <w:highlight w:val="none"/>
                      <w:u w:val="none"/>
                      <w:lang w:val="en-US" w:eastAsia="zh-CN" w:bidi="ar"/>
                    </w:rPr>
                    <w:t>自动穿线机</w:t>
                  </w:r>
                </w:p>
              </w:tc>
              <w:tc>
                <w:tcPr>
                  <w:tcW w:w="2225" w:type="dxa"/>
                  <w:vAlign w:val="center"/>
                </w:tcPr>
                <w:p w14:paraId="6D21657F">
                  <w:pPr>
                    <w:adjustRightInd w:val="0"/>
                    <w:snapToGrid w:val="0"/>
                    <w:spacing w:line="240" w:lineRule="auto"/>
                    <w:jc w:val="center"/>
                    <w:rPr>
                      <w:rFonts w:hint="default" w:ascii="Times New Roman" w:hAnsi="Times New Roman" w:eastAsia="宋体" w:cs="Times New Roman"/>
                      <w:sz w:val="21"/>
                      <w:szCs w:val="21"/>
                      <w:lang w:eastAsia="zh-CN"/>
                    </w:rPr>
                  </w:pPr>
                  <w:r>
                    <w:rPr>
                      <w:rFonts w:hint="eastAsia" w:ascii="Times New Roman" w:hAnsi="Times New Roman" w:cs="Times New Roman"/>
                      <w:bCs/>
                      <w:sz w:val="24"/>
                      <w:szCs w:val="24"/>
                      <w:highlight w:val="none"/>
                      <w:lang w:val="en-US" w:eastAsia="zh-CN"/>
                    </w:rPr>
                    <w:t>***</w:t>
                  </w:r>
                </w:p>
              </w:tc>
              <w:tc>
                <w:tcPr>
                  <w:tcW w:w="2225" w:type="dxa"/>
                  <w:vAlign w:val="center"/>
                </w:tcPr>
                <w:p w14:paraId="353FA6E9">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6" w:type="dxa"/>
                  <w:vMerge w:val="continue"/>
                  <w:vAlign w:val="center"/>
                </w:tcPr>
                <w:p w14:paraId="65F30718">
                  <w:pPr>
                    <w:adjustRightInd w:val="0"/>
                    <w:snapToGrid w:val="0"/>
                    <w:spacing w:line="240" w:lineRule="auto"/>
                    <w:jc w:val="center"/>
                    <w:rPr>
                      <w:rFonts w:hint="default" w:ascii="Times New Roman" w:hAnsi="Times New Roman" w:eastAsia="宋体" w:cs="Times New Roman"/>
                      <w:sz w:val="21"/>
                      <w:szCs w:val="21"/>
                      <w:lang w:eastAsia="zh-CN"/>
                    </w:rPr>
                  </w:pPr>
                </w:p>
              </w:tc>
            </w:tr>
            <w:tr w14:paraId="324BFA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5" w:type="dxa"/>
                  <w:vAlign w:val="center"/>
                </w:tcPr>
                <w:p w14:paraId="5EF237CE">
                  <w:pPr>
                    <w:adjustRightInd w:val="0"/>
                    <w:snapToGrid w:val="0"/>
                    <w:spacing w:line="240" w:lineRule="auto"/>
                    <w:jc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喷水织机</w:t>
                  </w:r>
                </w:p>
              </w:tc>
              <w:tc>
                <w:tcPr>
                  <w:tcW w:w="2225" w:type="dxa"/>
                  <w:vAlign w:val="center"/>
                </w:tcPr>
                <w:p w14:paraId="1F24A60D">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5" w:type="dxa"/>
                  <w:vAlign w:val="center"/>
                </w:tcPr>
                <w:p w14:paraId="792315F0">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6" w:type="dxa"/>
                  <w:vMerge w:val="continue"/>
                  <w:vAlign w:val="center"/>
                </w:tcPr>
                <w:p w14:paraId="2029B4C5">
                  <w:pPr>
                    <w:adjustRightInd w:val="0"/>
                    <w:snapToGrid w:val="0"/>
                    <w:spacing w:line="240" w:lineRule="auto"/>
                    <w:jc w:val="center"/>
                    <w:rPr>
                      <w:rFonts w:hint="default" w:ascii="Times New Roman" w:hAnsi="Times New Roman" w:eastAsia="宋体" w:cs="Times New Roman"/>
                      <w:sz w:val="21"/>
                      <w:szCs w:val="21"/>
                      <w:lang w:eastAsia="zh-CN"/>
                    </w:rPr>
                  </w:pPr>
                </w:p>
              </w:tc>
            </w:tr>
            <w:tr w14:paraId="279B6D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5" w:type="dxa"/>
                  <w:vAlign w:val="center"/>
                </w:tcPr>
                <w:p w14:paraId="6BFADC2C">
                  <w:pPr>
                    <w:adjustRightInd w:val="0"/>
                    <w:snapToGrid w:val="0"/>
                    <w:spacing w:line="240" w:lineRule="auto"/>
                    <w:jc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i w:val="0"/>
                      <w:iCs w:val="0"/>
                      <w:color w:val="000000"/>
                      <w:kern w:val="0"/>
                      <w:sz w:val="21"/>
                      <w:szCs w:val="21"/>
                      <w:highlight w:val="none"/>
                      <w:u w:val="none"/>
                      <w:lang w:val="en-US" w:eastAsia="zh-CN" w:bidi="ar"/>
                    </w:rPr>
                    <w:t>定型拉幅机</w:t>
                  </w:r>
                </w:p>
              </w:tc>
              <w:tc>
                <w:tcPr>
                  <w:tcW w:w="2225" w:type="dxa"/>
                  <w:vAlign w:val="center"/>
                </w:tcPr>
                <w:p w14:paraId="78801381">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5" w:type="dxa"/>
                  <w:vAlign w:val="center"/>
                </w:tcPr>
                <w:p w14:paraId="6E61F955">
                  <w:pPr>
                    <w:adjustRightInd w:val="0"/>
                    <w:snapToGrid w:val="0"/>
                    <w:spacing w:line="24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bCs/>
                      <w:sz w:val="24"/>
                      <w:szCs w:val="24"/>
                      <w:highlight w:val="none"/>
                      <w:lang w:val="en-US" w:eastAsia="zh-CN"/>
                    </w:rPr>
                    <w:t>***</w:t>
                  </w:r>
                </w:p>
              </w:tc>
              <w:tc>
                <w:tcPr>
                  <w:tcW w:w="2226" w:type="dxa"/>
                  <w:vMerge w:val="continue"/>
                  <w:vAlign w:val="center"/>
                </w:tcPr>
                <w:p w14:paraId="20B48C1A">
                  <w:pPr>
                    <w:adjustRightInd w:val="0"/>
                    <w:snapToGrid w:val="0"/>
                    <w:spacing w:line="240" w:lineRule="auto"/>
                    <w:jc w:val="center"/>
                    <w:rPr>
                      <w:rFonts w:hint="default" w:ascii="Times New Roman" w:hAnsi="Times New Roman" w:eastAsia="宋体" w:cs="Times New Roman"/>
                      <w:sz w:val="21"/>
                      <w:szCs w:val="21"/>
                      <w:lang w:eastAsia="zh-CN"/>
                    </w:rPr>
                  </w:pPr>
                </w:p>
              </w:tc>
            </w:tr>
            <w:bookmarkEnd w:id="16"/>
          </w:tbl>
          <w:p w14:paraId="604EF6F4">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本项目采用《环境影响评价技术导则-声环境》（HJ2.4-2021）中推荐模式B1.3室内声源等效室外声源声功率级计算方法和B1.5工业企业噪声计算进行预测。计算公式如下：</w:t>
            </w:r>
          </w:p>
          <w:p w14:paraId="7AE2C6E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1）室内声源等效为室外声源的计算</w:t>
            </w:r>
          </w:p>
          <w:p w14:paraId="006BA6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①计算某一室内声源靠近围护结构处产生的倍频带声压级</w:t>
            </w:r>
            <w:r>
              <w:rPr>
                <w:rFonts w:hint="eastAsia" w:ascii="宋体" w:hAnsi="宋体" w:eastAsia="宋体" w:cs="宋体"/>
                <w:color w:val="auto"/>
                <w:kern w:val="0"/>
                <w:sz w:val="24"/>
                <w:szCs w:val="24"/>
                <w:lang w:val="en-US" w:eastAsia="zh-CN" w:bidi="ar"/>
              </w:rPr>
              <w:t>或A声级：</w:t>
            </w:r>
          </w:p>
          <w:p w14:paraId="466AA9D3">
            <w:pPr>
              <w:pStyle w:val="82"/>
              <w:keepNext w:val="0"/>
              <w:keepLines w:val="0"/>
              <w:pageBreakBefore w:val="0"/>
              <w:kinsoku/>
              <w:wordWrap/>
              <w:overflowPunct/>
              <w:topLinePunct w:val="0"/>
              <w:autoSpaceDE/>
              <w:autoSpaceDN/>
              <w:bidi w:val="0"/>
              <w:adjustRightInd/>
              <w:snapToGrid/>
              <w:spacing w:after="0" w:afterLines="0"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position w:val="-28"/>
                <w:sz w:val="24"/>
                <w:szCs w:val="24"/>
              </w:rPr>
              <w:object>
                <v:shape id="_x0000_i1025" o:spt="75" type="#_x0000_t75" style="height:39.6pt;width:152.95pt;" o:ole="t" filled="f" o:preferrelative="t" stroked="f" coordsize="21600,21600">
                  <v:path/>
                  <v:fill on="f" focussize="0,0"/>
                  <v:stroke on="f"/>
                  <v:imagedata r:id="rId13" o:title=""/>
                  <o:lock v:ext="edit" aspectratio="t"/>
                  <w10:wrap type="none"/>
                  <w10:anchorlock/>
                </v:shape>
                <o:OLEObject Type="Embed" ProgID="Equation.KSEE3" ShapeID="_x0000_i1025" DrawAspect="Content" ObjectID="_1468075725" r:id="rId12">
                  <o:LockedField>false</o:LockedField>
                </o:OLEObject>
              </w:object>
            </w:r>
          </w:p>
          <w:p w14:paraId="2FE34E2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式中：L</w:t>
            </w:r>
            <w:r>
              <w:rPr>
                <w:rFonts w:hint="default" w:ascii="Times New Roman" w:hAnsi="Times New Roman" w:eastAsia="宋体" w:cs="Times New Roman"/>
                <w:color w:val="auto"/>
                <w:kern w:val="0"/>
                <w:sz w:val="24"/>
                <w:szCs w:val="24"/>
                <w:vertAlign w:val="subscript"/>
                <w:lang w:val="en-US" w:eastAsia="zh-CN" w:bidi="ar"/>
              </w:rPr>
              <w:t>p1</w:t>
            </w:r>
            <w:r>
              <w:rPr>
                <w:rFonts w:hint="default" w:ascii="Times New Roman" w:hAnsi="Times New Roman" w:eastAsia="宋体" w:cs="Times New Roman"/>
                <w:color w:val="auto"/>
                <w:kern w:val="0"/>
                <w:sz w:val="24"/>
                <w:szCs w:val="24"/>
                <w:lang w:val="en-US" w:eastAsia="zh-CN" w:bidi="ar"/>
              </w:rPr>
              <w:t>——靠近开口处（或窗户）室内某倍频带的声压级或A声级，dB；</w:t>
            </w:r>
          </w:p>
          <w:p w14:paraId="51965FEA">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L</w:t>
            </w:r>
            <w:r>
              <w:rPr>
                <w:rFonts w:hint="default" w:ascii="Times New Roman" w:hAnsi="Times New Roman" w:eastAsia="宋体" w:cs="Times New Roman"/>
                <w:color w:val="auto"/>
                <w:kern w:val="0"/>
                <w:sz w:val="24"/>
                <w:szCs w:val="24"/>
                <w:vertAlign w:val="subscript"/>
                <w:lang w:val="en-US" w:eastAsia="zh-CN" w:bidi="ar"/>
              </w:rPr>
              <w:t>w</w:t>
            </w:r>
            <w:r>
              <w:rPr>
                <w:rFonts w:hint="default" w:ascii="Times New Roman" w:hAnsi="Times New Roman" w:eastAsia="宋体" w:cs="Times New Roman"/>
                <w:color w:val="auto"/>
                <w:kern w:val="0"/>
                <w:sz w:val="24"/>
                <w:szCs w:val="24"/>
                <w:lang w:val="en-US" w:eastAsia="zh-CN" w:bidi="ar"/>
              </w:rPr>
              <w:t>——点声源声功率级（A计权或倍频带），dB；</w:t>
            </w:r>
          </w:p>
          <w:p w14:paraId="2F4C3FEE">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Q——指向性因数；通常对无指向性声源，当声源放在房间中心时，Q=1；当放在一面墙的中心时，Q=2；当放在两面墙夹角处时，Q=4；当放在三面墙夹角处时，Q=8；</w:t>
            </w:r>
          </w:p>
          <w:p w14:paraId="6B528918">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R——房间常数；R=Sα/（1-α），S为房间内表面面积，m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；α为平均吸声系数；</w:t>
            </w:r>
          </w:p>
          <w:p w14:paraId="4E1C594B">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r——声源到靠近围护结构某点处的距离，m。</w:t>
            </w:r>
          </w:p>
          <w:p w14:paraId="36CA19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②计算所有室内声源在围护结构处产生的i倍频带叠加声压级：</w:t>
            </w:r>
          </w:p>
          <w:p w14:paraId="0D0E5C96">
            <w:pPr>
              <w:pStyle w:val="82"/>
              <w:keepNext w:val="0"/>
              <w:keepLines w:val="0"/>
              <w:pageBreakBefore w:val="0"/>
              <w:kinsoku/>
              <w:wordWrap/>
              <w:overflowPunct/>
              <w:topLinePunct w:val="0"/>
              <w:autoSpaceDE/>
              <w:autoSpaceDN/>
              <w:bidi w:val="0"/>
              <w:adjustRightInd/>
              <w:snapToGrid/>
              <w:spacing w:after="0" w:afterLines="0"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position w:val="-32"/>
                <w:sz w:val="24"/>
                <w:szCs w:val="24"/>
              </w:rPr>
              <w:object>
                <v:shape id="_x0000_i1026" o:spt="75" type="#_x0000_t75" style="height:38pt;width:125pt;" o:ole="t" filled="f" o:preferrelative="t" stroked="f" coordsize="21600,21600">
                  <v:path/>
                  <v:fill on="f" focussize="0,0"/>
                  <v:stroke on="f"/>
                  <v:imagedata r:id="rId15" o:title=""/>
                  <o:lock v:ext="edit" aspectratio="t"/>
                  <w10:wrap type="none"/>
                  <w10:anchorlock/>
                </v:shape>
                <o:OLEObject Type="Embed" ProgID="Equation.KSEE3" ShapeID="_x0000_i1026" DrawAspect="Content" ObjectID="_1468075726" r:id="rId14">
                  <o:LockedField>false</o:LockedField>
                </o:OLEObject>
              </w:object>
            </w:r>
          </w:p>
          <w:p w14:paraId="36E447B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式中：L</w:t>
            </w:r>
            <w:r>
              <w:rPr>
                <w:rFonts w:hint="default" w:ascii="Times New Roman" w:hAnsi="Times New Roman" w:eastAsia="宋体" w:cs="Times New Roman"/>
                <w:color w:val="auto"/>
                <w:kern w:val="0"/>
                <w:sz w:val="24"/>
                <w:szCs w:val="24"/>
                <w:vertAlign w:val="subscript"/>
                <w:lang w:val="en-US" w:eastAsia="zh-CN" w:bidi="ar"/>
              </w:rPr>
              <w:t>p1i</w:t>
            </w:r>
            <w:r>
              <w:rPr>
                <w:rFonts w:hint="default" w:ascii="Times New Roman" w:hAnsi="Times New Roman" w:eastAsia="宋体" w:cs="Times New Roman"/>
                <w:color w:val="auto"/>
                <w:kern w:val="0"/>
                <w:sz w:val="24"/>
                <w:szCs w:val="24"/>
                <w:lang w:val="en-US" w:eastAsia="zh-CN" w:bidi="ar"/>
              </w:rPr>
              <w:t>（T）——靠近围护结构处室内N个声源i倍频带的叠加声压级，dB；</w:t>
            </w:r>
          </w:p>
          <w:p w14:paraId="12905C78">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L</w:t>
            </w:r>
            <w:r>
              <w:rPr>
                <w:rFonts w:hint="default" w:ascii="Times New Roman" w:hAnsi="Times New Roman" w:eastAsia="宋体" w:cs="Times New Roman"/>
                <w:color w:val="auto"/>
                <w:kern w:val="0"/>
                <w:sz w:val="24"/>
                <w:szCs w:val="24"/>
                <w:vertAlign w:val="subscript"/>
                <w:lang w:val="en-US" w:eastAsia="zh-CN" w:bidi="ar"/>
              </w:rPr>
              <w:t>p1ij</w:t>
            </w:r>
            <w:r>
              <w:rPr>
                <w:rFonts w:hint="default" w:ascii="Times New Roman" w:hAnsi="Times New Roman" w:eastAsia="宋体" w:cs="Times New Roman"/>
                <w:color w:val="auto"/>
                <w:kern w:val="0"/>
                <w:sz w:val="24"/>
                <w:szCs w:val="24"/>
                <w:lang w:val="en-US" w:eastAsia="zh-CN" w:bidi="ar"/>
              </w:rPr>
              <w:t>——室内j声源i倍频带的声压级，dB；</w:t>
            </w:r>
          </w:p>
          <w:p w14:paraId="5C4A3027">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N——室内声源总数。</w:t>
            </w:r>
          </w:p>
          <w:p w14:paraId="1022D5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③计算室外靠近围护结构处的声压级：</w:t>
            </w:r>
          </w:p>
          <w:p w14:paraId="62BA4085">
            <w:pPr>
              <w:pStyle w:val="82"/>
              <w:keepNext w:val="0"/>
              <w:keepLines w:val="0"/>
              <w:pageBreakBefore w:val="0"/>
              <w:kinsoku/>
              <w:wordWrap/>
              <w:overflowPunct/>
              <w:topLinePunct w:val="0"/>
              <w:autoSpaceDE/>
              <w:autoSpaceDN/>
              <w:bidi w:val="0"/>
              <w:adjustRightInd/>
              <w:snapToGrid/>
              <w:spacing w:after="0" w:afterLines="0"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position w:val="-14"/>
                <w:sz w:val="24"/>
                <w:szCs w:val="24"/>
              </w:rPr>
              <w:object>
                <v:shape id="_x0000_i1027" o:spt="75" type="#_x0000_t75" style="height:19pt;width:131pt;" o:ole="t" filled="f" o:preferrelative="t" stroked="f" coordsize="21600,21600">
                  <v:path/>
                  <v:fill on="f" focussize="0,0"/>
                  <v:stroke on="f"/>
                  <v:imagedata r:id="rId17" o:title=""/>
                  <o:lock v:ext="edit" aspectratio="t"/>
                  <w10:wrap type="none"/>
                  <w10:anchorlock/>
                </v:shape>
                <o:OLEObject Type="Embed" ProgID="Equation.KSEE3" ShapeID="_x0000_i1027" DrawAspect="Content" ObjectID="_1468075727" r:id="rId16">
                  <o:LockedField>false</o:LockedField>
                </o:OLEObject>
              </w:object>
            </w:r>
          </w:p>
          <w:p w14:paraId="60434F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式中：L</w:t>
            </w:r>
            <w:r>
              <w:rPr>
                <w:rFonts w:hint="default" w:ascii="Times New Roman" w:hAnsi="Times New Roman" w:eastAsia="宋体" w:cs="Times New Roman"/>
                <w:color w:val="auto"/>
                <w:kern w:val="0"/>
                <w:sz w:val="24"/>
                <w:szCs w:val="24"/>
                <w:vertAlign w:val="subscript"/>
                <w:lang w:val="en-US" w:eastAsia="zh-CN" w:bidi="ar"/>
              </w:rPr>
              <w:t>p2i</w:t>
            </w:r>
            <w:r>
              <w:rPr>
                <w:rFonts w:hint="default" w:ascii="Times New Roman" w:hAnsi="Times New Roman" w:eastAsia="宋体" w:cs="Times New Roman"/>
                <w:color w:val="auto"/>
                <w:kern w:val="0"/>
                <w:sz w:val="24"/>
                <w:szCs w:val="24"/>
                <w:lang w:val="en-US" w:eastAsia="zh-CN" w:bidi="ar"/>
              </w:rPr>
              <w:t>(T)——靠近围护结构处室外N个声源i倍频带的叠加声压级，dB；</w:t>
            </w:r>
          </w:p>
          <w:p w14:paraId="1E81C409">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w:t>
            </w:r>
            <w:r>
              <w:rPr>
                <w:rFonts w:hint="default" w:ascii="Times New Roman" w:hAnsi="Times New Roman" w:eastAsia="宋体" w:cs="Times New Roman"/>
                <w:color w:val="auto"/>
                <w:kern w:val="0"/>
                <w:sz w:val="24"/>
                <w:szCs w:val="24"/>
                <w:vertAlign w:val="subscript"/>
                <w:lang w:val="en-US" w:eastAsia="zh-CN" w:bidi="ar"/>
              </w:rPr>
              <w:t>pli</w:t>
            </w:r>
            <w:r>
              <w:rPr>
                <w:rFonts w:hint="default" w:ascii="Times New Roman" w:hAnsi="Times New Roman" w:eastAsia="宋体" w:cs="Times New Roman"/>
                <w:color w:val="auto"/>
                <w:kern w:val="0"/>
                <w:sz w:val="24"/>
                <w:szCs w:val="24"/>
                <w:lang w:val="en-US" w:eastAsia="zh-CN" w:bidi="ar"/>
              </w:rPr>
              <w:t>(T)——靠近围护结构处室内N个声源i倍频带的叠加声压级，dB；</w:t>
            </w:r>
          </w:p>
          <w:p w14:paraId="248943DC">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TL</w:t>
            </w:r>
            <w:r>
              <w:rPr>
                <w:rFonts w:hint="default" w:ascii="Times New Roman" w:hAnsi="Times New Roman" w:eastAsia="宋体" w:cs="Times New Roman"/>
                <w:color w:val="auto"/>
                <w:kern w:val="0"/>
                <w:sz w:val="24"/>
                <w:szCs w:val="24"/>
                <w:vertAlign w:val="subscript"/>
                <w:lang w:val="en-US" w:eastAsia="zh-CN" w:bidi="ar"/>
              </w:rPr>
              <w:t>i</w:t>
            </w:r>
            <w:r>
              <w:rPr>
                <w:rFonts w:hint="default" w:ascii="Times New Roman" w:hAnsi="Times New Roman" w:eastAsia="宋体" w:cs="Times New Roman"/>
                <w:color w:val="auto"/>
                <w:kern w:val="0"/>
                <w:sz w:val="24"/>
                <w:szCs w:val="24"/>
                <w:lang w:val="en-US" w:eastAsia="zh-CN" w:bidi="ar"/>
              </w:rPr>
              <w:t>——围护结构i倍频带的隔声量，dB。</w:t>
            </w:r>
          </w:p>
          <w:p w14:paraId="1B50070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④将室外声源的声压级和透过面积换算成等效的室外声源，计算出中心位置于透声面积</w:t>
            </w:r>
            <w:r>
              <w:rPr>
                <w:rFonts w:hint="default" w:ascii="Times New Roman" w:hAnsi="Times New Roman"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S</w:t>
            </w:r>
            <w:r>
              <w:rPr>
                <w:rFonts w:hint="default" w:ascii="Times New Roman" w:hAnsi="Times New Roman"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处的等效声源的倍频带声功率级：</w:t>
            </w:r>
          </w:p>
          <w:p w14:paraId="4A2673CE">
            <w:pPr>
              <w:keepNext w:val="0"/>
              <w:keepLines w:val="0"/>
              <w:pageBreakBefore w:val="0"/>
              <w:widowControl/>
              <w:suppressLineNumbers w:val="0"/>
              <w:kinsoku/>
              <w:wordWrap/>
              <w:overflowPunct/>
              <w:topLinePunct w:val="0"/>
              <w:autoSpaceDE/>
              <w:autoSpaceDN/>
              <w:bidi w:val="0"/>
              <w:adjustRightInd/>
              <w:snapToGrid/>
              <w:spacing w:line="360" w:lineRule="auto"/>
              <w:ind w:firstLine="3120" w:firstLineChars="13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position w:val="-14"/>
                <w:sz w:val="24"/>
                <w:szCs w:val="24"/>
              </w:rPr>
              <w:object>
                <v:shape id="_x0000_i1028" o:spt="75" type="#_x0000_t75" style="height:19pt;width:98pt;" o:ole="t" filled="f" o:preferrelative="t" stroked="f" coordsize="21600,21600">
                  <v:path/>
                  <v:fill on="f" focussize="0,0"/>
                  <v:stroke on="f"/>
                  <v:imagedata r:id="rId19" o:title=""/>
                  <o:lock v:ext="edit" aspectratio="t"/>
                  <w10:wrap type="none"/>
                  <w10:anchorlock/>
                </v:shape>
                <o:OLEObject Type="Embed" ProgID="Equation.KSEE3" ShapeID="_x0000_i1028" DrawAspect="Content" ObjectID="_1468075728" r:id="rId18">
                  <o:LockedField>false</o:LockedField>
                </o:OLEObject>
              </w:object>
            </w:r>
          </w:p>
          <w:p w14:paraId="5AD523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式中：L</w:t>
            </w:r>
            <w:r>
              <w:rPr>
                <w:rFonts w:hint="default" w:ascii="Times New Roman" w:hAnsi="Times New Roman" w:eastAsia="宋体" w:cs="Times New Roman"/>
                <w:color w:val="auto"/>
                <w:kern w:val="0"/>
                <w:sz w:val="24"/>
                <w:szCs w:val="24"/>
                <w:vertAlign w:val="subscript"/>
                <w:lang w:val="en-US" w:eastAsia="zh-CN" w:bidi="ar"/>
              </w:rPr>
              <w:t>w</w:t>
            </w:r>
            <w:r>
              <w:rPr>
                <w:rFonts w:hint="default" w:ascii="Times New Roman" w:hAnsi="Times New Roman" w:eastAsia="宋体" w:cs="Times New Roman"/>
                <w:color w:val="auto"/>
                <w:kern w:val="0"/>
                <w:sz w:val="24"/>
                <w:szCs w:val="24"/>
                <w:lang w:val="en-US" w:eastAsia="zh-CN" w:bidi="ar"/>
              </w:rPr>
              <w:t>——中心位置位于透声面积（S）处的等效声源的倍频带声功率级，dB；</w:t>
            </w:r>
          </w:p>
          <w:p w14:paraId="0CEBF209">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w:t>
            </w:r>
            <w:r>
              <w:rPr>
                <w:rFonts w:hint="default" w:ascii="Times New Roman" w:hAnsi="Times New Roman" w:eastAsia="宋体" w:cs="Times New Roman"/>
                <w:color w:val="auto"/>
                <w:kern w:val="0"/>
                <w:sz w:val="24"/>
                <w:szCs w:val="24"/>
                <w:vertAlign w:val="subscript"/>
                <w:lang w:val="en-US" w:eastAsia="zh-CN" w:bidi="ar"/>
              </w:rPr>
              <w:t>p2</w:t>
            </w:r>
            <w:r>
              <w:rPr>
                <w:rFonts w:hint="default" w:ascii="Times New Roman" w:hAnsi="Times New Roman" w:eastAsia="宋体" w:cs="Times New Roman"/>
                <w:color w:val="auto"/>
                <w:kern w:val="0"/>
                <w:sz w:val="24"/>
                <w:szCs w:val="24"/>
                <w:lang w:val="en-US" w:eastAsia="zh-CN" w:bidi="ar"/>
              </w:rPr>
              <w:t>(T)——靠近围护结构处室外声源的声压级，dB；</w:t>
            </w:r>
          </w:p>
          <w:p w14:paraId="60AD5BFC">
            <w:pPr>
              <w:keepNext w:val="0"/>
              <w:keepLines w:val="0"/>
              <w:pageBreakBefore w:val="0"/>
              <w:widowControl/>
              <w:suppressLineNumbers w:val="0"/>
              <w:kinsoku/>
              <w:wordWrap/>
              <w:overflowPunct/>
              <w:topLinePunct w:val="0"/>
              <w:autoSpaceDE/>
              <w:autoSpaceDN/>
              <w:bidi w:val="0"/>
              <w:adjustRightInd/>
              <w:snapToGrid/>
              <w:spacing w:line="360" w:lineRule="auto"/>
              <w:ind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S——透声面积，m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w:t>
            </w:r>
          </w:p>
          <w:p w14:paraId="7FBEB6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2）工业企业噪声计算</w:t>
            </w:r>
          </w:p>
          <w:p w14:paraId="0C015E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设第i个室外声源在预测点产生的A声级为L</w:t>
            </w:r>
            <w:r>
              <w:rPr>
                <w:rFonts w:hint="default" w:ascii="Times New Roman" w:hAnsi="Times New Roman" w:eastAsia="宋体" w:cs="Times New Roman"/>
                <w:color w:val="auto"/>
                <w:kern w:val="0"/>
                <w:sz w:val="24"/>
                <w:szCs w:val="24"/>
                <w:vertAlign w:val="subscript"/>
                <w:lang w:val="en-US" w:eastAsia="zh-CN" w:bidi="ar"/>
              </w:rPr>
              <w:t>Ai</w:t>
            </w:r>
            <w:r>
              <w:rPr>
                <w:rFonts w:hint="default" w:ascii="Times New Roman" w:hAnsi="Times New Roman" w:eastAsia="宋体" w:cs="Times New Roman"/>
                <w:color w:val="auto"/>
                <w:kern w:val="0"/>
                <w:sz w:val="24"/>
                <w:szCs w:val="24"/>
                <w:lang w:val="en-US" w:eastAsia="zh-CN" w:bidi="ar"/>
              </w:rPr>
              <w:t>，在T时间内该声源工作时间为t</w:t>
            </w:r>
            <w:r>
              <w:rPr>
                <w:rFonts w:hint="default" w:ascii="Times New Roman" w:hAnsi="Times New Roman" w:eastAsia="宋体" w:cs="Times New Roman"/>
                <w:color w:val="auto"/>
                <w:kern w:val="0"/>
                <w:sz w:val="24"/>
                <w:szCs w:val="24"/>
                <w:vertAlign w:val="subscript"/>
                <w:lang w:val="en-US" w:eastAsia="zh-CN" w:bidi="ar"/>
              </w:rPr>
              <w:t>i</w:t>
            </w:r>
            <w:r>
              <w:rPr>
                <w:rFonts w:hint="default" w:ascii="Times New Roman" w:hAnsi="Times New Roman" w:eastAsia="宋体" w:cs="Times New Roman"/>
                <w:color w:val="auto"/>
                <w:kern w:val="0"/>
                <w:sz w:val="24"/>
                <w:szCs w:val="24"/>
                <w:lang w:val="en-US" w:eastAsia="zh-CN" w:bidi="ar"/>
              </w:rPr>
              <w:t>；第j个等效室外声源在预测点产生的A声级为L</w:t>
            </w:r>
            <w:r>
              <w:rPr>
                <w:rFonts w:hint="default" w:ascii="Times New Roman" w:hAnsi="Times New Roman" w:eastAsia="宋体" w:cs="Times New Roman"/>
                <w:color w:val="auto"/>
                <w:kern w:val="0"/>
                <w:sz w:val="24"/>
                <w:szCs w:val="24"/>
                <w:vertAlign w:val="subscript"/>
                <w:lang w:val="en-US" w:eastAsia="zh-CN" w:bidi="ar"/>
              </w:rPr>
              <w:t>Aj</w:t>
            </w:r>
            <w:r>
              <w:rPr>
                <w:rFonts w:hint="default" w:ascii="Times New Roman" w:hAnsi="Times New Roman" w:eastAsia="宋体" w:cs="Times New Roman"/>
                <w:color w:val="auto"/>
                <w:kern w:val="0"/>
                <w:sz w:val="24"/>
                <w:szCs w:val="24"/>
                <w:lang w:val="en-US" w:eastAsia="zh-CN" w:bidi="ar"/>
              </w:rPr>
              <w:t>，在T时间内该声源工作时间为t</w:t>
            </w:r>
            <w:r>
              <w:rPr>
                <w:rFonts w:hint="default" w:ascii="Times New Roman" w:hAnsi="Times New Roman" w:eastAsia="宋体" w:cs="Times New Roman"/>
                <w:color w:val="auto"/>
                <w:kern w:val="0"/>
                <w:sz w:val="24"/>
                <w:szCs w:val="24"/>
                <w:vertAlign w:val="subscript"/>
                <w:lang w:val="en-US" w:eastAsia="zh-CN" w:bidi="ar"/>
              </w:rPr>
              <w:t>j</w:t>
            </w:r>
            <w:r>
              <w:rPr>
                <w:rFonts w:hint="default" w:ascii="Times New Roman" w:hAnsi="Times New Roman" w:eastAsia="宋体" w:cs="Times New Roman"/>
                <w:color w:val="auto"/>
                <w:kern w:val="0"/>
                <w:sz w:val="24"/>
                <w:szCs w:val="24"/>
                <w:lang w:val="en-US" w:eastAsia="zh-CN" w:bidi="ar"/>
              </w:rPr>
              <w:t>，则拟建工程声源对预测点产生的贡献值（Leqg）为：</w:t>
            </w:r>
          </w:p>
          <w:p w14:paraId="730497F5">
            <w:pPr>
              <w:pStyle w:val="82"/>
              <w:keepNext w:val="0"/>
              <w:keepLines w:val="0"/>
              <w:pageBreakBefore w:val="0"/>
              <w:kinsoku/>
              <w:wordWrap/>
              <w:overflowPunct/>
              <w:topLinePunct w:val="0"/>
              <w:autoSpaceDE/>
              <w:autoSpaceDN/>
              <w:bidi w:val="0"/>
              <w:adjustRightInd/>
              <w:snapToGrid/>
              <w:spacing w:after="0" w:afterLines="0" w:line="360" w:lineRule="auto"/>
              <w:ind w:firstLine="1446" w:firstLineChars="6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position w:val="-34"/>
                <w:sz w:val="24"/>
                <w:szCs w:val="24"/>
              </w:rPr>
              <w:object>
                <v:shape id="_x0000_i1029" o:spt="75" type="#_x0000_t75" style="height:40pt;width:211pt;" o:ole="t" filled="f" o:preferrelative="t" stroked="f" coordsize="21600,21600">
                  <v:path/>
                  <v:fill on="f" focussize="0,0"/>
                  <v:stroke on="f"/>
                  <v:imagedata r:id="rId21" o:title=""/>
                  <o:lock v:ext="edit" aspectratio="t"/>
                  <w10:wrap type="none"/>
                  <w10:anchorlock/>
                </v:shape>
                <o:OLEObject Type="Embed" ProgID="Equation.KSEE3" ShapeID="_x0000_i1029" DrawAspect="Content" ObjectID="_1468075729" r:id="rId20">
                  <o:LockedField>false</o:LockedField>
                </o:OLEObject>
              </w:object>
            </w:r>
          </w:p>
          <w:p w14:paraId="7013FA5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式中：L</w:t>
            </w:r>
            <w:r>
              <w:rPr>
                <w:rFonts w:hint="default" w:ascii="Times New Roman" w:hAnsi="Times New Roman" w:eastAsia="宋体" w:cs="Times New Roman"/>
                <w:color w:val="auto"/>
                <w:sz w:val="24"/>
                <w:szCs w:val="24"/>
                <w:vertAlign w:val="subscript"/>
                <w:lang w:val="en-US" w:eastAsia="zh-CN"/>
              </w:rPr>
              <w:t>eqg</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sz w:val="24"/>
                <w:szCs w:val="24"/>
                <w:lang w:val="en-US" w:eastAsia="zh-CN"/>
              </w:rPr>
              <w:t>建设项目声源在预测点产生的噪声贡献值，dB；</w:t>
            </w:r>
          </w:p>
          <w:p w14:paraId="70924AC2">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T</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sz w:val="24"/>
                <w:szCs w:val="24"/>
                <w:lang w:val="en-US" w:eastAsia="zh-CN"/>
              </w:rPr>
              <w:t>用于计算等效声级的时间，s；</w:t>
            </w:r>
          </w:p>
          <w:p w14:paraId="7ACC2FB8">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N</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sz w:val="24"/>
                <w:szCs w:val="24"/>
                <w:lang w:val="en-US" w:eastAsia="zh-CN"/>
              </w:rPr>
              <w:t>室外声源个数；</w:t>
            </w:r>
          </w:p>
          <w:p w14:paraId="1E660C1D">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t</w:t>
            </w:r>
            <w:r>
              <w:rPr>
                <w:rFonts w:hint="default" w:ascii="Times New Roman" w:hAnsi="Times New Roman" w:eastAsia="宋体" w:cs="Times New Roman"/>
                <w:color w:val="auto"/>
                <w:sz w:val="24"/>
                <w:szCs w:val="24"/>
                <w:vertAlign w:val="subscript"/>
                <w:lang w:val="en-US" w:eastAsia="zh-CN"/>
              </w:rPr>
              <w:t>i</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sz w:val="24"/>
                <w:szCs w:val="24"/>
                <w:lang w:val="en-US" w:eastAsia="zh-CN"/>
              </w:rPr>
              <w:t>在T时间内i声源工作时间，s；</w:t>
            </w:r>
          </w:p>
          <w:p w14:paraId="6749C7AF">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sz w:val="24"/>
                <w:szCs w:val="24"/>
                <w:lang w:val="en-US" w:eastAsia="zh-CN"/>
              </w:rPr>
              <w:t>等效室外声源个数；</w:t>
            </w:r>
          </w:p>
          <w:p w14:paraId="7756566F">
            <w:pPr>
              <w:keepNext w:val="0"/>
              <w:keepLines w:val="0"/>
              <w:pageBreakBefore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t</w:t>
            </w:r>
            <w:r>
              <w:rPr>
                <w:rFonts w:hint="default" w:ascii="Times New Roman" w:hAnsi="Times New Roman" w:eastAsia="宋体" w:cs="Times New Roman"/>
                <w:color w:val="auto"/>
                <w:sz w:val="24"/>
                <w:szCs w:val="24"/>
                <w:vertAlign w:val="subscript"/>
                <w:lang w:val="en-US" w:eastAsia="zh-CN"/>
              </w:rPr>
              <w:t>j</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sz w:val="24"/>
                <w:szCs w:val="24"/>
                <w:lang w:val="en-US" w:eastAsia="zh-CN"/>
              </w:rPr>
              <w:t>在T时间内j声源工作时间，s。</w:t>
            </w:r>
          </w:p>
          <w:p w14:paraId="020D4F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color w:val="auto"/>
                <w:sz w:val="24"/>
                <w:szCs w:val="24"/>
                <w:lang w:val="en-US" w:eastAsia="zh-CN"/>
              </w:rPr>
              <w:t>由于项目预测点靠近等效室外声源，因此不考虑衰减项。</w:t>
            </w:r>
          </w:p>
          <w:p w14:paraId="63CDAA83">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3.</w:t>
            </w:r>
            <w:r>
              <w:rPr>
                <w:rFonts w:cs="Times New Roman"/>
                <w:b/>
                <w:bCs/>
                <w:sz w:val="24"/>
                <w:szCs w:val="24"/>
                <w:lang w:eastAsia="zh-CN"/>
              </w:rPr>
              <w:t>2达标情况分析</w:t>
            </w:r>
          </w:p>
          <w:p w14:paraId="3D6E3E55">
            <w:pPr>
              <w:pStyle w:val="7"/>
              <w:jc w:val="center"/>
              <w:rPr>
                <w:rFonts w:ascii="Times New Roman" w:hAnsi="Times New Roman" w:eastAsia="宋体" w:cs="Times New Roman"/>
                <w:b/>
                <w:sz w:val="21"/>
                <w:szCs w:val="21"/>
                <w:highlight w:val="none"/>
              </w:rPr>
            </w:pPr>
            <w:r>
              <w:rPr>
                <w:rFonts w:ascii="Times New Roman" w:hAnsi="Times New Roman" w:eastAsia="宋体" w:cs="Times New Roman"/>
                <w:b/>
                <w:sz w:val="21"/>
                <w:szCs w:val="21"/>
                <w:highlight w:val="none"/>
              </w:rPr>
              <w:t>表</w:t>
            </w:r>
            <w:r>
              <w:rPr>
                <w:rFonts w:hint="eastAsia" w:ascii="Times New Roman" w:hAnsi="Times New Roman"/>
                <w:b/>
                <w:sz w:val="21"/>
                <w:szCs w:val="21"/>
                <w:highlight w:val="none"/>
              </w:rPr>
              <w:t>4</w:t>
            </w:r>
            <w:r>
              <w:rPr>
                <w:rFonts w:hint="eastAsia" w:ascii="Times New Roman" w:hAnsi="Times New Roman"/>
                <w:b/>
                <w:sz w:val="21"/>
                <w:szCs w:val="21"/>
                <w:highlight w:val="none"/>
                <w:lang w:val="en-US" w:eastAsia="zh-CN"/>
              </w:rPr>
              <w:t xml:space="preserve">-13  </w:t>
            </w:r>
            <w:r>
              <w:rPr>
                <w:rFonts w:hint="eastAsia" w:ascii="Times New Roman" w:hAnsi="Times New Roman" w:eastAsia="宋体" w:cs="Times New Roman"/>
                <w:b/>
                <w:sz w:val="21"/>
                <w:szCs w:val="21"/>
                <w:highlight w:val="none"/>
              </w:rPr>
              <w:t>噪声源强调查清单（室内声源）</w:t>
            </w:r>
          </w:p>
          <w:tbl>
            <w:tblPr>
              <w:tblStyle w:val="2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426"/>
              <w:gridCol w:w="811"/>
              <w:gridCol w:w="578"/>
              <w:gridCol w:w="636"/>
              <w:gridCol w:w="645"/>
              <w:gridCol w:w="645"/>
              <w:gridCol w:w="345"/>
              <w:gridCol w:w="636"/>
              <w:gridCol w:w="811"/>
              <w:gridCol w:w="1287"/>
              <w:gridCol w:w="811"/>
              <w:gridCol w:w="811"/>
              <w:gridCol w:w="426"/>
            </w:tblGrid>
            <w:tr w14:paraId="59169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vMerge w:val="restart"/>
                  <w:tcBorders>
                    <w:tl2br w:val="nil"/>
                    <w:tr2bl w:val="nil"/>
                  </w:tcBorders>
                  <w:noWrap w:val="0"/>
                  <w:vAlign w:val="center"/>
                </w:tcPr>
                <w:p w14:paraId="318D20F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建筑物名称</w:t>
                  </w:r>
                </w:p>
              </w:tc>
              <w:tc>
                <w:tcPr>
                  <w:tcW w:w="454" w:type="dxa"/>
                  <w:vMerge w:val="restart"/>
                  <w:tcBorders>
                    <w:tl2br w:val="nil"/>
                    <w:tr2bl w:val="nil"/>
                  </w:tcBorders>
                  <w:noWrap w:val="0"/>
                  <w:vAlign w:val="center"/>
                </w:tcPr>
                <w:p w14:paraId="6EE2A0F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声源名称</w:t>
                  </w:r>
                </w:p>
              </w:tc>
              <w:tc>
                <w:tcPr>
                  <w:tcW w:w="426" w:type="dxa"/>
                  <w:vMerge w:val="restart"/>
                  <w:tcBorders>
                    <w:tl2br w:val="nil"/>
                    <w:tr2bl w:val="nil"/>
                  </w:tcBorders>
                  <w:noWrap w:val="0"/>
                  <w:vAlign w:val="center"/>
                </w:tcPr>
                <w:p w14:paraId="7553A36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型号</w:t>
                  </w:r>
                </w:p>
              </w:tc>
              <w:tc>
                <w:tcPr>
                  <w:tcW w:w="1394" w:type="dxa"/>
                  <w:gridSpan w:val="2"/>
                  <w:tcBorders>
                    <w:tl2br w:val="nil"/>
                    <w:tr2bl w:val="nil"/>
                  </w:tcBorders>
                  <w:noWrap w:val="0"/>
                  <w:vAlign w:val="center"/>
                </w:tcPr>
                <w:p w14:paraId="19E3D16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声源源强</w:t>
                  </w:r>
                </w:p>
              </w:tc>
              <w:tc>
                <w:tcPr>
                  <w:tcW w:w="636" w:type="dxa"/>
                  <w:vMerge w:val="restart"/>
                  <w:tcBorders>
                    <w:tl2br w:val="nil"/>
                    <w:tr2bl w:val="nil"/>
                  </w:tcBorders>
                  <w:noWrap w:val="0"/>
                  <w:vAlign w:val="center"/>
                </w:tcPr>
                <w:p w14:paraId="2A5F7E3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声源控制措施</w:t>
                  </w:r>
                </w:p>
              </w:tc>
              <w:tc>
                <w:tcPr>
                  <w:tcW w:w="1410" w:type="dxa"/>
                  <w:gridSpan w:val="3"/>
                  <w:tcBorders>
                    <w:tl2br w:val="nil"/>
                    <w:tr2bl w:val="nil"/>
                  </w:tcBorders>
                  <w:noWrap w:val="0"/>
                  <w:vAlign w:val="center"/>
                </w:tcPr>
                <w:p w14:paraId="2FE1959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空间相对位置/m</w:t>
                  </w:r>
                </w:p>
              </w:tc>
              <w:tc>
                <w:tcPr>
                  <w:tcW w:w="662" w:type="dxa"/>
                  <w:vMerge w:val="restart"/>
                  <w:tcBorders>
                    <w:tl2br w:val="nil"/>
                    <w:tr2bl w:val="nil"/>
                  </w:tcBorders>
                  <w:noWrap w:val="0"/>
                  <w:vAlign w:val="center"/>
                </w:tcPr>
                <w:p w14:paraId="5000500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距室内边界距离/(m)</w:t>
                  </w:r>
                </w:p>
              </w:tc>
              <w:tc>
                <w:tcPr>
                  <w:tcW w:w="826" w:type="dxa"/>
                  <w:vMerge w:val="restart"/>
                  <w:tcBorders>
                    <w:tl2br w:val="nil"/>
                    <w:tr2bl w:val="nil"/>
                  </w:tcBorders>
                  <w:noWrap w:val="0"/>
                  <w:vAlign w:val="center"/>
                </w:tcPr>
                <w:p w14:paraId="033656C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室内边界声级/dB(A)</w:t>
                  </w:r>
                </w:p>
              </w:tc>
              <w:tc>
                <w:tcPr>
                  <w:tcW w:w="905" w:type="dxa"/>
                  <w:vMerge w:val="restart"/>
                  <w:tcBorders>
                    <w:tl2br w:val="nil"/>
                    <w:tr2bl w:val="nil"/>
                  </w:tcBorders>
                  <w:noWrap w:val="0"/>
                  <w:vAlign w:val="center"/>
                </w:tcPr>
                <w:p w14:paraId="6EDADC9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运行时段</w:t>
                  </w:r>
                </w:p>
              </w:tc>
              <w:tc>
                <w:tcPr>
                  <w:tcW w:w="811" w:type="dxa"/>
                  <w:vMerge w:val="restart"/>
                  <w:tcBorders>
                    <w:tl2br w:val="nil"/>
                    <w:tr2bl w:val="nil"/>
                  </w:tcBorders>
                  <w:noWrap w:val="0"/>
                  <w:vAlign w:val="center"/>
                </w:tcPr>
                <w:p w14:paraId="0F3EC1E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建筑物插入损失/dB(A)</w:t>
                  </w:r>
                </w:p>
              </w:tc>
              <w:tc>
                <w:tcPr>
                  <w:tcW w:w="1252" w:type="dxa"/>
                  <w:gridSpan w:val="2"/>
                  <w:tcBorders>
                    <w:tl2br w:val="nil"/>
                    <w:tr2bl w:val="nil"/>
                  </w:tcBorders>
                  <w:noWrap w:val="0"/>
                  <w:vAlign w:val="center"/>
                </w:tcPr>
                <w:p w14:paraId="7DED2F0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建筑物外噪声</w:t>
                  </w:r>
                </w:p>
              </w:tc>
            </w:tr>
            <w:tr w14:paraId="5CBE5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dxa"/>
                  <w:vMerge w:val="continue"/>
                  <w:tcBorders>
                    <w:tl2br w:val="nil"/>
                    <w:tr2bl w:val="nil"/>
                  </w:tcBorders>
                  <w:noWrap w:val="0"/>
                  <w:vAlign w:val="center"/>
                </w:tcPr>
                <w:p w14:paraId="714A9EC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4733DBF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6AD9278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tcBorders>
                    <w:tl2br w:val="nil"/>
                    <w:tr2bl w:val="nil"/>
                  </w:tcBorders>
                  <w:noWrap w:val="0"/>
                  <w:vAlign w:val="center"/>
                </w:tcPr>
                <w:p w14:paraId="087F68B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声压级/dB(A)</w:t>
                  </w:r>
                </w:p>
              </w:tc>
              <w:tc>
                <w:tcPr>
                  <w:tcW w:w="583" w:type="dxa"/>
                  <w:tcBorders>
                    <w:tl2br w:val="nil"/>
                    <w:tr2bl w:val="nil"/>
                  </w:tcBorders>
                  <w:noWrap w:val="0"/>
                  <w:vAlign w:val="center"/>
                </w:tcPr>
                <w:p w14:paraId="0A9BEA9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距声源距离/(m)</w:t>
                  </w:r>
                </w:p>
              </w:tc>
              <w:tc>
                <w:tcPr>
                  <w:tcW w:w="636" w:type="dxa"/>
                  <w:vMerge w:val="continue"/>
                  <w:tcBorders>
                    <w:tl2br w:val="nil"/>
                    <w:tr2bl w:val="nil"/>
                  </w:tcBorders>
                  <w:noWrap w:val="0"/>
                  <w:vAlign w:val="center"/>
                </w:tcPr>
                <w:p w14:paraId="09130D3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tcBorders>
                    <w:tl2br w:val="nil"/>
                    <w:tr2bl w:val="nil"/>
                  </w:tcBorders>
                  <w:noWrap w:val="0"/>
                  <w:vAlign w:val="center"/>
                </w:tcPr>
                <w:p w14:paraId="7F84471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X</w:t>
                  </w:r>
                </w:p>
              </w:tc>
              <w:tc>
                <w:tcPr>
                  <w:tcW w:w="531" w:type="dxa"/>
                  <w:tcBorders>
                    <w:tl2br w:val="nil"/>
                    <w:tr2bl w:val="nil"/>
                  </w:tcBorders>
                  <w:noWrap w:val="0"/>
                  <w:vAlign w:val="center"/>
                </w:tcPr>
                <w:p w14:paraId="04AAF9F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Y</w:t>
                  </w:r>
                </w:p>
              </w:tc>
              <w:tc>
                <w:tcPr>
                  <w:tcW w:w="345" w:type="dxa"/>
                  <w:tcBorders>
                    <w:tl2br w:val="nil"/>
                    <w:tr2bl w:val="nil"/>
                  </w:tcBorders>
                  <w:noWrap w:val="0"/>
                  <w:vAlign w:val="center"/>
                </w:tcPr>
                <w:p w14:paraId="6F7C577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Z</w:t>
                  </w:r>
                </w:p>
              </w:tc>
              <w:tc>
                <w:tcPr>
                  <w:tcW w:w="662" w:type="dxa"/>
                  <w:vMerge w:val="continue"/>
                  <w:tcBorders>
                    <w:tl2br w:val="nil"/>
                    <w:tr2bl w:val="nil"/>
                  </w:tcBorders>
                  <w:noWrap w:val="0"/>
                  <w:vAlign w:val="center"/>
                </w:tcPr>
                <w:p w14:paraId="34066B9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vMerge w:val="continue"/>
                  <w:tcBorders>
                    <w:tl2br w:val="nil"/>
                    <w:tr2bl w:val="nil"/>
                  </w:tcBorders>
                  <w:noWrap w:val="0"/>
                  <w:vAlign w:val="center"/>
                </w:tcPr>
                <w:p w14:paraId="376F831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905" w:type="dxa"/>
                  <w:vMerge w:val="continue"/>
                  <w:tcBorders>
                    <w:tl2br w:val="nil"/>
                    <w:tr2bl w:val="nil"/>
                  </w:tcBorders>
                  <w:noWrap w:val="0"/>
                  <w:vAlign w:val="center"/>
                </w:tcPr>
                <w:p w14:paraId="59293BA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048B06E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2FE81ED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声压级/dB(A)</w:t>
                  </w:r>
                </w:p>
              </w:tc>
              <w:tc>
                <w:tcPr>
                  <w:tcW w:w="426" w:type="dxa"/>
                  <w:tcBorders>
                    <w:tl2br w:val="nil"/>
                    <w:tr2bl w:val="nil"/>
                  </w:tcBorders>
                  <w:noWrap w:val="0"/>
                  <w:vAlign w:val="center"/>
                </w:tcPr>
                <w:p w14:paraId="2760C87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建筑物外距离</w:t>
                  </w:r>
                </w:p>
              </w:tc>
            </w:tr>
            <w:tr w14:paraId="5D294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30" w:type="dxa"/>
                  <w:vMerge w:val="restart"/>
                  <w:tcBorders>
                    <w:tl2br w:val="nil"/>
                    <w:tr2bl w:val="nil"/>
                  </w:tcBorders>
                  <w:noWrap w:val="0"/>
                  <w:vAlign w:val="center"/>
                </w:tcPr>
                <w:p w14:paraId="7F1A607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生产车间</w:t>
                  </w:r>
                </w:p>
              </w:tc>
              <w:tc>
                <w:tcPr>
                  <w:tcW w:w="454" w:type="dxa"/>
                  <w:vMerge w:val="restart"/>
                  <w:tcBorders>
                    <w:tl2br w:val="nil"/>
                    <w:tr2bl w:val="nil"/>
                  </w:tcBorders>
                  <w:noWrap w:val="0"/>
                  <w:vAlign w:val="center"/>
                </w:tcPr>
                <w:p w14:paraId="20140B1C">
                  <w:pPr>
                    <w:adjustRightInd w:val="0"/>
                    <w:snapToGrid w:val="0"/>
                    <w:spacing w:line="300" w:lineRule="exact"/>
                    <w:jc w:val="center"/>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cs="Times New Roman"/>
                      <w:color w:val="auto"/>
                      <w:kern w:val="0"/>
                      <w:sz w:val="21"/>
                      <w:szCs w:val="21"/>
                      <w:lang w:val="en-US" w:eastAsia="zh-CN" w:bidi="ar"/>
                    </w:rPr>
                    <w:t>加弹机</w:t>
                  </w:r>
                </w:p>
              </w:tc>
              <w:tc>
                <w:tcPr>
                  <w:tcW w:w="426" w:type="dxa"/>
                  <w:vMerge w:val="restart"/>
                  <w:tcBorders>
                    <w:tl2br w:val="nil"/>
                    <w:tr2bl w:val="nil"/>
                  </w:tcBorders>
                  <w:noWrap w:val="0"/>
                  <w:vAlign w:val="center"/>
                </w:tcPr>
                <w:p w14:paraId="79F75E6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811" w:type="dxa"/>
                  <w:vMerge w:val="restart"/>
                  <w:tcBorders>
                    <w:tl2br w:val="nil"/>
                    <w:tr2bl w:val="nil"/>
                  </w:tcBorders>
                  <w:noWrap w:val="0"/>
                  <w:vAlign w:val="center"/>
                </w:tcPr>
                <w:p w14:paraId="6022707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w:t>
                  </w:r>
                </w:p>
              </w:tc>
              <w:tc>
                <w:tcPr>
                  <w:tcW w:w="583" w:type="dxa"/>
                  <w:vMerge w:val="restart"/>
                  <w:tcBorders>
                    <w:tl2br w:val="nil"/>
                    <w:tr2bl w:val="nil"/>
                  </w:tcBorders>
                  <w:noWrap w:val="0"/>
                  <w:vAlign w:val="center"/>
                </w:tcPr>
                <w:p w14:paraId="011C1D3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636" w:type="dxa"/>
                  <w:vMerge w:val="restart"/>
                  <w:tcBorders>
                    <w:tl2br w:val="nil"/>
                    <w:tr2bl w:val="nil"/>
                  </w:tcBorders>
                  <w:noWrap w:val="0"/>
                  <w:vAlign w:val="center"/>
                </w:tcPr>
                <w:p w14:paraId="2F0D6EA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厂房隔声、距离减震</w:t>
                  </w:r>
                </w:p>
              </w:tc>
              <w:tc>
                <w:tcPr>
                  <w:tcW w:w="534" w:type="dxa"/>
                  <w:vMerge w:val="restart"/>
                  <w:tcBorders>
                    <w:tl2br w:val="nil"/>
                    <w:tr2bl w:val="nil"/>
                  </w:tcBorders>
                  <w:noWrap w:val="0"/>
                  <w:vAlign w:val="center"/>
                </w:tcPr>
                <w:p w14:paraId="5ADDE6B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7225136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531" w:type="dxa"/>
                  <w:vMerge w:val="restart"/>
                  <w:tcBorders>
                    <w:tl2br w:val="nil"/>
                    <w:tr2bl w:val="nil"/>
                  </w:tcBorders>
                  <w:noWrap w:val="0"/>
                  <w:vAlign w:val="center"/>
                </w:tcPr>
                <w:p w14:paraId="5952918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146265C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45" w:type="dxa"/>
                  <w:vMerge w:val="restart"/>
                  <w:tcBorders>
                    <w:tl2br w:val="nil"/>
                    <w:tr2bl w:val="nil"/>
                  </w:tcBorders>
                  <w:noWrap w:val="0"/>
                  <w:vAlign w:val="center"/>
                </w:tcPr>
                <w:p w14:paraId="2242947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662" w:type="dxa"/>
                  <w:tcBorders>
                    <w:tl2br w:val="nil"/>
                    <w:tr2bl w:val="nil"/>
                  </w:tcBorders>
                  <w:noWrap w:val="0"/>
                  <w:vAlign w:val="center"/>
                </w:tcPr>
                <w:p w14:paraId="72534EF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5769557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905" w:type="dxa"/>
                  <w:vMerge w:val="restart"/>
                  <w:tcBorders>
                    <w:tl2br w:val="nil"/>
                    <w:tr2bl w:val="nil"/>
                  </w:tcBorders>
                  <w:noWrap w:val="0"/>
                  <w:vAlign w:val="center"/>
                </w:tcPr>
                <w:p w14:paraId="584B017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00:00~</w:t>
                  </w:r>
                </w:p>
                <w:p w14:paraId="615CFA4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24:00</w:t>
                  </w:r>
                </w:p>
              </w:tc>
              <w:tc>
                <w:tcPr>
                  <w:tcW w:w="811" w:type="dxa"/>
                  <w:vMerge w:val="restart"/>
                  <w:tcBorders>
                    <w:tl2br w:val="nil"/>
                    <w:tr2bl w:val="nil"/>
                  </w:tcBorders>
                  <w:noWrap w:val="0"/>
                  <w:vAlign w:val="center"/>
                </w:tcPr>
                <w:p w14:paraId="6189E61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20</w:t>
                  </w:r>
                </w:p>
              </w:tc>
              <w:tc>
                <w:tcPr>
                  <w:tcW w:w="826" w:type="dxa"/>
                  <w:tcBorders>
                    <w:tl2br w:val="nil"/>
                    <w:tr2bl w:val="nil"/>
                  </w:tcBorders>
                  <w:noWrap w:val="0"/>
                  <w:vAlign w:val="center"/>
                </w:tcPr>
                <w:p w14:paraId="452A8BF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restart"/>
                  <w:tcBorders>
                    <w:tl2br w:val="nil"/>
                    <w:tr2bl w:val="nil"/>
                  </w:tcBorders>
                  <w:noWrap w:val="0"/>
                  <w:vAlign w:val="center"/>
                </w:tcPr>
                <w:p w14:paraId="7596D38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r>
            <w:tr w14:paraId="00101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30" w:type="dxa"/>
                  <w:vMerge w:val="continue"/>
                  <w:tcBorders>
                    <w:tl2br w:val="nil"/>
                    <w:tr2bl w:val="nil"/>
                  </w:tcBorders>
                  <w:noWrap w:val="0"/>
                  <w:vAlign w:val="center"/>
                </w:tcPr>
                <w:p w14:paraId="53604D3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54" w:type="dxa"/>
                  <w:vMerge w:val="continue"/>
                  <w:tcBorders>
                    <w:tl2br w:val="nil"/>
                    <w:tr2bl w:val="nil"/>
                  </w:tcBorders>
                  <w:noWrap w:val="0"/>
                  <w:vAlign w:val="center"/>
                </w:tcPr>
                <w:p w14:paraId="376DF53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26" w:type="dxa"/>
                  <w:vMerge w:val="continue"/>
                  <w:tcBorders>
                    <w:tl2br w:val="nil"/>
                    <w:tr2bl w:val="nil"/>
                  </w:tcBorders>
                  <w:noWrap w:val="0"/>
                  <w:vAlign w:val="center"/>
                </w:tcPr>
                <w:p w14:paraId="7C2CC79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811" w:type="dxa"/>
                  <w:vMerge w:val="continue"/>
                  <w:tcBorders>
                    <w:tl2br w:val="nil"/>
                    <w:tr2bl w:val="nil"/>
                  </w:tcBorders>
                  <w:noWrap w:val="0"/>
                  <w:vAlign w:val="center"/>
                </w:tcPr>
                <w:p w14:paraId="5A51832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83" w:type="dxa"/>
                  <w:vMerge w:val="continue"/>
                  <w:tcBorders>
                    <w:tl2br w:val="nil"/>
                    <w:tr2bl w:val="nil"/>
                  </w:tcBorders>
                  <w:noWrap w:val="0"/>
                  <w:vAlign w:val="center"/>
                </w:tcPr>
                <w:p w14:paraId="1A62FC0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36" w:type="dxa"/>
                  <w:vMerge w:val="continue"/>
                  <w:tcBorders>
                    <w:tl2br w:val="nil"/>
                    <w:tr2bl w:val="nil"/>
                  </w:tcBorders>
                  <w:noWrap w:val="0"/>
                  <w:vAlign w:val="center"/>
                </w:tcPr>
                <w:p w14:paraId="7CB5E15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4" w:type="dxa"/>
                  <w:vMerge w:val="continue"/>
                  <w:tcBorders>
                    <w:tl2br w:val="nil"/>
                    <w:tr2bl w:val="nil"/>
                  </w:tcBorders>
                  <w:noWrap w:val="0"/>
                  <w:vAlign w:val="center"/>
                </w:tcPr>
                <w:p w14:paraId="24FEC2F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1" w:type="dxa"/>
                  <w:vMerge w:val="continue"/>
                  <w:tcBorders>
                    <w:tl2br w:val="nil"/>
                    <w:tr2bl w:val="nil"/>
                  </w:tcBorders>
                  <w:noWrap w:val="0"/>
                  <w:vAlign w:val="center"/>
                </w:tcPr>
                <w:p w14:paraId="01D86C8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345" w:type="dxa"/>
                  <w:vMerge w:val="continue"/>
                  <w:tcBorders>
                    <w:tl2br w:val="nil"/>
                    <w:tr2bl w:val="nil"/>
                  </w:tcBorders>
                  <w:noWrap w:val="0"/>
                  <w:vAlign w:val="center"/>
                </w:tcPr>
                <w:p w14:paraId="20EEC86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62" w:type="dxa"/>
                  <w:tcBorders>
                    <w:tl2br w:val="nil"/>
                    <w:tr2bl w:val="nil"/>
                  </w:tcBorders>
                  <w:noWrap w:val="0"/>
                  <w:vAlign w:val="center"/>
                </w:tcPr>
                <w:p w14:paraId="21B0734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0A3FCE0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2CF07DB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11" w:type="dxa"/>
                  <w:vMerge w:val="continue"/>
                  <w:tcBorders>
                    <w:tl2br w:val="nil"/>
                    <w:tr2bl w:val="nil"/>
                  </w:tcBorders>
                  <w:noWrap w:val="0"/>
                  <w:vAlign w:val="center"/>
                </w:tcPr>
                <w:p w14:paraId="514A62E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26" w:type="dxa"/>
                  <w:tcBorders>
                    <w:tl2br w:val="nil"/>
                    <w:tr2bl w:val="nil"/>
                  </w:tcBorders>
                  <w:noWrap w:val="0"/>
                  <w:vAlign w:val="center"/>
                </w:tcPr>
                <w:p w14:paraId="7425EE1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3522163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5ECE9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30" w:type="dxa"/>
                  <w:vMerge w:val="continue"/>
                  <w:tcBorders>
                    <w:tl2br w:val="nil"/>
                    <w:tr2bl w:val="nil"/>
                  </w:tcBorders>
                  <w:noWrap w:val="0"/>
                  <w:vAlign w:val="center"/>
                </w:tcPr>
                <w:p w14:paraId="39B72E7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54" w:type="dxa"/>
                  <w:vMerge w:val="continue"/>
                  <w:tcBorders>
                    <w:tl2br w:val="nil"/>
                    <w:tr2bl w:val="nil"/>
                  </w:tcBorders>
                  <w:noWrap w:val="0"/>
                  <w:vAlign w:val="center"/>
                </w:tcPr>
                <w:p w14:paraId="4D6D8A5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26" w:type="dxa"/>
                  <w:vMerge w:val="continue"/>
                  <w:tcBorders>
                    <w:tl2br w:val="nil"/>
                    <w:tr2bl w:val="nil"/>
                  </w:tcBorders>
                  <w:noWrap w:val="0"/>
                  <w:vAlign w:val="center"/>
                </w:tcPr>
                <w:p w14:paraId="0FA9B6A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11" w:type="dxa"/>
                  <w:vMerge w:val="continue"/>
                  <w:tcBorders>
                    <w:tl2br w:val="nil"/>
                    <w:tr2bl w:val="nil"/>
                  </w:tcBorders>
                  <w:noWrap w:val="0"/>
                  <w:vAlign w:val="center"/>
                </w:tcPr>
                <w:p w14:paraId="3A8CC37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83" w:type="dxa"/>
                  <w:vMerge w:val="continue"/>
                  <w:tcBorders>
                    <w:tl2br w:val="nil"/>
                    <w:tr2bl w:val="nil"/>
                  </w:tcBorders>
                  <w:noWrap w:val="0"/>
                  <w:vAlign w:val="center"/>
                </w:tcPr>
                <w:p w14:paraId="21CE466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36" w:type="dxa"/>
                  <w:vMerge w:val="continue"/>
                  <w:tcBorders>
                    <w:tl2br w:val="nil"/>
                    <w:tr2bl w:val="nil"/>
                  </w:tcBorders>
                  <w:noWrap w:val="0"/>
                  <w:vAlign w:val="center"/>
                </w:tcPr>
                <w:p w14:paraId="236B6B6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4" w:type="dxa"/>
                  <w:vMerge w:val="continue"/>
                  <w:tcBorders>
                    <w:tl2br w:val="nil"/>
                    <w:tr2bl w:val="nil"/>
                  </w:tcBorders>
                  <w:noWrap w:val="0"/>
                  <w:vAlign w:val="center"/>
                </w:tcPr>
                <w:p w14:paraId="35BF249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1" w:type="dxa"/>
                  <w:vMerge w:val="continue"/>
                  <w:tcBorders>
                    <w:tl2br w:val="nil"/>
                    <w:tr2bl w:val="nil"/>
                  </w:tcBorders>
                  <w:noWrap w:val="0"/>
                  <w:vAlign w:val="center"/>
                </w:tcPr>
                <w:p w14:paraId="4125D97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345" w:type="dxa"/>
                  <w:vMerge w:val="continue"/>
                  <w:tcBorders>
                    <w:tl2br w:val="nil"/>
                    <w:tr2bl w:val="nil"/>
                  </w:tcBorders>
                  <w:noWrap w:val="0"/>
                  <w:vAlign w:val="center"/>
                </w:tcPr>
                <w:p w14:paraId="34C5F28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62" w:type="dxa"/>
                  <w:tcBorders>
                    <w:tl2br w:val="nil"/>
                    <w:tr2bl w:val="nil"/>
                  </w:tcBorders>
                  <w:noWrap w:val="0"/>
                  <w:vAlign w:val="center"/>
                </w:tcPr>
                <w:p w14:paraId="0CBA70A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0B301D9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3E91B49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11" w:type="dxa"/>
                  <w:vMerge w:val="continue"/>
                  <w:tcBorders>
                    <w:tl2br w:val="nil"/>
                    <w:tr2bl w:val="nil"/>
                  </w:tcBorders>
                  <w:noWrap w:val="0"/>
                  <w:vAlign w:val="center"/>
                </w:tcPr>
                <w:p w14:paraId="58892B9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26" w:type="dxa"/>
                  <w:tcBorders>
                    <w:tl2br w:val="nil"/>
                    <w:tr2bl w:val="nil"/>
                  </w:tcBorders>
                  <w:noWrap w:val="0"/>
                  <w:vAlign w:val="center"/>
                </w:tcPr>
                <w:p w14:paraId="78B5C83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240B1BC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58BFD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30" w:type="dxa"/>
                  <w:vMerge w:val="continue"/>
                  <w:tcBorders>
                    <w:tl2br w:val="nil"/>
                    <w:tr2bl w:val="nil"/>
                  </w:tcBorders>
                  <w:noWrap w:val="0"/>
                  <w:vAlign w:val="center"/>
                </w:tcPr>
                <w:p w14:paraId="5E6FBFD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54" w:type="dxa"/>
                  <w:vMerge w:val="continue"/>
                  <w:tcBorders>
                    <w:tl2br w:val="nil"/>
                    <w:tr2bl w:val="nil"/>
                  </w:tcBorders>
                  <w:noWrap w:val="0"/>
                  <w:vAlign w:val="center"/>
                </w:tcPr>
                <w:p w14:paraId="12C8D57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26" w:type="dxa"/>
                  <w:vMerge w:val="continue"/>
                  <w:tcBorders>
                    <w:tl2br w:val="nil"/>
                    <w:tr2bl w:val="nil"/>
                  </w:tcBorders>
                  <w:noWrap w:val="0"/>
                  <w:vAlign w:val="center"/>
                </w:tcPr>
                <w:p w14:paraId="3EAAF9C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11" w:type="dxa"/>
                  <w:vMerge w:val="continue"/>
                  <w:tcBorders>
                    <w:tl2br w:val="nil"/>
                    <w:tr2bl w:val="nil"/>
                  </w:tcBorders>
                  <w:noWrap w:val="0"/>
                  <w:vAlign w:val="center"/>
                </w:tcPr>
                <w:p w14:paraId="04FE698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83" w:type="dxa"/>
                  <w:vMerge w:val="continue"/>
                  <w:tcBorders>
                    <w:tl2br w:val="nil"/>
                    <w:tr2bl w:val="nil"/>
                  </w:tcBorders>
                  <w:noWrap w:val="0"/>
                  <w:vAlign w:val="center"/>
                </w:tcPr>
                <w:p w14:paraId="45D6B5A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36" w:type="dxa"/>
                  <w:vMerge w:val="continue"/>
                  <w:tcBorders>
                    <w:tl2br w:val="nil"/>
                    <w:tr2bl w:val="nil"/>
                  </w:tcBorders>
                  <w:noWrap w:val="0"/>
                  <w:vAlign w:val="center"/>
                </w:tcPr>
                <w:p w14:paraId="671B027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4" w:type="dxa"/>
                  <w:vMerge w:val="continue"/>
                  <w:tcBorders>
                    <w:tl2br w:val="nil"/>
                    <w:tr2bl w:val="nil"/>
                  </w:tcBorders>
                  <w:noWrap w:val="0"/>
                  <w:vAlign w:val="center"/>
                </w:tcPr>
                <w:p w14:paraId="2154E2F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1" w:type="dxa"/>
                  <w:vMerge w:val="continue"/>
                  <w:tcBorders>
                    <w:tl2br w:val="nil"/>
                    <w:tr2bl w:val="nil"/>
                  </w:tcBorders>
                  <w:noWrap w:val="0"/>
                  <w:vAlign w:val="center"/>
                </w:tcPr>
                <w:p w14:paraId="3382417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345" w:type="dxa"/>
                  <w:vMerge w:val="continue"/>
                  <w:tcBorders>
                    <w:tl2br w:val="nil"/>
                    <w:tr2bl w:val="nil"/>
                  </w:tcBorders>
                  <w:noWrap w:val="0"/>
                  <w:vAlign w:val="center"/>
                </w:tcPr>
                <w:p w14:paraId="46416FB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662" w:type="dxa"/>
                  <w:tcBorders>
                    <w:tl2br w:val="nil"/>
                    <w:tr2bl w:val="nil"/>
                  </w:tcBorders>
                  <w:noWrap w:val="0"/>
                  <w:vAlign w:val="center"/>
                </w:tcPr>
                <w:p w14:paraId="7F94271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408B456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72D3478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11" w:type="dxa"/>
                  <w:vMerge w:val="continue"/>
                  <w:tcBorders>
                    <w:tl2br w:val="nil"/>
                    <w:tr2bl w:val="nil"/>
                  </w:tcBorders>
                  <w:noWrap w:val="0"/>
                  <w:vAlign w:val="center"/>
                </w:tcPr>
                <w:p w14:paraId="0C0C6E9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826" w:type="dxa"/>
                  <w:tcBorders>
                    <w:tl2br w:val="nil"/>
                    <w:tr2bl w:val="nil"/>
                  </w:tcBorders>
                  <w:noWrap w:val="0"/>
                  <w:vAlign w:val="center"/>
                </w:tcPr>
                <w:p w14:paraId="5518BFC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0D996E9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r>
            <w:tr w14:paraId="1E4AF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53BE6EA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54" w:type="dxa"/>
                  <w:vMerge w:val="restart"/>
                  <w:tcBorders>
                    <w:tl2br w:val="nil"/>
                    <w:tr2bl w:val="nil"/>
                  </w:tcBorders>
                  <w:noWrap w:val="0"/>
                  <w:vAlign w:val="center"/>
                </w:tcPr>
                <w:p w14:paraId="01CB7E4D">
                  <w:pPr>
                    <w:adjustRightInd w:val="0"/>
                    <w:snapToGrid w:val="0"/>
                    <w:spacing w:line="300" w:lineRule="exact"/>
                    <w:jc w:val="center"/>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cs="Times New Roman"/>
                      <w:sz w:val="21"/>
                      <w:szCs w:val="21"/>
                      <w:lang w:val="en-US" w:eastAsia="zh-CN"/>
                    </w:rPr>
                    <w:t>整并机</w:t>
                  </w:r>
                </w:p>
              </w:tc>
              <w:tc>
                <w:tcPr>
                  <w:tcW w:w="426" w:type="dxa"/>
                  <w:vMerge w:val="restart"/>
                  <w:tcBorders>
                    <w:tl2br w:val="nil"/>
                    <w:tr2bl w:val="nil"/>
                  </w:tcBorders>
                  <w:noWrap w:val="0"/>
                  <w:vAlign w:val="center"/>
                </w:tcPr>
                <w:p w14:paraId="5A020A8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811" w:type="dxa"/>
                  <w:vMerge w:val="restart"/>
                  <w:tcBorders>
                    <w:tl2br w:val="nil"/>
                    <w:tr2bl w:val="nil"/>
                  </w:tcBorders>
                  <w:noWrap w:val="0"/>
                  <w:vAlign w:val="center"/>
                </w:tcPr>
                <w:p w14:paraId="50A247FD">
                  <w:pPr>
                    <w:adjustRightInd w:val="0"/>
                    <w:snapToGrid w:val="0"/>
                    <w:spacing w:line="300" w:lineRule="exact"/>
                    <w:jc w:val="center"/>
                    <w:rPr>
                      <w:rFonts w:hint="default" w:ascii="Times New Roman" w:hAnsi="Times New Roman"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w:t>
                  </w:r>
                </w:p>
              </w:tc>
              <w:tc>
                <w:tcPr>
                  <w:tcW w:w="583" w:type="dxa"/>
                  <w:vMerge w:val="restart"/>
                  <w:tcBorders>
                    <w:tl2br w:val="nil"/>
                    <w:tr2bl w:val="nil"/>
                  </w:tcBorders>
                  <w:noWrap w:val="0"/>
                  <w:vAlign w:val="center"/>
                </w:tcPr>
                <w:p w14:paraId="1CDB888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636" w:type="dxa"/>
                  <w:vMerge w:val="continue"/>
                  <w:tcBorders>
                    <w:tl2br w:val="nil"/>
                    <w:tr2bl w:val="nil"/>
                  </w:tcBorders>
                  <w:noWrap w:val="0"/>
                  <w:vAlign w:val="center"/>
                </w:tcPr>
                <w:p w14:paraId="46BA79F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4" w:type="dxa"/>
                  <w:vMerge w:val="restart"/>
                  <w:tcBorders>
                    <w:tl2br w:val="nil"/>
                    <w:tr2bl w:val="nil"/>
                  </w:tcBorders>
                  <w:noWrap w:val="0"/>
                  <w:vAlign w:val="center"/>
                </w:tcPr>
                <w:p w14:paraId="527FD0E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218A22F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531" w:type="dxa"/>
                  <w:vMerge w:val="restart"/>
                  <w:tcBorders>
                    <w:tl2br w:val="nil"/>
                    <w:tr2bl w:val="nil"/>
                  </w:tcBorders>
                  <w:noWrap w:val="0"/>
                  <w:vAlign w:val="center"/>
                </w:tcPr>
                <w:p w14:paraId="41CA349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6B75D3F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45" w:type="dxa"/>
                  <w:vMerge w:val="restart"/>
                  <w:tcBorders>
                    <w:tl2br w:val="nil"/>
                    <w:tr2bl w:val="nil"/>
                  </w:tcBorders>
                  <w:noWrap w:val="0"/>
                  <w:vAlign w:val="center"/>
                </w:tcPr>
                <w:p w14:paraId="236EE39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662" w:type="dxa"/>
                  <w:tcBorders>
                    <w:tl2br w:val="nil"/>
                    <w:tr2bl w:val="nil"/>
                  </w:tcBorders>
                  <w:noWrap w:val="0"/>
                  <w:vAlign w:val="center"/>
                </w:tcPr>
                <w:p w14:paraId="3F579C4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5A63CFC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905" w:type="dxa"/>
                  <w:vMerge w:val="restart"/>
                  <w:tcBorders>
                    <w:tl2br w:val="nil"/>
                    <w:tr2bl w:val="nil"/>
                  </w:tcBorders>
                  <w:noWrap w:val="0"/>
                  <w:vAlign w:val="center"/>
                </w:tcPr>
                <w:p w14:paraId="62FCDEC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00:00~</w:t>
                  </w:r>
                </w:p>
                <w:p w14:paraId="20F322A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eastAsia="宋体" w:cs="Times New Roman"/>
                      <w:b w:val="0"/>
                      <w:bCs/>
                      <w:color w:val="auto"/>
                      <w:sz w:val="21"/>
                      <w:szCs w:val="21"/>
                      <w:highlight w:val="none"/>
                      <w:vertAlign w:val="baseline"/>
                      <w:lang w:val="en-US" w:eastAsia="zh-CN"/>
                    </w:rPr>
                    <w:t>24:00</w:t>
                  </w:r>
                </w:p>
              </w:tc>
              <w:tc>
                <w:tcPr>
                  <w:tcW w:w="811" w:type="dxa"/>
                  <w:vMerge w:val="restart"/>
                  <w:tcBorders>
                    <w:tl2br w:val="nil"/>
                    <w:tr2bl w:val="nil"/>
                  </w:tcBorders>
                  <w:noWrap w:val="0"/>
                  <w:vAlign w:val="center"/>
                </w:tcPr>
                <w:p w14:paraId="6A9D39B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20</w:t>
                  </w:r>
                </w:p>
              </w:tc>
              <w:tc>
                <w:tcPr>
                  <w:tcW w:w="826" w:type="dxa"/>
                  <w:tcBorders>
                    <w:tl2br w:val="nil"/>
                    <w:tr2bl w:val="nil"/>
                  </w:tcBorders>
                  <w:noWrap w:val="0"/>
                  <w:vAlign w:val="center"/>
                </w:tcPr>
                <w:p w14:paraId="6931747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restart"/>
                  <w:tcBorders>
                    <w:tl2br w:val="nil"/>
                    <w:tr2bl w:val="nil"/>
                  </w:tcBorders>
                  <w:noWrap w:val="0"/>
                  <w:vAlign w:val="center"/>
                </w:tcPr>
                <w:p w14:paraId="3FEBE07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r>
            <w:tr w14:paraId="5DB44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5EE27B3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54" w:type="dxa"/>
                  <w:vMerge w:val="continue"/>
                  <w:tcBorders>
                    <w:tl2br w:val="nil"/>
                    <w:tr2bl w:val="nil"/>
                  </w:tcBorders>
                  <w:noWrap w:val="0"/>
                  <w:vAlign w:val="center"/>
                </w:tcPr>
                <w:p w14:paraId="3F3B17F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26" w:type="dxa"/>
                  <w:vMerge w:val="continue"/>
                  <w:tcBorders>
                    <w:tl2br w:val="nil"/>
                    <w:tr2bl w:val="nil"/>
                  </w:tcBorders>
                  <w:noWrap w:val="0"/>
                  <w:vAlign w:val="center"/>
                </w:tcPr>
                <w:p w14:paraId="359B4C6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811" w:type="dxa"/>
                  <w:vMerge w:val="continue"/>
                  <w:tcBorders>
                    <w:tl2br w:val="nil"/>
                    <w:tr2bl w:val="nil"/>
                  </w:tcBorders>
                  <w:noWrap w:val="0"/>
                  <w:vAlign w:val="center"/>
                </w:tcPr>
                <w:p w14:paraId="500BB35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83" w:type="dxa"/>
                  <w:vMerge w:val="continue"/>
                  <w:tcBorders>
                    <w:tl2br w:val="nil"/>
                    <w:tr2bl w:val="nil"/>
                  </w:tcBorders>
                  <w:noWrap w:val="0"/>
                  <w:vAlign w:val="center"/>
                </w:tcPr>
                <w:p w14:paraId="632308D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36" w:type="dxa"/>
                  <w:vMerge w:val="continue"/>
                  <w:tcBorders>
                    <w:tl2br w:val="nil"/>
                    <w:tr2bl w:val="nil"/>
                  </w:tcBorders>
                  <w:noWrap w:val="0"/>
                  <w:vAlign w:val="center"/>
                </w:tcPr>
                <w:p w14:paraId="039D8F5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4" w:type="dxa"/>
                  <w:vMerge w:val="continue"/>
                  <w:tcBorders>
                    <w:tl2br w:val="nil"/>
                    <w:tr2bl w:val="nil"/>
                  </w:tcBorders>
                  <w:noWrap w:val="0"/>
                  <w:vAlign w:val="center"/>
                </w:tcPr>
                <w:p w14:paraId="06F7D83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1" w:type="dxa"/>
                  <w:vMerge w:val="continue"/>
                  <w:tcBorders>
                    <w:tl2br w:val="nil"/>
                    <w:tr2bl w:val="nil"/>
                  </w:tcBorders>
                  <w:noWrap w:val="0"/>
                  <w:vAlign w:val="center"/>
                </w:tcPr>
                <w:p w14:paraId="6090977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345" w:type="dxa"/>
                  <w:vMerge w:val="continue"/>
                  <w:tcBorders>
                    <w:tl2br w:val="nil"/>
                    <w:tr2bl w:val="nil"/>
                  </w:tcBorders>
                  <w:noWrap w:val="0"/>
                  <w:vAlign w:val="center"/>
                </w:tcPr>
                <w:p w14:paraId="4290981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62" w:type="dxa"/>
                  <w:tcBorders>
                    <w:tl2br w:val="nil"/>
                    <w:tr2bl w:val="nil"/>
                  </w:tcBorders>
                  <w:noWrap w:val="0"/>
                  <w:vAlign w:val="center"/>
                </w:tcPr>
                <w:p w14:paraId="734BAEB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7B7A28F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71A2745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014E0B2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6A22CFF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27E20F1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4F4BB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38FF8AB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64AE061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6E75FCE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62ACE58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29466CD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56058F7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7E2F4DC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6620524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4EC5FB4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630048E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2756CF6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1A50DDD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3A178AD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1D9BD09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127D92F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489A1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3792284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43F393D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06B2B27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4D833A6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48CED3C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2F09BD8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1268423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7E26CB9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2B2487D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0F75BB5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1E45ED1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4EF4ABA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1BEED64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42C97DD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440FA48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6A737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495520E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54" w:type="dxa"/>
                  <w:vMerge w:val="restart"/>
                  <w:tcBorders>
                    <w:tl2br w:val="nil"/>
                    <w:tr2bl w:val="nil"/>
                  </w:tcBorders>
                  <w:noWrap w:val="0"/>
                  <w:vAlign w:val="center"/>
                </w:tcPr>
                <w:p w14:paraId="14DF1B18">
                  <w:pPr>
                    <w:adjustRightInd w:val="0"/>
                    <w:snapToGrid w:val="0"/>
                    <w:spacing w:line="300" w:lineRule="exact"/>
                    <w:jc w:val="center"/>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cs="Times New Roman"/>
                      <w:i w:val="0"/>
                      <w:iCs w:val="0"/>
                      <w:color w:val="000000"/>
                      <w:kern w:val="0"/>
                      <w:sz w:val="21"/>
                      <w:szCs w:val="21"/>
                      <w:highlight w:val="none"/>
                      <w:u w:val="none"/>
                      <w:lang w:val="en-US" w:eastAsia="zh-CN" w:bidi="ar"/>
                    </w:rPr>
                    <w:t>自动穿线机</w:t>
                  </w:r>
                </w:p>
              </w:tc>
              <w:tc>
                <w:tcPr>
                  <w:tcW w:w="426" w:type="dxa"/>
                  <w:vMerge w:val="restart"/>
                  <w:tcBorders>
                    <w:tl2br w:val="nil"/>
                    <w:tr2bl w:val="nil"/>
                  </w:tcBorders>
                  <w:noWrap w:val="0"/>
                  <w:vAlign w:val="center"/>
                </w:tcPr>
                <w:p w14:paraId="1AF6949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811" w:type="dxa"/>
                  <w:vMerge w:val="restart"/>
                  <w:tcBorders>
                    <w:tl2br w:val="nil"/>
                    <w:tr2bl w:val="nil"/>
                  </w:tcBorders>
                  <w:noWrap w:val="0"/>
                  <w:vAlign w:val="center"/>
                </w:tcPr>
                <w:p w14:paraId="597BF545">
                  <w:pPr>
                    <w:adjustRightInd w:val="0"/>
                    <w:snapToGrid w:val="0"/>
                    <w:spacing w:line="300" w:lineRule="exact"/>
                    <w:jc w:val="center"/>
                    <w:rPr>
                      <w:rFonts w:hint="default" w:ascii="Times New Roman" w:hAnsi="Times New Roman"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w:t>
                  </w:r>
                </w:p>
              </w:tc>
              <w:tc>
                <w:tcPr>
                  <w:tcW w:w="583" w:type="dxa"/>
                  <w:vMerge w:val="restart"/>
                  <w:tcBorders>
                    <w:tl2br w:val="nil"/>
                    <w:tr2bl w:val="nil"/>
                  </w:tcBorders>
                  <w:noWrap w:val="0"/>
                  <w:vAlign w:val="center"/>
                </w:tcPr>
                <w:p w14:paraId="4206D69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636" w:type="dxa"/>
                  <w:vMerge w:val="continue"/>
                  <w:tcBorders>
                    <w:tl2br w:val="nil"/>
                    <w:tr2bl w:val="nil"/>
                  </w:tcBorders>
                  <w:noWrap w:val="0"/>
                  <w:vAlign w:val="center"/>
                </w:tcPr>
                <w:p w14:paraId="426C6ED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4" w:type="dxa"/>
                  <w:vMerge w:val="restart"/>
                  <w:tcBorders>
                    <w:tl2br w:val="nil"/>
                    <w:tr2bl w:val="nil"/>
                  </w:tcBorders>
                  <w:noWrap w:val="0"/>
                  <w:vAlign w:val="center"/>
                </w:tcPr>
                <w:p w14:paraId="6D7347B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3A7F4DF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531" w:type="dxa"/>
                  <w:vMerge w:val="restart"/>
                  <w:tcBorders>
                    <w:tl2br w:val="nil"/>
                    <w:tr2bl w:val="nil"/>
                  </w:tcBorders>
                  <w:noWrap w:val="0"/>
                  <w:vAlign w:val="center"/>
                </w:tcPr>
                <w:p w14:paraId="786A651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005B192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45" w:type="dxa"/>
                  <w:vMerge w:val="restart"/>
                  <w:tcBorders>
                    <w:tl2br w:val="nil"/>
                    <w:tr2bl w:val="nil"/>
                  </w:tcBorders>
                  <w:noWrap w:val="0"/>
                  <w:vAlign w:val="center"/>
                </w:tcPr>
                <w:p w14:paraId="6BBD9CD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662" w:type="dxa"/>
                  <w:tcBorders>
                    <w:tl2br w:val="nil"/>
                    <w:tr2bl w:val="nil"/>
                  </w:tcBorders>
                  <w:noWrap w:val="0"/>
                  <w:vAlign w:val="center"/>
                </w:tcPr>
                <w:p w14:paraId="64FF55F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5072EFB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905" w:type="dxa"/>
                  <w:vMerge w:val="restart"/>
                  <w:tcBorders>
                    <w:tl2br w:val="nil"/>
                    <w:tr2bl w:val="nil"/>
                  </w:tcBorders>
                  <w:noWrap w:val="0"/>
                  <w:vAlign w:val="center"/>
                </w:tcPr>
                <w:p w14:paraId="53CA53C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00:00~</w:t>
                  </w:r>
                </w:p>
                <w:p w14:paraId="259743A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eastAsia="宋体" w:cs="Times New Roman"/>
                      <w:b w:val="0"/>
                      <w:bCs/>
                      <w:color w:val="auto"/>
                      <w:sz w:val="21"/>
                      <w:szCs w:val="21"/>
                      <w:highlight w:val="none"/>
                      <w:vertAlign w:val="baseline"/>
                      <w:lang w:val="en-US" w:eastAsia="zh-CN"/>
                    </w:rPr>
                    <w:t>24:00</w:t>
                  </w:r>
                </w:p>
              </w:tc>
              <w:tc>
                <w:tcPr>
                  <w:tcW w:w="811" w:type="dxa"/>
                  <w:vMerge w:val="restart"/>
                  <w:tcBorders>
                    <w:tl2br w:val="nil"/>
                    <w:tr2bl w:val="nil"/>
                  </w:tcBorders>
                  <w:noWrap w:val="0"/>
                  <w:vAlign w:val="center"/>
                </w:tcPr>
                <w:p w14:paraId="71D01CF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lang w:val="en-US"/>
                    </w:rPr>
                  </w:pPr>
                  <w:r>
                    <w:rPr>
                      <w:rFonts w:hint="eastAsia" w:ascii="Times New Roman" w:hAnsi="Times New Roman" w:eastAsia="宋体" w:cs="Times New Roman"/>
                      <w:b w:val="0"/>
                      <w:bCs/>
                      <w:color w:val="auto"/>
                      <w:sz w:val="21"/>
                      <w:szCs w:val="21"/>
                      <w:highlight w:val="none"/>
                      <w:vertAlign w:val="baseline"/>
                      <w:lang w:val="en-US" w:eastAsia="zh-CN"/>
                    </w:rPr>
                    <w:t>20</w:t>
                  </w:r>
                </w:p>
              </w:tc>
              <w:tc>
                <w:tcPr>
                  <w:tcW w:w="826" w:type="dxa"/>
                  <w:tcBorders>
                    <w:tl2br w:val="nil"/>
                    <w:tr2bl w:val="nil"/>
                  </w:tcBorders>
                  <w:noWrap w:val="0"/>
                  <w:vAlign w:val="center"/>
                </w:tcPr>
                <w:p w14:paraId="0DC2FF6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restart"/>
                  <w:tcBorders>
                    <w:tl2br w:val="nil"/>
                    <w:tr2bl w:val="nil"/>
                  </w:tcBorders>
                  <w:noWrap w:val="0"/>
                  <w:vAlign w:val="center"/>
                </w:tcPr>
                <w:p w14:paraId="357160E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r>
            <w:tr w14:paraId="04EA2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70E0254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54" w:type="dxa"/>
                  <w:vMerge w:val="continue"/>
                  <w:tcBorders>
                    <w:tl2br w:val="nil"/>
                    <w:tr2bl w:val="nil"/>
                  </w:tcBorders>
                  <w:noWrap w:val="0"/>
                  <w:vAlign w:val="center"/>
                </w:tcPr>
                <w:p w14:paraId="0B52B98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26" w:type="dxa"/>
                  <w:vMerge w:val="continue"/>
                  <w:tcBorders>
                    <w:tl2br w:val="nil"/>
                    <w:tr2bl w:val="nil"/>
                  </w:tcBorders>
                  <w:noWrap w:val="0"/>
                  <w:vAlign w:val="center"/>
                </w:tcPr>
                <w:p w14:paraId="0D10D70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811" w:type="dxa"/>
                  <w:vMerge w:val="continue"/>
                  <w:tcBorders>
                    <w:tl2br w:val="nil"/>
                    <w:tr2bl w:val="nil"/>
                  </w:tcBorders>
                  <w:noWrap w:val="0"/>
                  <w:vAlign w:val="center"/>
                </w:tcPr>
                <w:p w14:paraId="4849C76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83" w:type="dxa"/>
                  <w:vMerge w:val="continue"/>
                  <w:tcBorders>
                    <w:tl2br w:val="nil"/>
                    <w:tr2bl w:val="nil"/>
                  </w:tcBorders>
                  <w:noWrap w:val="0"/>
                  <w:vAlign w:val="center"/>
                </w:tcPr>
                <w:p w14:paraId="52B3E1D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36" w:type="dxa"/>
                  <w:vMerge w:val="continue"/>
                  <w:tcBorders>
                    <w:tl2br w:val="nil"/>
                    <w:tr2bl w:val="nil"/>
                  </w:tcBorders>
                  <w:noWrap w:val="0"/>
                  <w:vAlign w:val="center"/>
                </w:tcPr>
                <w:p w14:paraId="69F12E4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4" w:type="dxa"/>
                  <w:vMerge w:val="continue"/>
                  <w:tcBorders>
                    <w:tl2br w:val="nil"/>
                    <w:tr2bl w:val="nil"/>
                  </w:tcBorders>
                  <w:noWrap w:val="0"/>
                  <w:vAlign w:val="center"/>
                </w:tcPr>
                <w:p w14:paraId="15A8045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1" w:type="dxa"/>
                  <w:vMerge w:val="continue"/>
                  <w:tcBorders>
                    <w:tl2br w:val="nil"/>
                    <w:tr2bl w:val="nil"/>
                  </w:tcBorders>
                  <w:noWrap w:val="0"/>
                  <w:vAlign w:val="center"/>
                </w:tcPr>
                <w:p w14:paraId="5E8BDC5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345" w:type="dxa"/>
                  <w:vMerge w:val="continue"/>
                  <w:tcBorders>
                    <w:tl2br w:val="nil"/>
                    <w:tr2bl w:val="nil"/>
                  </w:tcBorders>
                  <w:noWrap w:val="0"/>
                  <w:vAlign w:val="center"/>
                </w:tcPr>
                <w:p w14:paraId="202E9B2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62" w:type="dxa"/>
                  <w:tcBorders>
                    <w:tl2br w:val="nil"/>
                    <w:tr2bl w:val="nil"/>
                  </w:tcBorders>
                  <w:noWrap w:val="0"/>
                  <w:vAlign w:val="center"/>
                </w:tcPr>
                <w:p w14:paraId="4C826A6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3448866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2241B52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2076729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60F062F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1630C76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08E52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39ED272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68886FF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62F6950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703C038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09AB795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7FEC786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61E5A36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6C8734C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4D37861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5925185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49FA21F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7206A19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5947CF1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31DB8D1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2FD1F8E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263149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56A4420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78633B6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7C08B40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13AB736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64C850B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201C349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72D605A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171487A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7A6AC35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12123A5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6DB01A8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129BB39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46F8003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4C5D258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692FB37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16711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069725D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54" w:type="dxa"/>
                  <w:vMerge w:val="restart"/>
                  <w:tcBorders>
                    <w:tl2br w:val="nil"/>
                    <w:tr2bl w:val="nil"/>
                  </w:tcBorders>
                  <w:noWrap w:val="0"/>
                  <w:vAlign w:val="center"/>
                </w:tcPr>
                <w:p w14:paraId="647ECB82">
                  <w:pPr>
                    <w:adjustRightInd w:val="0"/>
                    <w:snapToGrid w:val="0"/>
                    <w:spacing w:line="300" w:lineRule="exact"/>
                    <w:jc w:val="center"/>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cs="Times New Roman"/>
                      <w:i w:val="0"/>
                      <w:iCs w:val="0"/>
                      <w:color w:val="000000"/>
                      <w:kern w:val="0"/>
                      <w:sz w:val="21"/>
                      <w:szCs w:val="21"/>
                      <w:highlight w:val="none"/>
                      <w:u w:val="none"/>
                      <w:lang w:val="en-US" w:eastAsia="zh-CN" w:bidi="ar"/>
                    </w:rPr>
                    <w:t>喷水织机</w:t>
                  </w:r>
                </w:p>
              </w:tc>
              <w:tc>
                <w:tcPr>
                  <w:tcW w:w="426" w:type="dxa"/>
                  <w:vMerge w:val="restart"/>
                  <w:tcBorders>
                    <w:tl2br w:val="nil"/>
                    <w:tr2bl w:val="nil"/>
                  </w:tcBorders>
                  <w:noWrap w:val="0"/>
                  <w:vAlign w:val="center"/>
                </w:tcPr>
                <w:p w14:paraId="24754F3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811" w:type="dxa"/>
                  <w:vMerge w:val="restart"/>
                  <w:tcBorders>
                    <w:tl2br w:val="nil"/>
                    <w:tr2bl w:val="nil"/>
                  </w:tcBorders>
                  <w:noWrap w:val="0"/>
                  <w:vAlign w:val="center"/>
                </w:tcPr>
                <w:p w14:paraId="58DD459B">
                  <w:pPr>
                    <w:adjustRightInd w:val="0"/>
                    <w:snapToGrid w:val="0"/>
                    <w:spacing w:line="300" w:lineRule="exact"/>
                    <w:jc w:val="center"/>
                    <w:rPr>
                      <w:rFonts w:hint="default" w:ascii="Times New Roman" w:hAnsi="Times New Roman" w:cs="Times New Roman"/>
                      <w:bCs/>
                      <w:sz w:val="24"/>
                      <w:szCs w:val="24"/>
                      <w:highlight w:val="none"/>
                      <w:lang w:val="en-US" w:eastAsia="zh-CN"/>
                    </w:rPr>
                  </w:pPr>
                  <w:r>
                    <w:rPr>
                      <w:rFonts w:hint="eastAsia" w:ascii="Times New Roman" w:hAnsi="Times New Roman" w:cs="Times New Roman"/>
                      <w:bCs/>
                      <w:sz w:val="24"/>
                      <w:szCs w:val="24"/>
                      <w:highlight w:val="none"/>
                      <w:lang w:val="en-US" w:eastAsia="zh-CN"/>
                    </w:rPr>
                    <w:t>***</w:t>
                  </w:r>
                </w:p>
              </w:tc>
              <w:tc>
                <w:tcPr>
                  <w:tcW w:w="583" w:type="dxa"/>
                  <w:vMerge w:val="restart"/>
                  <w:tcBorders>
                    <w:tl2br w:val="nil"/>
                    <w:tr2bl w:val="nil"/>
                  </w:tcBorders>
                  <w:noWrap w:val="0"/>
                  <w:vAlign w:val="center"/>
                </w:tcPr>
                <w:p w14:paraId="4894FE1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636" w:type="dxa"/>
                  <w:vMerge w:val="continue"/>
                  <w:tcBorders>
                    <w:tl2br w:val="nil"/>
                    <w:tr2bl w:val="nil"/>
                  </w:tcBorders>
                  <w:noWrap w:val="0"/>
                  <w:vAlign w:val="center"/>
                </w:tcPr>
                <w:p w14:paraId="30EA4C4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4" w:type="dxa"/>
                  <w:vMerge w:val="restart"/>
                  <w:tcBorders>
                    <w:tl2br w:val="nil"/>
                    <w:tr2bl w:val="nil"/>
                  </w:tcBorders>
                  <w:noWrap w:val="0"/>
                  <w:vAlign w:val="center"/>
                </w:tcPr>
                <w:p w14:paraId="52C0481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0204894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531" w:type="dxa"/>
                  <w:vMerge w:val="restart"/>
                  <w:tcBorders>
                    <w:tl2br w:val="nil"/>
                    <w:tr2bl w:val="nil"/>
                  </w:tcBorders>
                  <w:noWrap w:val="0"/>
                  <w:vAlign w:val="center"/>
                </w:tcPr>
                <w:p w14:paraId="5F6221C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0578082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45" w:type="dxa"/>
                  <w:vMerge w:val="restart"/>
                  <w:tcBorders>
                    <w:tl2br w:val="nil"/>
                    <w:tr2bl w:val="nil"/>
                  </w:tcBorders>
                  <w:noWrap w:val="0"/>
                  <w:vAlign w:val="center"/>
                </w:tcPr>
                <w:p w14:paraId="403DCFE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662" w:type="dxa"/>
                  <w:tcBorders>
                    <w:tl2br w:val="nil"/>
                    <w:tr2bl w:val="nil"/>
                  </w:tcBorders>
                  <w:noWrap w:val="0"/>
                  <w:vAlign w:val="center"/>
                </w:tcPr>
                <w:p w14:paraId="23CD149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5D63E9D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905" w:type="dxa"/>
                  <w:vMerge w:val="restart"/>
                  <w:tcBorders>
                    <w:tl2br w:val="nil"/>
                    <w:tr2bl w:val="nil"/>
                  </w:tcBorders>
                  <w:noWrap w:val="0"/>
                  <w:vAlign w:val="center"/>
                </w:tcPr>
                <w:p w14:paraId="4E50CB0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00:00~</w:t>
                  </w:r>
                </w:p>
                <w:p w14:paraId="4A1E8CF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eastAsia="宋体" w:cs="Times New Roman"/>
                      <w:b w:val="0"/>
                      <w:bCs/>
                      <w:color w:val="auto"/>
                      <w:sz w:val="21"/>
                      <w:szCs w:val="21"/>
                      <w:highlight w:val="none"/>
                      <w:vertAlign w:val="baseline"/>
                      <w:lang w:val="en-US" w:eastAsia="zh-CN"/>
                    </w:rPr>
                    <w:t>24:00</w:t>
                  </w:r>
                </w:p>
              </w:tc>
              <w:tc>
                <w:tcPr>
                  <w:tcW w:w="811" w:type="dxa"/>
                  <w:vMerge w:val="restart"/>
                  <w:tcBorders>
                    <w:tl2br w:val="nil"/>
                    <w:tr2bl w:val="nil"/>
                  </w:tcBorders>
                  <w:noWrap w:val="0"/>
                  <w:vAlign w:val="center"/>
                </w:tcPr>
                <w:p w14:paraId="3DFCDCA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lang w:val="en-US"/>
                    </w:rPr>
                  </w:pPr>
                  <w:r>
                    <w:rPr>
                      <w:rFonts w:hint="eastAsia" w:ascii="Times New Roman" w:hAnsi="Times New Roman" w:eastAsia="宋体" w:cs="Times New Roman"/>
                      <w:b w:val="0"/>
                      <w:bCs/>
                      <w:color w:val="auto"/>
                      <w:sz w:val="21"/>
                      <w:szCs w:val="21"/>
                      <w:highlight w:val="none"/>
                      <w:vertAlign w:val="baseline"/>
                      <w:lang w:val="en-US" w:eastAsia="zh-CN"/>
                    </w:rPr>
                    <w:t>20</w:t>
                  </w:r>
                </w:p>
              </w:tc>
              <w:tc>
                <w:tcPr>
                  <w:tcW w:w="826" w:type="dxa"/>
                  <w:tcBorders>
                    <w:tl2br w:val="nil"/>
                    <w:tr2bl w:val="nil"/>
                  </w:tcBorders>
                  <w:noWrap w:val="0"/>
                  <w:vAlign w:val="center"/>
                </w:tcPr>
                <w:p w14:paraId="0CEE84F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restart"/>
                  <w:tcBorders>
                    <w:tl2br w:val="nil"/>
                    <w:tr2bl w:val="nil"/>
                  </w:tcBorders>
                  <w:noWrap w:val="0"/>
                  <w:vAlign w:val="center"/>
                </w:tcPr>
                <w:p w14:paraId="7AD907D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r>
            <w:tr w14:paraId="736DC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7318B58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54" w:type="dxa"/>
                  <w:vMerge w:val="continue"/>
                  <w:tcBorders>
                    <w:tl2br w:val="nil"/>
                    <w:tr2bl w:val="nil"/>
                  </w:tcBorders>
                  <w:noWrap w:val="0"/>
                  <w:vAlign w:val="center"/>
                </w:tcPr>
                <w:p w14:paraId="487CE3D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26" w:type="dxa"/>
                  <w:vMerge w:val="continue"/>
                  <w:tcBorders>
                    <w:tl2br w:val="nil"/>
                    <w:tr2bl w:val="nil"/>
                  </w:tcBorders>
                  <w:noWrap w:val="0"/>
                  <w:vAlign w:val="center"/>
                </w:tcPr>
                <w:p w14:paraId="3F0F74C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811" w:type="dxa"/>
                  <w:vMerge w:val="continue"/>
                  <w:tcBorders>
                    <w:tl2br w:val="nil"/>
                    <w:tr2bl w:val="nil"/>
                  </w:tcBorders>
                  <w:noWrap w:val="0"/>
                  <w:vAlign w:val="center"/>
                </w:tcPr>
                <w:p w14:paraId="2AD4E4E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83" w:type="dxa"/>
                  <w:vMerge w:val="continue"/>
                  <w:tcBorders>
                    <w:tl2br w:val="nil"/>
                    <w:tr2bl w:val="nil"/>
                  </w:tcBorders>
                  <w:noWrap w:val="0"/>
                  <w:vAlign w:val="center"/>
                </w:tcPr>
                <w:p w14:paraId="4908FD3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36" w:type="dxa"/>
                  <w:vMerge w:val="continue"/>
                  <w:tcBorders>
                    <w:tl2br w:val="nil"/>
                    <w:tr2bl w:val="nil"/>
                  </w:tcBorders>
                  <w:noWrap w:val="0"/>
                  <w:vAlign w:val="center"/>
                </w:tcPr>
                <w:p w14:paraId="1A33647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4" w:type="dxa"/>
                  <w:vMerge w:val="continue"/>
                  <w:tcBorders>
                    <w:tl2br w:val="nil"/>
                    <w:tr2bl w:val="nil"/>
                  </w:tcBorders>
                  <w:noWrap w:val="0"/>
                  <w:vAlign w:val="center"/>
                </w:tcPr>
                <w:p w14:paraId="7EDCCAB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1" w:type="dxa"/>
                  <w:vMerge w:val="continue"/>
                  <w:tcBorders>
                    <w:tl2br w:val="nil"/>
                    <w:tr2bl w:val="nil"/>
                  </w:tcBorders>
                  <w:noWrap w:val="0"/>
                  <w:vAlign w:val="center"/>
                </w:tcPr>
                <w:p w14:paraId="476068C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345" w:type="dxa"/>
                  <w:vMerge w:val="continue"/>
                  <w:tcBorders>
                    <w:tl2br w:val="nil"/>
                    <w:tr2bl w:val="nil"/>
                  </w:tcBorders>
                  <w:noWrap w:val="0"/>
                  <w:vAlign w:val="center"/>
                </w:tcPr>
                <w:p w14:paraId="0E951A4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62" w:type="dxa"/>
                  <w:tcBorders>
                    <w:tl2br w:val="nil"/>
                    <w:tr2bl w:val="nil"/>
                  </w:tcBorders>
                  <w:noWrap w:val="0"/>
                  <w:vAlign w:val="center"/>
                </w:tcPr>
                <w:p w14:paraId="3FFEC5A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5A63935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48D3E26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20FB70B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0286449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3402888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5F687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2074367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5F528D8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679CD01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0D29B54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1746C18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1E673A3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2579318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2C961FE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6E8951B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3AA3B79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7D11451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34D3193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6E06168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4AADBF9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1788A33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41C62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 w:hRule="atLeast"/>
                <w:jc w:val="center"/>
              </w:trPr>
              <w:tc>
                <w:tcPr>
                  <w:tcW w:w="430" w:type="dxa"/>
                  <w:vMerge w:val="continue"/>
                  <w:tcBorders>
                    <w:tl2br w:val="nil"/>
                    <w:tr2bl w:val="nil"/>
                  </w:tcBorders>
                  <w:noWrap w:val="0"/>
                  <w:vAlign w:val="center"/>
                </w:tcPr>
                <w:p w14:paraId="2B53608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6B3C6BD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15FDA0A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1C3E07C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0E2C4ED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5A2183E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3DDF465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5E4CBCB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3B7E1ED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036D884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3DFD24E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75FCF4F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56BCC3B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262CC1D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467B2A9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r>
            <w:tr w14:paraId="5EFC7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30" w:type="dxa"/>
                  <w:vMerge w:val="continue"/>
                  <w:tcBorders>
                    <w:tl2br w:val="nil"/>
                    <w:tr2bl w:val="nil"/>
                  </w:tcBorders>
                  <w:noWrap w:val="0"/>
                  <w:vAlign w:val="center"/>
                </w:tcPr>
                <w:p w14:paraId="2BA4209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454" w:type="dxa"/>
                  <w:vMerge w:val="restart"/>
                  <w:tcBorders>
                    <w:tl2br w:val="nil"/>
                    <w:tr2bl w:val="nil"/>
                  </w:tcBorders>
                  <w:noWrap w:val="0"/>
                  <w:vAlign w:val="center"/>
                </w:tcPr>
                <w:p w14:paraId="0C024050">
                  <w:pPr>
                    <w:adjustRightInd w:val="0"/>
                    <w:snapToGrid w:val="0"/>
                    <w:spacing w:line="300" w:lineRule="exact"/>
                    <w:jc w:val="center"/>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cs="Times New Roman"/>
                      <w:i w:val="0"/>
                      <w:iCs w:val="0"/>
                      <w:color w:val="000000"/>
                      <w:kern w:val="0"/>
                      <w:sz w:val="21"/>
                      <w:szCs w:val="21"/>
                      <w:highlight w:val="none"/>
                      <w:u w:val="none"/>
                      <w:lang w:val="en-US" w:eastAsia="zh-CN" w:bidi="ar"/>
                    </w:rPr>
                    <w:t>定型拉幅机</w:t>
                  </w:r>
                </w:p>
              </w:tc>
              <w:tc>
                <w:tcPr>
                  <w:tcW w:w="426" w:type="dxa"/>
                  <w:vMerge w:val="restart"/>
                  <w:tcBorders>
                    <w:tl2br w:val="nil"/>
                    <w:tr2bl w:val="nil"/>
                  </w:tcBorders>
                  <w:noWrap w:val="0"/>
                  <w:vAlign w:val="center"/>
                </w:tcPr>
                <w:p w14:paraId="16FA813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811" w:type="dxa"/>
                  <w:vMerge w:val="restart"/>
                  <w:tcBorders>
                    <w:tl2br w:val="nil"/>
                    <w:tr2bl w:val="nil"/>
                  </w:tcBorders>
                  <w:noWrap w:val="0"/>
                  <w:vAlign w:val="center"/>
                </w:tcPr>
                <w:p w14:paraId="4DE8E0D2">
                  <w:pPr>
                    <w:adjustRightInd w:val="0"/>
                    <w:snapToGrid w:val="0"/>
                    <w:spacing w:line="300" w:lineRule="exact"/>
                    <w:jc w:val="center"/>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cs="Times New Roman"/>
                      <w:bCs/>
                      <w:sz w:val="24"/>
                      <w:szCs w:val="24"/>
                      <w:highlight w:val="none"/>
                      <w:lang w:val="en-US" w:eastAsia="zh-CN"/>
                    </w:rPr>
                    <w:t>***</w:t>
                  </w:r>
                </w:p>
              </w:tc>
              <w:tc>
                <w:tcPr>
                  <w:tcW w:w="583" w:type="dxa"/>
                  <w:vMerge w:val="restart"/>
                  <w:tcBorders>
                    <w:tl2br w:val="nil"/>
                    <w:tr2bl w:val="nil"/>
                  </w:tcBorders>
                  <w:noWrap w:val="0"/>
                  <w:vAlign w:val="center"/>
                </w:tcPr>
                <w:p w14:paraId="25045B1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c>
                <w:tcPr>
                  <w:tcW w:w="636" w:type="dxa"/>
                  <w:vMerge w:val="continue"/>
                  <w:tcBorders>
                    <w:tl2br w:val="nil"/>
                    <w:tr2bl w:val="nil"/>
                  </w:tcBorders>
                  <w:noWrap w:val="0"/>
                  <w:vAlign w:val="center"/>
                </w:tcPr>
                <w:p w14:paraId="60B5148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534" w:type="dxa"/>
                  <w:vMerge w:val="restart"/>
                  <w:tcBorders>
                    <w:tl2br w:val="nil"/>
                    <w:tr2bl w:val="nil"/>
                  </w:tcBorders>
                  <w:noWrap w:val="0"/>
                  <w:vAlign w:val="center"/>
                </w:tcPr>
                <w:p w14:paraId="19FB097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777EFCC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531" w:type="dxa"/>
                  <w:vMerge w:val="restart"/>
                  <w:tcBorders>
                    <w:tl2br w:val="nil"/>
                    <w:tr2bl w:val="nil"/>
                  </w:tcBorders>
                  <w:noWrap w:val="0"/>
                  <w:vAlign w:val="center"/>
                </w:tcPr>
                <w:p w14:paraId="28D6BC3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p w14:paraId="0DDFA10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345" w:type="dxa"/>
                  <w:vMerge w:val="restart"/>
                  <w:tcBorders>
                    <w:tl2br w:val="nil"/>
                    <w:tr2bl w:val="nil"/>
                  </w:tcBorders>
                  <w:noWrap w:val="0"/>
                  <w:vAlign w:val="center"/>
                </w:tcPr>
                <w:p w14:paraId="08B4BCB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c>
                <w:tcPr>
                  <w:tcW w:w="662" w:type="dxa"/>
                  <w:tcBorders>
                    <w:tl2br w:val="nil"/>
                    <w:tr2bl w:val="nil"/>
                  </w:tcBorders>
                  <w:noWrap w:val="0"/>
                  <w:vAlign w:val="center"/>
                </w:tcPr>
                <w:p w14:paraId="4E1741E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5298BAB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cs="Times New Roman"/>
                      <w:bCs/>
                      <w:sz w:val="24"/>
                      <w:szCs w:val="24"/>
                      <w:highlight w:val="none"/>
                      <w:lang w:val="en-US" w:eastAsia="zh-CN"/>
                    </w:rPr>
                    <w:t>***</w:t>
                  </w:r>
                </w:p>
              </w:tc>
              <w:tc>
                <w:tcPr>
                  <w:tcW w:w="905" w:type="dxa"/>
                  <w:vMerge w:val="restart"/>
                  <w:tcBorders>
                    <w:tl2br w:val="nil"/>
                    <w:tr2bl w:val="nil"/>
                  </w:tcBorders>
                  <w:noWrap w:val="0"/>
                  <w:vAlign w:val="center"/>
                </w:tcPr>
                <w:p w14:paraId="42003E5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eastAsia" w:ascii="Times New Roman" w:hAnsi="Times New Roman" w:eastAsia="宋体" w:cs="Times New Roman"/>
                      <w:b w:val="0"/>
                      <w:bCs/>
                      <w:color w:val="auto"/>
                      <w:sz w:val="21"/>
                      <w:szCs w:val="21"/>
                      <w:highlight w:val="none"/>
                      <w:vertAlign w:val="baseline"/>
                      <w:lang w:val="en-US" w:eastAsia="zh-CN"/>
                    </w:rPr>
                    <w:t>00:00~24:00</w:t>
                  </w:r>
                </w:p>
              </w:tc>
              <w:tc>
                <w:tcPr>
                  <w:tcW w:w="811" w:type="dxa"/>
                  <w:vMerge w:val="restart"/>
                  <w:tcBorders>
                    <w:tl2br w:val="nil"/>
                    <w:tr2bl w:val="nil"/>
                  </w:tcBorders>
                  <w:noWrap w:val="0"/>
                  <w:vAlign w:val="center"/>
                </w:tcPr>
                <w:p w14:paraId="59F3CE8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eastAsia" w:ascii="Times New Roman" w:hAnsi="Times New Roman" w:eastAsia="宋体" w:cs="Times New Roman"/>
                      <w:b w:val="0"/>
                      <w:bCs/>
                      <w:color w:val="auto"/>
                      <w:sz w:val="21"/>
                      <w:szCs w:val="21"/>
                      <w:highlight w:val="none"/>
                      <w:vertAlign w:val="baseline"/>
                      <w:lang w:val="en-US" w:eastAsia="zh-CN"/>
                    </w:rPr>
                    <w:t>20</w:t>
                  </w:r>
                </w:p>
              </w:tc>
              <w:tc>
                <w:tcPr>
                  <w:tcW w:w="826" w:type="dxa"/>
                  <w:tcBorders>
                    <w:tl2br w:val="nil"/>
                    <w:tr2bl w:val="nil"/>
                  </w:tcBorders>
                  <w:noWrap w:val="0"/>
                  <w:vAlign w:val="center"/>
                </w:tcPr>
                <w:p w14:paraId="72A9E5C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东：</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restart"/>
                  <w:tcBorders>
                    <w:tl2br w:val="nil"/>
                    <w:tr2bl w:val="nil"/>
                  </w:tcBorders>
                  <w:noWrap w:val="0"/>
                  <w:vAlign w:val="center"/>
                </w:tcPr>
                <w:p w14:paraId="1E74A18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w:t>
                  </w:r>
                </w:p>
              </w:tc>
            </w:tr>
            <w:tr w14:paraId="7DEBF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30" w:type="dxa"/>
                  <w:vMerge w:val="continue"/>
                  <w:tcBorders>
                    <w:tl2br w:val="nil"/>
                    <w:tr2bl w:val="nil"/>
                  </w:tcBorders>
                  <w:noWrap w:val="0"/>
                  <w:vAlign w:val="center"/>
                </w:tcPr>
                <w:p w14:paraId="648C2B8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54" w:type="dxa"/>
                  <w:vMerge w:val="continue"/>
                  <w:tcBorders>
                    <w:tl2br w:val="nil"/>
                    <w:tr2bl w:val="nil"/>
                  </w:tcBorders>
                  <w:noWrap w:val="0"/>
                  <w:vAlign w:val="center"/>
                </w:tcPr>
                <w:p w14:paraId="5CCCEDF6">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426" w:type="dxa"/>
                  <w:vMerge w:val="continue"/>
                  <w:tcBorders>
                    <w:tl2br w:val="nil"/>
                    <w:tr2bl w:val="nil"/>
                  </w:tcBorders>
                  <w:noWrap w:val="0"/>
                  <w:vAlign w:val="center"/>
                </w:tcPr>
                <w:p w14:paraId="112FAD1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811" w:type="dxa"/>
                  <w:vMerge w:val="continue"/>
                  <w:tcBorders>
                    <w:tl2br w:val="nil"/>
                    <w:tr2bl w:val="nil"/>
                  </w:tcBorders>
                  <w:noWrap w:val="0"/>
                  <w:vAlign w:val="center"/>
                </w:tcPr>
                <w:p w14:paraId="3C43C86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83" w:type="dxa"/>
                  <w:vMerge w:val="continue"/>
                  <w:tcBorders>
                    <w:tl2br w:val="nil"/>
                    <w:tr2bl w:val="nil"/>
                  </w:tcBorders>
                  <w:noWrap w:val="0"/>
                  <w:vAlign w:val="center"/>
                </w:tcPr>
                <w:p w14:paraId="101040F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36" w:type="dxa"/>
                  <w:vMerge w:val="continue"/>
                  <w:tcBorders>
                    <w:tl2br w:val="nil"/>
                    <w:tr2bl w:val="nil"/>
                  </w:tcBorders>
                  <w:noWrap w:val="0"/>
                  <w:vAlign w:val="center"/>
                </w:tcPr>
                <w:p w14:paraId="7B07E758">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4" w:type="dxa"/>
                  <w:vMerge w:val="continue"/>
                  <w:tcBorders>
                    <w:tl2br w:val="nil"/>
                    <w:tr2bl w:val="nil"/>
                  </w:tcBorders>
                  <w:noWrap w:val="0"/>
                  <w:vAlign w:val="center"/>
                </w:tcPr>
                <w:p w14:paraId="1681AC6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531" w:type="dxa"/>
                  <w:vMerge w:val="continue"/>
                  <w:tcBorders>
                    <w:tl2br w:val="nil"/>
                    <w:tr2bl w:val="nil"/>
                  </w:tcBorders>
                  <w:noWrap w:val="0"/>
                  <w:vAlign w:val="center"/>
                </w:tcPr>
                <w:p w14:paraId="764DB02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345" w:type="dxa"/>
                  <w:vMerge w:val="continue"/>
                  <w:tcBorders>
                    <w:tl2br w:val="nil"/>
                    <w:tr2bl w:val="nil"/>
                  </w:tcBorders>
                  <w:noWrap w:val="0"/>
                  <w:vAlign w:val="center"/>
                </w:tcPr>
                <w:p w14:paraId="37BEC3B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val="0"/>
                      <w:bCs/>
                      <w:color w:val="auto"/>
                      <w:sz w:val="21"/>
                      <w:szCs w:val="21"/>
                      <w:highlight w:val="none"/>
                    </w:rPr>
                  </w:pPr>
                </w:p>
              </w:tc>
              <w:tc>
                <w:tcPr>
                  <w:tcW w:w="662" w:type="dxa"/>
                  <w:tcBorders>
                    <w:tl2br w:val="nil"/>
                    <w:tr2bl w:val="nil"/>
                  </w:tcBorders>
                  <w:noWrap w:val="0"/>
                  <w:vAlign w:val="center"/>
                </w:tcPr>
                <w:p w14:paraId="1674296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1EEAF00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1740C71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51B4057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7DA84DF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524E77F5">
                  <w:pPr>
                    <w:pStyle w:val="8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val="0"/>
                      <w:bCs/>
                      <w:color w:val="auto"/>
                      <w:sz w:val="21"/>
                      <w:szCs w:val="21"/>
                      <w:highlight w:val="none"/>
                      <w:vertAlign w:val="baseline"/>
                    </w:rPr>
                  </w:pPr>
                </w:p>
              </w:tc>
            </w:tr>
            <w:tr w14:paraId="6A944D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30" w:type="dxa"/>
                  <w:vMerge w:val="continue"/>
                  <w:tcBorders>
                    <w:tl2br w:val="nil"/>
                    <w:tr2bl w:val="nil"/>
                  </w:tcBorders>
                  <w:noWrap w:val="0"/>
                  <w:vAlign w:val="center"/>
                </w:tcPr>
                <w:p w14:paraId="06ACF4D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678A178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33239B5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5635F1A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020745CF">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569049C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26C0510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2ED3A14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69A7525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7B22ADB5">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144BEE0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3B38A9A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08B2CC2C">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65F1BB77">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西：</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434D2F9F">
                  <w:pPr>
                    <w:pStyle w:val="8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val="0"/>
                      <w:bCs/>
                      <w:color w:val="auto"/>
                      <w:sz w:val="21"/>
                      <w:szCs w:val="21"/>
                      <w:highlight w:val="none"/>
                      <w:vertAlign w:val="baseline"/>
                    </w:rPr>
                  </w:pPr>
                </w:p>
              </w:tc>
            </w:tr>
            <w:tr w14:paraId="48BA7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 w:hRule="atLeast"/>
                <w:jc w:val="center"/>
              </w:trPr>
              <w:tc>
                <w:tcPr>
                  <w:tcW w:w="430" w:type="dxa"/>
                  <w:vMerge w:val="continue"/>
                  <w:tcBorders>
                    <w:tl2br w:val="nil"/>
                    <w:tr2bl w:val="nil"/>
                  </w:tcBorders>
                  <w:noWrap w:val="0"/>
                  <w:vAlign w:val="center"/>
                </w:tcPr>
                <w:p w14:paraId="51D841A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54" w:type="dxa"/>
                  <w:vMerge w:val="continue"/>
                  <w:tcBorders>
                    <w:tl2br w:val="nil"/>
                    <w:tr2bl w:val="nil"/>
                  </w:tcBorders>
                  <w:noWrap w:val="0"/>
                  <w:vAlign w:val="center"/>
                </w:tcPr>
                <w:p w14:paraId="449BA18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426" w:type="dxa"/>
                  <w:vMerge w:val="continue"/>
                  <w:tcBorders>
                    <w:tl2br w:val="nil"/>
                    <w:tr2bl w:val="nil"/>
                  </w:tcBorders>
                  <w:noWrap w:val="0"/>
                  <w:vAlign w:val="center"/>
                </w:tcPr>
                <w:p w14:paraId="6DCA095E">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0570B2C4">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83" w:type="dxa"/>
                  <w:vMerge w:val="continue"/>
                  <w:tcBorders>
                    <w:tl2br w:val="nil"/>
                    <w:tr2bl w:val="nil"/>
                  </w:tcBorders>
                  <w:noWrap w:val="0"/>
                  <w:vAlign w:val="center"/>
                </w:tcPr>
                <w:p w14:paraId="2074346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36" w:type="dxa"/>
                  <w:vMerge w:val="continue"/>
                  <w:tcBorders>
                    <w:tl2br w:val="nil"/>
                    <w:tr2bl w:val="nil"/>
                  </w:tcBorders>
                  <w:noWrap w:val="0"/>
                  <w:vAlign w:val="center"/>
                </w:tcPr>
                <w:p w14:paraId="58278460">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4" w:type="dxa"/>
                  <w:vMerge w:val="continue"/>
                  <w:tcBorders>
                    <w:tl2br w:val="nil"/>
                    <w:tr2bl w:val="nil"/>
                  </w:tcBorders>
                  <w:noWrap w:val="0"/>
                  <w:vAlign w:val="center"/>
                </w:tcPr>
                <w:p w14:paraId="3B20AB2D">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531" w:type="dxa"/>
                  <w:vMerge w:val="continue"/>
                  <w:tcBorders>
                    <w:tl2br w:val="nil"/>
                    <w:tr2bl w:val="nil"/>
                  </w:tcBorders>
                  <w:noWrap w:val="0"/>
                  <w:vAlign w:val="center"/>
                </w:tcPr>
                <w:p w14:paraId="42C947B2">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345" w:type="dxa"/>
                  <w:vMerge w:val="continue"/>
                  <w:tcBorders>
                    <w:tl2br w:val="nil"/>
                    <w:tr2bl w:val="nil"/>
                  </w:tcBorders>
                  <w:noWrap w:val="0"/>
                  <w:vAlign w:val="center"/>
                </w:tcPr>
                <w:p w14:paraId="1E6136B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62" w:type="dxa"/>
                  <w:tcBorders>
                    <w:tl2br w:val="nil"/>
                    <w:tr2bl w:val="nil"/>
                  </w:tcBorders>
                  <w:noWrap w:val="0"/>
                  <w:vAlign w:val="center"/>
                </w:tcPr>
                <w:p w14:paraId="47DCF9C9">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826" w:type="dxa"/>
                  <w:tcBorders>
                    <w:tl2br w:val="nil"/>
                    <w:tr2bl w:val="nil"/>
                  </w:tcBorders>
                  <w:noWrap w:val="0"/>
                  <w:vAlign w:val="center"/>
                </w:tcPr>
                <w:p w14:paraId="446B56E3">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cs="Times New Roman"/>
                      <w:bCs/>
                      <w:sz w:val="24"/>
                      <w:szCs w:val="24"/>
                      <w:highlight w:val="none"/>
                      <w:lang w:val="en-US" w:eastAsia="zh-CN"/>
                    </w:rPr>
                    <w:t>***</w:t>
                  </w:r>
                </w:p>
              </w:tc>
              <w:tc>
                <w:tcPr>
                  <w:tcW w:w="905" w:type="dxa"/>
                  <w:vMerge w:val="continue"/>
                  <w:tcBorders>
                    <w:tl2br w:val="nil"/>
                    <w:tr2bl w:val="nil"/>
                  </w:tcBorders>
                  <w:noWrap w:val="0"/>
                  <w:vAlign w:val="center"/>
                </w:tcPr>
                <w:p w14:paraId="5E356DCB">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11" w:type="dxa"/>
                  <w:vMerge w:val="continue"/>
                  <w:tcBorders>
                    <w:tl2br w:val="nil"/>
                    <w:tr2bl w:val="nil"/>
                  </w:tcBorders>
                  <w:noWrap w:val="0"/>
                  <w:vAlign w:val="center"/>
                </w:tcPr>
                <w:p w14:paraId="1397A901">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826" w:type="dxa"/>
                  <w:tcBorders>
                    <w:tl2br w:val="nil"/>
                    <w:tr2bl w:val="nil"/>
                  </w:tcBorders>
                  <w:noWrap w:val="0"/>
                  <w:vAlign w:val="center"/>
                </w:tcPr>
                <w:p w14:paraId="29C824EA">
                  <w:pPr>
                    <w:pStyle w:val="82"/>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b w:val="0"/>
                      <w:bCs/>
                      <w:color w:val="auto"/>
                      <w:sz w:val="21"/>
                      <w:szCs w:val="21"/>
                      <w:highlight w:val="none"/>
                      <w:vertAlign w:val="baseline"/>
                      <w:lang w:val="en-US" w:eastAsia="zh-CN"/>
                    </w:rPr>
                    <w:t>北：</w:t>
                  </w:r>
                  <w:r>
                    <w:rPr>
                      <w:rFonts w:hint="eastAsia" w:ascii="Times New Roman" w:hAnsi="Times New Roman" w:eastAsia="宋体" w:cs="Times New Roman"/>
                      <w:b w:val="0"/>
                      <w:bCs/>
                      <w:color w:val="auto"/>
                      <w:sz w:val="21"/>
                      <w:szCs w:val="21"/>
                      <w:highlight w:val="none"/>
                      <w:vertAlign w:val="baseline"/>
                      <w:lang w:val="en-US" w:eastAsia="zh-CN"/>
                    </w:rPr>
                    <w:t>***</w:t>
                  </w:r>
                </w:p>
              </w:tc>
              <w:tc>
                <w:tcPr>
                  <w:tcW w:w="426" w:type="dxa"/>
                  <w:vMerge w:val="continue"/>
                  <w:tcBorders>
                    <w:tl2br w:val="nil"/>
                    <w:tr2bl w:val="nil"/>
                  </w:tcBorders>
                  <w:noWrap w:val="0"/>
                  <w:vAlign w:val="center"/>
                </w:tcPr>
                <w:p w14:paraId="5EA3392C">
                  <w:pPr>
                    <w:pStyle w:val="82"/>
                    <w:keepNext w:val="0"/>
                    <w:keepLines w:val="0"/>
                    <w:pageBreakBefore w:val="0"/>
                    <w:widowControl w:val="0"/>
                    <w:kinsoku/>
                    <w:wordWrap/>
                    <w:overflowPunct/>
                    <w:topLinePunct w:val="0"/>
                    <w:autoSpaceDE/>
                    <w:autoSpaceDN/>
                    <w:bidi w:val="0"/>
                    <w:adjustRightInd/>
                    <w:snapToGrid/>
                    <w:spacing w:after="0" w:line="240" w:lineRule="auto"/>
                    <w:textAlignment w:val="auto"/>
                    <w:rPr>
                      <w:rFonts w:hint="default" w:ascii="Times New Roman" w:hAnsi="Times New Roman" w:eastAsia="宋体" w:cs="Times New Roman"/>
                      <w:b w:val="0"/>
                      <w:bCs/>
                      <w:color w:val="auto"/>
                      <w:sz w:val="21"/>
                      <w:szCs w:val="21"/>
                      <w:highlight w:val="none"/>
                      <w:vertAlign w:val="baseline"/>
                    </w:rPr>
                  </w:pPr>
                </w:p>
              </w:tc>
            </w:tr>
          </w:tbl>
          <w:p w14:paraId="77266E07">
            <w:pPr>
              <w:jc w:val="both"/>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注：①本项目空间相对位置坐标以车间西南角为坐标原点，向东为X轴，向北为Y轴；</w:t>
            </w:r>
          </w:p>
          <w:p w14:paraId="37C1C4C3">
            <w:pPr>
              <w:jc w:val="both"/>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②距室内边界距离，考虑最不利情景选取为声源距离厂房边界最近距离。</w:t>
            </w:r>
          </w:p>
          <w:p w14:paraId="3A2CAF81">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ascii="Times New Roman" w:hAnsi="Times New Roman" w:cs="Times New Roman"/>
                <w:b/>
                <w:bCs/>
                <w:color w:val="auto"/>
                <w:sz w:val="21"/>
                <w:szCs w:val="21"/>
                <w:highlight w:val="none"/>
                <w:lang w:val="en-US" w:eastAsia="zh-CN"/>
              </w:rPr>
              <w:t>14</w:t>
            </w:r>
            <w:r>
              <w:rPr>
                <w:rFonts w:hint="default" w:ascii="Times New Roman" w:hAnsi="Times New Roman" w:cs="Times New Roman"/>
                <w:b/>
                <w:bCs/>
                <w:color w:val="auto"/>
                <w:sz w:val="21"/>
                <w:szCs w:val="21"/>
                <w:highlight w:val="none"/>
              </w:rPr>
              <w:t xml:space="preserve">  噪声源强到各厂界</w:t>
            </w:r>
            <w:r>
              <w:rPr>
                <w:rFonts w:hint="default" w:ascii="Times New Roman" w:hAnsi="Times New Roman" w:cs="Times New Roman"/>
                <w:b/>
                <w:bCs/>
                <w:color w:val="auto"/>
                <w:sz w:val="21"/>
                <w:szCs w:val="21"/>
                <w:highlight w:val="none"/>
                <w:lang w:val="en-US" w:eastAsia="zh-CN"/>
              </w:rPr>
              <w:t>贡献</w:t>
            </w:r>
            <w:r>
              <w:rPr>
                <w:rFonts w:hint="default" w:ascii="Times New Roman" w:hAnsi="Times New Roman" w:cs="Times New Roman"/>
                <w:b/>
                <w:bCs/>
                <w:color w:val="auto"/>
                <w:sz w:val="21"/>
                <w:szCs w:val="21"/>
                <w:highlight w:val="none"/>
              </w:rPr>
              <w:t>结果  单位：dB(A)</w:t>
            </w:r>
          </w:p>
          <w:tbl>
            <w:tblPr>
              <w:tblStyle w:val="2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668"/>
              <w:gridCol w:w="1800"/>
              <w:gridCol w:w="1860"/>
              <w:gridCol w:w="1860"/>
              <w:gridCol w:w="1625"/>
            </w:tblGrid>
            <w:tr w14:paraId="496AF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37" w:type="dxa"/>
                  <w:gridSpan w:val="2"/>
                  <w:vMerge w:val="restart"/>
                  <w:tcBorders>
                    <w:tl2br w:val="nil"/>
                    <w:tr2bl w:val="nil"/>
                  </w:tcBorders>
                  <w:noWrap w:val="0"/>
                  <w:vAlign w:val="center"/>
                </w:tcPr>
                <w:p w14:paraId="2A86A14F">
                  <w:pPr>
                    <w:spacing w:line="300" w:lineRule="exact"/>
                    <w:jc w:val="center"/>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噪声源</w:t>
                  </w:r>
                </w:p>
              </w:tc>
              <w:tc>
                <w:tcPr>
                  <w:tcW w:w="1494" w:type="dxa"/>
                  <w:vMerge w:val="restart"/>
                  <w:tcBorders>
                    <w:tl2br w:val="nil"/>
                    <w:tr2bl w:val="nil"/>
                  </w:tcBorders>
                  <w:noWrap w:val="0"/>
                  <w:vAlign w:val="center"/>
                </w:tcPr>
                <w:p w14:paraId="16B1C4B8">
                  <w:pPr>
                    <w:spacing w:line="300" w:lineRule="exact"/>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厂界贡献值</w:t>
                  </w:r>
                  <w:r>
                    <w:rPr>
                      <w:rFonts w:hint="default" w:ascii="Times New Roman" w:hAnsi="Times New Roman" w:eastAsia="宋体" w:cs="Times New Roman"/>
                      <w:b/>
                      <w:bCs/>
                      <w:color w:val="auto"/>
                      <w:sz w:val="21"/>
                      <w:szCs w:val="21"/>
                      <w:highlight w:val="none"/>
                    </w:rPr>
                    <w:t>dB(A)</w:t>
                  </w:r>
                </w:p>
              </w:tc>
              <w:tc>
                <w:tcPr>
                  <w:tcW w:w="3088" w:type="dxa"/>
                  <w:gridSpan w:val="2"/>
                  <w:tcBorders>
                    <w:tl2br w:val="nil"/>
                    <w:tr2bl w:val="nil"/>
                  </w:tcBorders>
                  <w:noWrap w:val="0"/>
                  <w:vAlign w:val="center"/>
                </w:tcPr>
                <w:p w14:paraId="438849C9">
                  <w:pPr>
                    <w:spacing w:line="300" w:lineRule="exact"/>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标准限值</w:t>
                  </w:r>
                  <w:r>
                    <w:rPr>
                      <w:rFonts w:hint="default" w:ascii="Times New Roman" w:hAnsi="Times New Roman" w:eastAsia="宋体" w:cs="Times New Roman"/>
                      <w:b/>
                      <w:bCs/>
                      <w:color w:val="auto"/>
                      <w:sz w:val="21"/>
                      <w:szCs w:val="21"/>
                      <w:highlight w:val="none"/>
                    </w:rPr>
                    <w:t>dB(A)</w:t>
                  </w:r>
                </w:p>
              </w:tc>
              <w:tc>
                <w:tcPr>
                  <w:tcW w:w="1348" w:type="dxa"/>
                  <w:vMerge w:val="restart"/>
                  <w:tcBorders>
                    <w:tl2br w:val="nil"/>
                    <w:tr2bl w:val="nil"/>
                  </w:tcBorders>
                  <w:noWrap w:val="0"/>
                  <w:vAlign w:val="center"/>
                </w:tcPr>
                <w:p w14:paraId="463D1098">
                  <w:pPr>
                    <w:spacing w:line="300" w:lineRule="exact"/>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达标性</w:t>
                  </w:r>
                </w:p>
              </w:tc>
            </w:tr>
            <w:tr w14:paraId="766DB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137" w:type="dxa"/>
                  <w:gridSpan w:val="2"/>
                  <w:vMerge w:val="continue"/>
                  <w:tcBorders>
                    <w:tl2br w:val="nil"/>
                    <w:tr2bl w:val="nil"/>
                  </w:tcBorders>
                  <w:noWrap w:val="0"/>
                  <w:vAlign w:val="center"/>
                </w:tcPr>
                <w:p w14:paraId="587C1AD8">
                  <w:pPr>
                    <w:spacing w:line="300" w:lineRule="exact"/>
                    <w:jc w:val="center"/>
                    <w:rPr>
                      <w:rFonts w:hint="default" w:ascii="Times New Roman" w:hAnsi="Times New Roman" w:cs="Times New Roman"/>
                      <w:color w:val="auto"/>
                      <w:highlight w:val="none"/>
                    </w:rPr>
                  </w:pPr>
                </w:p>
              </w:tc>
              <w:tc>
                <w:tcPr>
                  <w:tcW w:w="1494" w:type="dxa"/>
                  <w:vMerge w:val="continue"/>
                  <w:tcBorders>
                    <w:tl2br w:val="nil"/>
                    <w:tr2bl w:val="nil"/>
                  </w:tcBorders>
                  <w:noWrap w:val="0"/>
                  <w:vAlign w:val="center"/>
                </w:tcPr>
                <w:p w14:paraId="3F6F00DC">
                  <w:pPr>
                    <w:spacing w:line="300" w:lineRule="exact"/>
                    <w:jc w:val="center"/>
                    <w:rPr>
                      <w:rFonts w:hint="default" w:ascii="Times New Roman" w:hAnsi="Times New Roman" w:cs="Times New Roman"/>
                      <w:color w:val="auto"/>
                      <w:highlight w:val="none"/>
                    </w:rPr>
                  </w:pPr>
                </w:p>
              </w:tc>
              <w:tc>
                <w:tcPr>
                  <w:tcW w:w="1544" w:type="dxa"/>
                  <w:tcBorders>
                    <w:tl2br w:val="nil"/>
                    <w:tr2bl w:val="nil"/>
                  </w:tcBorders>
                  <w:noWrap w:val="0"/>
                  <w:vAlign w:val="center"/>
                </w:tcPr>
                <w:p w14:paraId="4FAA676C">
                  <w:pPr>
                    <w:spacing w:line="300" w:lineRule="exact"/>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昼间</w:t>
                  </w:r>
                </w:p>
              </w:tc>
              <w:tc>
                <w:tcPr>
                  <w:tcW w:w="1544" w:type="dxa"/>
                  <w:tcBorders>
                    <w:tl2br w:val="nil"/>
                    <w:tr2bl w:val="nil"/>
                  </w:tcBorders>
                  <w:noWrap w:val="0"/>
                  <w:vAlign w:val="center"/>
                </w:tcPr>
                <w:p w14:paraId="3696BF30">
                  <w:pPr>
                    <w:spacing w:line="300" w:lineRule="exact"/>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夜间</w:t>
                  </w:r>
                </w:p>
              </w:tc>
              <w:tc>
                <w:tcPr>
                  <w:tcW w:w="1348" w:type="dxa"/>
                  <w:vMerge w:val="continue"/>
                  <w:tcBorders>
                    <w:tl2br w:val="nil"/>
                    <w:tr2bl w:val="nil"/>
                  </w:tcBorders>
                  <w:noWrap w:val="0"/>
                  <w:vAlign w:val="center"/>
                </w:tcPr>
                <w:p w14:paraId="7C0172D4">
                  <w:pPr>
                    <w:spacing w:line="300" w:lineRule="exact"/>
                    <w:jc w:val="center"/>
                    <w:rPr>
                      <w:rFonts w:hint="default" w:ascii="Times New Roman" w:hAnsi="Times New Roman" w:eastAsia="宋体" w:cs="Times New Roman"/>
                      <w:b/>
                      <w:bCs/>
                      <w:color w:val="auto"/>
                      <w:sz w:val="21"/>
                      <w:szCs w:val="21"/>
                      <w:highlight w:val="none"/>
                    </w:rPr>
                  </w:pPr>
                </w:p>
              </w:tc>
            </w:tr>
            <w:tr w14:paraId="66571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3" w:type="dxa"/>
                  <w:vMerge w:val="restart"/>
                  <w:tcBorders>
                    <w:tl2br w:val="nil"/>
                    <w:tr2bl w:val="nil"/>
                  </w:tcBorders>
                  <w:noWrap w:val="0"/>
                  <w:vAlign w:val="center"/>
                </w:tcPr>
                <w:p w14:paraId="6151C24F">
                  <w:pPr>
                    <w:pStyle w:val="5"/>
                    <w:keepNext/>
                    <w:keepLines/>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Times New Roman" w:hAnsi="Times New Roman" w:eastAsia="宋体" w:cs="Times New Roman"/>
                      <w:b w:val="0"/>
                      <w:bCs/>
                      <w:color w:val="auto"/>
                      <w:kern w:val="21"/>
                      <w:sz w:val="21"/>
                      <w:szCs w:val="21"/>
                      <w:highlight w:val="none"/>
                      <w:lang w:val="en-US" w:eastAsia="zh-CN" w:bidi="ar"/>
                    </w:rPr>
                  </w:pPr>
                  <w:r>
                    <w:rPr>
                      <w:rFonts w:hint="eastAsia" w:ascii="Times New Roman" w:hAnsi="Times New Roman" w:eastAsia="宋体" w:cs="Times New Roman"/>
                      <w:b w:val="0"/>
                      <w:bCs/>
                      <w:color w:val="auto"/>
                      <w:kern w:val="21"/>
                      <w:sz w:val="21"/>
                      <w:szCs w:val="21"/>
                      <w:highlight w:val="none"/>
                      <w:lang w:val="en-US" w:eastAsia="zh-CN" w:bidi="ar"/>
                    </w:rPr>
                    <w:t>项目区</w:t>
                  </w:r>
                </w:p>
              </w:tc>
              <w:tc>
                <w:tcPr>
                  <w:tcW w:w="1384" w:type="dxa"/>
                  <w:tcBorders>
                    <w:tl2br w:val="nil"/>
                    <w:tr2bl w:val="nil"/>
                  </w:tcBorders>
                  <w:noWrap w:val="0"/>
                  <w:vAlign w:val="center"/>
                </w:tcPr>
                <w:p w14:paraId="43E621DD">
                  <w:pPr>
                    <w:spacing w:line="300" w:lineRule="exact"/>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东厂界</w:t>
                  </w:r>
                </w:p>
              </w:tc>
              <w:tc>
                <w:tcPr>
                  <w:tcW w:w="1494" w:type="dxa"/>
                  <w:tcBorders>
                    <w:tl2br w:val="nil"/>
                    <w:tr2bl w:val="nil"/>
                  </w:tcBorders>
                  <w:noWrap w:val="0"/>
                  <w:vAlign w:val="center"/>
                </w:tcPr>
                <w:p w14:paraId="5E0525F4">
                  <w:pPr>
                    <w:keepNext w:val="0"/>
                    <w:keepLines w:val="0"/>
                    <w:widowControl/>
                    <w:suppressLineNumbers w:val="0"/>
                    <w:spacing w:line="30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w:t>
                  </w:r>
                </w:p>
              </w:tc>
              <w:tc>
                <w:tcPr>
                  <w:tcW w:w="1544" w:type="dxa"/>
                  <w:vMerge w:val="restart"/>
                  <w:tcBorders>
                    <w:tl2br w:val="nil"/>
                    <w:tr2bl w:val="nil"/>
                  </w:tcBorders>
                  <w:noWrap w:val="0"/>
                  <w:vAlign w:val="center"/>
                </w:tcPr>
                <w:p w14:paraId="6967726D">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65</w:t>
                  </w:r>
                </w:p>
              </w:tc>
              <w:tc>
                <w:tcPr>
                  <w:tcW w:w="1544" w:type="dxa"/>
                  <w:vMerge w:val="restart"/>
                  <w:tcBorders>
                    <w:tl2br w:val="nil"/>
                    <w:tr2bl w:val="nil"/>
                  </w:tcBorders>
                  <w:noWrap w:val="0"/>
                  <w:vAlign w:val="center"/>
                </w:tcPr>
                <w:p w14:paraId="2C0C48EB">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55</w:t>
                  </w:r>
                </w:p>
              </w:tc>
              <w:tc>
                <w:tcPr>
                  <w:tcW w:w="1348" w:type="dxa"/>
                  <w:vMerge w:val="restart"/>
                  <w:tcBorders>
                    <w:tl2br w:val="nil"/>
                    <w:tr2bl w:val="nil"/>
                  </w:tcBorders>
                  <w:noWrap w:val="0"/>
                  <w:vAlign w:val="center"/>
                </w:tcPr>
                <w:p w14:paraId="70284601">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p>
              </w:tc>
            </w:tr>
            <w:tr w14:paraId="7538FF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3" w:type="dxa"/>
                  <w:vMerge w:val="continue"/>
                  <w:tcBorders>
                    <w:tl2br w:val="nil"/>
                    <w:tr2bl w:val="nil"/>
                  </w:tcBorders>
                  <w:noWrap w:val="0"/>
                  <w:vAlign w:val="center"/>
                </w:tcPr>
                <w:p w14:paraId="429F9D1F">
                  <w:pPr>
                    <w:keepNext/>
                    <w:keepLines/>
                    <w:pageBreakBefore w:val="0"/>
                    <w:widowControl w:val="0"/>
                    <w:kinsoku/>
                    <w:wordWrap/>
                    <w:overflowPunct/>
                    <w:topLinePunct w:val="0"/>
                    <w:autoSpaceDE/>
                    <w:autoSpaceDN/>
                    <w:bidi w:val="0"/>
                    <w:adjustRightInd/>
                    <w:snapToGrid/>
                    <w:spacing w:before="280" w:after="290" w:line="240" w:lineRule="auto"/>
                    <w:ind w:left="0" w:leftChars="0" w:right="0" w:rightChars="0"/>
                    <w:jc w:val="center"/>
                    <w:textAlignment w:val="auto"/>
                    <w:outlineLvl w:val="9"/>
                    <w:rPr>
                      <w:rFonts w:hint="default" w:ascii="Times New Roman" w:hAnsi="Times New Roman" w:eastAsia="宋体" w:cs="Times New Roman"/>
                      <w:b w:val="0"/>
                      <w:bCs/>
                      <w:color w:val="auto"/>
                      <w:kern w:val="21"/>
                      <w:sz w:val="21"/>
                      <w:szCs w:val="21"/>
                      <w:highlight w:val="none"/>
                      <w:lang w:val="en-US" w:eastAsia="zh-CN" w:bidi="ar"/>
                    </w:rPr>
                  </w:pPr>
                </w:p>
              </w:tc>
              <w:tc>
                <w:tcPr>
                  <w:tcW w:w="1384" w:type="dxa"/>
                  <w:tcBorders>
                    <w:tl2br w:val="nil"/>
                    <w:tr2bl w:val="nil"/>
                  </w:tcBorders>
                  <w:noWrap w:val="0"/>
                  <w:vAlign w:val="center"/>
                </w:tcPr>
                <w:p w14:paraId="0CBE09D4">
                  <w:pPr>
                    <w:spacing w:line="300" w:lineRule="exact"/>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南厂界</w:t>
                  </w:r>
                </w:p>
              </w:tc>
              <w:tc>
                <w:tcPr>
                  <w:tcW w:w="1494" w:type="dxa"/>
                  <w:tcBorders>
                    <w:tl2br w:val="nil"/>
                    <w:tr2bl w:val="nil"/>
                  </w:tcBorders>
                  <w:noWrap w:val="0"/>
                  <w:vAlign w:val="center"/>
                </w:tcPr>
                <w:p w14:paraId="5F9AF278">
                  <w:pPr>
                    <w:keepNext w:val="0"/>
                    <w:keepLines w:val="0"/>
                    <w:widowControl/>
                    <w:suppressLineNumbers w:val="0"/>
                    <w:spacing w:line="30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w:t>
                  </w:r>
                </w:p>
              </w:tc>
              <w:tc>
                <w:tcPr>
                  <w:tcW w:w="1544" w:type="dxa"/>
                  <w:vMerge w:val="continue"/>
                  <w:tcBorders>
                    <w:tl2br w:val="nil"/>
                    <w:tr2bl w:val="nil"/>
                  </w:tcBorders>
                  <w:noWrap w:val="0"/>
                  <w:vAlign w:val="center"/>
                </w:tcPr>
                <w:p w14:paraId="573BB193">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c>
                <w:tcPr>
                  <w:tcW w:w="1544" w:type="dxa"/>
                  <w:vMerge w:val="continue"/>
                  <w:tcBorders>
                    <w:tl2br w:val="nil"/>
                    <w:tr2bl w:val="nil"/>
                  </w:tcBorders>
                  <w:noWrap w:val="0"/>
                  <w:vAlign w:val="center"/>
                </w:tcPr>
                <w:p w14:paraId="33CE8D0E">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c>
                <w:tcPr>
                  <w:tcW w:w="1348" w:type="dxa"/>
                  <w:vMerge w:val="continue"/>
                  <w:tcBorders>
                    <w:tl2br w:val="nil"/>
                    <w:tr2bl w:val="nil"/>
                  </w:tcBorders>
                  <w:noWrap w:val="0"/>
                  <w:vAlign w:val="center"/>
                </w:tcPr>
                <w:p w14:paraId="1676918B">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r>
            <w:tr w14:paraId="689C3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3" w:type="dxa"/>
                  <w:vMerge w:val="continue"/>
                  <w:tcBorders>
                    <w:tl2br w:val="nil"/>
                    <w:tr2bl w:val="nil"/>
                  </w:tcBorders>
                  <w:noWrap w:val="0"/>
                  <w:vAlign w:val="center"/>
                </w:tcPr>
                <w:p w14:paraId="48524FF8">
                  <w:pPr>
                    <w:keepNext/>
                    <w:keepLines/>
                    <w:pageBreakBefore w:val="0"/>
                    <w:widowControl w:val="0"/>
                    <w:kinsoku/>
                    <w:wordWrap/>
                    <w:overflowPunct/>
                    <w:topLinePunct w:val="0"/>
                    <w:autoSpaceDE/>
                    <w:autoSpaceDN/>
                    <w:bidi w:val="0"/>
                    <w:adjustRightInd/>
                    <w:snapToGrid/>
                    <w:spacing w:before="280" w:after="290" w:line="240" w:lineRule="auto"/>
                    <w:ind w:left="0" w:leftChars="0" w:right="0" w:rightChars="0"/>
                    <w:jc w:val="center"/>
                    <w:textAlignment w:val="auto"/>
                    <w:outlineLvl w:val="9"/>
                    <w:rPr>
                      <w:rFonts w:hint="default" w:ascii="Times New Roman" w:hAnsi="Times New Roman" w:eastAsia="宋体" w:cs="Times New Roman"/>
                      <w:b w:val="0"/>
                      <w:bCs/>
                      <w:color w:val="auto"/>
                      <w:kern w:val="21"/>
                      <w:sz w:val="21"/>
                      <w:szCs w:val="21"/>
                      <w:highlight w:val="none"/>
                      <w:lang w:val="en-US" w:eastAsia="zh-CN" w:bidi="ar"/>
                    </w:rPr>
                  </w:pPr>
                </w:p>
              </w:tc>
              <w:tc>
                <w:tcPr>
                  <w:tcW w:w="1384" w:type="dxa"/>
                  <w:tcBorders>
                    <w:tl2br w:val="nil"/>
                    <w:tr2bl w:val="nil"/>
                  </w:tcBorders>
                  <w:noWrap w:val="0"/>
                  <w:vAlign w:val="center"/>
                </w:tcPr>
                <w:p w14:paraId="11E9ED32">
                  <w:pPr>
                    <w:spacing w:line="300" w:lineRule="exact"/>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西厂界</w:t>
                  </w:r>
                </w:p>
              </w:tc>
              <w:tc>
                <w:tcPr>
                  <w:tcW w:w="1494" w:type="dxa"/>
                  <w:tcBorders>
                    <w:tl2br w:val="nil"/>
                    <w:tr2bl w:val="nil"/>
                  </w:tcBorders>
                  <w:noWrap w:val="0"/>
                  <w:vAlign w:val="center"/>
                </w:tcPr>
                <w:p w14:paraId="13C405B7">
                  <w:pPr>
                    <w:keepNext w:val="0"/>
                    <w:keepLines w:val="0"/>
                    <w:widowControl/>
                    <w:suppressLineNumbers w:val="0"/>
                    <w:spacing w:line="30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w:t>
                  </w:r>
                </w:p>
              </w:tc>
              <w:tc>
                <w:tcPr>
                  <w:tcW w:w="1544" w:type="dxa"/>
                  <w:vMerge w:val="continue"/>
                  <w:tcBorders>
                    <w:tl2br w:val="nil"/>
                    <w:tr2bl w:val="nil"/>
                  </w:tcBorders>
                  <w:noWrap w:val="0"/>
                  <w:vAlign w:val="center"/>
                </w:tcPr>
                <w:p w14:paraId="045A8207">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c>
                <w:tcPr>
                  <w:tcW w:w="1544" w:type="dxa"/>
                  <w:vMerge w:val="continue"/>
                  <w:tcBorders>
                    <w:tl2br w:val="nil"/>
                    <w:tr2bl w:val="nil"/>
                  </w:tcBorders>
                  <w:noWrap w:val="0"/>
                  <w:vAlign w:val="center"/>
                </w:tcPr>
                <w:p w14:paraId="0D2B771D">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c>
                <w:tcPr>
                  <w:tcW w:w="1348" w:type="dxa"/>
                  <w:vMerge w:val="continue"/>
                  <w:tcBorders>
                    <w:tl2br w:val="nil"/>
                    <w:tr2bl w:val="nil"/>
                  </w:tcBorders>
                  <w:noWrap w:val="0"/>
                  <w:vAlign w:val="center"/>
                </w:tcPr>
                <w:p w14:paraId="0E19AF31">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r>
            <w:tr w14:paraId="3219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3" w:type="dxa"/>
                  <w:vMerge w:val="continue"/>
                  <w:tcBorders>
                    <w:tl2br w:val="nil"/>
                    <w:tr2bl w:val="nil"/>
                  </w:tcBorders>
                  <w:noWrap w:val="0"/>
                  <w:vAlign w:val="center"/>
                </w:tcPr>
                <w:p w14:paraId="136B4BB6">
                  <w:pPr>
                    <w:keepNext/>
                    <w:keepLines/>
                    <w:pageBreakBefore w:val="0"/>
                    <w:widowControl w:val="0"/>
                    <w:kinsoku/>
                    <w:wordWrap/>
                    <w:overflowPunct/>
                    <w:topLinePunct w:val="0"/>
                    <w:autoSpaceDE/>
                    <w:autoSpaceDN/>
                    <w:bidi w:val="0"/>
                    <w:adjustRightInd/>
                    <w:snapToGrid/>
                    <w:spacing w:before="280" w:after="290" w:line="240" w:lineRule="auto"/>
                    <w:ind w:left="0" w:leftChars="0" w:right="0" w:rightChars="0"/>
                    <w:jc w:val="center"/>
                    <w:textAlignment w:val="auto"/>
                    <w:outlineLvl w:val="9"/>
                    <w:rPr>
                      <w:rFonts w:hint="default" w:ascii="Times New Roman" w:hAnsi="Times New Roman" w:eastAsia="宋体" w:cs="Times New Roman"/>
                      <w:b w:val="0"/>
                      <w:bCs/>
                      <w:color w:val="auto"/>
                      <w:kern w:val="21"/>
                      <w:sz w:val="21"/>
                      <w:szCs w:val="21"/>
                      <w:highlight w:val="none"/>
                      <w:lang w:val="en-US" w:eastAsia="zh-CN" w:bidi="ar"/>
                    </w:rPr>
                  </w:pPr>
                </w:p>
              </w:tc>
              <w:tc>
                <w:tcPr>
                  <w:tcW w:w="1384" w:type="dxa"/>
                  <w:tcBorders>
                    <w:tl2br w:val="nil"/>
                    <w:tr2bl w:val="nil"/>
                  </w:tcBorders>
                  <w:noWrap w:val="0"/>
                  <w:vAlign w:val="center"/>
                </w:tcPr>
                <w:p w14:paraId="4269047D">
                  <w:pPr>
                    <w:spacing w:line="300" w:lineRule="exact"/>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北厂界</w:t>
                  </w:r>
                </w:p>
              </w:tc>
              <w:tc>
                <w:tcPr>
                  <w:tcW w:w="1494" w:type="dxa"/>
                  <w:tcBorders>
                    <w:tl2br w:val="nil"/>
                    <w:tr2bl w:val="nil"/>
                  </w:tcBorders>
                  <w:noWrap w:val="0"/>
                  <w:vAlign w:val="center"/>
                </w:tcPr>
                <w:p w14:paraId="5A76979E">
                  <w:pPr>
                    <w:keepNext w:val="0"/>
                    <w:keepLines w:val="0"/>
                    <w:widowControl/>
                    <w:suppressLineNumbers w:val="0"/>
                    <w:spacing w:line="300" w:lineRule="exact"/>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w:t>
                  </w:r>
                </w:p>
              </w:tc>
              <w:tc>
                <w:tcPr>
                  <w:tcW w:w="1544" w:type="dxa"/>
                  <w:vMerge w:val="continue"/>
                  <w:tcBorders>
                    <w:tl2br w:val="nil"/>
                    <w:tr2bl w:val="nil"/>
                  </w:tcBorders>
                  <w:noWrap w:val="0"/>
                  <w:vAlign w:val="center"/>
                </w:tcPr>
                <w:p w14:paraId="357ED999">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c>
                <w:tcPr>
                  <w:tcW w:w="1544" w:type="dxa"/>
                  <w:vMerge w:val="continue"/>
                  <w:tcBorders>
                    <w:tl2br w:val="nil"/>
                    <w:tr2bl w:val="nil"/>
                  </w:tcBorders>
                  <w:noWrap w:val="0"/>
                  <w:vAlign w:val="center"/>
                </w:tcPr>
                <w:p w14:paraId="6DF8DECC">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c>
                <w:tcPr>
                  <w:tcW w:w="1348" w:type="dxa"/>
                  <w:vMerge w:val="continue"/>
                  <w:tcBorders>
                    <w:tl2br w:val="nil"/>
                    <w:tr2bl w:val="nil"/>
                  </w:tcBorders>
                  <w:noWrap w:val="0"/>
                  <w:vAlign w:val="center"/>
                </w:tcPr>
                <w:p w14:paraId="5E2FB22B">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p>
              </w:tc>
            </w:tr>
          </w:tbl>
          <w:p w14:paraId="10315ED6">
            <w:pPr>
              <w:adjustRightInd w:val="0"/>
              <w:snapToGrid w:val="0"/>
              <w:spacing w:before="120" w:beforeLines="50"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从上表的预测结果可以看出，本项目东、南、西、北厂界噪声可达到国家《工业企业厂界环境噪声排放标准》（GB12348-2008）</w:t>
            </w:r>
            <w:r>
              <w:rPr>
                <w:rFonts w:hint="eastAsia" w:ascii="Times New Roman" w:hAnsi="Times New Roman" w:cs="Times New Roman"/>
                <w:sz w:val="24"/>
                <w:szCs w:val="24"/>
                <w:lang w:val="en-US" w:eastAsia="zh-CN"/>
              </w:rPr>
              <w:t>3</w:t>
            </w:r>
            <w:r>
              <w:rPr>
                <w:rFonts w:ascii="Times New Roman" w:hAnsi="Times New Roman" w:cs="Times New Roman"/>
                <w:sz w:val="24"/>
                <w:szCs w:val="24"/>
                <w:lang w:eastAsia="zh-CN"/>
              </w:rPr>
              <w:t>类标准的要求。</w:t>
            </w:r>
          </w:p>
          <w:p w14:paraId="7763E1B9">
            <w:pPr>
              <w:adjustRightInd w:val="0"/>
              <w:snapToGri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为进一步降低项目设备运行噪声对周围环境的影响，建议采取</w:t>
            </w:r>
            <w:r>
              <w:rPr>
                <w:rFonts w:hint="eastAsia" w:ascii="Times New Roman" w:hAnsi="Times New Roman" w:cs="Times New Roman"/>
                <w:sz w:val="24"/>
                <w:szCs w:val="24"/>
                <w:lang w:eastAsia="zh-CN"/>
              </w:rPr>
              <w:t>以下</w:t>
            </w:r>
            <w:r>
              <w:rPr>
                <w:rFonts w:ascii="Times New Roman" w:hAnsi="Times New Roman" w:cs="Times New Roman"/>
                <w:sz w:val="24"/>
                <w:szCs w:val="24"/>
                <w:lang w:eastAsia="zh-CN"/>
              </w:rPr>
              <w:t>措施：</w:t>
            </w:r>
          </w:p>
          <w:p w14:paraId="3F506711">
            <w:pPr>
              <w:adjustRightInd w:val="0"/>
              <w:snapToGri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（1）在设备选型方面，在满足工艺生产的前提下，选用精度高、装配质量好、噪声低的设备；对于某些设备运行时由振动产生的噪声，应对设备基础进行减振，能降低噪声级</w:t>
            </w:r>
            <w:r>
              <w:rPr>
                <w:rFonts w:hint="eastAsia" w:ascii="Times New Roman" w:hAnsi="Times New Roman" w:cs="Times New Roman"/>
                <w:sz w:val="24"/>
                <w:szCs w:val="24"/>
                <w:lang w:eastAsia="zh-CN"/>
              </w:rPr>
              <w:t>接近</w:t>
            </w:r>
            <w:r>
              <w:rPr>
                <w:rFonts w:hint="eastAsia" w:ascii="Times New Roman" w:hAnsi="Times New Roman" w:cs="Times New Roman"/>
                <w:sz w:val="24"/>
                <w:szCs w:val="24"/>
                <w:lang w:val="en-US" w:eastAsia="zh-CN"/>
              </w:rPr>
              <w:t>20</w:t>
            </w:r>
            <w:r>
              <w:rPr>
                <w:rFonts w:ascii="Times New Roman" w:hAnsi="Times New Roman" w:cs="Times New Roman"/>
                <w:sz w:val="24"/>
                <w:szCs w:val="24"/>
                <w:lang w:eastAsia="zh-CN"/>
              </w:rPr>
              <w:t>dB（A）。</w:t>
            </w:r>
          </w:p>
          <w:p w14:paraId="5551FB03">
            <w:pPr>
              <w:adjustRightInd w:val="0"/>
              <w:snapToGri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（2）对高噪声设备进行消音、隔音和减振等措施，如在设备与基础之间安装减振器等。</w:t>
            </w:r>
          </w:p>
          <w:p w14:paraId="22D5E917">
            <w:pPr>
              <w:adjustRightInd w:val="0"/>
              <w:snapToGri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（3）加强管理建立设备定期维护、保养的管理制度，以防止设备故障形成的非生产噪声，同时确保环保措施发挥最有效的功能；加强职工环保意识教育，提倡文明生产，防止人为噪声。</w:t>
            </w:r>
          </w:p>
          <w:p w14:paraId="6252E71E">
            <w:pPr>
              <w:adjustRightInd w:val="0"/>
              <w:snapToGri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（4）生产时关闭门窗，通过车间墙体的阻隔和距离的自然衰减降低噪声影响。经过以上措施，本项目厂界噪声可达到国家《工业企业厂界环境噪声排放标准》（GB12348-2008）</w:t>
            </w:r>
            <w:r>
              <w:rPr>
                <w:rFonts w:hint="eastAsia" w:ascii="Times New Roman" w:hAnsi="Times New Roman" w:cs="Times New Roman"/>
                <w:sz w:val="24"/>
                <w:szCs w:val="24"/>
                <w:lang w:val="en-US" w:eastAsia="zh-CN"/>
              </w:rPr>
              <w:t>3</w:t>
            </w:r>
            <w:r>
              <w:rPr>
                <w:rFonts w:ascii="Times New Roman" w:hAnsi="Times New Roman" w:cs="Times New Roman"/>
                <w:sz w:val="24"/>
                <w:szCs w:val="24"/>
                <w:lang w:eastAsia="zh-CN"/>
              </w:rPr>
              <w:t>类标准的要求，对周围声环境影响较小。</w:t>
            </w:r>
          </w:p>
          <w:p w14:paraId="7006A413">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3.3监测计划</w:t>
            </w:r>
          </w:p>
          <w:p w14:paraId="49D170B3">
            <w:pPr>
              <w:adjustRightInd w:val="0"/>
              <w:snapToGrid w:val="0"/>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根据《排污单位自行监测技术指南 总则》（HJ819-2017），制定本项目噪声监测计划如下：</w:t>
            </w:r>
          </w:p>
          <w:p w14:paraId="02DD705A">
            <w:pPr>
              <w:pStyle w:val="7"/>
              <w:spacing w:before="120" w:beforeLines="50" w:after="0"/>
              <w:jc w:val="center"/>
              <w:rPr>
                <w:rFonts w:ascii="Times New Roman" w:hAnsi="Times New Roman"/>
                <w:b/>
                <w:sz w:val="21"/>
                <w:szCs w:val="21"/>
              </w:rPr>
            </w:pPr>
            <w:r>
              <w:rPr>
                <w:rFonts w:ascii="Times New Roman" w:hAnsi="Times New Roman"/>
                <w:b/>
                <w:sz w:val="21"/>
                <w:szCs w:val="21"/>
              </w:rPr>
              <w:t>表</w:t>
            </w:r>
            <w:r>
              <w:rPr>
                <w:rFonts w:hint="eastAsia" w:ascii="Times New Roman" w:hAnsi="Times New Roman"/>
                <w:b/>
                <w:sz w:val="21"/>
                <w:szCs w:val="21"/>
              </w:rPr>
              <w:t>4-</w:t>
            </w:r>
            <w:r>
              <w:rPr>
                <w:rFonts w:hint="eastAsia" w:ascii="Times New Roman" w:hAnsi="Times New Roman"/>
                <w:b/>
                <w:sz w:val="21"/>
                <w:szCs w:val="21"/>
                <w:lang w:val="en-US" w:eastAsia="zh-CN"/>
              </w:rPr>
              <w:t>15</w:t>
            </w:r>
            <w:r>
              <w:rPr>
                <w:rFonts w:ascii="Times New Roman" w:hAnsi="Times New Roman"/>
                <w:b/>
                <w:sz w:val="21"/>
                <w:szCs w:val="21"/>
              </w:rPr>
              <w:t xml:space="preserve">  </w:t>
            </w:r>
            <w:r>
              <w:rPr>
                <w:rFonts w:hint="eastAsia" w:ascii="Times New Roman" w:hAnsi="Times New Roman"/>
                <w:b/>
                <w:sz w:val="21"/>
                <w:szCs w:val="21"/>
              </w:rPr>
              <w:t>噪声监测一览表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21"/>
              <w:gridCol w:w="2221"/>
              <w:gridCol w:w="2222"/>
              <w:gridCol w:w="2222"/>
            </w:tblGrid>
            <w:tr w14:paraId="49E67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1" w:type="dxa"/>
                  <w:vAlign w:val="center"/>
                </w:tcPr>
                <w:p w14:paraId="042BE0B3">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类别</w:t>
                  </w:r>
                </w:p>
              </w:tc>
              <w:tc>
                <w:tcPr>
                  <w:tcW w:w="2221" w:type="dxa"/>
                  <w:vAlign w:val="center"/>
                </w:tcPr>
                <w:p w14:paraId="2257E8C1">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监测点位</w:t>
                  </w:r>
                </w:p>
              </w:tc>
              <w:tc>
                <w:tcPr>
                  <w:tcW w:w="2222" w:type="dxa"/>
                  <w:vAlign w:val="center"/>
                </w:tcPr>
                <w:p w14:paraId="218907A7">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监测项目</w:t>
                  </w:r>
                </w:p>
              </w:tc>
              <w:tc>
                <w:tcPr>
                  <w:tcW w:w="2222" w:type="dxa"/>
                  <w:vAlign w:val="center"/>
                </w:tcPr>
                <w:p w14:paraId="20F74A34">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监测频率</w:t>
                  </w:r>
                </w:p>
              </w:tc>
            </w:tr>
            <w:tr w14:paraId="69FEB6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221" w:type="dxa"/>
                  <w:vAlign w:val="center"/>
                </w:tcPr>
                <w:p w14:paraId="2932138C">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厂界噪声</w:t>
                  </w:r>
                </w:p>
              </w:tc>
              <w:tc>
                <w:tcPr>
                  <w:tcW w:w="2221" w:type="dxa"/>
                  <w:vAlign w:val="center"/>
                </w:tcPr>
                <w:p w14:paraId="0124A30D">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厂界</w:t>
                  </w:r>
                </w:p>
              </w:tc>
              <w:tc>
                <w:tcPr>
                  <w:tcW w:w="2222" w:type="dxa"/>
                  <w:vAlign w:val="center"/>
                </w:tcPr>
                <w:p w14:paraId="758FDE3F">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等效连续A声级</w:t>
                  </w:r>
                </w:p>
              </w:tc>
              <w:tc>
                <w:tcPr>
                  <w:tcW w:w="2222" w:type="dxa"/>
                  <w:vAlign w:val="center"/>
                </w:tcPr>
                <w:p w14:paraId="2B4DFD64">
                  <w:pPr>
                    <w:adjustRightInd w:val="0"/>
                    <w:snapToGri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1次/季度</w:t>
                  </w:r>
                </w:p>
              </w:tc>
            </w:tr>
          </w:tbl>
          <w:p w14:paraId="6BBC7484">
            <w:pPr>
              <w:adjustRightInd w:val="0"/>
              <w:snapToGrid w:val="0"/>
              <w:spacing w:before="120" w:beforeLines="50"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4.</w:t>
            </w:r>
            <w:r>
              <w:rPr>
                <w:rFonts w:ascii="Times New Roman" w:hAnsi="Times New Roman" w:cs="Times New Roman" w:eastAsiaTheme="minorEastAsia"/>
                <w:b/>
                <w:bCs/>
                <w:sz w:val="28"/>
                <w:szCs w:val="28"/>
                <w:lang w:eastAsia="zh-CN"/>
              </w:rPr>
              <w:t>固体废弃物</w:t>
            </w:r>
          </w:p>
          <w:p w14:paraId="37CEE4AA">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本项目运营期项目固废主要包括生活垃圾、一般工业固体废物及危险废物。</w:t>
            </w:r>
          </w:p>
          <w:p w14:paraId="17271937">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（1）生活垃圾</w:t>
            </w:r>
          </w:p>
          <w:p w14:paraId="51FF0315">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本项目劳动定员</w:t>
            </w:r>
            <w:r>
              <w:rPr>
                <w:rFonts w:hint="eastAsia" w:ascii="Times New Roman" w:hAnsi="Times New Roman" w:cs="Times New Roman"/>
                <w:sz w:val="24"/>
                <w:szCs w:val="24"/>
                <w:lang w:val="en-US" w:eastAsia="zh-CN"/>
              </w:rPr>
              <w:t>***</w:t>
            </w:r>
            <w:r>
              <w:rPr>
                <w:rFonts w:ascii="Times New Roman" w:hAnsi="Times New Roman" w:cs="Times New Roman"/>
                <w:sz w:val="24"/>
                <w:szCs w:val="24"/>
                <w:lang w:eastAsia="zh-CN"/>
              </w:rPr>
              <w:t>人，按每人每日排放生活垃圾</w:t>
            </w:r>
            <w:r>
              <w:rPr>
                <w:rFonts w:hint="eastAsia" w:ascii="Times New Roman" w:hAnsi="Times New Roman" w:cs="Times New Roman"/>
                <w:sz w:val="24"/>
                <w:szCs w:val="24"/>
                <w:lang w:val="en-US" w:eastAsia="zh-CN"/>
              </w:rPr>
              <w:t>***</w:t>
            </w:r>
            <w:r>
              <w:rPr>
                <w:rFonts w:ascii="Times New Roman" w:hAnsi="Times New Roman" w:cs="Times New Roman"/>
                <w:sz w:val="24"/>
                <w:szCs w:val="24"/>
                <w:lang w:eastAsia="zh-CN"/>
              </w:rPr>
              <w:t>kg计，年工作天数</w:t>
            </w:r>
            <w:r>
              <w:rPr>
                <w:rFonts w:hint="eastAsia" w:ascii="Times New Roman" w:hAnsi="Times New Roman" w:cs="Times New Roman"/>
                <w:sz w:val="24"/>
                <w:szCs w:val="24"/>
                <w:lang w:val="en-US" w:eastAsia="zh-CN"/>
              </w:rPr>
              <w:t>***</w:t>
            </w:r>
            <w:r>
              <w:rPr>
                <w:rFonts w:ascii="Times New Roman" w:hAnsi="Times New Roman" w:cs="Times New Roman"/>
                <w:sz w:val="24"/>
                <w:szCs w:val="24"/>
                <w:lang w:eastAsia="zh-CN"/>
              </w:rPr>
              <w:t>天，则生活垃圾产生量约</w:t>
            </w:r>
            <w:r>
              <w:rPr>
                <w:rFonts w:hint="eastAsia" w:ascii="Times New Roman" w:hAnsi="Times New Roman" w:cs="Times New Roman"/>
                <w:sz w:val="24"/>
                <w:szCs w:val="24"/>
                <w:lang w:val="en-US" w:eastAsia="zh-CN"/>
              </w:rPr>
              <w:t>***</w:t>
            </w:r>
            <w:r>
              <w:rPr>
                <w:rFonts w:ascii="Times New Roman" w:hAnsi="Times New Roman" w:cs="Times New Roman"/>
                <w:sz w:val="24"/>
                <w:szCs w:val="24"/>
                <w:lang w:eastAsia="zh-CN"/>
              </w:rPr>
              <w:t>t/a，集中收集后交由</w:t>
            </w:r>
            <w:r>
              <w:rPr>
                <w:rFonts w:hint="eastAsia" w:ascii="Times New Roman" w:hAnsi="Times New Roman" w:cs="Times New Roman"/>
                <w:sz w:val="24"/>
                <w:szCs w:val="24"/>
                <w:lang w:val="en-US" w:eastAsia="zh-CN"/>
              </w:rPr>
              <w:t>园区</w:t>
            </w:r>
            <w:r>
              <w:rPr>
                <w:rFonts w:ascii="Times New Roman" w:hAnsi="Times New Roman" w:cs="Times New Roman"/>
                <w:sz w:val="24"/>
                <w:szCs w:val="24"/>
                <w:lang w:eastAsia="zh-CN"/>
              </w:rPr>
              <w:t>环卫部门清运处理。</w:t>
            </w:r>
          </w:p>
          <w:p w14:paraId="2B2B3F4A">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（2）一般工业固体废物</w:t>
            </w:r>
          </w:p>
          <w:p w14:paraId="2B6CF67D">
            <w:pPr>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①废丝：</w:t>
            </w:r>
            <w:r>
              <w:rPr>
                <w:rFonts w:hint="eastAsia" w:ascii="Times New Roman" w:hAnsi="Times New Roman" w:eastAsia="宋体" w:cs="Times New Roman"/>
                <w:sz w:val="24"/>
                <w:szCs w:val="24"/>
                <w:highlight w:val="none"/>
                <w:lang w:val="en-US" w:eastAsia="zh-CN"/>
              </w:rPr>
              <w:t>本项目加弹、整经</w:t>
            </w:r>
            <w:r>
              <w:rPr>
                <w:rFonts w:hint="default" w:ascii="Times New Roman" w:hAnsi="Times New Roman" w:eastAsia="宋体" w:cs="Times New Roman"/>
                <w:sz w:val="24"/>
                <w:szCs w:val="24"/>
                <w:highlight w:val="none"/>
                <w:lang w:eastAsia="zh-CN"/>
              </w:rPr>
              <w:t>过程会产生废丝，参考《化纤织造加工行业系数手册》中1751化纤制造加工行业系数表，一般固废产污系数为15.40千克/吨-产品，项目产品折合约</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t，则废丝产生量约</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t/a，废丝由厂区集中收集后外售。</w:t>
            </w:r>
          </w:p>
          <w:p w14:paraId="36BF62A8">
            <w:pPr>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②不合格产品</w:t>
            </w:r>
          </w:p>
          <w:p w14:paraId="00AC1CDD">
            <w:pPr>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本项目</w:t>
            </w:r>
            <w:r>
              <w:rPr>
                <w:rFonts w:hint="eastAsia" w:ascii="Times New Roman" w:hAnsi="Times New Roman" w:eastAsia="宋体" w:cs="Times New Roman"/>
                <w:sz w:val="24"/>
                <w:szCs w:val="24"/>
                <w:highlight w:val="none"/>
                <w:lang w:val="en-US" w:eastAsia="zh-CN"/>
              </w:rPr>
              <w:t>检验阶段</w:t>
            </w:r>
            <w:r>
              <w:rPr>
                <w:rFonts w:hint="default" w:ascii="Times New Roman" w:hAnsi="Times New Roman" w:eastAsia="宋体" w:cs="Times New Roman"/>
                <w:sz w:val="24"/>
                <w:szCs w:val="24"/>
                <w:highlight w:val="none"/>
                <w:lang w:val="en-US" w:eastAsia="zh-CN"/>
              </w:rPr>
              <w:t>不合格产品占总产品</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%，即</w:t>
            </w:r>
            <w:r>
              <w:rPr>
                <w:rFonts w:hint="eastAsia"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t/a，</w:t>
            </w:r>
            <w:r>
              <w:rPr>
                <w:rFonts w:hint="default" w:ascii="Times New Roman" w:hAnsi="Times New Roman" w:eastAsia="宋体" w:cs="Times New Roman"/>
                <w:sz w:val="24"/>
                <w:szCs w:val="24"/>
                <w:highlight w:val="none"/>
                <w:lang w:eastAsia="zh-CN"/>
              </w:rPr>
              <w:t>统一收集后定期外售。</w:t>
            </w:r>
          </w:p>
          <w:p w14:paraId="571CF2B8">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（3）危险废物</w:t>
            </w:r>
          </w:p>
          <w:p w14:paraId="0C986A78">
            <w:pPr>
              <w:spacing w:line="360" w:lineRule="auto"/>
              <w:ind w:firstLine="480" w:firstLineChars="200"/>
              <w:rPr>
                <w:rFonts w:hint="default" w:ascii="Times New Roman" w:hAnsi="Times New Roman" w:cs="Times New Roman"/>
                <w:sz w:val="24"/>
                <w:szCs w:val="24"/>
                <w:lang w:val="en-US" w:eastAsia="zh-CN"/>
              </w:rPr>
            </w:pPr>
            <w:r>
              <w:rPr>
                <w:rFonts w:hint="eastAsia" w:ascii="Cambria Math" w:hAnsi="Cambria Math" w:cs="Cambria Math"/>
                <w:sz w:val="24"/>
                <w:szCs w:val="24"/>
                <w:lang w:val="en-US" w:eastAsia="zh-CN"/>
              </w:rPr>
              <w:t>①</w:t>
            </w:r>
            <w:r>
              <w:rPr>
                <w:rFonts w:ascii="Times New Roman" w:hAnsi="Times New Roman" w:cs="Times New Roman"/>
                <w:sz w:val="24"/>
                <w:szCs w:val="24"/>
                <w:lang w:eastAsia="zh-CN"/>
              </w:rPr>
              <w:t>废</w:t>
            </w:r>
            <w:r>
              <w:rPr>
                <w:rFonts w:hint="eastAsia" w:ascii="Times New Roman" w:hAnsi="Times New Roman" w:cs="Times New Roman"/>
                <w:sz w:val="24"/>
                <w:szCs w:val="24"/>
                <w:lang w:val="en-US" w:eastAsia="zh-CN"/>
              </w:rPr>
              <w:t>机油</w:t>
            </w:r>
          </w:p>
          <w:p w14:paraId="4E39271A">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项目生产用机械设备维修养护过程中将产生一定量的废</w:t>
            </w:r>
            <w:r>
              <w:rPr>
                <w:rFonts w:hint="eastAsia" w:ascii="Times New Roman" w:hAnsi="Times New Roman" w:cs="Times New Roman"/>
                <w:sz w:val="24"/>
                <w:szCs w:val="24"/>
                <w:lang w:val="en-US" w:eastAsia="zh-CN"/>
              </w:rPr>
              <w:t>机油</w:t>
            </w:r>
            <w:r>
              <w:rPr>
                <w:rFonts w:ascii="Times New Roman" w:hAnsi="Times New Roman" w:cs="Times New Roman"/>
                <w:sz w:val="24"/>
                <w:szCs w:val="24"/>
                <w:lang w:eastAsia="zh-CN"/>
              </w:rPr>
              <w:t>，产生量约为</w:t>
            </w:r>
            <w:r>
              <w:rPr>
                <w:rFonts w:hint="eastAsia" w:ascii="Times New Roman" w:hAnsi="Times New Roman" w:cs="Times New Roman"/>
                <w:sz w:val="24"/>
                <w:szCs w:val="24"/>
                <w:lang w:val="en-US" w:eastAsia="zh-CN"/>
              </w:rPr>
              <w:t>***</w:t>
            </w:r>
            <w:r>
              <w:rPr>
                <w:rFonts w:ascii="Times New Roman" w:hAnsi="Times New Roman" w:cs="Times New Roman"/>
                <w:sz w:val="24"/>
                <w:szCs w:val="24"/>
                <w:lang w:eastAsia="zh-CN"/>
              </w:rPr>
              <w:t>t/a。根据《国家危险废物名录》（2025版）进行鉴别，废</w:t>
            </w:r>
            <w:r>
              <w:rPr>
                <w:rFonts w:hint="eastAsia" w:ascii="Times New Roman" w:hAnsi="Times New Roman" w:cs="Times New Roman"/>
                <w:sz w:val="24"/>
                <w:szCs w:val="24"/>
                <w:lang w:val="en-US" w:eastAsia="zh-CN"/>
              </w:rPr>
              <w:t>机油</w:t>
            </w:r>
            <w:r>
              <w:rPr>
                <w:rFonts w:ascii="Times New Roman" w:hAnsi="Times New Roman" w:cs="Times New Roman"/>
                <w:sz w:val="24"/>
                <w:szCs w:val="24"/>
                <w:lang w:eastAsia="zh-CN"/>
              </w:rPr>
              <w:t>属于危险废物，危废代码为“HW08 废矿物油与含矿物油废物900-</w:t>
            </w:r>
            <w:r>
              <w:rPr>
                <w:rFonts w:hint="eastAsia" w:ascii="Times New Roman" w:hAnsi="Times New Roman" w:cs="Times New Roman"/>
                <w:sz w:val="24"/>
                <w:szCs w:val="24"/>
                <w:lang w:val="en-US" w:eastAsia="zh-CN"/>
              </w:rPr>
              <w:t>214</w:t>
            </w:r>
            <w:r>
              <w:rPr>
                <w:rFonts w:ascii="Times New Roman" w:hAnsi="Times New Roman" w:cs="Times New Roman"/>
                <w:sz w:val="24"/>
                <w:szCs w:val="24"/>
                <w:lang w:eastAsia="zh-CN"/>
              </w:rPr>
              <w:t>-08”，废</w:t>
            </w:r>
            <w:r>
              <w:rPr>
                <w:rFonts w:hint="eastAsia" w:ascii="Times New Roman" w:hAnsi="Times New Roman" w:cs="Times New Roman"/>
                <w:sz w:val="24"/>
                <w:szCs w:val="24"/>
                <w:lang w:val="en-US" w:eastAsia="zh-CN"/>
              </w:rPr>
              <w:t>机油</w:t>
            </w:r>
            <w:r>
              <w:rPr>
                <w:rFonts w:ascii="Times New Roman" w:hAnsi="Times New Roman" w:cs="Times New Roman"/>
                <w:sz w:val="24"/>
                <w:szCs w:val="24"/>
                <w:lang w:eastAsia="zh-CN"/>
              </w:rPr>
              <w:t>采用专用容器集中收集后，集中暂存于危废</w:t>
            </w:r>
            <w:r>
              <w:rPr>
                <w:rFonts w:hint="eastAsia" w:ascii="Times New Roman" w:hAnsi="Times New Roman" w:eastAsia="宋体" w:cs="Times New Roman"/>
                <w:sz w:val="24"/>
                <w:lang w:val="en-US" w:eastAsia="zh-CN"/>
              </w:rPr>
              <w:t>贮存点</w:t>
            </w:r>
            <w:r>
              <w:rPr>
                <w:rFonts w:ascii="Times New Roman" w:hAnsi="Times New Roman" w:cs="Times New Roman"/>
                <w:sz w:val="24"/>
                <w:szCs w:val="24"/>
                <w:lang w:eastAsia="zh-CN"/>
              </w:rPr>
              <w:t>中，定期交由有资质单位处理。</w:t>
            </w:r>
          </w:p>
          <w:p w14:paraId="019E026A">
            <w:pPr>
              <w:spacing w:line="360" w:lineRule="auto"/>
              <w:ind w:firstLine="480" w:firstLineChars="200"/>
              <w:rPr>
                <w:rFonts w:ascii="Times New Roman" w:hAnsi="Times New Roman" w:cs="Times New Roman"/>
                <w:sz w:val="24"/>
                <w:szCs w:val="24"/>
                <w:lang w:eastAsia="zh-CN"/>
              </w:rPr>
            </w:pPr>
            <w:r>
              <w:rPr>
                <w:rFonts w:hint="eastAsia" w:ascii="Cambria Math" w:hAnsi="Cambria Math" w:cs="Cambria Math"/>
                <w:sz w:val="24"/>
                <w:szCs w:val="24"/>
                <w:lang w:val="en-US" w:eastAsia="zh-CN"/>
              </w:rPr>
              <w:t>②</w:t>
            </w:r>
            <w:r>
              <w:rPr>
                <w:rFonts w:ascii="Times New Roman" w:hAnsi="Times New Roman" w:cs="Times New Roman"/>
                <w:sz w:val="24"/>
                <w:szCs w:val="24"/>
                <w:lang w:eastAsia="zh-CN"/>
              </w:rPr>
              <w:t>废机油桶</w:t>
            </w:r>
          </w:p>
          <w:p w14:paraId="40E062DD">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eastAsia="zh-CN"/>
              </w:rPr>
              <w:t>项目废</w:t>
            </w:r>
            <w:r>
              <w:rPr>
                <w:rFonts w:hint="eastAsia" w:ascii="Times New Roman" w:hAnsi="Times New Roman" w:cs="Times New Roman"/>
                <w:sz w:val="24"/>
                <w:lang w:val="en-US" w:eastAsia="zh-CN"/>
              </w:rPr>
              <w:t>机油</w:t>
            </w:r>
            <w:r>
              <w:rPr>
                <w:rFonts w:ascii="Times New Roman" w:hAnsi="Times New Roman" w:cs="Times New Roman"/>
                <w:sz w:val="24"/>
                <w:lang w:eastAsia="zh-CN"/>
              </w:rPr>
              <w:t>桶产生量约为</w:t>
            </w:r>
            <w:r>
              <w:rPr>
                <w:rFonts w:hint="eastAsia" w:ascii="Times New Roman" w:hAnsi="Times New Roman" w:cs="Times New Roman"/>
                <w:sz w:val="24"/>
                <w:lang w:val="en-US" w:eastAsia="zh-CN"/>
              </w:rPr>
              <w:t>***</w:t>
            </w:r>
            <w:r>
              <w:rPr>
                <w:rFonts w:ascii="Times New Roman" w:hAnsi="Times New Roman" w:cs="Times New Roman"/>
                <w:sz w:val="24"/>
                <w:lang w:eastAsia="zh-CN"/>
              </w:rPr>
              <w:t>个/a，对照《国家危险废物名录》（2025年版），属于危险废物，编号为HW08，代码为900-249-08，暂存于危废</w:t>
            </w:r>
            <w:r>
              <w:rPr>
                <w:rFonts w:hint="eastAsia" w:ascii="Times New Roman" w:hAnsi="Times New Roman" w:eastAsia="宋体" w:cs="Times New Roman"/>
                <w:sz w:val="24"/>
                <w:lang w:val="en-US" w:eastAsia="zh-CN"/>
              </w:rPr>
              <w:t>贮存点</w:t>
            </w:r>
            <w:r>
              <w:rPr>
                <w:rFonts w:ascii="Times New Roman" w:hAnsi="Times New Roman" w:cs="Times New Roman"/>
                <w:sz w:val="24"/>
                <w:lang w:eastAsia="zh-CN"/>
              </w:rPr>
              <w:t>，定期委托有相应资质单位处理。</w:t>
            </w:r>
          </w:p>
          <w:p w14:paraId="0CED7316">
            <w:pPr>
              <w:spacing w:line="360" w:lineRule="auto"/>
              <w:ind w:firstLine="480" w:firstLineChars="200"/>
              <w:rPr>
                <w:rFonts w:ascii="Times New Roman" w:hAnsi="Times New Roman" w:cs="Times New Roman"/>
                <w:sz w:val="24"/>
                <w:lang w:eastAsia="zh-CN"/>
              </w:rPr>
            </w:pPr>
            <w:r>
              <w:rPr>
                <w:rFonts w:hint="eastAsia" w:ascii="Times New Roman" w:hAnsi="Times New Roman" w:cs="Times New Roman"/>
                <w:sz w:val="24"/>
                <w:lang w:val="en-US" w:eastAsia="zh-CN"/>
              </w:rPr>
              <w:t>③</w:t>
            </w:r>
            <w:r>
              <w:rPr>
                <w:rFonts w:hint="eastAsia" w:ascii="Times New Roman" w:hAnsi="Times New Roman" w:cs="Times New Roman"/>
                <w:sz w:val="24"/>
                <w:lang w:eastAsia="zh-CN"/>
              </w:rPr>
              <w:t>污水处理站污泥：污水处理站运行过程中产生的污泥含油，属于危险废物。参考同类型化纤纺织类项目，每处理万吨废水污泥产生量约为</w:t>
            </w:r>
            <w:r>
              <w:rPr>
                <w:rFonts w:hint="eastAsia" w:ascii="Times New Roman" w:hAnsi="Times New Roman" w:cs="Times New Roman"/>
                <w:sz w:val="24"/>
                <w:lang w:val="en-US" w:eastAsia="zh-CN"/>
              </w:rPr>
              <w:t>***</w:t>
            </w:r>
            <w:r>
              <w:rPr>
                <w:rFonts w:hint="eastAsia" w:ascii="Times New Roman" w:hAnsi="Times New Roman" w:cs="Times New Roman"/>
                <w:sz w:val="24"/>
                <w:lang w:eastAsia="zh-CN"/>
              </w:rPr>
              <w:t>t。本项目年处理废水</w:t>
            </w:r>
            <w:r>
              <w:rPr>
                <w:rFonts w:hint="eastAsia" w:ascii="Times New Roman" w:hAnsi="Times New Roman" w:cs="Times New Roman"/>
                <w:sz w:val="24"/>
                <w:lang w:val="en-US" w:eastAsia="zh-CN"/>
              </w:rPr>
              <w:t>***</w:t>
            </w:r>
            <w:r>
              <w:rPr>
                <w:rFonts w:hint="eastAsia" w:ascii="Times New Roman" w:hAnsi="Times New Roman" w:cs="Times New Roman"/>
                <w:sz w:val="24"/>
                <w:lang w:eastAsia="zh-CN"/>
              </w:rPr>
              <w:t>t，污泥产生量约为</w:t>
            </w:r>
            <w:r>
              <w:rPr>
                <w:rFonts w:hint="eastAsia" w:ascii="Times New Roman" w:hAnsi="Times New Roman" w:cs="Times New Roman"/>
                <w:sz w:val="24"/>
                <w:lang w:val="en-US" w:eastAsia="zh-CN"/>
              </w:rPr>
              <w:t>***</w:t>
            </w:r>
            <w:r>
              <w:rPr>
                <w:rFonts w:hint="eastAsia" w:ascii="Times New Roman" w:hAnsi="Times New Roman" w:cs="Times New Roman"/>
                <w:sz w:val="24"/>
                <w:lang w:eastAsia="zh-CN"/>
              </w:rPr>
              <w:t>t/a。根据《国家危险废物名录》（2025版）中相关内容，“HW08，含油废水处理中隔油、气浮、沉淀等处理过程中产生的浮油、浮渣和污泥”属于危险废物，危险废物代码为900-210-08，集中收集在危废</w:t>
            </w:r>
            <w:r>
              <w:rPr>
                <w:rFonts w:hint="eastAsia" w:ascii="Times New Roman" w:hAnsi="Times New Roman" w:cs="Times New Roman"/>
                <w:sz w:val="24"/>
                <w:lang w:val="en-US" w:eastAsia="zh-CN"/>
              </w:rPr>
              <w:t>贮存点</w:t>
            </w:r>
            <w:r>
              <w:rPr>
                <w:rFonts w:hint="eastAsia" w:ascii="Times New Roman" w:hAnsi="Times New Roman" w:cs="Times New Roman"/>
                <w:sz w:val="24"/>
                <w:lang w:eastAsia="zh-CN"/>
              </w:rPr>
              <w:t>暂存由委托资质单位进行清运处理。</w:t>
            </w:r>
          </w:p>
          <w:p w14:paraId="6EF7139F">
            <w:pPr>
              <w:widowControl/>
              <w:spacing w:line="360" w:lineRule="auto"/>
              <w:ind w:firstLine="482"/>
              <w:rPr>
                <w:rFonts w:hint="eastAsia"/>
                <w:b/>
                <w:sz w:val="21"/>
                <w:szCs w:val="21"/>
                <w:lang w:eastAsia="zh-CN"/>
              </w:rPr>
            </w:pPr>
            <w:r>
              <w:rPr>
                <w:rFonts w:hint="eastAsia"/>
                <w:sz w:val="24"/>
                <w:lang w:eastAsia="zh-CN"/>
              </w:rPr>
              <w:t>综上所述，项目营运期</w:t>
            </w:r>
            <w:r>
              <w:rPr>
                <w:sz w:val="24"/>
                <w:lang w:eastAsia="zh-CN"/>
              </w:rPr>
              <w:t>固废汇总</w:t>
            </w:r>
            <w:r>
              <w:rPr>
                <w:rFonts w:hint="eastAsia"/>
                <w:sz w:val="24"/>
                <w:lang w:eastAsia="zh-CN"/>
              </w:rPr>
              <w:t>情况</w:t>
            </w:r>
            <w:r>
              <w:rPr>
                <w:sz w:val="24"/>
                <w:lang w:eastAsia="zh-CN"/>
              </w:rPr>
              <w:t>见</w:t>
            </w:r>
            <w:r>
              <w:rPr>
                <w:rFonts w:hint="eastAsia"/>
                <w:sz w:val="24"/>
                <w:lang w:eastAsia="zh-CN"/>
              </w:rPr>
              <w:t>下</w:t>
            </w:r>
            <w:r>
              <w:rPr>
                <w:sz w:val="24"/>
                <w:lang w:eastAsia="zh-CN"/>
              </w:rPr>
              <w:t>表。</w:t>
            </w:r>
            <w:bookmarkStart w:id="17" w:name="_Hlk194419343"/>
          </w:p>
          <w:p w14:paraId="6973C3D1">
            <w:pPr>
              <w:jc w:val="center"/>
              <w:rPr>
                <w:rFonts w:ascii="Times New Roman" w:hAnsi="Times New Roman" w:cs="Times New Roman"/>
                <w:b/>
                <w:sz w:val="21"/>
                <w:szCs w:val="21"/>
                <w:lang w:eastAsia="zh-CN"/>
              </w:rPr>
            </w:pPr>
            <w:r>
              <w:rPr>
                <w:rFonts w:hint="eastAsia"/>
                <w:b/>
                <w:sz w:val="21"/>
                <w:szCs w:val="21"/>
                <w:lang w:eastAsia="zh-CN"/>
              </w:rPr>
              <w:t>表4-1</w:t>
            </w:r>
            <w:r>
              <w:rPr>
                <w:rFonts w:hint="eastAsia"/>
                <w:b/>
                <w:sz w:val="21"/>
                <w:szCs w:val="21"/>
                <w:lang w:val="en-US" w:eastAsia="zh-CN"/>
              </w:rPr>
              <w:t>6</w:t>
            </w:r>
            <w:r>
              <w:rPr>
                <w:rFonts w:hint="eastAsia"/>
                <w:b/>
                <w:sz w:val="21"/>
                <w:szCs w:val="21"/>
                <w:lang w:eastAsia="zh-CN"/>
              </w:rPr>
              <w:t xml:space="preserve"> 项目固体废物产生及处置情况</w:t>
            </w:r>
          </w:p>
          <w:tbl>
            <w:tblPr>
              <w:tblStyle w:val="2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394"/>
              <w:gridCol w:w="773"/>
              <w:gridCol w:w="1238"/>
              <w:gridCol w:w="2004"/>
              <w:gridCol w:w="1373"/>
              <w:gridCol w:w="2177"/>
            </w:tblGrid>
            <w:tr w14:paraId="39BD7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21" w:type="dxa"/>
                  <w:tcBorders>
                    <w:tl2br w:val="nil"/>
                    <w:tr2bl w:val="nil"/>
                  </w:tcBorders>
                  <w:vAlign w:val="center"/>
                </w:tcPr>
                <w:p w14:paraId="192C1443">
                  <w:pPr>
                    <w:adjustRightInd w:val="0"/>
                    <w:spacing w:line="300" w:lineRule="exact"/>
                    <w:jc w:val="center"/>
                    <w:rPr>
                      <w:rFonts w:hint="default" w:ascii="Times New Roman" w:hAnsi="Times New Roman" w:eastAsia="宋体" w:cs="Times New Roman"/>
                      <w:sz w:val="21"/>
                      <w:szCs w:val="21"/>
                    </w:rPr>
                  </w:pPr>
                  <w:bookmarkStart w:id="18" w:name="_Hlk187538840"/>
                  <w:r>
                    <w:rPr>
                      <w:rFonts w:hint="default" w:ascii="Times New Roman" w:hAnsi="Times New Roman" w:eastAsia="宋体" w:cs="Times New Roman"/>
                      <w:sz w:val="21"/>
                      <w:szCs w:val="21"/>
                    </w:rPr>
                    <w:t>序号</w:t>
                  </w:r>
                </w:p>
              </w:tc>
              <w:tc>
                <w:tcPr>
                  <w:tcW w:w="1320" w:type="dxa"/>
                  <w:tcBorders>
                    <w:tl2br w:val="nil"/>
                    <w:tr2bl w:val="nil"/>
                  </w:tcBorders>
                  <w:vAlign w:val="center"/>
                </w:tcPr>
                <w:p w14:paraId="4B121CB7">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732" w:type="dxa"/>
                  <w:tcBorders>
                    <w:tl2br w:val="nil"/>
                    <w:tr2bl w:val="nil"/>
                  </w:tcBorders>
                  <w:vAlign w:val="center"/>
                </w:tcPr>
                <w:p w14:paraId="10E4722C">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来源</w:t>
                  </w:r>
                </w:p>
              </w:tc>
              <w:tc>
                <w:tcPr>
                  <w:tcW w:w="1173" w:type="dxa"/>
                  <w:tcBorders>
                    <w:tl2br w:val="nil"/>
                    <w:tr2bl w:val="nil"/>
                  </w:tcBorders>
                  <w:vAlign w:val="center"/>
                </w:tcPr>
                <w:p w14:paraId="26FCC5B9">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属性</w:t>
                  </w:r>
                </w:p>
              </w:tc>
              <w:tc>
                <w:tcPr>
                  <w:tcW w:w="1898" w:type="dxa"/>
                  <w:tcBorders>
                    <w:tl2br w:val="nil"/>
                    <w:tr2bl w:val="nil"/>
                  </w:tcBorders>
                </w:tcPr>
                <w:p w14:paraId="4A3A057A">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废物代码</w:t>
                  </w:r>
                </w:p>
              </w:tc>
              <w:tc>
                <w:tcPr>
                  <w:tcW w:w="1300" w:type="dxa"/>
                  <w:tcBorders>
                    <w:tl2br w:val="nil"/>
                    <w:tr2bl w:val="nil"/>
                  </w:tcBorders>
                  <w:vAlign w:val="center"/>
                </w:tcPr>
                <w:p w14:paraId="2EF0E6CC">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产生量</w:t>
                  </w:r>
                </w:p>
              </w:tc>
              <w:tc>
                <w:tcPr>
                  <w:tcW w:w="2062" w:type="dxa"/>
                  <w:tcBorders>
                    <w:tl2br w:val="nil"/>
                    <w:tr2bl w:val="nil"/>
                  </w:tcBorders>
                  <w:vAlign w:val="center"/>
                </w:tcPr>
                <w:p w14:paraId="6AD2F2E7">
                  <w:pPr>
                    <w:adjustRightInd w:val="0"/>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处置措施</w:t>
                  </w:r>
                </w:p>
              </w:tc>
            </w:tr>
            <w:tr w14:paraId="46276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721" w:type="dxa"/>
                  <w:tcBorders>
                    <w:tl2br w:val="nil"/>
                    <w:tr2bl w:val="nil"/>
                  </w:tcBorders>
                  <w:vAlign w:val="center"/>
                </w:tcPr>
                <w:p w14:paraId="357551F2">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320" w:type="dxa"/>
                  <w:tcBorders>
                    <w:tl2br w:val="nil"/>
                    <w:tr2bl w:val="nil"/>
                  </w:tcBorders>
                  <w:vAlign w:val="center"/>
                </w:tcPr>
                <w:p w14:paraId="70D58249">
                  <w:pPr>
                    <w:spacing w:line="300" w:lineRule="exact"/>
                    <w:jc w:val="center"/>
                    <w:rPr>
                      <w:rFonts w:hint="default" w:ascii="Times New Roman" w:hAnsi="Times New Roman" w:eastAsia="宋体" w:cs="Times New Roman"/>
                      <w:kern w:val="1"/>
                      <w:sz w:val="21"/>
                      <w:szCs w:val="21"/>
                    </w:rPr>
                  </w:pPr>
                  <w:r>
                    <w:rPr>
                      <w:rFonts w:hint="default" w:ascii="Times New Roman" w:hAnsi="Times New Roman" w:eastAsia="宋体" w:cs="Times New Roman"/>
                      <w:sz w:val="21"/>
                      <w:szCs w:val="21"/>
                      <w:lang w:eastAsia="zh-CN"/>
                    </w:rPr>
                    <w:t>生活垃圾</w:t>
                  </w:r>
                </w:p>
              </w:tc>
              <w:tc>
                <w:tcPr>
                  <w:tcW w:w="732" w:type="dxa"/>
                  <w:tcBorders>
                    <w:tl2br w:val="nil"/>
                    <w:tr2bl w:val="nil"/>
                  </w:tcBorders>
                  <w:vAlign w:val="center"/>
                </w:tcPr>
                <w:p w14:paraId="49F40E66">
                  <w:pPr>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员工</w:t>
                  </w:r>
                </w:p>
              </w:tc>
              <w:tc>
                <w:tcPr>
                  <w:tcW w:w="1173" w:type="dxa"/>
                  <w:tcBorders>
                    <w:tl2br w:val="nil"/>
                    <w:tr2bl w:val="nil"/>
                  </w:tcBorders>
                  <w:vAlign w:val="center"/>
                </w:tcPr>
                <w:p w14:paraId="32D93DD7">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生活垃圾</w:t>
                  </w:r>
                </w:p>
              </w:tc>
              <w:tc>
                <w:tcPr>
                  <w:tcW w:w="1898" w:type="dxa"/>
                  <w:tcBorders>
                    <w:tl2br w:val="nil"/>
                    <w:tr2bl w:val="nil"/>
                  </w:tcBorders>
                  <w:vAlign w:val="center"/>
                </w:tcPr>
                <w:p w14:paraId="53263254">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900-099-S64</w:t>
                  </w:r>
                </w:p>
              </w:tc>
              <w:tc>
                <w:tcPr>
                  <w:tcW w:w="1300" w:type="dxa"/>
                  <w:tcBorders>
                    <w:tl2br w:val="nil"/>
                    <w:tr2bl w:val="nil"/>
                  </w:tcBorders>
                  <w:vAlign w:val="center"/>
                </w:tcPr>
                <w:p w14:paraId="7B659674">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rPr>
                    <w:t>t/a</w:t>
                  </w:r>
                </w:p>
              </w:tc>
              <w:tc>
                <w:tcPr>
                  <w:tcW w:w="2062" w:type="dxa"/>
                  <w:tcBorders>
                    <w:tl2br w:val="nil"/>
                    <w:tr2bl w:val="nil"/>
                  </w:tcBorders>
                  <w:vAlign w:val="center"/>
                </w:tcPr>
                <w:p w14:paraId="0349ED76">
                  <w:pPr>
                    <w:adjustRightInd w:val="0"/>
                    <w:snapToGrid w:val="0"/>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kern w:val="1"/>
                      <w:sz w:val="21"/>
                      <w:szCs w:val="21"/>
                      <w:highlight w:val="none"/>
                      <w:lang w:eastAsia="zh-CN"/>
                    </w:rPr>
                    <w:t>交由</w:t>
                  </w:r>
                  <w:r>
                    <w:rPr>
                      <w:rFonts w:hint="eastAsia" w:ascii="Times New Roman" w:hAnsi="Times New Roman" w:cs="Times New Roman"/>
                      <w:kern w:val="1"/>
                      <w:sz w:val="21"/>
                      <w:szCs w:val="21"/>
                      <w:highlight w:val="none"/>
                      <w:lang w:val="en-US" w:eastAsia="zh-CN"/>
                    </w:rPr>
                    <w:t>园区</w:t>
                  </w:r>
                  <w:r>
                    <w:rPr>
                      <w:rFonts w:hint="default" w:ascii="Times New Roman" w:hAnsi="Times New Roman" w:eastAsia="宋体" w:cs="Times New Roman"/>
                      <w:kern w:val="1"/>
                      <w:sz w:val="21"/>
                      <w:szCs w:val="21"/>
                      <w:highlight w:val="none"/>
                      <w:lang w:eastAsia="zh-CN"/>
                    </w:rPr>
                    <w:t>环卫部门统一回收处置</w:t>
                  </w:r>
                </w:p>
              </w:tc>
            </w:tr>
            <w:tr w14:paraId="3E781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721" w:type="dxa"/>
                  <w:tcBorders>
                    <w:tl2br w:val="nil"/>
                    <w:tr2bl w:val="nil"/>
                  </w:tcBorders>
                  <w:vAlign w:val="center"/>
                </w:tcPr>
                <w:p w14:paraId="6736DDF0">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2</w:t>
                  </w:r>
                </w:p>
              </w:tc>
              <w:tc>
                <w:tcPr>
                  <w:tcW w:w="1320" w:type="dxa"/>
                  <w:tcBorders>
                    <w:tl2br w:val="nil"/>
                    <w:tr2bl w:val="nil"/>
                  </w:tcBorders>
                  <w:vAlign w:val="center"/>
                </w:tcPr>
                <w:p w14:paraId="0A2FC721">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废丝</w:t>
                  </w:r>
                </w:p>
              </w:tc>
              <w:tc>
                <w:tcPr>
                  <w:tcW w:w="732" w:type="dxa"/>
                  <w:tcBorders>
                    <w:tl2br w:val="nil"/>
                    <w:tr2bl w:val="nil"/>
                  </w:tcBorders>
                  <w:vAlign w:val="center"/>
                </w:tcPr>
                <w:p w14:paraId="768ACBE5">
                  <w:pPr>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加工</w:t>
                  </w:r>
                </w:p>
              </w:tc>
              <w:tc>
                <w:tcPr>
                  <w:tcW w:w="1173" w:type="dxa"/>
                  <w:tcBorders>
                    <w:tl2br w:val="nil"/>
                    <w:tr2bl w:val="nil"/>
                  </w:tcBorders>
                  <w:vAlign w:val="center"/>
                </w:tcPr>
                <w:p w14:paraId="4F455DB1">
                  <w:pPr>
                    <w:adjustRightInd w:val="0"/>
                    <w:spacing w:line="300" w:lineRule="exact"/>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一般固废</w:t>
                  </w:r>
                </w:p>
              </w:tc>
              <w:tc>
                <w:tcPr>
                  <w:tcW w:w="1898" w:type="dxa"/>
                  <w:tcBorders>
                    <w:tl2br w:val="nil"/>
                    <w:tr2bl w:val="nil"/>
                  </w:tcBorders>
                  <w:vAlign w:val="center"/>
                </w:tcPr>
                <w:p w14:paraId="0B211172">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181-001-S14</w:t>
                  </w:r>
                </w:p>
              </w:tc>
              <w:tc>
                <w:tcPr>
                  <w:tcW w:w="1300" w:type="dxa"/>
                  <w:tcBorders>
                    <w:tl2br w:val="nil"/>
                    <w:tr2bl w:val="nil"/>
                  </w:tcBorders>
                  <w:vAlign w:val="center"/>
                </w:tcPr>
                <w:p w14:paraId="55C1BF4E">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rPr>
                    <w:t>t/a</w:t>
                  </w:r>
                </w:p>
              </w:tc>
              <w:tc>
                <w:tcPr>
                  <w:tcW w:w="2062" w:type="dxa"/>
                  <w:vMerge w:val="restart"/>
                  <w:tcBorders>
                    <w:tl2br w:val="nil"/>
                    <w:tr2bl w:val="nil"/>
                  </w:tcBorders>
                  <w:vAlign w:val="center"/>
                </w:tcPr>
                <w:p w14:paraId="19B6E081">
                  <w:pPr>
                    <w:spacing w:line="300" w:lineRule="exact"/>
                    <w:jc w:val="center"/>
                    <w:rPr>
                      <w:rFonts w:hint="default" w:ascii="Times New Roman" w:hAnsi="Times New Roman" w:eastAsia="宋体" w:cs="Times New Roman"/>
                      <w:kern w:val="1"/>
                      <w:sz w:val="21"/>
                      <w:szCs w:val="21"/>
                      <w:highlight w:val="none"/>
                      <w:lang w:val="en-US"/>
                    </w:rPr>
                  </w:pPr>
                  <w:r>
                    <w:rPr>
                      <w:rFonts w:hint="eastAsia" w:ascii="Times New Roman" w:hAnsi="Times New Roman" w:cs="Times New Roman"/>
                      <w:kern w:val="1"/>
                      <w:sz w:val="21"/>
                      <w:szCs w:val="21"/>
                      <w:highlight w:val="none"/>
                      <w:lang w:val="en-US" w:eastAsia="zh-CN"/>
                    </w:rPr>
                    <w:t>统一收集定期外售</w:t>
                  </w:r>
                </w:p>
              </w:tc>
            </w:tr>
            <w:tr w14:paraId="720A21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1" w:type="dxa"/>
                  <w:tcBorders>
                    <w:tl2br w:val="nil"/>
                    <w:tr2bl w:val="nil"/>
                  </w:tcBorders>
                  <w:vAlign w:val="center"/>
                </w:tcPr>
                <w:p w14:paraId="7146CC93">
                  <w:pPr>
                    <w:adjustRightInd w:val="0"/>
                    <w:spacing w:line="300" w:lineRule="exact"/>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3</w:t>
                  </w:r>
                </w:p>
              </w:tc>
              <w:tc>
                <w:tcPr>
                  <w:tcW w:w="1320" w:type="dxa"/>
                  <w:tcBorders>
                    <w:tl2br w:val="nil"/>
                    <w:tr2bl w:val="nil"/>
                  </w:tcBorders>
                  <w:vAlign w:val="center"/>
                </w:tcPr>
                <w:p w14:paraId="44231B96">
                  <w:pPr>
                    <w:spacing w:line="300" w:lineRule="exact"/>
                    <w:jc w:val="center"/>
                    <w:rPr>
                      <w:rFonts w:hint="default" w:ascii="Times New Roman" w:hAnsi="Times New Roman" w:eastAsia="宋体" w:cs="Times New Roman"/>
                      <w:kern w:val="1"/>
                      <w:sz w:val="21"/>
                      <w:szCs w:val="21"/>
                      <w:lang w:val="en-US"/>
                    </w:rPr>
                  </w:pPr>
                  <w:r>
                    <w:rPr>
                      <w:rFonts w:hint="eastAsia" w:ascii="Times New Roman" w:hAnsi="Times New Roman" w:cs="Times New Roman"/>
                      <w:sz w:val="21"/>
                      <w:szCs w:val="21"/>
                      <w:lang w:val="en-US" w:eastAsia="zh-CN"/>
                    </w:rPr>
                    <w:t>不合格产品</w:t>
                  </w:r>
                </w:p>
              </w:tc>
              <w:tc>
                <w:tcPr>
                  <w:tcW w:w="732" w:type="dxa"/>
                  <w:tcBorders>
                    <w:tl2br w:val="nil"/>
                    <w:tr2bl w:val="nil"/>
                  </w:tcBorders>
                  <w:vAlign w:val="center"/>
                </w:tcPr>
                <w:p w14:paraId="11E630D2">
                  <w:pPr>
                    <w:spacing w:line="300" w:lineRule="exact"/>
                    <w:jc w:val="center"/>
                    <w:rPr>
                      <w:rFonts w:hint="default" w:ascii="Times New Roman" w:hAnsi="Times New Roman" w:eastAsia="宋体" w:cs="Times New Roman"/>
                      <w:kern w:val="1"/>
                      <w:sz w:val="21"/>
                      <w:szCs w:val="21"/>
                    </w:rPr>
                  </w:pPr>
                  <w:r>
                    <w:rPr>
                      <w:rFonts w:hint="default" w:ascii="Times New Roman" w:hAnsi="Times New Roman" w:eastAsia="宋体" w:cs="Times New Roman"/>
                      <w:sz w:val="21"/>
                      <w:szCs w:val="21"/>
                    </w:rPr>
                    <w:t>加工</w:t>
                  </w:r>
                </w:p>
              </w:tc>
              <w:tc>
                <w:tcPr>
                  <w:tcW w:w="1173" w:type="dxa"/>
                  <w:tcBorders>
                    <w:tl2br w:val="nil"/>
                    <w:tr2bl w:val="nil"/>
                  </w:tcBorders>
                  <w:vAlign w:val="center"/>
                </w:tcPr>
                <w:p w14:paraId="46EBAE46">
                  <w:pPr>
                    <w:adjustRightInd w:val="0"/>
                    <w:spacing w:line="300" w:lineRule="exact"/>
                    <w:jc w:val="center"/>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一般固废</w:t>
                  </w:r>
                </w:p>
              </w:tc>
              <w:tc>
                <w:tcPr>
                  <w:tcW w:w="1898" w:type="dxa"/>
                  <w:tcBorders>
                    <w:tl2br w:val="nil"/>
                    <w:tr2bl w:val="nil"/>
                  </w:tcBorders>
                  <w:vAlign w:val="center"/>
                </w:tcPr>
                <w:p w14:paraId="5A897FEE">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900-007-S17</w:t>
                  </w:r>
                </w:p>
              </w:tc>
              <w:tc>
                <w:tcPr>
                  <w:tcW w:w="1300" w:type="dxa"/>
                  <w:tcBorders>
                    <w:tl2br w:val="nil"/>
                    <w:tr2bl w:val="nil"/>
                  </w:tcBorders>
                  <w:vAlign w:val="center"/>
                </w:tcPr>
                <w:p w14:paraId="67FDB8C2">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rPr>
                    <w:t>t/a</w:t>
                  </w:r>
                </w:p>
              </w:tc>
              <w:tc>
                <w:tcPr>
                  <w:tcW w:w="2062" w:type="dxa"/>
                  <w:vMerge w:val="continue"/>
                  <w:tcBorders>
                    <w:tl2br w:val="nil"/>
                    <w:tr2bl w:val="nil"/>
                  </w:tcBorders>
                  <w:vAlign w:val="center"/>
                </w:tcPr>
                <w:p w14:paraId="0BA5C884">
                  <w:pPr>
                    <w:spacing w:line="300" w:lineRule="exact"/>
                    <w:jc w:val="center"/>
                    <w:rPr>
                      <w:rFonts w:hint="default" w:ascii="Times New Roman" w:hAnsi="Times New Roman" w:eastAsia="宋体" w:cs="Times New Roman"/>
                      <w:kern w:val="1"/>
                      <w:sz w:val="21"/>
                      <w:szCs w:val="21"/>
                      <w:highlight w:val="none"/>
                      <w:lang w:val="en-US"/>
                    </w:rPr>
                  </w:pPr>
                </w:p>
              </w:tc>
            </w:tr>
            <w:tr w14:paraId="39C3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1" w:type="dxa"/>
                  <w:tcBorders>
                    <w:tl2br w:val="nil"/>
                    <w:tr2bl w:val="nil"/>
                  </w:tcBorders>
                  <w:vAlign w:val="center"/>
                </w:tcPr>
                <w:p w14:paraId="40A34238">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1320" w:type="dxa"/>
                  <w:tcBorders>
                    <w:tl2br w:val="nil"/>
                    <w:tr2bl w:val="nil"/>
                  </w:tcBorders>
                  <w:vAlign w:val="center"/>
                </w:tcPr>
                <w:p w14:paraId="523025D3">
                  <w:pPr>
                    <w:spacing w:line="300" w:lineRule="exact"/>
                    <w:jc w:val="center"/>
                    <w:rPr>
                      <w:rFonts w:hint="default" w:ascii="Times New Roman" w:hAnsi="Times New Roman" w:eastAsia="宋体" w:cs="Times New Roman"/>
                      <w:kern w:val="1"/>
                      <w:sz w:val="21"/>
                      <w:szCs w:val="21"/>
                      <w:lang w:val="en-US" w:eastAsia="zh-CN"/>
                    </w:rPr>
                  </w:pPr>
                  <w:r>
                    <w:rPr>
                      <w:rFonts w:hint="default" w:ascii="Times New Roman" w:hAnsi="Times New Roman" w:eastAsia="宋体" w:cs="Times New Roman"/>
                      <w:kern w:val="1"/>
                      <w:sz w:val="21"/>
                      <w:szCs w:val="21"/>
                      <w:lang w:eastAsia="zh-CN"/>
                    </w:rPr>
                    <w:t>废</w:t>
                  </w:r>
                  <w:r>
                    <w:rPr>
                      <w:rFonts w:hint="eastAsia" w:ascii="Times New Roman" w:hAnsi="Times New Roman" w:cs="Times New Roman"/>
                      <w:kern w:val="1"/>
                      <w:sz w:val="21"/>
                      <w:szCs w:val="21"/>
                      <w:lang w:val="en-US" w:eastAsia="zh-CN"/>
                    </w:rPr>
                    <w:t>机</w:t>
                  </w:r>
                  <w:r>
                    <w:rPr>
                      <w:rFonts w:hint="default" w:ascii="Times New Roman" w:hAnsi="Times New Roman" w:eastAsia="宋体" w:cs="Times New Roman"/>
                      <w:kern w:val="1"/>
                      <w:sz w:val="21"/>
                      <w:szCs w:val="21"/>
                      <w:lang w:val="en-US" w:eastAsia="zh-CN"/>
                    </w:rPr>
                    <w:t>油</w:t>
                  </w:r>
                </w:p>
              </w:tc>
              <w:tc>
                <w:tcPr>
                  <w:tcW w:w="732" w:type="dxa"/>
                  <w:tcBorders>
                    <w:tl2br w:val="nil"/>
                    <w:tr2bl w:val="nil"/>
                  </w:tcBorders>
                  <w:vAlign w:val="center"/>
                </w:tcPr>
                <w:p w14:paraId="1C27F46F">
                  <w:pPr>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加工</w:t>
                  </w:r>
                </w:p>
              </w:tc>
              <w:tc>
                <w:tcPr>
                  <w:tcW w:w="1173" w:type="dxa"/>
                  <w:tcBorders>
                    <w:tl2br w:val="nil"/>
                    <w:tr2bl w:val="nil"/>
                  </w:tcBorders>
                  <w:vAlign w:val="center"/>
                </w:tcPr>
                <w:p w14:paraId="43D90590">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危险废物</w:t>
                  </w:r>
                </w:p>
              </w:tc>
              <w:tc>
                <w:tcPr>
                  <w:tcW w:w="1898" w:type="dxa"/>
                  <w:tcBorders>
                    <w:tl2br w:val="nil"/>
                    <w:tr2bl w:val="nil"/>
                  </w:tcBorders>
                </w:tcPr>
                <w:p w14:paraId="77B74AD6">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900-214-08</w:t>
                  </w:r>
                </w:p>
              </w:tc>
              <w:tc>
                <w:tcPr>
                  <w:tcW w:w="1300" w:type="dxa"/>
                  <w:tcBorders>
                    <w:tl2br w:val="nil"/>
                    <w:tr2bl w:val="nil"/>
                  </w:tcBorders>
                  <w:vAlign w:val="center"/>
                </w:tcPr>
                <w:p w14:paraId="4DBEF8AA">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rPr>
                    <w:t>t/a</w:t>
                  </w:r>
                </w:p>
              </w:tc>
              <w:tc>
                <w:tcPr>
                  <w:tcW w:w="2062" w:type="dxa"/>
                  <w:vMerge w:val="restart"/>
                  <w:tcBorders>
                    <w:tl2br w:val="nil"/>
                    <w:tr2bl w:val="nil"/>
                  </w:tcBorders>
                  <w:vAlign w:val="center"/>
                </w:tcPr>
                <w:p w14:paraId="32567497">
                  <w:pPr>
                    <w:spacing w:line="300" w:lineRule="exact"/>
                    <w:jc w:val="center"/>
                    <w:rPr>
                      <w:rFonts w:hint="default" w:ascii="Times New Roman" w:hAnsi="Times New Roman" w:eastAsia="宋体" w:cs="Times New Roman"/>
                      <w:kern w:val="1"/>
                      <w:sz w:val="21"/>
                      <w:szCs w:val="21"/>
                      <w:highlight w:val="none"/>
                      <w:lang w:eastAsia="zh-CN"/>
                    </w:rPr>
                  </w:pPr>
                  <w:r>
                    <w:rPr>
                      <w:rFonts w:hint="default" w:ascii="Times New Roman" w:hAnsi="Times New Roman" w:eastAsia="宋体" w:cs="Times New Roman"/>
                      <w:sz w:val="21"/>
                      <w:szCs w:val="21"/>
                      <w:highlight w:val="none"/>
                      <w:lang w:eastAsia="zh-CN"/>
                    </w:rPr>
                    <w:t>暂存</w:t>
                  </w:r>
                  <w:r>
                    <w:rPr>
                      <w:rFonts w:hint="eastAsia" w:ascii="Times New Roman" w:hAnsi="Times New Roman" w:cs="Times New Roman"/>
                      <w:sz w:val="21"/>
                      <w:szCs w:val="21"/>
                      <w:highlight w:val="none"/>
                      <w:lang w:val="en-US" w:eastAsia="zh-CN"/>
                    </w:rPr>
                    <w:t>贮存点</w:t>
                  </w:r>
                  <w:r>
                    <w:rPr>
                      <w:rFonts w:hint="default" w:ascii="Times New Roman" w:hAnsi="Times New Roman" w:eastAsia="宋体" w:cs="Times New Roman"/>
                      <w:sz w:val="21"/>
                      <w:szCs w:val="21"/>
                      <w:highlight w:val="none"/>
                      <w:lang w:eastAsia="zh-CN"/>
                    </w:rPr>
                    <w:t>交由有资质单位处理</w:t>
                  </w:r>
                </w:p>
              </w:tc>
            </w:tr>
            <w:tr w14:paraId="16D96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1" w:type="dxa"/>
                  <w:tcBorders>
                    <w:tl2br w:val="nil"/>
                    <w:tr2bl w:val="nil"/>
                  </w:tcBorders>
                  <w:vAlign w:val="center"/>
                </w:tcPr>
                <w:p w14:paraId="118A7D2F">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w:t>
                  </w:r>
                </w:p>
              </w:tc>
              <w:tc>
                <w:tcPr>
                  <w:tcW w:w="1320" w:type="dxa"/>
                  <w:tcBorders>
                    <w:tl2br w:val="nil"/>
                    <w:tr2bl w:val="nil"/>
                  </w:tcBorders>
                  <w:vAlign w:val="center"/>
                </w:tcPr>
                <w:p w14:paraId="45BEC43C">
                  <w:pPr>
                    <w:spacing w:line="300" w:lineRule="exact"/>
                    <w:jc w:val="center"/>
                    <w:rPr>
                      <w:rFonts w:hint="default" w:ascii="Times New Roman" w:hAnsi="Times New Roman" w:eastAsia="宋体" w:cs="Times New Roman"/>
                      <w:kern w:val="1"/>
                      <w:sz w:val="21"/>
                      <w:szCs w:val="21"/>
                      <w:lang w:eastAsia="zh-CN"/>
                    </w:rPr>
                  </w:pPr>
                  <w:r>
                    <w:rPr>
                      <w:rFonts w:hint="default" w:ascii="Times New Roman" w:hAnsi="Times New Roman" w:eastAsia="宋体" w:cs="Times New Roman"/>
                      <w:kern w:val="1"/>
                      <w:sz w:val="21"/>
                      <w:szCs w:val="21"/>
                      <w:lang w:eastAsia="zh-CN"/>
                    </w:rPr>
                    <w:t>废</w:t>
                  </w:r>
                  <w:r>
                    <w:rPr>
                      <w:rFonts w:hint="eastAsia" w:ascii="Times New Roman" w:hAnsi="Times New Roman" w:cs="Times New Roman"/>
                      <w:kern w:val="1"/>
                      <w:sz w:val="21"/>
                      <w:szCs w:val="21"/>
                      <w:lang w:val="en-US" w:eastAsia="zh-CN"/>
                    </w:rPr>
                    <w:t>机</w:t>
                  </w:r>
                  <w:r>
                    <w:rPr>
                      <w:rFonts w:hint="default" w:ascii="Times New Roman" w:hAnsi="Times New Roman" w:eastAsia="宋体" w:cs="Times New Roman"/>
                      <w:kern w:val="1"/>
                      <w:sz w:val="21"/>
                      <w:szCs w:val="21"/>
                      <w:lang w:val="en-US" w:eastAsia="zh-CN"/>
                    </w:rPr>
                    <w:t>油</w:t>
                  </w:r>
                  <w:r>
                    <w:rPr>
                      <w:rFonts w:hint="default" w:ascii="Times New Roman" w:hAnsi="Times New Roman" w:eastAsia="宋体" w:cs="Times New Roman"/>
                      <w:kern w:val="1"/>
                      <w:sz w:val="21"/>
                      <w:szCs w:val="21"/>
                      <w:lang w:eastAsia="zh-CN"/>
                    </w:rPr>
                    <w:t>桶</w:t>
                  </w:r>
                </w:p>
              </w:tc>
              <w:tc>
                <w:tcPr>
                  <w:tcW w:w="732" w:type="dxa"/>
                  <w:tcBorders>
                    <w:tl2br w:val="nil"/>
                    <w:tr2bl w:val="nil"/>
                  </w:tcBorders>
                  <w:vAlign w:val="center"/>
                </w:tcPr>
                <w:p w14:paraId="5E068693">
                  <w:pPr>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加工</w:t>
                  </w:r>
                </w:p>
              </w:tc>
              <w:tc>
                <w:tcPr>
                  <w:tcW w:w="1173" w:type="dxa"/>
                  <w:tcBorders>
                    <w:tl2br w:val="nil"/>
                    <w:tr2bl w:val="nil"/>
                  </w:tcBorders>
                  <w:vAlign w:val="center"/>
                </w:tcPr>
                <w:p w14:paraId="5B1DE922">
                  <w:pPr>
                    <w:adjustRightInd w:val="0"/>
                    <w:spacing w:line="3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危险废物</w:t>
                  </w:r>
                </w:p>
              </w:tc>
              <w:tc>
                <w:tcPr>
                  <w:tcW w:w="1898" w:type="dxa"/>
                  <w:tcBorders>
                    <w:tl2br w:val="nil"/>
                    <w:tr2bl w:val="nil"/>
                  </w:tcBorders>
                  <w:vAlign w:val="top"/>
                </w:tcPr>
                <w:p w14:paraId="36124FC6">
                  <w:pPr>
                    <w:spacing w:line="300" w:lineRule="exact"/>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900-249-08</w:t>
                  </w:r>
                </w:p>
              </w:tc>
              <w:tc>
                <w:tcPr>
                  <w:tcW w:w="1300" w:type="dxa"/>
                  <w:tcBorders>
                    <w:tl2br w:val="nil"/>
                    <w:tr2bl w:val="nil"/>
                  </w:tcBorders>
                  <w:vAlign w:val="center"/>
                </w:tcPr>
                <w:p w14:paraId="22ABC27C">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kern w:val="1"/>
                      <w:sz w:val="21"/>
                      <w:szCs w:val="21"/>
                      <w:lang w:val="en-US" w:eastAsia="zh-CN"/>
                    </w:rPr>
                    <w:t>***</w:t>
                  </w:r>
                  <w:r>
                    <w:rPr>
                      <w:rFonts w:hint="default" w:ascii="Times New Roman" w:hAnsi="Times New Roman" w:eastAsia="宋体" w:cs="Times New Roman"/>
                      <w:kern w:val="1"/>
                      <w:sz w:val="21"/>
                      <w:szCs w:val="21"/>
                      <w:lang w:eastAsia="zh-CN"/>
                    </w:rPr>
                    <w:t>个</w:t>
                  </w:r>
                  <w:r>
                    <w:rPr>
                      <w:rFonts w:hint="default" w:ascii="Times New Roman" w:hAnsi="Times New Roman" w:eastAsia="宋体" w:cs="Times New Roman"/>
                      <w:sz w:val="21"/>
                      <w:szCs w:val="21"/>
                      <w:lang w:eastAsia="zh-CN"/>
                    </w:rPr>
                    <w:t>/a</w:t>
                  </w:r>
                </w:p>
              </w:tc>
              <w:tc>
                <w:tcPr>
                  <w:tcW w:w="2062" w:type="dxa"/>
                  <w:vMerge w:val="continue"/>
                  <w:tcBorders>
                    <w:tl2br w:val="nil"/>
                    <w:tr2bl w:val="nil"/>
                  </w:tcBorders>
                  <w:vAlign w:val="center"/>
                </w:tcPr>
                <w:p w14:paraId="07248FBC">
                  <w:pPr>
                    <w:spacing w:line="300" w:lineRule="exact"/>
                    <w:jc w:val="center"/>
                    <w:rPr>
                      <w:rFonts w:hint="default" w:ascii="Times New Roman" w:hAnsi="Times New Roman" w:eastAsia="宋体" w:cs="Times New Roman"/>
                      <w:sz w:val="21"/>
                      <w:szCs w:val="21"/>
                      <w:lang w:eastAsia="zh-CN"/>
                    </w:rPr>
                  </w:pPr>
                </w:p>
              </w:tc>
            </w:tr>
            <w:tr w14:paraId="49588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21" w:type="dxa"/>
                  <w:tcBorders>
                    <w:tl2br w:val="nil"/>
                    <w:tr2bl w:val="nil"/>
                  </w:tcBorders>
                  <w:vAlign w:val="center"/>
                </w:tcPr>
                <w:p w14:paraId="12417C89">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w:t>
                  </w:r>
                </w:p>
              </w:tc>
              <w:tc>
                <w:tcPr>
                  <w:tcW w:w="1320" w:type="dxa"/>
                  <w:tcBorders>
                    <w:tl2br w:val="nil"/>
                    <w:tr2bl w:val="nil"/>
                  </w:tcBorders>
                  <w:vAlign w:val="center"/>
                </w:tcPr>
                <w:p w14:paraId="02D4ACE1">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污水处理站污泥</w:t>
                  </w:r>
                </w:p>
              </w:tc>
              <w:tc>
                <w:tcPr>
                  <w:tcW w:w="732" w:type="dxa"/>
                  <w:tcBorders>
                    <w:tl2br w:val="nil"/>
                    <w:tr2bl w:val="nil"/>
                  </w:tcBorders>
                  <w:vAlign w:val="center"/>
                </w:tcPr>
                <w:p w14:paraId="53055DE6">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污水处理</w:t>
                  </w:r>
                </w:p>
              </w:tc>
              <w:tc>
                <w:tcPr>
                  <w:tcW w:w="1173" w:type="dxa"/>
                  <w:tcBorders>
                    <w:tl2br w:val="nil"/>
                    <w:tr2bl w:val="nil"/>
                  </w:tcBorders>
                  <w:vAlign w:val="center"/>
                </w:tcPr>
                <w:p w14:paraId="00501CEC">
                  <w:pPr>
                    <w:adjustRightInd w:val="0"/>
                    <w:spacing w:line="300" w:lineRule="exact"/>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危险废物</w:t>
                  </w:r>
                </w:p>
              </w:tc>
              <w:tc>
                <w:tcPr>
                  <w:tcW w:w="1898" w:type="dxa"/>
                  <w:tcBorders>
                    <w:tl2br w:val="nil"/>
                    <w:tr2bl w:val="nil"/>
                  </w:tcBorders>
                  <w:vAlign w:val="center"/>
                </w:tcPr>
                <w:p w14:paraId="360A3463">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900-210-08</w:t>
                  </w:r>
                </w:p>
              </w:tc>
              <w:tc>
                <w:tcPr>
                  <w:tcW w:w="1300" w:type="dxa"/>
                  <w:tcBorders>
                    <w:tl2br w:val="nil"/>
                    <w:tr2bl w:val="nil"/>
                  </w:tcBorders>
                  <w:vAlign w:val="center"/>
                </w:tcPr>
                <w:p w14:paraId="2EF36CF4">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rPr>
                    <w:t>t/a</w:t>
                  </w:r>
                </w:p>
              </w:tc>
              <w:tc>
                <w:tcPr>
                  <w:tcW w:w="2062" w:type="dxa"/>
                  <w:tcBorders>
                    <w:tl2br w:val="nil"/>
                    <w:tr2bl w:val="nil"/>
                  </w:tcBorders>
                  <w:vAlign w:val="center"/>
                </w:tcPr>
                <w:p w14:paraId="44B91906">
                  <w:pPr>
                    <w:adjustRightInd w:val="0"/>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集中收集在危废贮存点</w:t>
                  </w:r>
                  <w:r>
                    <w:rPr>
                      <w:rFonts w:hint="default" w:ascii="Times New Roman" w:hAnsi="Times New Roman" w:eastAsia="宋体" w:cs="Times New Roman"/>
                      <w:sz w:val="21"/>
                      <w:szCs w:val="21"/>
                      <w:lang w:eastAsia="zh-CN"/>
                    </w:rPr>
                    <w:t>交由有资质单位</w:t>
                  </w:r>
                  <w:r>
                    <w:rPr>
                      <w:rFonts w:hint="eastAsia" w:ascii="Times New Roman" w:hAnsi="Times New Roman" w:eastAsia="宋体" w:cs="Times New Roman"/>
                      <w:sz w:val="21"/>
                      <w:szCs w:val="21"/>
                      <w:lang w:val="en-US" w:eastAsia="zh-CN"/>
                    </w:rPr>
                    <w:t>清运处置</w:t>
                  </w:r>
                </w:p>
              </w:tc>
            </w:tr>
            <w:bookmarkEnd w:id="18"/>
          </w:tbl>
          <w:p w14:paraId="2C216054">
            <w:pPr>
              <w:adjustRightInd w:val="0"/>
              <w:snapToGrid w:val="0"/>
              <w:spacing w:before="120" w:beforeLines="50" w:line="360" w:lineRule="auto"/>
              <w:rPr>
                <w:rFonts w:ascii="Times New Roman" w:hAnsi="Times New Roman" w:cs="Times New Roman"/>
                <w:sz w:val="24"/>
                <w:szCs w:val="24"/>
                <w:highlight w:val="none"/>
                <w:lang w:eastAsia="zh-CN"/>
              </w:rPr>
            </w:pPr>
            <w:r>
              <w:rPr>
                <w:rFonts w:hint="eastAsia" w:cs="Times New Roman"/>
                <w:b/>
                <w:bCs/>
                <w:sz w:val="24"/>
                <w:szCs w:val="24"/>
                <w:highlight w:val="none"/>
                <w:lang w:eastAsia="zh-CN"/>
              </w:rPr>
              <w:t>4.1一般固废影响分析</w:t>
            </w:r>
          </w:p>
          <w:bookmarkEnd w:id="17"/>
          <w:p w14:paraId="1779498A">
            <w:pPr>
              <w:spacing w:line="360" w:lineRule="auto"/>
              <w:ind w:firstLine="480" w:firstLineChars="200"/>
              <w:rPr>
                <w:rFonts w:hint="eastAsia" w:ascii="Times New Roman" w:hAnsi="Times New Roman" w:eastAsia="宋体" w:cs="Times New Roman"/>
                <w:sz w:val="24"/>
                <w:szCs w:val="24"/>
                <w:highlight w:val="none"/>
                <w:lang w:eastAsia="zh-CN"/>
              </w:rPr>
            </w:pPr>
            <w:r>
              <w:rPr>
                <w:rFonts w:hint="eastAsia" w:ascii="Times New Roman" w:hAnsi="Times New Roman" w:cs="Times New Roman"/>
                <w:sz w:val="24"/>
                <w:szCs w:val="24"/>
                <w:highlight w:val="none"/>
                <w:lang w:val="en-US" w:eastAsia="zh-CN"/>
              </w:rPr>
              <w:t>本项目废丝集中收集定期外售；不合格产品统一收集定期外售；</w:t>
            </w:r>
            <w:r>
              <w:rPr>
                <w:snapToGrid w:val="0"/>
                <w:kern w:val="21"/>
                <w:sz w:val="24"/>
                <w:highlight w:val="none"/>
                <w:lang w:eastAsia="zh-CN"/>
              </w:rPr>
              <w:t>生活垃圾</w:t>
            </w:r>
            <w:r>
              <w:rPr>
                <w:rFonts w:hint="eastAsia"/>
                <w:snapToGrid w:val="0"/>
                <w:kern w:val="21"/>
                <w:sz w:val="24"/>
                <w:highlight w:val="none"/>
                <w:lang w:eastAsia="zh-CN"/>
              </w:rPr>
              <w:t>交由环卫部门统一</w:t>
            </w:r>
            <w:r>
              <w:rPr>
                <w:rFonts w:hint="eastAsia" w:ascii="Times New Roman" w:hAnsi="Times New Roman" w:eastAsia="宋体" w:cs="Times New Roman"/>
                <w:sz w:val="24"/>
                <w:szCs w:val="24"/>
                <w:highlight w:val="none"/>
                <w:lang w:eastAsia="zh-CN"/>
              </w:rPr>
              <w:t>处理</w:t>
            </w:r>
            <w:r>
              <w:rPr>
                <w:rFonts w:hint="eastAsia" w:ascii="Times New Roman" w:hAnsi="Times New Roman" w:cs="Times New Roman"/>
                <w:sz w:val="24"/>
                <w:szCs w:val="24"/>
                <w:highlight w:val="none"/>
                <w:lang w:eastAsia="zh-CN"/>
              </w:rPr>
              <w:t>。</w:t>
            </w:r>
          </w:p>
          <w:p w14:paraId="0240365D">
            <w:pPr>
              <w:spacing w:line="360" w:lineRule="auto"/>
              <w:ind w:firstLine="480" w:firstLineChars="200"/>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一般固废暂存区位于</w:t>
            </w:r>
            <w:r>
              <w:rPr>
                <w:rFonts w:hint="eastAsia" w:ascii="Times New Roman" w:hAnsi="Times New Roman" w:cs="Times New Roman"/>
                <w:sz w:val="24"/>
                <w:szCs w:val="24"/>
                <w:highlight w:val="none"/>
                <w:lang w:val="en-US" w:eastAsia="zh-CN"/>
              </w:rPr>
              <w:t>一号厂房</w:t>
            </w:r>
            <w:r>
              <w:rPr>
                <w:rFonts w:hint="default" w:ascii="Times New Roman" w:hAnsi="Times New Roman" w:eastAsia="宋体" w:cs="Times New Roman"/>
                <w:sz w:val="24"/>
                <w:szCs w:val="24"/>
                <w:highlight w:val="none"/>
                <w:lang w:val="en-US" w:eastAsia="zh-CN"/>
              </w:rPr>
              <w:t>东侧，面积约</w:t>
            </w:r>
            <w:r>
              <w:rPr>
                <w:rFonts w:hint="eastAsia" w:ascii="Times New Roman" w:hAnsi="Times New Roman" w:cs="Times New Roman"/>
                <w:sz w:val="24"/>
                <w:szCs w:val="24"/>
                <w:highlight w:val="none"/>
                <w:lang w:val="en-US" w:eastAsia="zh-CN"/>
              </w:rPr>
              <w:t>20</w:t>
            </w:r>
            <w:r>
              <w:rPr>
                <w:rFonts w:hint="default" w:ascii="Times New Roman" w:hAnsi="Times New Roman" w:eastAsia="宋体" w:cs="Times New Roman"/>
                <w:sz w:val="24"/>
                <w:szCs w:val="24"/>
                <w:highlight w:val="none"/>
                <w:lang w:val="en-US" w:eastAsia="zh-CN"/>
              </w:rPr>
              <w:t>m</w:t>
            </w:r>
            <w:r>
              <w:rPr>
                <w:rFonts w:hint="default" w:ascii="Times New Roman" w:hAnsi="Times New Roman" w:eastAsia="宋体" w:cs="Times New Roman"/>
                <w:sz w:val="24"/>
                <w:szCs w:val="24"/>
                <w:highlight w:val="none"/>
                <w:vertAlign w:val="superscript"/>
                <w:lang w:val="en-US" w:eastAsia="zh-CN"/>
              </w:rPr>
              <w:t>2</w:t>
            </w:r>
            <w:r>
              <w:rPr>
                <w:rFonts w:hint="eastAsia" w:ascii="Times New Roman" w:hAnsi="Times New Roman" w:eastAsia="宋体" w:cs="Times New Roman"/>
                <w:sz w:val="24"/>
                <w:szCs w:val="24"/>
                <w:highlight w:val="none"/>
                <w:lang w:val="en-US" w:eastAsia="zh-CN"/>
              </w:rPr>
              <w:t>，该区域做好防渗处理，使用警戒带与其他区域隔开，固废做到分区放置。</w:t>
            </w:r>
          </w:p>
          <w:p w14:paraId="0AAEBCD8">
            <w:pPr>
              <w:spacing w:line="360" w:lineRule="auto"/>
              <w:ind w:firstLine="480" w:firstLineChars="200"/>
              <w:rPr>
                <w:rFonts w:hint="eastAsia" w:cs="Times New Roman"/>
                <w:b/>
                <w:bCs/>
                <w:sz w:val="24"/>
                <w:szCs w:val="24"/>
                <w:highlight w:val="none"/>
                <w:lang w:eastAsia="zh-CN"/>
              </w:rPr>
            </w:pPr>
            <w:r>
              <w:rPr>
                <w:rFonts w:hint="eastAsia"/>
                <w:snapToGrid w:val="0"/>
                <w:kern w:val="21"/>
                <w:sz w:val="24"/>
                <w:highlight w:val="none"/>
                <w:lang w:eastAsia="zh-CN"/>
              </w:rPr>
              <w:t>由此可见一般固废对环境不会造成明显影响</w:t>
            </w:r>
            <w:r>
              <w:rPr>
                <w:snapToGrid w:val="0"/>
                <w:kern w:val="21"/>
                <w:sz w:val="24"/>
                <w:highlight w:val="none"/>
                <w:lang w:eastAsia="zh-CN"/>
              </w:rPr>
              <w:t>。</w:t>
            </w:r>
          </w:p>
          <w:p w14:paraId="5C452F45">
            <w:pPr>
              <w:adjustRightInd w:val="0"/>
              <w:snapToGrid w:val="0"/>
              <w:spacing w:before="120" w:beforeLines="50" w:line="360" w:lineRule="auto"/>
              <w:rPr>
                <w:rFonts w:ascii="Times New Roman" w:hAnsi="Times New Roman" w:cs="Times New Roman"/>
                <w:sz w:val="24"/>
                <w:szCs w:val="24"/>
                <w:lang w:eastAsia="zh-CN"/>
              </w:rPr>
            </w:pPr>
            <w:r>
              <w:rPr>
                <w:rFonts w:hint="eastAsia" w:cs="Times New Roman"/>
                <w:b/>
                <w:bCs/>
                <w:sz w:val="24"/>
                <w:szCs w:val="24"/>
                <w:lang w:eastAsia="zh-CN"/>
              </w:rPr>
              <w:t>4.1危险废物影响分析</w:t>
            </w:r>
          </w:p>
          <w:p w14:paraId="653362EC">
            <w:pPr>
              <w:adjustRightInd w:val="0"/>
              <w:snapToGrid w:val="0"/>
              <w:spacing w:line="360" w:lineRule="auto"/>
              <w:ind w:firstLine="480" w:firstLineChars="200"/>
              <w:rPr>
                <w:rFonts w:hint="eastAsia"/>
                <w:sz w:val="24"/>
                <w:lang w:val="zh-TW" w:eastAsia="zh-CN"/>
              </w:rPr>
            </w:pPr>
            <w:r>
              <w:rPr>
                <w:rFonts w:hint="eastAsia"/>
                <w:sz w:val="24"/>
                <w:lang w:eastAsia="zh-CN"/>
              </w:rPr>
              <w:t>本项目在</w:t>
            </w:r>
            <w:r>
              <w:rPr>
                <w:rFonts w:hint="eastAsia"/>
                <w:sz w:val="24"/>
                <w:lang w:val="en-US" w:eastAsia="zh-CN"/>
              </w:rPr>
              <w:t>二号</w:t>
            </w:r>
            <w:r>
              <w:rPr>
                <w:rFonts w:hint="eastAsia"/>
                <w:sz w:val="24"/>
                <w:lang w:eastAsia="zh-CN"/>
              </w:rPr>
              <w:t>厂房内设置危险废物</w:t>
            </w:r>
            <w:r>
              <w:rPr>
                <w:rFonts w:hint="eastAsia" w:ascii="Times New Roman" w:hAnsi="Times New Roman" w:eastAsia="宋体" w:cs="Times New Roman"/>
                <w:sz w:val="24"/>
                <w:lang w:val="en-US" w:eastAsia="zh-CN"/>
              </w:rPr>
              <w:t>贮存点</w:t>
            </w:r>
            <w:r>
              <w:rPr>
                <w:rFonts w:hint="eastAsia"/>
                <w:sz w:val="24"/>
                <w:lang w:eastAsia="zh-CN"/>
              </w:rPr>
              <w:t>，面积约</w:t>
            </w:r>
            <w:r>
              <w:rPr>
                <w:rFonts w:hint="eastAsia"/>
                <w:sz w:val="24"/>
                <w:lang w:val="en-US" w:eastAsia="zh-CN"/>
              </w:rPr>
              <w:t>40</w:t>
            </w:r>
            <w:r>
              <w:rPr>
                <w:rFonts w:hint="eastAsia"/>
                <w:sz w:val="24"/>
                <w:lang w:eastAsia="zh-CN"/>
              </w:rPr>
              <w:t>m</w:t>
            </w:r>
            <w:r>
              <w:rPr>
                <w:rFonts w:hint="eastAsia"/>
                <w:sz w:val="24"/>
                <w:vertAlign w:val="superscript"/>
                <w:lang w:eastAsia="zh-CN"/>
              </w:rPr>
              <w:t>2</w:t>
            </w:r>
            <w:r>
              <w:rPr>
                <w:rFonts w:hint="eastAsia"/>
                <w:sz w:val="24"/>
                <w:lang w:eastAsia="zh-CN"/>
              </w:rPr>
              <w:t>，按照</w:t>
            </w:r>
            <w:r>
              <w:rPr>
                <w:rFonts w:hint="eastAsia"/>
                <w:sz w:val="24"/>
                <w:lang w:val="zh-TW" w:eastAsia="zh-CN"/>
              </w:rPr>
              <w:t>《危险废物贮存污染控制标准》（</w:t>
            </w:r>
            <w:r>
              <w:rPr>
                <w:rFonts w:hint="eastAsia"/>
                <w:sz w:val="24"/>
                <w:lang w:val="zh-TW" w:eastAsia="zh-TW"/>
              </w:rPr>
              <w:t>GB18597-20</w:t>
            </w:r>
            <w:r>
              <w:rPr>
                <w:rFonts w:hint="eastAsia"/>
                <w:sz w:val="24"/>
                <w:lang w:eastAsia="zh-CN"/>
              </w:rPr>
              <w:t>23</w:t>
            </w:r>
            <w:r>
              <w:rPr>
                <w:rFonts w:hint="eastAsia"/>
                <w:sz w:val="24"/>
                <w:lang w:val="zh-TW" w:eastAsia="zh-CN"/>
              </w:rPr>
              <w:t>）的要求建设，地面采取防渗措施（基础防渗，防渗层为</w:t>
            </w:r>
            <w:r>
              <w:rPr>
                <w:rFonts w:hint="eastAsia"/>
                <w:sz w:val="24"/>
                <w:lang w:val="zh-TW" w:eastAsia="zh-TW"/>
              </w:rPr>
              <w:t>2mm</w:t>
            </w:r>
            <w:r>
              <w:rPr>
                <w:rFonts w:hint="eastAsia"/>
                <w:sz w:val="24"/>
                <w:lang w:val="zh-TW" w:eastAsia="zh-CN"/>
              </w:rPr>
              <w:t>厚高密度聚乙烯渗透系数</w:t>
            </w:r>
            <w:r>
              <w:rPr>
                <w:rFonts w:hint="eastAsia"/>
                <w:sz w:val="24"/>
                <w:lang w:val="zh-TW" w:eastAsia="zh-TW"/>
              </w:rPr>
              <w:t>≤10</w:t>
            </w:r>
            <w:r>
              <w:rPr>
                <w:rFonts w:hint="eastAsia"/>
                <w:sz w:val="24"/>
                <w:vertAlign w:val="superscript"/>
                <w:lang w:val="zh-TW" w:eastAsia="zh-TW"/>
              </w:rPr>
              <w:t>-10</w:t>
            </w:r>
            <w:r>
              <w:rPr>
                <w:rFonts w:hint="eastAsia"/>
                <w:sz w:val="24"/>
                <w:lang w:val="zh-TW" w:eastAsia="zh-TW"/>
              </w:rPr>
              <w:t>cm/s</w:t>
            </w:r>
            <w:r>
              <w:rPr>
                <w:rFonts w:hint="eastAsia"/>
                <w:sz w:val="24"/>
                <w:lang w:val="zh-TW" w:eastAsia="zh-CN"/>
              </w:rPr>
              <w:t>），做到“六防”（防风、防雨、防晒、防渗、防漏、防腐）要求，按规范设置液体收集装置</w:t>
            </w:r>
            <w:r>
              <w:rPr>
                <w:rFonts w:hint="eastAsia"/>
                <w:sz w:val="24"/>
                <w:lang w:eastAsia="zh-CN"/>
              </w:rPr>
              <w:t>。项目产生</w:t>
            </w:r>
            <w:r>
              <w:rPr>
                <w:rFonts w:hint="eastAsia"/>
                <w:sz w:val="24"/>
                <w:lang w:val="en-US" w:eastAsia="zh-CN"/>
              </w:rPr>
              <w:t>废催化剂</w:t>
            </w:r>
            <w:r>
              <w:rPr>
                <w:rFonts w:hint="eastAsia" w:ascii="宋体" w:hAnsi="宋体"/>
                <w:sz w:val="24"/>
                <w:szCs w:val="24"/>
              </w:rPr>
              <w:t>不在场内暂存，定期更换催化剂时委托有资质的单位将换下来的废催化剂带走处置</w:t>
            </w:r>
            <w:r>
              <w:rPr>
                <w:rFonts w:hint="eastAsia"/>
                <w:sz w:val="24"/>
                <w:szCs w:val="24"/>
                <w:lang w:eastAsia="zh-CN"/>
              </w:rPr>
              <w:t>；</w:t>
            </w:r>
            <w:r>
              <w:rPr>
                <w:rFonts w:hint="eastAsia"/>
                <w:sz w:val="24"/>
                <w:lang w:val="zh-TW" w:eastAsia="zh-CN"/>
              </w:rPr>
              <w:t>废机油储存于</w:t>
            </w:r>
            <w:r>
              <w:rPr>
                <w:rFonts w:hint="eastAsia"/>
                <w:sz w:val="24"/>
                <w:lang w:eastAsia="zh-CN"/>
              </w:rPr>
              <w:t>专用</w:t>
            </w:r>
            <w:r>
              <w:rPr>
                <w:rFonts w:hint="eastAsia"/>
                <w:sz w:val="24"/>
                <w:lang w:val="zh-TW" w:eastAsia="zh-CN"/>
              </w:rPr>
              <w:t>密闭容器内，</w:t>
            </w:r>
            <w:r>
              <w:rPr>
                <w:rFonts w:hint="eastAsia"/>
                <w:sz w:val="24"/>
                <w:lang w:eastAsia="zh-CN"/>
              </w:rPr>
              <w:t>废机油</w:t>
            </w:r>
            <w:r>
              <w:rPr>
                <w:rFonts w:hint="eastAsia"/>
                <w:sz w:val="24"/>
                <w:lang w:val="en-US" w:eastAsia="zh-CN"/>
              </w:rPr>
              <w:t>桶</w:t>
            </w:r>
            <w:r>
              <w:rPr>
                <w:rFonts w:hint="eastAsia"/>
                <w:sz w:val="24"/>
                <w:lang w:eastAsia="zh-CN"/>
              </w:rPr>
              <w:t>暂存</w:t>
            </w:r>
            <w:r>
              <w:rPr>
                <w:rFonts w:hint="eastAsia"/>
                <w:sz w:val="24"/>
                <w:lang w:val="zh-TW" w:eastAsia="zh-CN"/>
              </w:rPr>
              <w:t>于危废</w:t>
            </w:r>
            <w:r>
              <w:rPr>
                <w:rFonts w:hint="eastAsia" w:ascii="Times New Roman" w:hAnsi="Times New Roman" w:eastAsia="宋体" w:cs="Times New Roman"/>
                <w:sz w:val="24"/>
                <w:lang w:val="en-US" w:eastAsia="zh-CN"/>
              </w:rPr>
              <w:t>贮存点</w:t>
            </w:r>
            <w:r>
              <w:rPr>
                <w:rFonts w:hint="eastAsia"/>
                <w:sz w:val="24"/>
                <w:lang w:val="zh-TW" w:eastAsia="zh-CN"/>
              </w:rPr>
              <w:t>，在做好密闭暂存、危废</w:t>
            </w:r>
            <w:r>
              <w:rPr>
                <w:rFonts w:hint="eastAsia" w:ascii="Times New Roman" w:hAnsi="Times New Roman" w:eastAsia="宋体" w:cs="Times New Roman"/>
                <w:sz w:val="24"/>
                <w:lang w:val="en-US" w:eastAsia="zh-CN"/>
              </w:rPr>
              <w:t>贮存点</w:t>
            </w:r>
            <w:r>
              <w:rPr>
                <w:rFonts w:hint="eastAsia"/>
                <w:sz w:val="24"/>
                <w:lang w:val="zh-TW" w:eastAsia="zh-CN"/>
              </w:rPr>
              <w:t>的防渗措施后，危险废物对环境空气、地表水、地下水、土壤等基本不造成影响。</w:t>
            </w:r>
          </w:p>
          <w:p w14:paraId="7F66F769">
            <w:pPr>
              <w:adjustRightInd w:val="0"/>
              <w:snapToGrid w:val="0"/>
              <w:spacing w:line="360" w:lineRule="auto"/>
              <w:rPr>
                <w:rFonts w:hint="eastAsia" w:cs="Times New Roman"/>
                <w:b/>
                <w:bCs/>
                <w:sz w:val="24"/>
                <w:szCs w:val="24"/>
                <w:lang w:eastAsia="zh-CN"/>
              </w:rPr>
            </w:pPr>
            <w:r>
              <w:rPr>
                <w:rFonts w:hint="eastAsia" w:cs="Times New Roman"/>
                <w:b/>
                <w:bCs/>
                <w:sz w:val="24"/>
                <w:szCs w:val="24"/>
                <w:lang w:eastAsia="zh-CN"/>
              </w:rPr>
              <w:t>4.2危险废物环保要求</w:t>
            </w:r>
          </w:p>
          <w:p w14:paraId="50FBE01C">
            <w:pPr>
              <w:adjustRightInd w:val="0"/>
              <w:snapToGrid w:val="0"/>
              <w:spacing w:line="360" w:lineRule="auto"/>
              <w:jc w:val="center"/>
              <w:rPr>
                <w:rFonts w:hint="default" w:cs="Times New Roman"/>
                <w:b/>
                <w:bCs/>
                <w:sz w:val="24"/>
                <w:szCs w:val="24"/>
                <w:lang w:val="en-US" w:eastAsia="zh-CN"/>
              </w:rPr>
            </w:pPr>
            <w:r>
              <w:rPr>
                <w:rFonts w:hint="eastAsia" w:cs="Times New Roman"/>
                <w:b/>
                <w:bCs/>
                <w:sz w:val="24"/>
                <w:szCs w:val="24"/>
                <w:lang w:val="en-US" w:eastAsia="zh-CN"/>
              </w:rPr>
              <w:t>略</w:t>
            </w:r>
          </w:p>
          <w:p w14:paraId="7F9BF713">
            <w:pPr>
              <w:adjustRightInd w:val="0"/>
              <w:snapToGrid w:val="0"/>
              <w:spacing w:line="360" w:lineRule="auto"/>
              <w:rPr>
                <w:rFonts w:hint="eastAsia"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5.地下水、土壤环境影响及保护措施</w:t>
            </w:r>
          </w:p>
          <w:p w14:paraId="0789E70E">
            <w:pPr>
              <w:adjustRightInd w:val="0"/>
              <w:snapToGrid w:val="0"/>
              <w:spacing w:line="360" w:lineRule="auto"/>
              <w:jc w:val="center"/>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eastAsiaTheme="minorEastAsia"/>
                <w:b/>
                <w:bCs/>
                <w:sz w:val="28"/>
                <w:szCs w:val="28"/>
                <w:lang w:val="en-US" w:eastAsia="zh-CN"/>
              </w:rPr>
              <w:t>略</w:t>
            </w:r>
          </w:p>
          <w:p w14:paraId="66CAC4BB">
            <w:pPr>
              <w:adjustRightInd w:val="0"/>
              <w:snapToGrid w:val="0"/>
              <w:spacing w:before="120" w:beforeLines="50"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6.生态环境</w:t>
            </w:r>
            <w:r>
              <w:rPr>
                <w:rFonts w:ascii="Times New Roman" w:hAnsi="Times New Roman" w:cs="Times New Roman" w:eastAsiaTheme="minorEastAsia"/>
                <w:b/>
                <w:bCs/>
                <w:sz w:val="28"/>
                <w:szCs w:val="28"/>
                <w:lang w:eastAsia="zh-CN"/>
              </w:rPr>
              <w:t>影响分析</w:t>
            </w:r>
          </w:p>
          <w:p w14:paraId="4F6962DC">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
              </w:rPr>
            </w:pPr>
            <w:r>
              <w:rPr>
                <w:rFonts w:hint="default" w:ascii="Times New Roman" w:hAnsi="Times New Roman" w:eastAsia="宋体" w:cs="Times New Roman"/>
                <w:color w:val="auto"/>
                <w:kern w:val="2"/>
                <w:sz w:val="24"/>
                <w:szCs w:val="24"/>
                <w:highlight w:val="none"/>
                <w:lang w:val="en-US" w:eastAsia="zh-CN" w:bidi="ar"/>
              </w:rPr>
              <w:t>本项目位于</w:t>
            </w:r>
            <w:r>
              <w:rPr>
                <w:rFonts w:hint="eastAsia" w:ascii="Times New Roman" w:hAnsi="Times New Roman" w:cs="Times New Roman"/>
                <w:color w:val="auto"/>
                <w:kern w:val="2"/>
                <w:sz w:val="24"/>
                <w:szCs w:val="24"/>
                <w:highlight w:val="none"/>
                <w:lang w:val="en-US" w:eastAsia="zh-CN" w:bidi="ar"/>
              </w:rPr>
              <w:t>***</w:t>
            </w:r>
            <w:r>
              <w:rPr>
                <w:rFonts w:hint="default" w:ascii="Times New Roman" w:hAnsi="Times New Roman" w:eastAsia="宋体" w:cs="Times New Roman"/>
                <w:color w:val="auto"/>
                <w:kern w:val="2"/>
                <w:sz w:val="24"/>
                <w:szCs w:val="24"/>
                <w:highlight w:val="none"/>
                <w:lang w:val="en-US" w:eastAsia="zh-CN" w:bidi="ar"/>
              </w:rPr>
              <w:t>，周边无生态环境保护目标，无生态环境影响。</w:t>
            </w:r>
          </w:p>
          <w:p w14:paraId="30416ADE">
            <w:pPr>
              <w:adjustRightInd w:val="0"/>
              <w:snapToGrid w:val="0"/>
              <w:spacing w:before="120" w:beforeLines="50" w:line="360" w:lineRule="auto"/>
              <w:rPr>
                <w:rFonts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t>7.</w:t>
            </w:r>
            <w:r>
              <w:rPr>
                <w:rFonts w:ascii="Times New Roman" w:hAnsi="Times New Roman" w:cs="Times New Roman" w:eastAsiaTheme="minorEastAsia"/>
                <w:b/>
                <w:bCs/>
                <w:sz w:val="28"/>
                <w:szCs w:val="28"/>
                <w:lang w:eastAsia="zh-CN"/>
              </w:rPr>
              <w:t>环境风险影响分析</w:t>
            </w:r>
          </w:p>
          <w:p w14:paraId="58AD9193">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7.1风险识别</w:t>
            </w:r>
          </w:p>
          <w:p w14:paraId="15B6A6D2">
            <w:pPr>
              <w:adjustRightInd w:val="0"/>
              <w:snapToGrid w:val="0"/>
              <w:spacing w:line="360" w:lineRule="auto"/>
              <w:ind w:firstLine="480" w:firstLineChars="200"/>
              <w:rPr>
                <w:rFonts w:hint="eastAsia"/>
                <w:sz w:val="24"/>
                <w:u w:val="single"/>
                <w:lang w:eastAsia="zh-CN"/>
              </w:rPr>
            </w:pPr>
            <w:r>
              <w:rPr>
                <w:rFonts w:hint="eastAsia"/>
                <w:sz w:val="24"/>
                <w:lang w:eastAsia="zh-CN"/>
              </w:rPr>
              <w:t>根据</w:t>
            </w:r>
            <w:r>
              <w:rPr>
                <w:sz w:val="24"/>
                <w:lang w:eastAsia="zh-CN"/>
              </w:rPr>
              <w:t>《有毒有害大气污染物名录》、《有毒有害水污染物名录》及《建设项目环境风险评价技术导则》（HJ/T169-2018）</w:t>
            </w:r>
            <w:r>
              <w:rPr>
                <w:rFonts w:hint="eastAsia"/>
                <w:sz w:val="24"/>
                <w:lang w:eastAsia="zh-CN"/>
              </w:rPr>
              <w:t>及《危险化学品重大污染源辨识》（</w:t>
            </w:r>
            <w:r>
              <w:rPr>
                <w:sz w:val="24"/>
                <w:lang w:eastAsia="zh-CN"/>
              </w:rPr>
              <w:t>GB18218-2018</w:t>
            </w:r>
            <w:r>
              <w:rPr>
                <w:rFonts w:hint="eastAsia"/>
                <w:sz w:val="24"/>
                <w:lang w:eastAsia="zh-CN"/>
              </w:rPr>
              <w:t>）</w:t>
            </w:r>
            <w:r>
              <w:rPr>
                <w:sz w:val="24"/>
                <w:lang w:eastAsia="zh-CN"/>
              </w:rPr>
              <w:t>，</w:t>
            </w:r>
            <w:r>
              <w:rPr>
                <w:rFonts w:hint="eastAsia"/>
                <w:sz w:val="24"/>
                <w:lang w:eastAsia="zh-CN"/>
              </w:rPr>
              <w:t>本项目涉及的风险物质主要为废机油。危险特性见表</w:t>
            </w:r>
            <w:r>
              <w:rPr>
                <w:sz w:val="24"/>
                <w:lang w:eastAsia="zh-CN"/>
              </w:rPr>
              <w:t>4-</w:t>
            </w:r>
            <w:r>
              <w:rPr>
                <w:rFonts w:hint="eastAsia"/>
                <w:sz w:val="24"/>
                <w:lang w:val="en-US" w:eastAsia="zh-CN"/>
              </w:rPr>
              <w:t>19</w:t>
            </w:r>
            <w:r>
              <w:rPr>
                <w:rFonts w:hint="eastAsia"/>
                <w:sz w:val="24"/>
                <w:lang w:eastAsia="zh-CN"/>
              </w:rPr>
              <w:t>。</w:t>
            </w:r>
          </w:p>
          <w:p w14:paraId="1B2A87C7">
            <w:pPr>
              <w:adjustRightInd w:val="0"/>
              <w:snapToGrid w:val="0"/>
              <w:spacing w:line="360" w:lineRule="auto"/>
              <w:ind w:firstLine="480" w:firstLineChars="200"/>
              <w:rPr>
                <w:rFonts w:hint="eastAsia"/>
                <w:sz w:val="24"/>
                <w:lang w:eastAsia="zh-CN"/>
              </w:rPr>
            </w:pPr>
            <w:r>
              <w:rPr>
                <w:rFonts w:hint="eastAsia"/>
                <w:sz w:val="24"/>
                <w:lang w:eastAsia="zh-CN"/>
              </w:rPr>
              <w:t>项目主要环境风险为废</w:t>
            </w:r>
            <w:r>
              <w:rPr>
                <w:rFonts w:hint="eastAsia"/>
                <w:sz w:val="24"/>
                <w:lang w:val="en-US" w:eastAsia="zh-CN"/>
              </w:rPr>
              <w:t>机油</w:t>
            </w:r>
            <w:r>
              <w:rPr>
                <w:rFonts w:hint="eastAsia"/>
                <w:sz w:val="24"/>
                <w:lang w:eastAsia="zh-CN"/>
              </w:rPr>
              <w:t>泄漏及突发火灾等。</w:t>
            </w:r>
          </w:p>
          <w:p w14:paraId="49A7ADB1">
            <w:pPr>
              <w:adjustRightInd w:val="0"/>
              <w:snapToGrid w:val="0"/>
              <w:jc w:val="center"/>
              <w:rPr>
                <w:rFonts w:hint="default" w:ascii="Times New Roman" w:hAnsi="Times New Roman" w:cs="Times New Roman"/>
                <w:b/>
                <w:bCs/>
                <w:sz w:val="21"/>
                <w:szCs w:val="21"/>
                <w:lang w:eastAsia="zh-CN"/>
              </w:rPr>
            </w:pPr>
            <w:r>
              <w:rPr>
                <w:rFonts w:hint="default" w:ascii="Times New Roman" w:hAnsi="Times New Roman" w:cs="Times New Roman"/>
                <w:b/>
                <w:bCs/>
                <w:sz w:val="21"/>
                <w:szCs w:val="21"/>
                <w:lang w:eastAsia="zh-CN"/>
              </w:rPr>
              <w:t>表 4-</w:t>
            </w:r>
            <w:r>
              <w:rPr>
                <w:rFonts w:hint="default" w:ascii="Times New Roman" w:hAnsi="Times New Roman" w:cs="Times New Roman"/>
                <w:b/>
                <w:bCs/>
                <w:sz w:val="21"/>
                <w:szCs w:val="21"/>
                <w:lang w:val="en-US" w:eastAsia="zh-CN"/>
              </w:rPr>
              <w:t>19</w:t>
            </w:r>
            <w:r>
              <w:rPr>
                <w:rFonts w:hint="default" w:ascii="Times New Roman" w:hAnsi="Times New Roman" w:cs="Times New Roman"/>
                <w:b/>
                <w:bCs/>
                <w:sz w:val="21"/>
                <w:szCs w:val="21"/>
                <w:lang w:eastAsia="zh-CN"/>
              </w:rPr>
              <w:t xml:space="preserve"> 本项目危险源及其危险特性一览表</w:t>
            </w:r>
          </w:p>
          <w:tbl>
            <w:tblPr>
              <w:tblStyle w:val="2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22"/>
              <w:gridCol w:w="8198"/>
            </w:tblGrid>
            <w:tr w14:paraId="36FCE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391" w:type="dxa"/>
                  <w:vAlign w:val="center"/>
                </w:tcPr>
                <w:p w14:paraId="40BF3552">
                  <w:pPr>
                    <w:adjustRightInd w:val="0"/>
                    <w:snapToGrid w:val="0"/>
                    <w:spacing w:line="30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名称</w:t>
                  </w:r>
                </w:p>
              </w:tc>
              <w:tc>
                <w:tcPr>
                  <w:tcW w:w="7495" w:type="dxa"/>
                  <w:vAlign w:val="center"/>
                </w:tcPr>
                <w:p w14:paraId="026D525A">
                  <w:pPr>
                    <w:adjustRightInd w:val="0"/>
                    <w:snapToGrid w:val="0"/>
                    <w:spacing w:line="30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主要危险特性</w:t>
                  </w:r>
                </w:p>
              </w:tc>
            </w:tr>
            <w:tr w14:paraId="4DE56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91" w:type="dxa"/>
                  <w:vAlign w:val="center"/>
                </w:tcPr>
                <w:p w14:paraId="1F057EF8">
                  <w:pPr>
                    <w:adjustRightInd w:val="0"/>
                    <w:snapToGrid w:val="0"/>
                    <w:spacing w:line="300" w:lineRule="atLeast"/>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eastAsia="zh-CN"/>
                    </w:rPr>
                    <w:t>废</w:t>
                  </w:r>
                  <w:r>
                    <w:rPr>
                      <w:rFonts w:hint="default" w:ascii="Times New Roman" w:hAnsi="Times New Roman" w:cs="Times New Roman"/>
                      <w:sz w:val="21"/>
                      <w:szCs w:val="21"/>
                      <w:lang w:val="en-US" w:eastAsia="zh-CN"/>
                    </w:rPr>
                    <w:t>机油</w:t>
                  </w:r>
                </w:p>
              </w:tc>
              <w:tc>
                <w:tcPr>
                  <w:tcW w:w="7495" w:type="dxa"/>
                  <w:vAlign w:val="center"/>
                </w:tcPr>
                <w:p w14:paraId="30E4A046">
                  <w:pPr>
                    <w:adjustRightInd w:val="0"/>
                    <w:snapToGrid w:val="0"/>
                    <w:spacing w:line="300" w:lineRule="atLeas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急性吸入，可出现乏力、头晕、头痛、恶心，严重者可引起油脂性肺炎。慢接触者，暴露部位可发生油性痤疮和接触性皮炎，可引起神经衰弱综合征，呼吸道和眼刺激症状及慢性油脂性肺炎。</w:t>
                  </w:r>
                </w:p>
              </w:tc>
            </w:tr>
          </w:tbl>
          <w:p w14:paraId="75EF9151">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7.2环境风险评价等级</w:t>
            </w:r>
          </w:p>
          <w:p w14:paraId="02A6B489">
            <w:pPr>
              <w:pStyle w:val="67"/>
              <w:spacing w:line="360" w:lineRule="auto"/>
              <w:ind w:firstLine="480"/>
              <w:rPr>
                <w:rFonts w:ascii="Times New Roman" w:hAnsi="Times New Roman" w:eastAsia="宋体"/>
                <w:sz w:val="24"/>
                <w:szCs w:val="24"/>
              </w:rPr>
            </w:pPr>
            <w:r>
              <w:rPr>
                <w:rFonts w:ascii="Times New Roman" w:hAnsi="Times New Roman" w:eastAsia="宋体"/>
                <w:sz w:val="24"/>
                <w:szCs w:val="24"/>
              </w:rPr>
              <w:t>根据《建设项目环境风险评价技术导则》（HJ 169-2018），计算所涉及的项目涉及的突然环境事件风险物质的最大存在总量与其在附录B中对应临界量的比值Q</w:t>
            </w:r>
            <w:r>
              <w:rPr>
                <w:rFonts w:hint="eastAsia" w:ascii="Times New Roman" w:hAnsi="Times New Roman" w:eastAsia="宋体"/>
                <w:sz w:val="24"/>
                <w:szCs w:val="24"/>
              </w:rPr>
              <w:t>。</w:t>
            </w:r>
          </w:p>
          <w:p w14:paraId="506892A8">
            <w:pPr>
              <w:pStyle w:val="67"/>
              <w:spacing w:line="360" w:lineRule="auto"/>
              <w:ind w:firstLine="480"/>
              <w:rPr>
                <w:rFonts w:ascii="Times New Roman" w:hAnsi="Times New Roman" w:eastAsia="宋体"/>
                <w:sz w:val="24"/>
                <w:szCs w:val="24"/>
              </w:rPr>
            </w:pPr>
            <w:r>
              <w:rPr>
                <w:rFonts w:ascii="Times New Roman" w:hAnsi="Times New Roman" w:eastAsia="宋体"/>
                <w:sz w:val="24"/>
                <w:szCs w:val="24"/>
              </w:rPr>
              <w:drawing>
                <wp:anchor distT="0" distB="0" distL="114300" distR="114300" simplePos="0" relativeHeight="251659264" behindDoc="0" locked="0" layoutInCell="1" allowOverlap="1">
                  <wp:simplePos x="0" y="0"/>
                  <wp:positionH relativeFrom="column">
                    <wp:posOffset>1896745</wp:posOffset>
                  </wp:positionH>
                  <wp:positionV relativeFrom="paragraph">
                    <wp:posOffset>644525</wp:posOffset>
                  </wp:positionV>
                  <wp:extent cx="1702435" cy="454025"/>
                  <wp:effectExtent l="0" t="0" r="0" b="0"/>
                  <wp:wrapTopAndBottom/>
                  <wp:docPr id="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1"/>
                          <pic:cNvPicPr>
                            <a:picLocks noChangeAspect="1"/>
                          </pic:cNvPicPr>
                        </pic:nvPicPr>
                        <pic:blipFill>
                          <a:blip r:embed="rId22"/>
                          <a:stretch>
                            <a:fillRect/>
                          </a:stretch>
                        </pic:blipFill>
                        <pic:spPr>
                          <a:xfrm>
                            <a:off x="0" y="0"/>
                            <a:ext cx="1702435" cy="454025"/>
                          </a:xfrm>
                          <a:prstGeom prst="rect">
                            <a:avLst/>
                          </a:prstGeom>
                          <a:noFill/>
                          <a:ln>
                            <a:noFill/>
                          </a:ln>
                        </pic:spPr>
                      </pic:pic>
                    </a:graphicData>
                  </a:graphic>
                </wp:anchor>
              </w:drawing>
            </w:r>
            <w:r>
              <w:rPr>
                <w:rFonts w:ascii="Times New Roman" w:hAnsi="Times New Roman" w:eastAsia="宋体"/>
                <w:sz w:val="24"/>
                <w:szCs w:val="24"/>
              </w:rPr>
              <w:t>当只涉及一种危险物质时，计算该物质的总量与其临界量比值，即为Q；</w:t>
            </w:r>
          </w:p>
          <w:p w14:paraId="56CF1B49">
            <w:pPr>
              <w:pStyle w:val="67"/>
              <w:spacing w:line="360" w:lineRule="auto"/>
              <w:ind w:firstLine="480"/>
              <w:rPr>
                <w:rFonts w:ascii="Times New Roman" w:hAnsi="Times New Roman" w:eastAsia="宋体"/>
                <w:sz w:val="24"/>
                <w:szCs w:val="24"/>
              </w:rPr>
            </w:pPr>
            <w:r>
              <w:rPr>
                <w:rFonts w:ascii="Times New Roman" w:hAnsi="Times New Roman" w:eastAsia="宋体"/>
                <w:sz w:val="24"/>
                <w:szCs w:val="24"/>
              </w:rPr>
              <w:t>当存在多种危险物质时，则按下式计算物质总量与其临界量比值（Q）：</w:t>
            </w:r>
          </w:p>
          <w:p w14:paraId="6256B1B5">
            <w:pPr>
              <w:pStyle w:val="67"/>
              <w:spacing w:before="120" w:beforeLines="50" w:line="360" w:lineRule="auto"/>
              <w:ind w:firstLine="480"/>
              <w:rPr>
                <w:rFonts w:ascii="Times New Roman" w:hAnsi="Times New Roman" w:eastAsia="宋体"/>
                <w:sz w:val="24"/>
                <w:szCs w:val="24"/>
              </w:rPr>
            </w:pPr>
            <w:r>
              <w:rPr>
                <w:rFonts w:ascii="Times New Roman" w:hAnsi="Times New Roman" w:eastAsia="宋体"/>
                <w:sz w:val="24"/>
                <w:szCs w:val="24"/>
              </w:rPr>
              <w:t>式中：q</w:t>
            </w:r>
            <w:r>
              <w:rPr>
                <w:rFonts w:ascii="Times New Roman" w:hAnsi="Times New Roman" w:eastAsia="宋体"/>
                <w:sz w:val="24"/>
                <w:szCs w:val="24"/>
                <w:vertAlign w:val="subscript"/>
              </w:rPr>
              <w:t>1</w:t>
            </w:r>
            <w:r>
              <w:rPr>
                <w:rFonts w:ascii="Times New Roman" w:hAnsi="Times New Roman" w:eastAsia="宋体"/>
                <w:sz w:val="24"/>
                <w:szCs w:val="24"/>
              </w:rPr>
              <w:t>，q</w:t>
            </w:r>
            <w:r>
              <w:rPr>
                <w:rFonts w:ascii="Times New Roman" w:hAnsi="Times New Roman" w:eastAsia="宋体"/>
                <w:sz w:val="24"/>
                <w:szCs w:val="24"/>
                <w:vertAlign w:val="subscript"/>
              </w:rPr>
              <w:t>2</w:t>
            </w:r>
            <w:r>
              <w:rPr>
                <w:rFonts w:ascii="Times New Roman" w:hAnsi="Times New Roman" w:eastAsia="宋体"/>
                <w:sz w:val="24"/>
                <w:szCs w:val="24"/>
              </w:rPr>
              <w:t>，…，q</w:t>
            </w:r>
            <w:r>
              <w:rPr>
                <w:rFonts w:ascii="Times New Roman" w:hAnsi="Times New Roman" w:eastAsia="宋体"/>
                <w:sz w:val="24"/>
                <w:szCs w:val="24"/>
                <w:vertAlign w:val="subscript"/>
              </w:rPr>
              <w:t>n</w:t>
            </w:r>
            <w:r>
              <w:rPr>
                <w:rFonts w:ascii="Times New Roman" w:hAnsi="Times New Roman" w:eastAsia="宋体"/>
                <w:sz w:val="24"/>
                <w:szCs w:val="24"/>
              </w:rPr>
              <w:t>——每种危险物质的最大存在总量，t；</w:t>
            </w:r>
          </w:p>
          <w:p w14:paraId="32EC6610">
            <w:pPr>
              <w:pStyle w:val="67"/>
              <w:spacing w:line="360" w:lineRule="auto"/>
              <w:ind w:firstLine="480"/>
              <w:rPr>
                <w:rFonts w:ascii="Times New Roman" w:hAnsi="Times New Roman" w:eastAsia="宋体"/>
                <w:sz w:val="24"/>
                <w:szCs w:val="24"/>
              </w:rPr>
            </w:pPr>
            <w:r>
              <w:rPr>
                <w:rFonts w:ascii="Times New Roman" w:hAnsi="Times New Roman" w:eastAsia="宋体"/>
                <w:sz w:val="24"/>
                <w:szCs w:val="24"/>
              </w:rPr>
              <w:t>Q</w:t>
            </w:r>
            <w:r>
              <w:rPr>
                <w:rFonts w:ascii="Times New Roman" w:hAnsi="Times New Roman" w:eastAsia="宋体"/>
                <w:sz w:val="24"/>
                <w:szCs w:val="24"/>
                <w:vertAlign w:val="subscript"/>
              </w:rPr>
              <w:t>1</w:t>
            </w:r>
            <w:r>
              <w:rPr>
                <w:rFonts w:ascii="Times New Roman" w:hAnsi="Times New Roman" w:eastAsia="宋体"/>
                <w:sz w:val="24"/>
                <w:szCs w:val="24"/>
              </w:rPr>
              <w:t>，Q</w:t>
            </w:r>
            <w:r>
              <w:rPr>
                <w:rFonts w:ascii="Times New Roman" w:hAnsi="Times New Roman" w:eastAsia="宋体"/>
                <w:sz w:val="24"/>
                <w:szCs w:val="24"/>
                <w:vertAlign w:val="subscript"/>
              </w:rPr>
              <w:t>2</w:t>
            </w:r>
            <w:r>
              <w:rPr>
                <w:rFonts w:ascii="Times New Roman" w:hAnsi="Times New Roman" w:eastAsia="宋体"/>
                <w:sz w:val="24"/>
                <w:szCs w:val="24"/>
              </w:rPr>
              <w:t>，…，Q</w:t>
            </w:r>
            <w:r>
              <w:rPr>
                <w:rFonts w:ascii="Times New Roman" w:hAnsi="Times New Roman" w:eastAsia="宋体"/>
                <w:sz w:val="24"/>
                <w:szCs w:val="24"/>
                <w:vertAlign w:val="subscript"/>
              </w:rPr>
              <w:t>n</w:t>
            </w:r>
            <w:r>
              <w:rPr>
                <w:rFonts w:ascii="Times New Roman" w:hAnsi="Times New Roman" w:eastAsia="宋体"/>
                <w:sz w:val="24"/>
                <w:szCs w:val="24"/>
              </w:rPr>
              <w:t>——每种危险物质的临界量，t。</w:t>
            </w:r>
          </w:p>
          <w:p w14:paraId="32145093">
            <w:pPr>
              <w:pStyle w:val="67"/>
              <w:spacing w:line="360" w:lineRule="auto"/>
              <w:ind w:firstLine="480"/>
              <w:rPr>
                <w:rFonts w:ascii="Times New Roman" w:hAnsi="Times New Roman" w:eastAsia="宋体"/>
                <w:sz w:val="24"/>
                <w:szCs w:val="24"/>
              </w:rPr>
            </w:pPr>
            <w:r>
              <w:rPr>
                <w:rFonts w:ascii="Times New Roman" w:hAnsi="Times New Roman" w:eastAsia="宋体"/>
                <w:sz w:val="24"/>
                <w:szCs w:val="24"/>
              </w:rPr>
              <w:t>当Q&lt;1时，该项目环境风险潜势为I。</w:t>
            </w:r>
          </w:p>
          <w:p w14:paraId="5063EC4C">
            <w:pPr>
              <w:pStyle w:val="67"/>
              <w:spacing w:line="360" w:lineRule="auto"/>
              <w:ind w:firstLine="480"/>
              <w:rPr>
                <w:rFonts w:ascii="Times New Roman" w:hAnsi="Times New Roman" w:eastAsia="宋体"/>
                <w:sz w:val="24"/>
                <w:szCs w:val="24"/>
              </w:rPr>
            </w:pPr>
            <w:r>
              <w:rPr>
                <w:rFonts w:ascii="Times New Roman" w:hAnsi="Times New Roman" w:eastAsia="宋体"/>
                <w:sz w:val="24"/>
                <w:szCs w:val="24"/>
              </w:rPr>
              <w:t>当Q≥1时，将Q值划分为：（1）1≤Q&lt;10；（2）10≤Q&lt;100；（3）Q≥100。</w:t>
            </w:r>
          </w:p>
          <w:p w14:paraId="246CF1BC">
            <w:pPr>
              <w:spacing w:line="360" w:lineRule="auto"/>
              <w:ind w:firstLine="480" w:firstLineChars="200"/>
              <w:rPr>
                <w:rFonts w:ascii="Times New Roman" w:hAnsi="Times New Roman" w:cs="Times New Roman"/>
                <w:sz w:val="24"/>
                <w:lang w:eastAsia="zh-CN"/>
              </w:rPr>
            </w:pPr>
            <w:r>
              <w:rPr>
                <w:rFonts w:ascii="Times New Roman" w:hAnsi="Times New Roman" w:cs="Times New Roman"/>
                <w:sz w:val="24"/>
                <w:lang w:val="zh-CN" w:eastAsia="zh-CN"/>
              </w:rPr>
              <w:t>根据《建设项目环境风险评价技术导则》（HJ169-2018）中附录B，项目涉及的危险物质名称，贮存量及临界量</w:t>
            </w:r>
            <w:r>
              <w:rPr>
                <w:rFonts w:ascii="Times New Roman" w:hAnsi="Times New Roman" w:cs="Times New Roman"/>
                <w:sz w:val="24"/>
                <w:lang w:eastAsia="zh-CN"/>
              </w:rPr>
              <w:t>见下表。</w:t>
            </w:r>
          </w:p>
          <w:p w14:paraId="02826FC6">
            <w:pPr>
              <w:pStyle w:val="68"/>
              <w:numPr>
                <w:ilvl w:val="1"/>
                <w:numId w:val="0"/>
              </w:numPr>
              <w:spacing w:line="240" w:lineRule="auto"/>
              <w:jc w:val="center"/>
              <w:outlineLvl w:val="9"/>
              <w:rPr>
                <w:rFonts w:ascii="Times New Roman" w:hAnsi="Times New Roman" w:cs="Times New Roman"/>
                <w:sz w:val="21"/>
                <w:szCs w:val="21"/>
                <w:lang w:val="en-US"/>
              </w:rPr>
            </w:pPr>
            <w:r>
              <w:rPr>
                <w:rFonts w:ascii="Times New Roman" w:hAnsi="Times New Roman" w:cs="Times New Roman"/>
                <w:sz w:val="21"/>
                <w:szCs w:val="21"/>
                <w:lang w:val="en-US"/>
              </w:rPr>
              <w:t>表4-</w:t>
            </w:r>
            <w:r>
              <w:rPr>
                <w:rFonts w:hint="eastAsia" w:ascii="Times New Roman" w:hAnsi="Times New Roman" w:cs="Times New Roman"/>
                <w:sz w:val="21"/>
                <w:szCs w:val="21"/>
                <w:lang w:val="en-US" w:eastAsia="zh-CN"/>
              </w:rPr>
              <w:t>20</w:t>
            </w:r>
            <w:r>
              <w:rPr>
                <w:rFonts w:ascii="Times New Roman" w:hAnsi="Times New Roman" w:cs="Times New Roman"/>
                <w:sz w:val="21"/>
                <w:szCs w:val="21"/>
                <w:lang w:val="en-US"/>
              </w:rPr>
              <w:t xml:space="preserve"> 危险物质数量与临界量比值（Q）计算结果一览表</w:t>
            </w:r>
          </w:p>
          <w:tbl>
            <w:tblPr>
              <w:tblStyle w:val="27"/>
              <w:tblW w:w="497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540"/>
              <w:gridCol w:w="1578"/>
              <w:gridCol w:w="1580"/>
              <w:gridCol w:w="1767"/>
              <w:gridCol w:w="1386"/>
            </w:tblGrid>
            <w:tr w14:paraId="14897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tcBorders>
                    <w:tl2br w:val="nil"/>
                    <w:tr2bl w:val="nil"/>
                  </w:tcBorders>
                  <w:vAlign w:val="center"/>
                </w:tcPr>
                <w:p w14:paraId="6106B46D">
                  <w:pPr>
                    <w:adjustRightInd w:val="0"/>
                    <w:snapToGrid w:val="0"/>
                    <w:spacing w:line="300" w:lineRule="exact"/>
                    <w:jc w:val="center"/>
                    <w:rPr>
                      <w:rFonts w:hint="default" w:ascii="Times New Roman" w:hAnsi="Times New Roman" w:cs="Times New Roman"/>
                      <w:sz w:val="21"/>
                      <w:szCs w:val="21"/>
                      <w:lang w:eastAsia="zh-CN"/>
                    </w:rPr>
                  </w:pPr>
                  <w:bookmarkStart w:id="19" w:name="_Hlk194071655"/>
                  <w:r>
                    <w:rPr>
                      <w:rFonts w:hint="default" w:ascii="Times New Roman" w:hAnsi="Times New Roman" w:cs="Times New Roman"/>
                      <w:sz w:val="21"/>
                      <w:szCs w:val="21"/>
                      <w:lang w:eastAsia="zh-CN"/>
                    </w:rPr>
                    <w:t>序号</w:t>
                  </w:r>
                </w:p>
              </w:tc>
              <w:tc>
                <w:tcPr>
                  <w:tcW w:w="1312" w:type="pct"/>
                  <w:tcBorders>
                    <w:tl2br w:val="nil"/>
                    <w:tr2bl w:val="nil"/>
                  </w:tcBorders>
                  <w:vAlign w:val="center"/>
                </w:tcPr>
                <w:p w14:paraId="5944ADF6">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物质名称</w:t>
                  </w:r>
                </w:p>
              </w:tc>
              <w:tc>
                <w:tcPr>
                  <w:tcW w:w="815" w:type="pct"/>
                  <w:tcBorders>
                    <w:tl2br w:val="nil"/>
                    <w:tr2bl w:val="nil"/>
                  </w:tcBorders>
                  <w:vAlign w:val="center"/>
                </w:tcPr>
                <w:p w14:paraId="3AD2AA95">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储存位置</w:t>
                  </w:r>
                </w:p>
              </w:tc>
              <w:tc>
                <w:tcPr>
                  <w:tcW w:w="816" w:type="pct"/>
                  <w:tcBorders>
                    <w:tl2br w:val="nil"/>
                    <w:tr2bl w:val="nil"/>
                  </w:tcBorders>
                  <w:vAlign w:val="center"/>
                </w:tcPr>
                <w:p w14:paraId="3EE6E567">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存储量（t）</w:t>
                  </w:r>
                </w:p>
              </w:tc>
              <w:tc>
                <w:tcPr>
                  <w:tcW w:w="913" w:type="pct"/>
                  <w:tcBorders>
                    <w:tl2br w:val="nil"/>
                    <w:tr2bl w:val="nil"/>
                  </w:tcBorders>
                  <w:vAlign w:val="center"/>
                </w:tcPr>
                <w:p w14:paraId="3AFB8100">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临界量（t）</w:t>
                  </w:r>
                </w:p>
              </w:tc>
              <w:tc>
                <w:tcPr>
                  <w:tcW w:w="716" w:type="pct"/>
                  <w:tcBorders>
                    <w:tl2br w:val="nil"/>
                    <w:tr2bl w:val="nil"/>
                  </w:tcBorders>
                  <w:vAlign w:val="center"/>
                </w:tcPr>
                <w:p w14:paraId="5D90BC02">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q/Q</w:t>
                  </w:r>
                </w:p>
              </w:tc>
            </w:tr>
            <w:tr w14:paraId="11BCF1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428" w:type="pct"/>
                  <w:tcBorders>
                    <w:tl2br w:val="nil"/>
                    <w:tr2bl w:val="nil"/>
                  </w:tcBorders>
                  <w:vAlign w:val="center"/>
                </w:tcPr>
                <w:p w14:paraId="79D46123">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1</w:t>
                  </w:r>
                </w:p>
              </w:tc>
              <w:tc>
                <w:tcPr>
                  <w:tcW w:w="1312" w:type="pct"/>
                  <w:tcBorders>
                    <w:tl2br w:val="nil"/>
                    <w:tr2bl w:val="nil"/>
                  </w:tcBorders>
                  <w:vAlign w:val="center"/>
                </w:tcPr>
                <w:p w14:paraId="639F63CA">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废机油</w:t>
                  </w:r>
                </w:p>
              </w:tc>
              <w:tc>
                <w:tcPr>
                  <w:tcW w:w="815" w:type="pct"/>
                  <w:tcBorders>
                    <w:tl2br w:val="nil"/>
                    <w:tr2bl w:val="nil"/>
                  </w:tcBorders>
                  <w:vAlign w:val="center"/>
                </w:tcPr>
                <w:p w14:paraId="74C421C2">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危废贮存点</w:t>
                  </w:r>
                </w:p>
              </w:tc>
              <w:tc>
                <w:tcPr>
                  <w:tcW w:w="816" w:type="pct"/>
                  <w:tcBorders>
                    <w:tl2br w:val="nil"/>
                    <w:tr2bl w:val="nil"/>
                  </w:tcBorders>
                  <w:vAlign w:val="center"/>
                </w:tcPr>
                <w:p w14:paraId="23500677">
                  <w:pPr>
                    <w:adjustRightInd w:val="0"/>
                    <w:snapToGrid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913" w:type="pct"/>
                  <w:tcBorders>
                    <w:tl2br w:val="nil"/>
                    <w:tr2bl w:val="nil"/>
                  </w:tcBorders>
                  <w:vAlign w:val="center"/>
                </w:tcPr>
                <w:p w14:paraId="5014C7CA">
                  <w:pPr>
                    <w:adjustRightInd w:val="0"/>
                    <w:snapToGrid w:val="0"/>
                    <w:spacing w:line="300" w:lineRule="exact"/>
                    <w:jc w:val="center"/>
                    <w:rPr>
                      <w:rFonts w:hint="default" w:ascii="Times New Roman" w:hAnsi="Times New Roman" w:cs="Times New Roman"/>
                      <w:sz w:val="21"/>
                      <w:szCs w:val="21"/>
                      <w:lang w:eastAsia="zh-CN"/>
                    </w:rPr>
                  </w:pPr>
                  <w:r>
                    <w:rPr>
                      <w:rFonts w:hint="eastAsia" w:ascii="Times New Roman" w:hAnsi="Times New Roman" w:cs="Times New Roman"/>
                      <w:sz w:val="21"/>
                      <w:szCs w:val="21"/>
                      <w:lang w:val="en-US" w:eastAsia="zh-CN"/>
                    </w:rPr>
                    <w:t>***</w:t>
                  </w:r>
                </w:p>
              </w:tc>
              <w:tc>
                <w:tcPr>
                  <w:tcW w:w="716" w:type="pct"/>
                  <w:tcBorders>
                    <w:tl2br w:val="nil"/>
                    <w:tr2bl w:val="nil"/>
                  </w:tcBorders>
                  <w:vAlign w:val="center"/>
                </w:tcPr>
                <w:p w14:paraId="484171F0">
                  <w:pPr>
                    <w:adjustRightInd w:val="0"/>
                    <w:snapToGrid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r>
            <w:tr w14:paraId="55CF9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4" w:type="pct"/>
                  <w:gridSpan w:val="5"/>
                  <w:tcBorders>
                    <w:tl2br w:val="nil"/>
                    <w:tr2bl w:val="nil"/>
                  </w:tcBorders>
                  <w:vAlign w:val="center"/>
                </w:tcPr>
                <w:p w14:paraId="1878A35E">
                  <w:pPr>
                    <w:adjustRightInd w:val="0"/>
                    <w:snapToGrid w:val="0"/>
                    <w:spacing w:line="300" w:lineRule="exact"/>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合计</w:t>
                  </w:r>
                </w:p>
              </w:tc>
              <w:tc>
                <w:tcPr>
                  <w:tcW w:w="716" w:type="pct"/>
                  <w:tcBorders>
                    <w:tl2br w:val="nil"/>
                    <w:tr2bl w:val="nil"/>
                  </w:tcBorders>
                  <w:vAlign w:val="center"/>
                </w:tcPr>
                <w:p w14:paraId="67201B99">
                  <w:pPr>
                    <w:adjustRightInd w:val="0"/>
                    <w:snapToGrid w:val="0"/>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r>
            <w:bookmarkEnd w:id="19"/>
          </w:tbl>
          <w:p w14:paraId="18D01324">
            <w:pPr>
              <w:adjustRightInd w:val="0"/>
              <w:snapToGrid w:val="0"/>
              <w:spacing w:before="120" w:beforeLines="50" w:line="360" w:lineRule="auto"/>
              <w:ind w:firstLine="480" w:firstLineChars="200"/>
              <w:rPr>
                <w:rFonts w:hint="default" w:ascii="Times New Roman" w:hAnsi="Times New Roman" w:cs="Times New Roman"/>
                <w:sz w:val="24"/>
                <w:lang w:eastAsia="zh-CN"/>
              </w:rPr>
            </w:pPr>
            <w:r>
              <w:rPr>
                <w:rFonts w:hint="default" w:ascii="Times New Roman" w:hAnsi="Times New Roman" w:cs="Times New Roman"/>
                <w:sz w:val="24"/>
                <w:lang w:eastAsia="zh-CN"/>
              </w:rPr>
              <w:t>由上表可知，本项目Q=</w:t>
            </w:r>
            <w:r>
              <w:rPr>
                <w:rFonts w:hint="eastAsia" w:ascii="Times New Roman" w:hAnsi="Times New Roman" w:cs="Times New Roman"/>
                <w:sz w:val="21"/>
                <w:szCs w:val="21"/>
                <w:lang w:val="en-US" w:eastAsia="zh-CN"/>
              </w:rPr>
              <w:t>***</w:t>
            </w:r>
            <w:r>
              <w:rPr>
                <w:rFonts w:hint="default" w:ascii="Times New Roman" w:hAnsi="Times New Roman" w:cs="Times New Roman"/>
                <w:sz w:val="24"/>
                <w:lang w:eastAsia="zh-CN"/>
              </w:rPr>
              <w:t>＜1，项目风险潜势为Ⅰ，简单分析即可。</w:t>
            </w:r>
          </w:p>
          <w:p w14:paraId="017B07BA">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7.3环境风险途径</w:t>
            </w:r>
          </w:p>
          <w:p w14:paraId="49635B89">
            <w:pPr>
              <w:snapToGrid w:val="0"/>
              <w:spacing w:line="360" w:lineRule="auto"/>
              <w:jc w:val="center"/>
              <w:rPr>
                <w:rFonts w:hint="eastAsia"/>
                <w:b/>
                <w:kern w:val="21"/>
                <w:sz w:val="24"/>
                <w:lang w:val="en-US" w:eastAsia="zh-CN"/>
              </w:rPr>
            </w:pPr>
            <w:r>
              <w:rPr>
                <w:rFonts w:hint="eastAsia"/>
                <w:b/>
                <w:kern w:val="21"/>
                <w:sz w:val="24"/>
                <w:lang w:val="en-US" w:eastAsia="zh-CN"/>
              </w:rPr>
              <w:t>略</w:t>
            </w:r>
          </w:p>
          <w:p w14:paraId="0E64CC0A">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7.4环境风险分析</w:t>
            </w:r>
          </w:p>
          <w:p w14:paraId="758B0701">
            <w:pPr>
              <w:snapToGrid w:val="0"/>
              <w:spacing w:line="360" w:lineRule="auto"/>
              <w:jc w:val="center"/>
              <w:rPr>
                <w:rFonts w:hint="eastAsia"/>
                <w:b/>
                <w:kern w:val="21"/>
                <w:sz w:val="24"/>
                <w:lang w:val="en-US" w:eastAsia="zh-CN"/>
              </w:rPr>
            </w:pPr>
            <w:bookmarkStart w:id="20" w:name="_Hlk194420044"/>
            <w:bookmarkStart w:id="21" w:name="_Hlk194420428"/>
            <w:r>
              <w:rPr>
                <w:rFonts w:hint="eastAsia"/>
                <w:b/>
                <w:kern w:val="21"/>
                <w:sz w:val="24"/>
                <w:lang w:val="en-US" w:eastAsia="zh-CN"/>
              </w:rPr>
              <w:t>略</w:t>
            </w:r>
          </w:p>
          <w:p w14:paraId="7A9E1CDC">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7.5环境风险防范措施</w:t>
            </w:r>
          </w:p>
          <w:bookmarkEnd w:id="20"/>
          <w:p w14:paraId="1EC60D46">
            <w:pPr>
              <w:snapToGrid w:val="0"/>
              <w:spacing w:line="360" w:lineRule="auto"/>
              <w:ind w:firstLine="482" w:firstLineChars="200"/>
              <w:rPr>
                <w:rFonts w:hint="eastAsia"/>
                <w:b/>
                <w:kern w:val="21"/>
                <w:sz w:val="24"/>
                <w:lang w:eastAsia="zh-CN"/>
              </w:rPr>
            </w:pPr>
            <w:r>
              <w:rPr>
                <w:rFonts w:hint="eastAsia"/>
                <w:b/>
                <w:kern w:val="21"/>
                <w:sz w:val="24"/>
                <w:lang w:eastAsia="zh-CN"/>
              </w:rPr>
              <w:t>危废贮存点泄漏防范措施</w:t>
            </w:r>
          </w:p>
          <w:p w14:paraId="7B1F8D36">
            <w:pPr>
              <w:snapToGrid w:val="0"/>
              <w:spacing w:line="360" w:lineRule="auto"/>
              <w:jc w:val="center"/>
              <w:rPr>
                <w:rFonts w:hint="default"/>
                <w:b/>
                <w:kern w:val="21"/>
                <w:sz w:val="24"/>
                <w:lang w:val="en-US" w:eastAsia="zh-CN"/>
              </w:rPr>
            </w:pPr>
            <w:r>
              <w:rPr>
                <w:rFonts w:hint="eastAsia"/>
                <w:b/>
                <w:kern w:val="21"/>
                <w:sz w:val="24"/>
                <w:lang w:val="en-US" w:eastAsia="zh-CN"/>
              </w:rPr>
              <w:t>略</w:t>
            </w:r>
          </w:p>
          <w:p w14:paraId="5681BED9">
            <w:pPr>
              <w:snapToGrid w:val="0"/>
              <w:spacing w:line="360" w:lineRule="auto"/>
              <w:ind w:firstLine="482" w:firstLineChars="200"/>
              <w:rPr>
                <w:rFonts w:hint="eastAsia"/>
                <w:b/>
                <w:kern w:val="21"/>
                <w:sz w:val="24"/>
                <w:lang w:eastAsia="zh-CN"/>
              </w:rPr>
            </w:pPr>
            <w:r>
              <w:rPr>
                <w:rFonts w:hint="eastAsia"/>
                <w:b/>
                <w:kern w:val="21"/>
                <w:sz w:val="24"/>
                <w:lang w:eastAsia="zh-CN"/>
              </w:rPr>
              <w:t>火灾、爆炸事故防范措施</w:t>
            </w:r>
          </w:p>
          <w:p w14:paraId="54B83A8C">
            <w:pPr>
              <w:snapToGrid w:val="0"/>
              <w:spacing w:line="360" w:lineRule="auto"/>
              <w:jc w:val="center"/>
              <w:rPr>
                <w:rFonts w:hint="eastAsia"/>
                <w:b/>
                <w:kern w:val="21"/>
                <w:sz w:val="24"/>
                <w:lang w:val="en-US" w:eastAsia="zh-CN"/>
              </w:rPr>
            </w:pPr>
            <w:r>
              <w:rPr>
                <w:rFonts w:hint="eastAsia"/>
                <w:b/>
                <w:kern w:val="21"/>
                <w:sz w:val="24"/>
                <w:lang w:val="en-US" w:eastAsia="zh-CN"/>
              </w:rPr>
              <w:t>略</w:t>
            </w:r>
          </w:p>
          <w:p w14:paraId="2329DDF3">
            <w:pPr>
              <w:snapToGrid w:val="0"/>
              <w:spacing w:line="360" w:lineRule="auto"/>
              <w:ind w:firstLine="482" w:firstLineChars="200"/>
              <w:rPr>
                <w:rFonts w:hint="eastAsia"/>
                <w:b/>
                <w:kern w:val="21"/>
                <w:sz w:val="24"/>
                <w:lang w:eastAsia="zh-CN"/>
              </w:rPr>
            </w:pPr>
            <w:r>
              <w:rPr>
                <w:rFonts w:hint="eastAsia"/>
                <w:b/>
                <w:kern w:val="21"/>
                <w:sz w:val="24"/>
                <w:lang w:eastAsia="zh-CN"/>
              </w:rPr>
              <w:t>废气事故排放风险防范措施</w:t>
            </w:r>
          </w:p>
          <w:bookmarkEnd w:id="21"/>
          <w:p w14:paraId="7CE603E7">
            <w:pPr>
              <w:snapToGrid w:val="0"/>
              <w:spacing w:line="360" w:lineRule="auto"/>
              <w:jc w:val="center"/>
              <w:rPr>
                <w:rFonts w:hint="eastAsia"/>
                <w:b/>
                <w:kern w:val="21"/>
                <w:sz w:val="24"/>
                <w:lang w:val="en-US" w:eastAsia="zh-CN"/>
              </w:rPr>
            </w:pPr>
            <w:r>
              <w:rPr>
                <w:rFonts w:hint="eastAsia"/>
                <w:b/>
                <w:kern w:val="21"/>
                <w:sz w:val="24"/>
                <w:lang w:val="en-US" w:eastAsia="zh-CN"/>
              </w:rPr>
              <w:t>略</w:t>
            </w:r>
          </w:p>
          <w:p w14:paraId="776CF3DD">
            <w:pPr>
              <w:adjustRightInd w:val="0"/>
              <w:snapToGrid w:val="0"/>
              <w:spacing w:line="360" w:lineRule="auto"/>
              <w:rPr>
                <w:rFonts w:ascii="Times New Roman" w:hAnsi="Times New Roman" w:cs="Times New Roman"/>
                <w:sz w:val="24"/>
                <w:szCs w:val="24"/>
                <w:lang w:eastAsia="zh-CN"/>
              </w:rPr>
            </w:pPr>
            <w:r>
              <w:rPr>
                <w:rFonts w:hint="eastAsia" w:cs="Times New Roman"/>
                <w:b/>
                <w:bCs/>
                <w:sz w:val="24"/>
                <w:szCs w:val="24"/>
                <w:lang w:eastAsia="zh-CN"/>
              </w:rPr>
              <w:t>7.6环境风险评价结论</w:t>
            </w:r>
          </w:p>
          <w:p w14:paraId="29D46258">
            <w:pPr>
              <w:adjustRightInd w:val="0"/>
              <w:snapToGrid w:val="0"/>
              <w:spacing w:line="360" w:lineRule="auto"/>
              <w:ind w:firstLine="480" w:firstLineChars="200"/>
              <w:rPr>
                <w:rFonts w:hint="eastAsia"/>
                <w:sz w:val="24"/>
                <w:lang w:eastAsia="zh-CN"/>
              </w:rPr>
            </w:pPr>
            <w:r>
              <w:rPr>
                <w:rFonts w:hint="eastAsia"/>
                <w:sz w:val="24"/>
                <w:lang w:eastAsia="zh-CN"/>
              </w:rPr>
              <w:t>本项目环境风险潜势为I，环境风险评价等级为简单分析；通过采取环评报告中提出的风险防范措施，可有效降低事故发生概率，所造成的环境影响较小，对外环境影响可接受。因此，本项目的环境风险可防控。</w:t>
            </w:r>
          </w:p>
          <w:p w14:paraId="2A1CBFAD">
            <w:pPr>
              <w:adjustRightInd w:val="0"/>
              <w:snapToGrid w:val="0"/>
              <w:spacing w:before="120" w:beforeLines="50" w:line="360" w:lineRule="auto"/>
              <w:rPr>
                <w:rFonts w:ascii="Times New Roman" w:hAnsi="Times New Roman" w:cs="Times New Roman" w:eastAsiaTheme="minorEastAsia"/>
                <w:b/>
                <w:bCs/>
                <w:sz w:val="28"/>
                <w:szCs w:val="28"/>
                <w:lang w:eastAsia="zh-CN"/>
              </w:rPr>
            </w:pPr>
            <w:bookmarkStart w:id="22" w:name="_Hlk194407185"/>
            <w:r>
              <w:rPr>
                <w:rFonts w:hint="eastAsia" w:ascii="Times New Roman" w:hAnsi="Times New Roman" w:cs="Times New Roman" w:eastAsiaTheme="minorEastAsia"/>
                <w:b/>
                <w:bCs/>
                <w:sz w:val="28"/>
                <w:szCs w:val="28"/>
                <w:lang w:eastAsia="zh-CN"/>
              </w:rPr>
              <w:t>8.环保投资估算</w:t>
            </w:r>
          </w:p>
          <w:p w14:paraId="311CA7BC">
            <w:pPr>
              <w:ind w:firstLine="480" w:firstLineChars="200"/>
              <w:rPr>
                <w:rFonts w:hint="eastAsia"/>
                <w:lang w:eastAsia="zh-CN"/>
              </w:rPr>
            </w:pPr>
            <w:r>
              <w:rPr>
                <w:rFonts w:hint="default" w:ascii="Times New Roman" w:hAnsi="Times New Roman" w:cs="Times New Roman"/>
                <w:sz w:val="24"/>
                <w:szCs w:val="24"/>
                <w:lang w:eastAsia="zh-CN"/>
              </w:rPr>
              <w:t>本项目总投资</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CN"/>
              </w:rPr>
              <w:t>万元，环保投资</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CN"/>
              </w:rPr>
              <w:t>万元，占总投资的</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eastAsia="zh-CN"/>
              </w:rPr>
              <w:t>%。本项目环保工程主要包括废气治理工程、噪声治理工程，</w:t>
            </w:r>
            <w:bookmarkEnd w:id="22"/>
          </w:p>
          <w:p w14:paraId="09B2F462">
            <w:pPr>
              <w:adjustRightInd w:val="0"/>
              <w:snapToGrid w:val="0"/>
              <w:spacing w:line="360" w:lineRule="auto"/>
              <w:rPr>
                <w:rFonts w:hint="eastAsia"/>
                <w:sz w:val="24"/>
                <w:lang w:eastAsia="zh-CN"/>
              </w:rPr>
            </w:pPr>
          </w:p>
        </w:tc>
      </w:tr>
    </w:tbl>
    <w:p w14:paraId="4AC22E4D">
      <w:pPr>
        <w:jc w:val="center"/>
        <w:rPr>
          <w:rFonts w:ascii="Times New Roman" w:hAnsi="Times New Roman" w:cs="Times New Roman"/>
          <w:sz w:val="21"/>
          <w:lang w:eastAsia="zh-CN"/>
        </w:rPr>
        <w:sectPr>
          <w:type w:val="nextColumn"/>
          <w:pgSz w:w="11913" w:h="16850"/>
          <w:pgMar w:top="1134" w:right="1134" w:bottom="1134" w:left="1134" w:header="0" w:footer="1043" w:gutter="0"/>
          <w:pgBorders>
            <w:top w:val="none" w:sz="0" w:space="0"/>
            <w:left w:val="none" w:sz="0" w:space="0"/>
            <w:bottom w:val="none" w:sz="0" w:space="0"/>
            <w:right w:val="none" w:sz="0" w:space="0"/>
          </w:pgBorders>
          <w:cols w:space="720" w:num="1"/>
        </w:sectPr>
      </w:pPr>
    </w:p>
    <w:p w14:paraId="1677231B">
      <w:pPr>
        <w:pStyle w:val="24"/>
        <w:rPr>
          <w:lang w:eastAsia="zh-CN"/>
        </w:rPr>
      </w:pPr>
      <w:bookmarkStart w:id="23" w:name="_Toc26335"/>
      <w:bookmarkStart w:id="24" w:name="_Toc30010"/>
      <w:r>
        <w:rPr>
          <w:rFonts w:hint="eastAsia"/>
          <w:lang w:eastAsia="zh-CN"/>
        </w:rPr>
        <w:t>五</w:t>
      </w:r>
      <w:r>
        <w:rPr>
          <w:lang w:eastAsia="zh-CN"/>
        </w:rPr>
        <w:t>、环境保护措施监督检查清单</w:t>
      </w:r>
      <w:bookmarkEnd w:id="23"/>
      <w:bookmarkEnd w:id="24"/>
    </w:p>
    <w:tbl>
      <w:tblPr>
        <w:tblStyle w:val="27"/>
        <w:tblW w:w="48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034"/>
        <w:gridCol w:w="1858"/>
        <w:gridCol w:w="1858"/>
        <w:gridCol w:w="1858"/>
        <w:gridCol w:w="1861"/>
      </w:tblGrid>
      <w:tr w14:paraId="4B74D1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074" w:type="pct"/>
            <w:tcBorders>
              <w:tl2br w:val="single" w:color="auto" w:sz="4" w:space="0"/>
            </w:tcBorders>
          </w:tcPr>
          <w:p w14:paraId="738A8232">
            <w:pPr>
              <w:adjustRightInd w:val="0"/>
              <w:snapToGrid w:val="0"/>
              <w:spacing w:line="300" w:lineRule="exact"/>
              <w:ind w:firstLine="840"/>
              <w:rPr>
                <w:rFonts w:ascii="Times New Roman" w:hAnsi="Times New Roman" w:cs="Times New Roman"/>
                <w:sz w:val="21"/>
                <w:szCs w:val="21"/>
              </w:rPr>
            </w:pPr>
            <w:r>
              <w:rPr>
                <w:rFonts w:ascii="Times New Roman" w:hAnsi="Times New Roman" w:cs="Times New Roman"/>
                <w:sz w:val="21"/>
                <w:szCs w:val="21"/>
              </w:rPr>
              <w:t>内容</w:t>
            </w:r>
          </w:p>
          <w:p w14:paraId="23B1ABA1">
            <w:pPr>
              <w:adjustRightInd w:val="0"/>
              <w:snapToGrid w:val="0"/>
              <w:spacing w:line="300" w:lineRule="exact"/>
              <w:rPr>
                <w:rFonts w:ascii="Times New Roman" w:hAnsi="Times New Roman" w:cs="Times New Roman"/>
                <w:sz w:val="21"/>
                <w:szCs w:val="21"/>
              </w:rPr>
            </w:pPr>
            <w:r>
              <w:rPr>
                <w:rFonts w:ascii="Times New Roman" w:hAnsi="Times New Roman" w:cs="Times New Roman"/>
                <w:sz w:val="21"/>
                <w:szCs w:val="21"/>
              </w:rPr>
              <w:t>要素</w:t>
            </w:r>
          </w:p>
        </w:tc>
        <w:tc>
          <w:tcPr>
            <w:tcW w:w="981" w:type="pct"/>
            <w:vAlign w:val="center"/>
          </w:tcPr>
          <w:p w14:paraId="721215E1">
            <w:pPr>
              <w:adjustRightInd w:val="0"/>
              <w:snapToGrid w:val="0"/>
              <w:spacing w:line="3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排放口</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编号、名称</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/污染源</w:t>
            </w:r>
          </w:p>
        </w:tc>
        <w:tc>
          <w:tcPr>
            <w:tcW w:w="981" w:type="pct"/>
            <w:vAlign w:val="center"/>
          </w:tcPr>
          <w:p w14:paraId="3ADE4323">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污染物</w:t>
            </w:r>
          </w:p>
          <w:p w14:paraId="7BC26CDA">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项目</w:t>
            </w:r>
          </w:p>
        </w:tc>
        <w:tc>
          <w:tcPr>
            <w:tcW w:w="981" w:type="pct"/>
            <w:vAlign w:val="center"/>
          </w:tcPr>
          <w:p w14:paraId="6CD6F0E9">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环境保护措施</w:t>
            </w:r>
          </w:p>
        </w:tc>
        <w:tc>
          <w:tcPr>
            <w:tcW w:w="982" w:type="pct"/>
            <w:vAlign w:val="center"/>
          </w:tcPr>
          <w:p w14:paraId="0CE51575">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执行标准</w:t>
            </w:r>
          </w:p>
        </w:tc>
      </w:tr>
      <w:tr w14:paraId="28307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74" w:type="pct"/>
            <w:vMerge w:val="restart"/>
            <w:vAlign w:val="center"/>
          </w:tcPr>
          <w:p w14:paraId="5BA4EDFF">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大气环境</w:t>
            </w:r>
          </w:p>
        </w:tc>
        <w:tc>
          <w:tcPr>
            <w:tcW w:w="981" w:type="pct"/>
            <w:vAlign w:val="center"/>
          </w:tcPr>
          <w:p w14:paraId="614B2521">
            <w:pPr>
              <w:spacing w:line="300" w:lineRule="exact"/>
              <w:jc w:val="center"/>
              <w:rPr>
                <w:rFonts w:ascii="Times New Roman" w:hAnsi="Times New Roman" w:cs="Times New Roman"/>
                <w:sz w:val="21"/>
                <w:szCs w:val="21"/>
                <w:lang w:eastAsia="zh-CN"/>
              </w:rPr>
            </w:pPr>
            <w:r>
              <w:rPr>
                <w:rFonts w:hint="eastAsia" w:ascii="Times New Roman" w:hAnsi="Times New Roman" w:cs="Times New Roman"/>
                <w:sz w:val="21"/>
                <w:szCs w:val="21"/>
                <w:lang w:val="en-US" w:eastAsia="zh-CN"/>
              </w:rPr>
              <w:t>加弹废气</w:t>
            </w:r>
            <w:r>
              <w:rPr>
                <w:rFonts w:ascii="Times New Roman" w:hAnsi="Times New Roman" w:cs="Times New Roman"/>
                <w:sz w:val="21"/>
                <w:szCs w:val="21"/>
                <w:lang w:eastAsia="zh-CN"/>
              </w:rPr>
              <w:t>；排气筒DA001</w:t>
            </w:r>
          </w:p>
        </w:tc>
        <w:tc>
          <w:tcPr>
            <w:tcW w:w="981" w:type="pct"/>
            <w:vAlign w:val="center"/>
          </w:tcPr>
          <w:p w14:paraId="1ADC467F">
            <w:pPr>
              <w:spacing w:line="300" w:lineRule="exact"/>
              <w:jc w:val="center"/>
              <w:rPr>
                <w:rFonts w:hint="default" w:ascii="Times New Roman" w:hAnsi="Times New Roman" w:cs="Times New Roman"/>
                <w:bCs/>
                <w:sz w:val="21"/>
                <w:szCs w:val="21"/>
                <w:lang w:val="en-US" w:eastAsia="zh-CN"/>
              </w:rPr>
            </w:pPr>
            <w:r>
              <w:rPr>
                <w:rFonts w:hint="eastAsia" w:ascii="Times New Roman" w:hAnsi="Times New Roman" w:cs="Times New Roman"/>
                <w:sz w:val="21"/>
                <w:szCs w:val="21"/>
                <w:lang w:val="en-US" w:eastAsia="zh-CN"/>
              </w:rPr>
              <w:t>NMHC</w:t>
            </w:r>
          </w:p>
        </w:tc>
        <w:tc>
          <w:tcPr>
            <w:tcW w:w="981" w:type="pct"/>
            <w:vAlign w:val="center"/>
          </w:tcPr>
          <w:p w14:paraId="0F893202">
            <w:pPr>
              <w:adjustRightInd w:val="0"/>
              <w:snapToGrid w:val="0"/>
              <w:spacing w:line="300" w:lineRule="exact"/>
              <w:jc w:val="center"/>
              <w:rPr>
                <w:rFonts w:ascii="Times New Roman" w:hAnsi="Times New Roman" w:cs="Times New Roman"/>
                <w:bCs/>
                <w:sz w:val="21"/>
                <w:szCs w:val="21"/>
                <w:lang w:eastAsia="zh-CN"/>
              </w:rPr>
            </w:pPr>
            <w:r>
              <w:rPr>
                <w:rFonts w:hint="eastAsia" w:ascii="Times New Roman" w:hAnsi="Times New Roman" w:eastAsia="宋体" w:cs="Times New Roman"/>
                <w:sz w:val="21"/>
                <w:szCs w:val="21"/>
                <w:lang w:val="en-US" w:eastAsia="zh-CN"/>
              </w:rPr>
              <w:t>静电除油</w:t>
            </w:r>
            <w:r>
              <w:rPr>
                <w:rFonts w:hint="eastAsia" w:ascii="Times New Roman" w:hAnsi="Times New Roman" w:eastAsia="宋体" w:cs="Times New Roman"/>
                <w:sz w:val="21"/>
                <w:szCs w:val="21"/>
                <w:lang w:eastAsia="zh-CN"/>
              </w:rPr>
              <w:t>+15m排气筒</w:t>
            </w:r>
          </w:p>
        </w:tc>
        <w:tc>
          <w:tcPr>
            <w:tcW w:w="1861" w:type="dxa"/>
            <w:vAlign w:val="center"/>
          </w:tcPr>
          <w:p w14:paraId="1D502F3A">
            <w:pPr>
              <w:spacing w:line="240" w:lineRule="auto"/>
              <w:jc w:val="center"/>
              <w:rPr>
                <w:rFonts w:ascii="Times New Roman" w:hAnsi="Times New Roman" w:cs="Times New Roman"/>
                <w:sz w:val="21"/>
                <w:szCs w:val="21"/>
                <w:lang w:eastAsia="zh-CN"/>
              </w:rPr>
            </w:pPr>
            <w:r>
              <w:rPr>
                <w:rFonts w:hint="default" w:ascii="Times New Roman" w:hAnsi="Times New Roman" w:eastAsia="宋体" w:cs="Times New Roman"/>
                <w:b w:val="0"/>
                <w:bCs w:val="0"/>
                <w:color w:val="000000"/>
                <w:kern w:val="0"/>
                <w:sz w:val="21"/>
                <w:szCs w:val="21"/>
                <w:highlight w:val="none"/>
                <w:lang w:val="en-US" w:eastAsia="zh-CN" w:bidi="ar"/>
              </w:rPr>
              <w:t>《大气污染物综合排放标准》（GB 16297-1996）表2</w:t>
            </w:r>
          </w:p>
        </w:tc>
      </w:tr>
      <w:tr w14:paraId="6D6AD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74" w:type="pct"/>
            <w:vMerge w:val="continue"/>
            <w:vAlign w:val="center"/>
          </w:tcPr>
          <w:p w14:paraId="0347BC8F">
            <w:pPr>
              <w:adjustRightInd w:val="0"/>
              <w:snapToGrid w:val="0"/>
              <w:spacing w:line="300" w:lineRule="exact"/>
              <w:jc w:val="center"/>
              <w:rPr>
                <w:rFonts w:ascii="Times New Roman" w:hAnsi="Times New Roman" w:cs="Times New Roman"/>
                <w:sz w:val="21"/>
                <w:szCs w:val="21"/>
              </w:rPr>
            </w:pPr>
          </w:p>
        </w:tc>
        <w:tc>
          <w:tcPr>
            <w:tcW w:w="981" w:type="pct"/>
            <w:vMerge w:val="restart"/>
            <w:vAlign w:val="center"/>
          </w:tcPr>
          <w:p w14:paraId="2589BB23">
            <w:pPr>
              <w:spacing w:line="300" w:lineRule="exact"/>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定型废气；排气筒DA002</w:t>
            </w:r>
          </w:p>
        </w:tc>
        <w:tc>
          <w:tcPr>
            <w:tcW w:w="1858" w:type="dxa"/>
            <w:vAlign w:val="center"/>
          </w:tcPr>
          <w:p w14:paraId="63F71F82">
            <w:pPr>
              <w:adjustRightInd w:val="0"/>
              <w:snapToGrid w:val="0"/>
              <w:jc w:val="center"/>
              <w:rPr>
                <w:rFonts w:hint="eastAsia" w:ascii="Times New Roman" w:hAnsi="Times New Roman" w:cs="Times New Roman"/>
                <w:sz w:val="21"/>
                <w:szCs w:val="21"/>
                <w:lang w:eastAsia="zh-CN"/>
              </w:rPr>
            </w:pPr>
            <w:r>
              <w:rPr>
                <w:rFonts w:hint="default" w:ascii="Times New Roman" w:hAnsi="Times New Roman" w:eastAsia="宋体" w:cs="Times New Roman"/>
                <w:color w:val="auto"/>
                <w:kern w:val="2"/>
                <w:sz w:val="21"/>
                <w:szCs w:val="21"/>
                <w:lang w:val="en-US" w:eastAsia="zh-CN" w:bidi="ar-SA"/>
              </w:rPr>
              <w:t>颗粒物</w:t>
            </w:r>
          </w:p>
        </w:tc>
        <w:tc>
          <w:tcPr>
            <w:tcW w:w="1858" w:type="dxa"/>
            <w:vMerge w:val="restart"/>
            <w:vAlign w:val="center"/>
          </w:tcPr>
          <w:p w14:paraId="23B1E63F">
            <w:pPr>
              <w:adjustRightInd w:val="0"/>
              <w:snapToGrid w:val="0"/>
              <w:spacing w:line="300" w:lineRule="exact"/>
              <w:jc w:val="center"/>
              <w:rPr>
                <w:rFonts w:hint="eastAsia" w:ascii="Times New Roman" w:hAnsi="Times New Roman" w:cs="Times New Roman"/>
                <w:sz w:val="21"/>
                <w:szCs w:val="21"/>
                <w:lang w:eastAsia="zh-CN"/>
              </w:rPr>
            </w:pPr>
            <w:r>
              <w:rPr>
                <w:rFonts w:hint="eastAsia" w:ascii="Times New Roman" w:hAnsi="Times New Roman" w:eastAsia="宋体" w:cs="Times New Roman"/>
                <w:sz w:val="21"/>
                <w:szCs w:val="21"/>
                <w:lang w:val="en-US" w:eastAsia="zh-CN"/>
              </w:rPr>
              <w:t>水喷淋+除雾+静电除油+15</w:t>
            </w:r>
            <w:r>
              <w:rPr>
                <w:rFonts w:hint="default" w:ascii="Times New Roman" w:hAnsi="Times New Roman" w:eastAsia="宋体" w:cs="Times New Roman"/>
                <w:sz w:val="21"/>
                <w:szCs w:val="21"/>
                <w:lang w:val="en-US" w:eastAsia="zh-CN"/>
              </w:rPr>
              <w:t>m排气筒</w:t>
            </w:r>
          </w:p>
        </w:tc>
        <w:tc>
          <w:tcPr>
            <w:tcW w:w="1861" w:type="dxa"/>
            <w:vMerge w:val="restart"/>
            <w:vAlign w:val="center"/>
          </w:tcPr>
          <w:p w14:paraId="74F3B137">
            <w:pPr>
              <w:spacing w:line="240" w:lineRule="auto"/>
              <w:jc w:val="center"/>
              <w:rPr>
                <w:rFonts w:hint="default" w:ascii="Times New Roman" w:hAnsi="Times New Roman" w:cs="Times New Roman"/>
                <w:bCs/>
                <w:kern w:val="13"/>
                <w:sz w:val="21"/>
                <w:szCs w:val="21"/>
                <w:lang w:val="en-US" w:eastAsia="zh-CN"/>
              </w:rPr>
            </w:pPr>
            <w:r>
              <w:rPr>
                <w:rFonts w:hint="eastAsia" w:ascii="Times New Roman" w:hAnsi="Times New Roman" w:eastAsia="宋体" w:cs="Times New Roman"/>
                <w:b w:val="0"/>
                <w:bCs w:val="0"/>
                <w:color w:val="000000"/>
                <w:kern w:val="0"/>
                <w:sz w:val="21"/>
                <w:szCs w:val="21"/>
                <w:highlight w:val="none"/>
                <w:lang w:val="en-US" w:eastAsia="zh-CN" w:bidi="ar"/>
              </w:rPr>
              <w:t>颗粒物、</w:t>
            </w:r>
            <w:r>
              <w:rPr>
                <w:rFonts w:hint="default" w:ascii="Times New Roman" w:hAnsi="Times New Roman" w:eastAsia="宋体" w:cs="Times New Roman"/>
                <w:b w:val="0"/>
                <w:bCs w:val="0"/>
                <w:color w:val="000000"/>
                <w:kern w:val="0"/>
                <w:sz w:val="21"/>
                <w:szCs w:val="21"/>
                <w:highlight w:val="none"/>
                <w:lang w:val="en-US" w:eastAsia="zh-CN" w:bidi="ar"/>
              </w:rPr>
              <w:t>烟气黑度</w:t>
            </w:r>
            <w:r>
              <w:rPr>
                <w:rFonts w:hint="eastAsia" w:ascii="Times New Roman" w:hAnsi="Times New Roman" w:eastAsia="宋体" w:cs="Times New Roman"/>
                <w:b w:val="0"/>
                <w:bCs w:val="0"/>
                <w:color w:val="000000"/>
                <w:kern w:val="0"/>
                <w:sz w:val="21"/>
                <w:szCs w:val="21"/>
                <w:highlight w:val="none"/>
                <w:lang w:val="en-US" w:eastAsia="zh-CN" w:bidi="ar"/>
              </w:rPr>
              <w:t>参照</w:t>
            </w:r>
            <w:r>
              <w:rPr>
                <w:rFonts w:hint="default" w:ascii="Times New Roman" w:hAnsi="Times New Roman" w:eastAsia="宋体" w:cs="Times New Roman"/>
                <w:b w:val="0"/>
                <w:bCs w:val="0"/>
                <w:color w:val="000000"/>
                <w:kern w:val="0"/>
                <w:sz w:val="21"/>
                <w:szCs w:val="21"/>
                <w:highlight w:val="none"/>
                <w:lang w:val="en-US" w:eastAsia="zh-CN" w:bidi="ar"/>
              </w:rPr>
              <w:t>《工业炉窑大气污染物排放标准》（GB 9078-1996）SO</w:t>
            </w:r>
            <w:r>
              <w:rPr>
                <w:rFonts w:hint="default" w:ascii="Times New Roman" w:hAnsi="Times New Roman" w:eastAsia="宋体" w:cs="Times New Roman"/>
                <w:b w:val="0"/>
                <w:bCs w:val="0"/>
                <w:color w:val="000000"/>
                <w:kern w:val="0"/>
                <w:sz w:val="21"/>
                <w:szCs w:val="21"/>
                <w:highlight w:val="none"/>
                <w:vertAlign w:val="subscript"/>
                <w:lang w:val="en-US" w:eastAsia="zh-CN" w:bidi="ar"/>
              </w:rPr>
              <w:t>2</w:t>
            </w:r>
            <w:r>
              <w:rPr>
                <w:rFonts w:hint="eastAsia" w:ascii="Times New Roman" w:hAnsi="Times New Roman" w:eastAsia="宋体" w:cs="Times New Roman"/>
                <w:b w:val="0"/>
                <w:bCs w:val="0"/>
                <w:color w:val="000000"/>
                <w:kern w:val="0"/>
                <w:sz w:val="21"/>
                <w:szCs w:val="21"/>
                <w:highlight w:val="none"/>
                <w:lang w:val="en-US" w:eastAsia="zh-CN" w:bidi="ar"/>
              </w:rPr>
              <w:t>、</w:t>
            </w:r>
            <w:r>
              <w:rPr>
                <w:rFonts w:hint="default" w:ascii="Times New Roman" w:hAnsi="Times New Roman" w:eastAsia="宋体" w:cs="Times New Roman"/>
                <w:b w:val="0"/>
                <w:bCs w:val="0"/>
                <w:color w:val="000000"/>
                <w:kern w:val="0"/>
                <w:sz w:val="21"/>
                <w:szCs w:val="21"/>
                <w:highlight w:val="none"/>
                <w:lang w:val="en-US" w:eastAsia="zh-CN" w:bidi="ar"/>
              </w:rPr>
              <w:t>NOx</w:t>
            </w:r>
            <w:r>
              <w:rPr>
                <w:rFonts w:hint="eastAsia" w:ascii="Times New Roman" w:hAnsi="Times New Roman" w:cs="Times New Roman"/>
                <w:b w:val="0"/>
                <w:bCs w:val="0"/>
                <w:color w:val="000000"/>
                <w:kern w:val="0"/>
                <w:sz w:val="21"/>
                <w:szCs w:val="21"/>
                <w:highlight w:val="none"/>
                <w:lang w:val="en-US" w:eastAsia="zh-CN" w:bidi="ar"/>
              </w:rPr>
              <w:t>、NMHC</w:t>
            </w:r>
            <w:r>
              <w:rPr>
                <w:rFonts w:hint="eastAsia" w:ascii="Times New Roman" w:hAnsi="Times New Roman" w:eastAsia="宋体" w:cs="Times New Roman"/>
                <w:b w:val="0"/>
                <w:bCs w:val="0"/>
                <w:color w:val="000000"/>
                <w:kern w:val="0"/>
                <w:sz w:val="21"/>
                <w:szCs w:val="21"/>
                <w:highlight w:val="none"/>
                <w:lang w:val="en-US" w:eastAsia="zh-CN" w:bidi="ar"/>
              </w:rPr>
              <w:t>参照</w:t>
            </w:r>
            <w:r>
              <w:rPr>
                <w:rFonts w:hint="default" w:ascii="Times New Roman" w:hAnsi="Times New Roman" w:eastAsia="宋体" w:cs="Times New Roman"/>
                <w:b w:val="0"/>
                <w:bCs w:val="0"/>
                <w:color w:val="000000"/>
                <w:kern w:val="0"/>
                <w:sz w:val="21"/>
                <w:szCs w:val="21"/>
                <w:highlight w:val="none"/>
                <w:lang w:val="en-US" w:eastAsia="zh-CN" w:bidi="ar"/>
              </w:rPr>
              <w:t>《大气污染物综合排放标准》（GB 16297-1996）表2</w:t>
            </w:r>
          </w:p>
        </w:tc>
      </w:tr>
      <w:tr w14:paraId="77EA0B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74" w:type="pct"/>
            <w:vMerge w:val="continue"/>
            <w:vAlign w:val="center"/>
          </w:tcPr>
          <w:p w14:paraId="06B6739A">
            <w:pPr>
              <w:adjustRightInd w:val="0"/>
              <w:snapToGrid w:val="0"/>
              <w:spacing w:line="300" w:lineRule="exact"/>
              <w:jc w:val="center"/>
              <w:rPr>
                <w:rFonts w:ascii="Times New Roman" w:hAnsi="Times New Roman" w:cs="Times New Roman"/>
                <w:sz w:val="21"/>
                <w:szCs w:val="21"/>
              </w:rPr>
            </w:pPr>
          </w:p>
        </w:tc>
        <w:tc>
          <w:tcPr>
            <w:tcW w:w="981" w:type="pct"/>
            <w:vMerge w:val="continue"/>
            <w:vAlign w:val="center"/>
          </w:tcPr>
          <w:p w14:paraId="00E183BC">
            <w:pPr>
              <w:spacing w:line="300" w:lineRule="exact"/>
              <w:jc w:val="center"/>
              <w:rPr>
                <w:rFonts w:hint="eastAsia" w:ascii="Times New Roman" w:hAnsi="Times New Roman" w:cs="Times New Roman"/>
                <w:sz w:val="21"/>
                <w:szCs w:val="21"/>
                <w:lang w:eastAsia="zh-CN"/>
              </w:rPr>
            </w:pPr>
          </w:p>
        </w:tc>
        <w:tc>
          <w:tcPr>
            <w:tcW w:w="1858" w:type="dxa"/>
            <w:vAlign w:val="center"/>
          </w:tcPr>
          <w:p w14:paraId="4EE65D0B">
            <w:pPr>
              <w:adjustRightInd w:val="0"/>
              <w:snapToGrid w:val="0"/>
              <w:jc w:val="center"/>
              <w:rPr>
                <w:rFonts w:hint="eastAsia" w:ascii="Times New Roman" w:hAnsi="Times New Roman" w:cs="Times New Roman"/>
                <w:sz w:val="21"/>
                <w:szCs w:val="21"/>
                <w:lang w:eastAsia="zh-CN"/>
              </w:rPr>
            </w:pPr>
            <w:r>
              <w:rPr>
                <w:rFonts w:hint="default" w:ascii="Times New Roman" w:hAnsi="Times New Roman" w:eastAsia="宋体" w:cs="Times New Roman"/>
                <w:color w:val="auto"/>
                <w:kern w:val="2"/>
                <w:sz w:val="21"/>
                <w:szCs w:val="21"/>
                <w:lang w:val="en-US" w:eastAsia="zh-CN" w:bidi="ar-SA"/>
              </w:rPr>
              <w:t>SO</w:t>
            </w:r>
            <w:r>
              <w:rPr>
                <w:rFonts w:hint="default" w:ascii="Times New Roman" w:hAnsi="Times New Roman" w:eastAsia="宋体" w:cs="Times New Roman"/>
                <w:color w:val="auto"/>
                <w:kern w:val="2"/>
                <w:sz w:val="21"/>
                <w:szCs w:val="21"/>
                <w:vertAlign w:val="subscript"/>
                <w:lang w:val="en-US" w:eastAsia="zh-CN" w:bidi="ar-SA"/>
              </w:rPr>
              <w:t>2</w:t>
            </w:r>
          </w:p>
        </w:tc>
        <w:tc>
          <w:tcPr>
            <w:tcW w:w="1858" w:type="dxa"/>
            <w:vMerge w:val="continue"/>
            <w:vAlign w:val="center"/>
          </w:tcPr>
          <w:p w14:paraId="35A7DE88">
            <w:pPr>
              <w:adjustRightInd w:val="0"/>
              <w:snapToGrid w:val="0"/>
              <w:jc w:val="center"/>
              <w:rPr>
                <w:rFonts w:hint="eastAsia" w:ascii="Times New Roman" w:hAnsi="Times New Roman" w:cs="Times New Roman"/>
                <w:sz w:val="21"/>
                <w:szCs w:val="21"/>
                <w:lang w:eastAsia="zh-CN"/>
              </w:rPr>
            </w:pPr>
          </w:p>
        </w:tc>
        <w:tc>
          <w:tcPr>
            <w:tcW w:w="1861" w:type="dxa"/>
            <w:vMerge w:val="continue"/>
            <w:vAlign w:val="center"/>
          </w:tcPr>
          <w:p w14:paraId="656C4BB6">
            <w:pPr>
              <w:jc w:val="center"/>
              <w:rPr>
                <w:rFonts w:ascii="Times New Roman" w:hAnsi="Times New Roman" w:cs="Times New Roman"/>
                <w:bCs/>
                <w:kern w:val="13"/>
                <w:sz w:val="21"/>
                <w:szCs w:val="21"/>
                <w:lang w:eastAsia="zh-CN"/>
              </w:rPr>
            </w:pPr>
          </w:p>
        </w:tc>
      </w:tr>
      <w:tr w14:paraId="1E83E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74" w:type="pct"/>
            <w:vMerge w:val="continue"/>
            <w:vAlign w:val="center"/>
          </w:tcPr>
          <w:p w14:paraId="28335E00">
            <w:pPr>
              <w:adjustRightInd w:val="0"/>
              <w:snapToGrid w:val="0"/>
              <w:spacing w:line="300" w:lineRule="exact"/>
              <w:jc w:val="center"/>
              <w:rPr>
                <w:rFonts w:ascii="Times New Roman" w:hAnsi="Times New Roman" w:cs="Times New Roman"/>
                <w:sz w:val="21"/>
                <w:szCs w:val="21"/>
              </w:rPr>
            </w:pPr>
          </w:p>
        </w:tc>
        <w:tc>
          <w:tcPr>
            <w:tcW w:w="981" w:type="pct"/>
            <w:vMerge w:val="continue"/>
            <w:vAlign w:val="center"/>
          </w:tcPr>
          <w:p w14:paraId="3A3C43A3">
            <w:pPr>
              <w:spacing w:line="300" w:lineRule="exact"/>
              <w:jc w:val="center"/>
              <w:rPr>
                <w:rFonts w:hint="eastAsia" w:ascii="Times New Roman" w:hAnsi="Times New Roman" w:cs="Times New Roman"/>
                <w:sz w:val="21"/>
                <w:szCs w:val="21"/>
                <w:lang w:eastAsia="zh-CN"/>
              </w:rPr>
            </w:pPr>
          </w:p>
        </w:tc>
        <w:tc>
          <w:tcPr>
            <w:tcW w:w="1858" w:type="dxa"/>
            <w:vAlign w:val="center"/>
          </w:tcPr>
          <w:p w14:paraId="3F1FF9F8">
            <w:pPr>
              <w:adjustRightInd w:val="0"/>
              <w:snapToGrid w:val="0"/>
              <w:jc w:val="center"/>
              <w:rPr>
                <w:rFonts w:hint="eastAsia" w:ascii="Times New Roman" w:hAnsi="Times New Roman" w:cs="Times New Roman"/>
                <w:sz w:val="21"/>
                <w:szCs w:val="21"/>
                <w:lang w:eastAsia="zh-CN"/>
              </w:rPr>
            </w:pPr>
            <w:r>
              <w:rPr>
                <w:rFonts w:hint="default" w:ascii="Times New Roman" w:hAnsi="Times New Roman" w:eastAsia="宋体" w:cs="Times New Roman"/>
                <w:color w:val="auto"/>
                <w:kern w:val="2"/>
                <w:sz w:val="21"/>
                <w:szCs w:val="21"/>
                <w:lang w:val="en-US" w:eastAsia="zh-CN" w:bidi="ar-SA"/>
              </w:rPr>
              <w:t>NOx</w:t>
            </w:r>
          </w:p>
        </w:tc>
        <w:tc>
          <w:tcPr>
            <w:tcW w:w="1858" w:type="dxa"/>
            <w:vMerge w:val="continue"/>
            <w:vAlign w:val="center"/>
          </w:tcPr>
          <w:p w14:paraId="0A3139DC">
            <w:pPr>
              <w:adjustRightInd w:val="0"/>
              <w:snapToGrid w:val="0"/>
              <w:jc w:val="center"/>
              <w:rPr>
                <w:rFonts w:hint="eastAsia" w:ascii="Times New Roman" w:hAnsi="Times New Roman" w:cs="Times New Roman"/>
                <w:sz w:val="21"/>
                <w:szCs w:val="21"/>
                <w:lang w:eastAsia="zh-CN"/>
              </w:rPr>
            </w:pPr>
          </w:p>
        </w:tc>
        <w:tc>
          <w:tcPr>
            <w:tcW w:w="1861" w:type="dxa"/>
            <w:vMerge w:val="continue"/>
            <w:vAlign w:val="center"/>
          </w:tcPr>
          <w:p w14:paraId="6585DBE9">
            <w:pPr>
              <w:jc w:val="center"/>
              <w:rPr>
                <w:rFonts w:ascii="Times New Roman" w:hAnsi="Times New Roman" w:cs="Times New Roman"/>
                <w:bCs/>
                <w:kern w:val="13"/>
                <w:sz w:val="21"/>
                <w:szCs w:val="21"/>
                <w:lang w:eastAsia="zh-CN"/>
              </w:rPr>
            </w:pPr>
          </w:p>
        </w:tc>
      </w:tr>
      <w:tr w14:paraId="246A4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74" w:type="pct"/>
            <w:vMerge w:val="continue"/>
            <w:vAlign w:val="center"/>
          </w:tcPr>
          <w:p w14:paraId="60BF348C">
            <w:pPr>
              <w:adjustRightInd w:val="0"/>
              <w:snapToGrid w:val="0"/>
              <w:spacing w:line="300" w:lineRule="exact"/>
              <w:jc w:val="center"/>
              <w:rPr>
                <w:rFonts w:ascii="Times New Roman" w:hAnsi="Times New Roman" w:cs="Times New Roman"/>
                <w:sz w:val="21"/>
                <w:szCs w:val="21"/>
              </w:rPr>
            </w:pPr>
          </w:p>
        </w:tc>
        <w:tc>
          <w:tcPr>
            <w:tcW w:w="981" w:type="pct"/>
            <w:vMerge w:val="continue"/>
            <w:vAlign w:val="center"/>
          </w:tcPr>
          <w:p w14:paraId="118F3251">
            <w:pPr>
              <w:spacing w:line="300" w:lineRule="exact"/>
              <w:jc w:val="center"/>
              <w:rPr>
                <w:rFonts w:hint="eastAsia" w:ascii="Times New Roman" w:hAnsi="Times New Roman" w:cs="Times New Roman"/>
                <w:sz w:val="21"/>
                <w:szCs w:val="21"/>
                <w:lang w:eastAsia="zh-CN"/>
              </w:rPr>
            </w:pPr>
          </w:p>
        </w:tc>
        <w:tc>
          <w:tcPr>
            <w:tcW w:w="1858" w:type="dxa"/>
            <w:vAlign w:val="center"/>
          </w:tcPr>
          <w:p w14:paraId="11328E66">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烟气黑度（林格曼黑度，级）</w:t>
            </w:r>
          </w:p>
        </w:tc>
        <w:tc>
          <w:tcPr>
            <w:tcW w:w="1858" w:type="dxa"/>
            <w:vMerge w:val="continue"/>
            <w:vAlign w:val="center"/>
          </w:tcPr>
          <w:p w14:paraId="2CD32C37">
            <w:pPr>
              <w:adjustRightInd w:val="0"/>
              <w:snapToGrid w:val="0"/>
              <w:jc w:val="center"/>
              <w:rPr>
                <w:rFonts w:hint="eastAsia" w:ascii="Times New Roman" w:hAnsi="Times New Roman" w:cs="Times New Roman"/>
                <w:sz w:val="21"/>
                <w:szCs w:val="21"/>
                <w:lang w:eastAsia="zh-CN"/>
              </w:rPr>
            </w:pPr>
          </w:p>
        </w:tc>
        <w:tc>
          <w:tcPr>
            <w:tcW w:w="1861" w:type="dxa"/>
            <w:vMerge w:val="continue"/>
            <w:vAlign w:val="center"/>
          </w:tcPr>
          <w:p w14:paraId="24A2A457">
            <w:pPr>
              <w:jc w:val="center"/>
              <w:rPr>
                <w:rFonts w:ascii="Times New Roman" w:hAnsi="Times New Roman" w:cs="Times New Roman"/>
                <w:bCs/>
                <w:kern w:val="13"/>
                <w:sz w:val="21"/>
                <w:szCs w:val="21"/>
                <w:lang w:eastAsia="zh-CN"/>
              </w:rPr>
            </w:pPr>
          </w:p>
        </w:tc>
      </w:tr>
      <w:tr w14:paraId="4777F4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074" w:type="pct"/>
            <w:vMerge w:val="continue"/>
            <w:vAlign w:val="center"/>
          </w:tcPr>
          <w:p w14:paraId="6C0D386F">
            <w:pPr>
              <w:adjustRightInd w:val="0"/>
              <w:snapToGrid w:val="0"/>
              <w:spacing w:line="300" w:lineRule="exact"/>
              <w:jc w:val="center"/>
              <w:rPr>
                <w:rFonts w:ascii="Times New Roman" w:hAnsi="Times New Roman" w:cs="Times New Roman"/>
                <w:sz w:val="21"/>
                <w:szCs w:val="21"/>
              </w:rPr>
            </w:pPr>
          </w:p>
        </w:tc>
        <w:tc>
          <w:tcPr>
            <w:tcW w:w="981" w:type="pct"/>
            <w:vMerge w:val="continue"/>
            <w:vAlign w:val="center"/>
          </w:tcPr>
          <w:p w14:paraId="657C3F97">
            <w:pPr>
              <w:spacing w:line="300" w:lineRule="exact"/>
              <w:jc w:val="center"/>
              <w:rPr>
                <w:rFonts w:hint="eastAsia" w:ascii="Times New Roman" w:hAnsi="Times New Roman" w:cs="Times New Roman"/>
                <w:sz w:val="21"/>
                <w:szCs w:val="21"/>
                <w:lang w:eastAsia="zh-CN"/>
              </w:rPr>
            </w:pPr>
          </w:p>
        </w:tc>
        <w:tc>
          <w:tcPr>
            <w:tcW w:w="1858" w:type="dxa"/>
            <w:vAlign w:val="center"/>
          </w:tcPr>
          <w:p w14:paraId="7F07EA81">
            <w:pPr>
              <w:adjustRightInd w:val="0"/>
              <w:snapToGrid w:val="0"/>
              <w:jc w:val="center"/>
              <w:rPr>
                <w:rFonts w:hint="eastAsia" w:ascii="Times New Roman" w:hAnsi="Times New Roman" w:cs="Times New Roman"/>
                <w:sz w:val="21"/>
                <w:szCs w:val="21"/>
                <w:lang w:eastAsia="zh-CN"/>
              </w:rPr>
            </w:pPr>
            <w:r>
              <w:rPr>
                <w:rFonts w:hint="eastAsia" w:ascii="Times New Roman" w:hAnsi="Times New Roman" w:cs="Times New Roman"/>
                <w:sz w:val="21"/>
                <w:szCs w:val="21"/>
                <w:lang w:val="en-US" w:eastAsia="zh-CN"/>
              </w:rPr>
              <w:t>NMHC</w:t>
            </w:r>
          </w:p>
        </w:tc>
        <w:tc>
          <w:tcPr>
            <w:tcW w:w="1858" w:type="dxa"/>
            <w:vMerge w:val="continue"/>
            <w:vAlign w:val="center"/>
          </w:tcPr>
          <w:p w14:paraId="3AF01E4F">
            <w:pPr>
              <w:adjustRightInd w:val="0"/>
              <w:snapToGrid w:val="0"/>
              <w:jc w:val="center"/>
              <w:rPr>
                <w:rFonts w:hint="eastAsia" w:ascii="Times New Roman" w:hAnsi="Times New Roman" w:cs="Times New Roman"/>
                <w:sz w:val="21"/>
                <w:szCs w:val="21"/>
                <w:lang w:eastAsia="zh-CN"/>
              </w:rPr>
            </w:pPr>
          </w:p>
        </w:tc>
        <w:tc>
          <w:tcPr>
            <w:tcW w:w="1861" w:type="dxa"/>
            <w:vMerge w:val="continue"/>
            <w:vAlign w:val="center"/>
          </w:tcPr>
          <w:p w14:paraId="7DC2F363">
            <w:pPr>
              <w:keepNext w:val="0"/>
              <w:keepLines w:val="0"/>
              <w:widowControl/>
              <w:suppressLineNumbers w:val="0"/>
              <w:jc w:val="center"/>
              <w:rPr>
                <w:rFonts w:ascii="Times New Roman" w:hAnsi="Times New Roman" w:cs="Times New Roman"/>
                <w:bCs/>
                <w:kern w:val="13"/>
                <w:sz w:val="21"/>
                <w:szCs w:val="21"/>
                <w:lang w:eastAsia="zh-CN"/>
              </w:rPr>
            </w:pPr>
          </w:p>
        </w:tc>
      </w:tr>
      <w:tr w14:paraId="77E44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074" w:type="pct"/>
            <w:vAlign w:val="center"/>
          </w:tcPr>
          <w:p w14:paraId="6627CA60">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地表水环境</w:t>
            </w:r>
          </w:p>
        </w:tc>
        <w:tc>
          <w:tcPr>
            <w:tcW w:w="981" w:type="pct"/>
            <w:vAlign w:val="center"/>
          </w:tcPr>
          <w:p w14:paraId="1F8BAC34">
            <w:pPr>
              <w:adjustRightInd w:val="0"/>
              <w:snapToGrid w:val="0"/>
              <w:spacing w:line="300" w:lineRule="exact"/>
              <w:jc w:val="center"/>
              <w:rPr>
                <w:rFonts w:hint="default" w:ascii="Times New Roman" w:hAnsi="Times New Roman" w:eastAsia="宋体" w:cs="Times New Roman"/>
                <w:sz w:val="21"/>
                <w:szCs w:val="21"/>
                <w:lang w:val="en-US" w:eastAsia="zh-CN"/>
              </w:rPr>
            </w:pPr>
            <w:r>
              <w:rPr>
                <w:rFonts w:ascii="Times New Roman" w:hAnsi="Times New Roman" w:cs="Times New Roman"/>
                <w:sz w:val="21"/>
                <w:szCs w:val="21"/>
              </w:rPr>
              <w:t>/</w:t>
            </w:r>
          </w:p>
        </w:tc>
        <w:tc>
          <w:tcPr>
            <w:tcW w:w="981" w:type="pct"/>
            <w:vAlign w:val="center"/>
          </w:tcPr>
          <w:p w14:paraId="11A3F186">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981" w:type="pct"/>
            <w:vAlign w:val="center"/>
          </w:tcPr>
          <w:p w14:paraId="59755395">
            <w:pPr>
              <w:adjustRightInd w:val="0"/>
              <w:snapToGrid w:val="0"/>
              <w:spacing w:line="300" w:lineRule="exact"/>
              <w:jc w:val="center"/>
              <w:rPr>
                <w:rFonts w:ascii="Times New Roman" w:hAnsi="Times New Roman" w:cs="Times New Roman"/>
                <w:sz w:val="21"/>
                <w:szCs w:val="21"/>
                <w:lang w:eastAsia="zh-CN"/>
              </w:rPr>
            </w:pPr>
            <w:r>
              <w:rPr>
                <w:rFonts w:ascii="Times New Roman" w:hAnsi="Times New Roman" w:cs="Times New Roman"/>
                <w:sz w:val="21"/>
                <w:szCs w:val="21"/>
              </w:rPr>
              <w:t>/</w:t>
            </w:r>
          </w:p>
        </w:tc>
        <w:tc>
          <w:tcPr>
            <w:tcW w:w="982" w:type="pct"/>
            <w:vAlign w:val="center"/>
          </w:tcPr>
          <w:p w14:paraId="051453EC">
            <w:pPr>
              <w:adjustRightInd w:val="0"/>
              <w:snapToGrid w:val="0"/>
              <w:spacing w:line="300" w:lineRule="exact"/>
              <w:jc w:val="center"/>
              <w:rPr>
                <w:rFonts w:ascii="Times New Roman" w:hAnsi="Times New Roman" w:cs="Times New Roman"/>
                <w:sz w:val="21"/>
                <w:szCs w:val="21"/>
                <w:lang w:eastAsia="zh-CN"/>
              </w:rPr>
            </w:pPr>
            <w:r>
              <w:rPr>
                <w:rFonts w:ascii="Times New Roman" w:hAnsi="Times New Roman" w:cs="Times New Roman"/>
                <w:sz w:val="21"/>
                <w:szCs w:val="21"/>
              </w:rPr>
              <w:t>/</w:t>
            </w:r>
          </w:p>
        </w:tc>
      </w:tr>
      <w:tr w14:paraId="2A9BF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1074" w:type="pct"/>
            <w:vAlign w:val="center"/>
          </w:tcPr>
          <w:p w14:paraId="0AB49120">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声环境</w:t>
            </w:r>
          </w:p>
        </w:tc>
        <w:tc>
          <w:tcPr>
            <w:tcW w:w="981" w:type="pct"/>
            <w:vAlign w:val="center"/>
          </w:tcPr>
          <w:p w14:paraId="4C3041AE">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bCs/>
                <w:sz w:val="21"/>
                <w:szCs w:val="21"/>
              </w:rPr>
              <w:t>设备噪声</w:t>
            </w:r>
          </w:p>
        </w:tc>
        <w:tc>
          <w:tcPr>
            <w:tcW w:w="981" w:type="pct"/>
            <w:vAlign w:val="center"/>
          </w:tcPr>
          <w:p w14:paraId="72548DDE">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bCs/>
                <w:sz w:val="21"/>
                <w:szCs w:val="21"/>
              </w:rPr>
              <w:t>等效连续A声级</w:t>
            </w:r>
          </w:p>
        </w:tc>
        <w:tc>
          <w:tcPr>
            <w:tcW w:w="981" w:type="pct"/>
            <w:vAlign w:val="center"/>
          </w:tcPr>
          <w:p w14:paraId="30D37FCD">
            <w:pPr>
              <w:adjustRightInd w:val="0"/>
              <w:snapToGrid w:val="0"/>
              <w:spacing w:line="3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采用低噪声设备、合理布局，设置减振垫、厂房隔声，加强维护管理。</w:t>
            </w:r>
          </w:p>
        </w:tc>
        <w:tc>
          <w:tcPr>
            <w:tcW w:w="982" w:type="pct"/>
            <w:vAlign w:val="center"/>
          </w:tcPr>
          <w:p w14:paraId="3CDAA295">
            <w:pPr>
              <w:adjustRightInd w:val="0"/>
              <w:snapToGrid w:val="0"/>
              <w:spacing w:line="300" w:lineRule="exact"/>
              <w:jc w:val="center"/>
              <w:rPr>
                <w:rFonts w:ascii="Times New Roman" w:hAnsi="Times New Roman" w:cs="Times New Roman"/>
                <w:sz w:val="21"/>
                <w:szCs w:val="21"/>
                <w:lang w:eastAsia="zh-CN"/>
              </w:rPr>
            </w:pPr>
            <w:r>
              <w:rPr>
                <w:rFonts w:ascii="Times New Roman" w:hAnsi="Times New Roman" w:cs="Times New Roman"/>
                <w:sz w:val="21"/>
                <w:szCs w:val="21"/>
                <w:lang w:eastAsia="zh-CN"/>
              </w:rPr>
              <w:t>《工业企业厂界环境噪声排放标准》（GB12348-2008）中</w:t>
            </w:r>
            <w:r>
              <w:rPr>
                <w:rFonts w:hint="eastAsia" w:ascii="Times New Roman" w:hAnsi="Times New Roman" w:cs="Times New Roman"/>
                <w:sz w:val="21"/>
                <w:szCs w:val="21"/>
                <w:lang w:val="en-US" w:eastAsia="zh-CN"/>
              </w:rPr>
              <w:t>3</w:t>
            </w:r>
            <w:r>
              <w:rPr>
                <w:rFonts w:ascii="Times New Roman" w:hAnsi="Times New Roman" w:cs="Times New Roman"/>
                <w:sz w:val="21"/>
                <w:szCs w:val="21"/>
                <w:lang w:eastAsia="zh-CN"/>
              </w:rPr>
              <w:t>类标准</w:t>
            </w:r>
          </w:p>
        </w:tc>
      </w:tr>
      <w:tr w14:paraId="0085D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074" w:type="pct"/>
            <w:vAlign w:val="center"/>
          </w:tcPr>
          <w:p w14:paraId="3B559005">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电磁辐射</w:t>
            </w:r>
          </w:p>
        </w:tc>
        <w:tc>
          <w:tcPr>
            <w:tcW w:w="981" w:type="pct"/>
            <w:vAlign w:val="center"/>
          </w:tcPr>
          <w:p w14:paraId="5C82F378">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981" w:type="pct"/>
            <w:vAlign w:val="center"/>
          </w:tcPr>
          <w:p w14:paraId="26C332C3">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981" w:type="pct"/>
            <w:vAlign w:val="center"/>
          </w:tcPr>
          <w:p w14:paraId="297F3975">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c>
          <w:tcPr>
            <w:tcW w:w="982" w:type="pct"/>
            <w:vAlign w:val="center"/>
          </w:tcPr>
          <w:p w14:paraId="10CC1672">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w:t>
            </w:r>
          </w:p>
        </w:tc>
      </w:tr>
      <w:tr w14:paraId="7BCDB8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074" w:type="pct"/>
            <w:vAlign w:val="center"/>
          </w:tcPr>
          <w:p w14:paraId="2AA9E248">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固体废物</w:t>
            </w:r>
          </w:p>
        </w:tc>
        <w:tc>
          <w:tcPr>
            <w:tcW w:w="3925" w:type="pct"/>
            <w:gridSpan w:val="4"/>
            <w:vAlign w:val="center"/>
          </w:tcPr>
          <w:p w14:paraId="132C0CF2">
            <w:pPr>
              <w:keepNext w:val="0"/>
              <w:keepLines w:val="0"/>
              <w:pageBreakBefore w:val="0"/>
              <w:widowControl w:val="0"/>
              <w:kinsoku/>
              <w:wordWrap/>
              <w:overflowPunct/>
              <w:topLinePunct w:val="0"/>
              <w:autoSpaceDE w:val="0"/>
              <w:autoSpaceDN w:val="0"/>
              <w:bidi w:val="0"/>
              <w:adjustRightInd/>
              <w:snapToGrid/>
              <w:spacing w:line="300" w:lineRule="exact"/>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本项目废丝集中收集定期外售；不合格产品统一收集定期外售；</w:t>
            </w:r>
            <w:r>
              <w:rPr>
                <w:rFonts w:hint="default" w:ascii="Times New Roman" w:hAnsi="Times New Roman" w:eastAsia="宋体" w:cs="Times New Roman"/>
                <w:sz w:val="21"/>
                <w:szCs w:val="21"/>
                <w:lang w:val="en-US" w:eastAsia="zh-CN"/>
              </w:rPr>
              <w:t>生活垃圾</w:t>
            </w:r>
            <w:r>
              <w:rPr>
                <w:rFonts w:hint="eastAsia" w:ascii="Times New Roman" w:hAnsi="Times New Roman" w:eastAsia="宋体" w:cs="Times New Roman"/>
                <w:sz w:val="21"/>
                <w:szCs w:val="21"/>
                <w:lang w:val="en-US" w:eastAsia="zh-CN"/>
              </w:rPr>
              <w:t>交由环卫部门统一处理。废机油、废机油桶、污水处理站污泥</w:t>
            </w:r>
            <w:r>
              <w:rPr>
                <w:rFonts w:hint="default" w:ascii="Times New Roman" w:hAnsi="Times New Roman" w:eastAsia="宋体" w:cs="Times New Roman"/>
                <w:sz w:val="21"/>
                <w:szCs w:val="21"/>
                <w:highlight w:val="none"/>
                <w:lang w:eastAsia="zh-CN"/>
              </w:rPr>
              <w:t>暂存</w:t>
            </w:r>
            <w:r>
              <w:rPr>
                <w:rFonts w:hint="eastAsia" w:ascii="Times New Roman" w:hAnsi="Times New Roman" w:eastAsia="宋体" w:cs="Times New Roman"/>
                <w:sz w:val="21"/>
                <w:szCs w:val="21"/>
                <w:highlight w:val="none"/>
                <w:lang w:val="en-US" w:eastAsia="zh-CN"/>
              </w:rPr>
              <w:t>危废</w:t>
            </w:r>
            <w:r>
              <w:rPr>
                <w:rFonts w:hint="eastAsia" w:ascii="Times New Roman" w:hAnsi="Times New Roman" w:cs="Times New Roman"/>
                <w:sz w:val="21"/>
                <w:szCs w:val="21"/>
                <w:highlight w:val="none"/>
                <w:lang w:val="en-US" w:eastAsia="zh-CN"/>
              </w:rPr>
              <w:t>贮存点</w:t>
            </w:r>
            <w:r>
              <w:rPr>
                <w:rFonts w:hint="default" w:ascii="Times New Roman" w:hAnsi="Times New Roman" w:eastAsia="宋体" w:cs="Times New Roman"/>
                <w:sz w:val="21"/>
                <w:szCs w:val="21"/>
                <w:highlight w:val="none"/>
                <w:lang w:eastAsia="zh-CN"/>
              </w:rPr>
              <w:t>交由有资质单位处理</w:t>
            </w:r>
            <w:r>
              <w:rPr>
                <w:rFonts w:hint="eastAsia" w:ascii="Times New Roman" w:hAnsi="Times New Roman" w:eastAsia="宋体" w:cs="Times New Roman"/>
                <w:sz w:val="21"/>
                <w:szCs w:val="21"/>
                <w:highlight w:val="none"/>
                <w:lang w:eastAsia="zh-CN"/>
              </w:rPr>
              <w:t>。</w:t>
            </w:r>
          </w:p>
          <w:p w14:paraId="4E86503D">
            <w:pPr>
              <w:keepNext w:val="0"/>
              <w:keepLines w:val="0"/>
              <w:pageBreakBefore w:val="0"/>
              <w:widowControl w:val="0"/>
              <w:kinsoku/>
              <w:wordWrap/>
              <w:overflowPunct/>
              <w:topLinePunct w:val="0"/>
              <w:autoSpaceDE w:val="0"/>
              <w:autoSpaceDN w:val="0"/>
              <w:bidi w:val="0"/>
              <w:adjustRightInd/>
              <w:snapToGrid/>
              <w:spacing w:line="300" w:lineRule="exact"/>
              <w:ind w:firstLine="420" w:firstLineChars="200"/>
              <w:textAlignment w:val="auto"/>
              <w:rPr>
                <w:rFonts w:hint="default" w:ascii="Times New Roman" w:hAnsi="Times New Roman" w:cs="Times New Roman"/>
                <w:sz w:val="21"/>
                <w:szCs w:val="21"/>
                <w:lang w:val="en-US" w:eastAsia="zh-CN"/>
              </w:rPr>
            </w:pPr>
            <w:r>
              <w:rPr>
                <w:rFonts w:hint="default" w:ascii="Times New Roman" w:hAnsi="Times New Roman" w:eastAsia="宋体" w:cs="Times New Roman"/>
                <w:sz w:val="21"/>
                <w:szCs w:val="21"/>
                <w:lang w:val="en-US" w:eastAsia="zh-CN"/>
              </w:rPr>
              <w:t>一般固废暂存区位于</w:t>
            </w:r>
            <w:r>
              <w:rPr>
                <w:rFonts w:hint="eastAsia" w:ascii="Times New Roman" w:hAnsi="Times New Roman" w:eastAsia="宋体" w:cs="Times New Roman"/>
                <w:sz w:val="21"/>
                <w:szCs w:val="21"/>
                <w:lang w:val="en-US" w:eastAsia="zh-CN"/>
              </w:rPr>
              <w:t>一号厂房</w:t>
            </w:r>
            <w:r>
              <w:rPr>
                <w:rFonts w:hint="default" w:ascii="Times New Roman" w:hAnsi="Times New Roman" w:eastAsia="宋体" w:cs="Times New Roman"/>
                <w:sz w:val="21"/>
                <w:szCs w:val="21"/>
                <w:lang w:val="en-US" w:eastAsia="zh-CN"/>
              </w:rPr>
              <w:t>东侧，面积约</w:t>
            </w:r>
            <w:r>
              <w:rPr>
                <w:rFonts w:hint="eastAsia" w:ascii="Times New Roman" w:hAnsi="Times New Roman" w:cs="Times New Roman"/>
                <w:sz w:val="21"/>
                <w:szCs w:val="21"/>
                <w:lang w:val="en-US" w:eastAsia="zh-CN"/>
              </w:rPr>
              <w:t>20</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2</w:t>
            </w:r>
            <w:r>
              <w:rPr>
                <w:rFonts w:hint="eastAsia" w:ascii="Times New Roman" w:hAnsi="Times New Roman" w:eastAsia="宋体" w:cs="Times New Roman"/>
                <w:sz w:val="21"/>
                <w:szCs w:val="21"/>
                <w:lang w:val="en-US" w:eastAsia="zh-CN"/>
              </w:rPr>
              <w:t>，</w:t>
            </w:r>
            <w:r>
              <w:rPr>
                <w:rFonts w:hint="eastAsia" w:ascii="Times New Roman" w:hAnsi="Times New Roman" w:cs="Times New Roman"/>
                <w:sz w:val="21"/>
                <w:szCs w:val="21"/>
                <w:lang w:val="en-US" w:eastAsia="zh-CN"/>
              </w:rPr>
              <w:t>危废贮存点位于二号厂房，面积约40</w:t>
            </w:r>
            <w:r>
              <w:rPr>
                <w:rFonts w:hint="default" w:ascii="Times New Roman" w:hAnsi="Times New Roman" w:eastAsia="宋体" w:cs="Times New Roman"/>
                <w:sz w:val="21"/>
                <w:szCs w:val="21"/>
                <w:lang w:val="en-US" w:eastAsia="zh-CN"/>
              </w:rPr>
              <w:t>m</w:t>
            </w:r>
            <w:r>
              <w:rPr>
                <w:rFonts w:hint="default" w:ascii="Times New Roman" w:hAnsi="Times New Roman" w:eastAsia="宋体" w:cs="Times New Roman"/>
                <w:sz w:val="21"/>
                <w:szCs w:val="21"/>
                <w:vertAlign w:val="superscript"/>
                <w:lang w:val="en-US" w:eastAsia="zh-CN"/>
              </w:rPr>
              <w:t>2</w:t>
            </w:r>
            <w:r>
              <w:rPr>
                <w:rFonts w:hint="eastAsia" w:ascii="Times New Roman" w:hAnsi="Times New Roman" w:eastAsia="宋体" w:cs="Times New Roman"/>
                <w:sz w:val="21"/>
                <w:szCs w:val="21"/>
                <w:lang w:val="en-US" w:eastAsia="zh-CN"/>
              </w:rPr>
              <w:t>。</w:t>
            </w:r>
          </w:p>
        </w:tc>
      </w:tr>
      <w:tr w14:paraId="66BF4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74" w:type="pct"/>
            <w:vAlign w:val="center"/>
          </w:tcPr>
          <w:p w14:paraId="1E304AC9">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土壤及地下水</w:t>
            </w:r>
          </w:p>
          <w:p w14:paraId="3DB1BC4A">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污染防治措施</w:t>
            </w:r>
          </w:p>
        </w:tc>
        <w:tc>
          <w:tcPr>
            <w:tcW w:w="3925" w:type="pct"/>
            <w:gridSpan w:val="4"/>
            <w:vAlign w:val="center"/>
          </w:tcPr>
          <w:p w14:paraId="6691305B">
            <w:pPr>
              <w:keepNext w:val="0"/>
              <w:keepLines w:val="0"/>
              <w:pageBreakBefore w:val="0"/>
              <w:widowControl w:val="0"/>
              <w:kinsoku/>
              <w:wordWrap/>
              <w:overflowPunct/>
              <w:topLinePunct w:val="0"/>
              <w:autoSpaceDE w:val="0"/>
              <w:autoSpaceDN w:val="0"/>
              <w:bidi w:val="0"/>
              <w:adjustRightInd/>
              <w:snapToGrid/>
              <w:spacing w:line="300" w:lineRule="exact"/>
              <w:ind w:firstLine="420" w:firstLineChars="20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①根据规范要求分区防渗，采取防渗措施。</w:t>
            </w:r>
          </w:p>
          <w:p w14:paraId="6AF90C37">
            <w:pPr>
              <w:keepNext w:val="0"/>
              <w:keepLines w:val="0"/>
              <w:pageBreakBefore w:val="0"/>
              <w:widowControl w:val="0"/>
              <w:kinsoku/>
              <w:wordWrap/>
              <w:overflowPunct/>
              <w:topLinePunct w:val="0"/>
              <w:autoSpaceDE w:val="0"/>
              <w:autoSpaceDN w:val="0"/>
              <w:bidi w:val="0"/>
              <w:adjustRightInd/>
              <w:snapToGrid/>
              <w:spacing w:line="300" w:lineRule="exact"/>
              <w:ind w:firstLine="420" w:firstLineChars="20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②按照固体废物属性，根据《危险废物贮存污染控制标准》（GB18597-2023）的要求，在车间内危废暂存场所。</w:t>
            </w:r>
          </w:p>
          <w:p w14:paraId="6F568F2A">
            <w:pPr>
              <w:keepNext w:val="0"/>
              <w:keepLines w:val="0"/>
              <w:pageBreakBefore w:val="0"/>
              <w:widowControl w:val="0"/>
              <w:kinsoku/>
              <w:wordWrap/>
              <w:overflowPunct/>
              <w:topLinePunct w:val="0"/>
              <w:autoSpaceDE w:val="0"/>
              <w:autoSpaceDN w:val="0"/>
              <w:bidi w:val="0"/>
              <w:adjustRightInd/>
              <w:snapToGrid/>
              <w:spacing w:line="300" w:lineRule="exact"/>
              <w:ind w:firstLine="420" w:firstLineChars="200"/>
              <w:textAlignment w:val="auto"/>
              <w:rPr>
                <w:rFonts w:ascii="Times New Roman" w:hAnsi="Times New Roman" w:cs="Times New Roman"/>
                <w:sz w:val="21"/>
                <w:szCs w:val="21"/>
                <w:lang w:eastAsia="zh-CN"/>
              </w:rPr>
            </w:pPr>
            <w:r>
              <w:rPr>
                <w:rFonts w:hint="default" w:ascii="Times New Roman" w:hAnsi="Times New Roman" w:cs="Times New Roman"/>
                <w:sz w:val="21"/>
                <w:szCs w:val="21"/>
                <w:lang w:val="en-US" w:eastAsia="zh-CN"/>
              </w:rPr>
              <w:t>③加强危险物品、危险废物及一般固废的管理，确保贮存和使用过程中无渗漏。</w:t>
            </w:r>
          </w:p>
        </w:tc>
      </w:tr>
      <w:tr w14:paraId="435BD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074" w:type="pct"/>
            <w:vAlign w:val="center"/>
          </w:tcPr>
          <w:p w14:paraId="524A80EC">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生态保护措施</w:t>
            </w:r>
          </w:p>
        </w:tc>
        <w:tc>
          <w:tcPr>
            <w:tcW w:w="3925" w:type="pct"/>
            <w:gridSpan w:val="4"/>
            <w:vAlign w:val="center"/>
          </w:tcPr>
          <w:p w14:paraId="0F40C896">
            <w:pPr>
              <w:adjustRightInd w:val="0"/>
              <w:snapToGrid w:val="0"/>
              <w:spacing w:line="300" w:lineRule="exact"/>
              <w:jc w:val="center"/>
              <w:rPr>
                <w:rFonts w:ascii="Times New Roman" w:hAnsi="Times New Roman" w:cs="Times New Roman"/>
                <w:sz w:val="21"/>
                <w:szCs w:val="21"/>
              </w:rPr>
            </w:pPr>
            <w:r>
              <w:rPr>
                <w:rFonts w:ascii="Times New Roman" w:hAnsi="Times New Roman" w:cs="Times New Roman"/>
                <w:sz w:val="21"/>
                <w:szCs w:val="21"/>
              </w:rPr>
              <w:t>无</w:t>
            </w:r>
          </w:p>
        </w:tc>
      </w:tr>
      <w:tr w14:paraId="42B0E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74" w:type="pct"/>
            <w:vAlign w:val="center"/>
          </w:tcPr>
          <w:p w14:paraId="35491B79">
            <w:pPr>
              <w:adjustRightInd w:val="0"/>
              <w:snapToGrid w:val="0"/>
              <w:spacing w:line="300" w:lineRule="exact"/>
              <w:jc w:val="center"/>
              <w:rPr>
                <w:rFonts w:ascii="Times New Roman" w:hAnsi="Times New Roman" w:cs="Times New Roman"/>
                <w:spacing w:val="-8"/>
                <w:sz w:val="21"/>
                <w:szCs w:val="21"/>
              </w:rPr>
            </w:pPr>
            <w:r>
              <w:rPr>
                <w:rFonts w:ascii="Times New Roman" w:hAnsi="Times New Roman" w:cs="Times New Roman"/>
                <w:spacing w:val="-8"/>
                <w:sz w:val="21"/>
                <w:szCs w:val="21"/>
              </w:rPr>
              <w:t>环境风险</w:t>
            </w:r>
          </w:p>
          <w:p w14:paraId="50AFC780">
            <w:pPr>
              <w:adjustRightInd w:val="0"/>
              <w:snapToGrid w:val="0"/>
              <w:spacing w:line="300" w:lineRule="exact"/>
              <w:jc w:val="center"/>
              <w:rPr>
                <w:rFonts w:ascii="Times New Roman" w:hAnsi="Times New Roman" w:cs="Times New Roman"/>
                <w:spacing w:val="-8"/>
                <w:sz w:val="21"/>
                <w:szCs w:val="21"/>
              </w:rPr>
            </w:pPr>
            <w:r>
              <w:rPr>
                <w:rFonts w:ascii="Times New Roman" w:hAnsi="Times New Roman" w:cs="Times New Roman"/>
                <w:spacing w:val="-8"/>
                <w:sz w:val="21"/>
                <w:szCs w:val="21"/>
              </w:rPr>
              <w:t>防范措施</w:t>
            </w:r>
          </w:p>
        </w:tc>
        <w:tc>
          <w:tcPr>
            <w:tcW w:w="3925" w:type="pct"/>
            <w:gridSpan w:val="4"/>
            <w:vAlign w:val="center"/>
          </w:tcPr>
          <w:p w14:paraId="02854B7A">
            <w:pPr>
              <w:pStyle w:val="2"/>
              <w:adjustRightInd w:val="0"/>
              <w:snapToGrid w:val="0"/>
              <w:spacing w:line="300" w:lineRule="exact"/>
              <w:outlineLvl w:val="9"/>
              <w:rPr>
                <w:rFonts w:cs="Times New Roman"/>
                <w:sz w:val="21"/>
                <w:szCs w:val="21"/>
                <w:lang w:eastAsia="zh-CN"/>
              </w:rPr>
            </w:pPr>
            <w:bookmarkStart w:id="25" w:name="_Toc16708"/>
            <w:r>
              <w:rPr>
                <w:rFonts w:cs="Times New Roman"/>
                <w:sz w:val="21"/>
                <w:szCs w:val="21"/>
                <w:lang w:eastAsia="zh-CN"/>
              </w:rPr>
              <w:t>1.环境管理</w:t>
            </w:r>
            <w:bookmarkEnd w:id="25"/>
          </w:p>
          <w:p w14:paraId="57292E20">
            <w:pPr>
              <w:tabs>
                <w:tab w:val="left" w:pos="2254"/>
              </w:tabs>
              <w:autoSpaceDE/>
              <w:autoSpaceDN/>
              <w:spacing w:line="300" w:lineRule="exact"/>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略</w:t>
            </w:r>
          </w:p>
          <w:p w14:paraId="730D1706">
            <w:pPr>
              <w:tabs>
                <w:tab w:val="left" w:pos="2254"/>
              </w:tabs>
              <w:autoSpaceDE/>
              <w:autoSpaceDN/>
              <w:spacing w:line="300" w:lineRule="exact"/>
              <w:jc w:val="both"/>
              <w:rPr>
                <w:rFonts w:ascii="Times New Roman" w:hAnsi="Times New Roman" w:cs="Times New Roman"/>
                <w:b/>
                <w:sz w:val="21"/>
                <w:szCs w:val="21"/>
                <w:lang w:eastAsia="zh-CN"/>
              </w:rPr>
            </w:pPr>
            <w:r>
              <w:rPr>
                <w:rFonts w:ascii="Times New Roman" w:hAnsi="Times New Roman" w:cs="Times New Roman"/>
                <w:b/>
                <w:sz w:val="21"/>
                <w:szCs w:val="21"/>
                <w:lang w:eastAsia="zh-CN"/>
              </w:rPr>
              <w:t>2.严格落实排污许可证制度</w:t>
            </w:r>
          </w:p>
          <w:p w14:paraId="173270CA">
            <w:pPr>
              <w:tabs>
                <w:tab w:val="left" w:pos="2254"/>
              </w:tabs>
              <w:autoSpaceDE/>
              <w:autoSpaceDN/>
              <w:spacing w:line="300" w:lineRule="exact"/>
              <w:jc w:val="center"/>
              <w:rPr>
                <w:rFonts w:hint="default" w:ascii="Times New Roman" w:hAnsi="Times New Roman" w:cs="Times New Roman"/>
                <w:b/>
                <w:sz w:val="21"/>
                <w:szCs w:val="21"/>
                <w:lang w:val="en-US" w:eastAsia="zh-CN"/>
              </w:rPr>
            </w:pPr>
            <w:r>
              <w:rPr>
                <w:rFonts w:hint="eastAsia" w:ascii="Times New Roman" w:hAnsi="Times New Roman" w:cs="Times New Roman"/>
                <w:b/>
                <w:sz w:val="21"/>
                <w:szCs w:val="21"/>
                <w:lang w:val="en-US" w:eastAsia="zh-CN"/>
              </w:rPr>
              <w:t>略</w:t>
            </w:r>
          </w:p>
          <w:p w14:paraId="000EB551">
            <w:pPr>
              <w:autoSpaceDE/>
              <w:autoSpaceDN/>
              <w:spacing w:line="300" w:lineRule="exact"/>
              <w:rPr>
                <w:rFonts w:ascii="Times New Roman" w:hAnsi="Times New Roman" w:cs="Times New Roman"/>
                <w:b/>
                <w:sz w:val="21"/>
                <w:szCs w:val="21"/>
                <w:highlight w:val="none"/>
                <w:lang w:eastAsia="zh-CN"/>
              </w:rPr>
            </w:pPr>
            <w:bookmarkStart w:id="26" w:name="_Hlk194406675"/>
            <w:r>
              <w:rPr>
                <w:rFonts w:ascii="Times New Roman" w:hAnsi="Times New Roman" w:cs="Times New Roman"/>
                <w:b/>
                <w:sz w:val="21"/>
                <w:szCs w:val="21"/>
                <w:highlight w:val="none"/>
                <w:lang w:eastAsia="zh-CN"/>
              </w:rPr>
              <w:t>3.排放口信息化、规范化</w:t>
            </w:r>
          </w:p>
          <w:bookmarkEnd w:id="26"/>
          <w:p w14:paraId="552CF83C">
            <w:pPr>
              <w:autoSpaceDE/>
              <w:autoSpaceDN/>
              <w:spacing w:line="300" w:lineRule="exact"/>
              <w:jc w:val="center"/>
              <w:rPr>
                <w:rFonts w:hint="default" w:ascii="Times New Roman" w:hAnsi="Times New Roman" w:cs="Times New Roman"/>
                <w:b/>
                <w:bCs/>
                <w:sz w:val="21"/>
                <w:szCs w:val="21"/>
                <w:highlight w:val="none"/>
                <w:lang w:val="en-US" w:eastAsia="zh-CN"/>
              </w:rPr>
            </w:pPr>
            <w:r>
              <w:rPr>
                <w:rFonts w:hint="eastAsia" w:ascii="Times New Roman" w:hAnsi="Times New Roman" w:cs="Times New Roman"/>
                <w:b/>
                <w:bCs/>
                <w:sz w:val="21"/>
                <w:szCs w:val="21"/>
                <w:highlight w:val="none"/>
                <w:lang w:val="en-US" w:eastAsia="zh-CN"/>
              </w:rPr>
              <w:t>略</w:t>
            </w:r>
          </w:p>
          <w:p w14:paraId="2A55B3BE">
            <w:pPr>
              <w:adjustRightInd w:val="0"/>
              <w:snapToGrid w:val="0"/>
              <w:spacing w:line="360" w:lineRule="auto"/>
              <w:rPr>
                <w:rFonts w:hint="eastAsia"/>
                <w:b/>
                <w:color w:val="000000"/>
                <w:spacing w:val="10"/>
                <w:sz w:val="24"/>
                <w:highlight w:val="none"/>
                <w:lang w:eastAsia="ja-JP"/>
              </w:rPr>
            </w:pPr>
            <w:r>
              <w:rPr>
                <w:rFonts w:hint="eastAsia"/>
                <w:b/>
                <w:color w:val="000000"/>
                <w:spacing w:val="10"/>
                <w:sz w:val="24"/>
                <w:highlight w:val="none"/>
                <w:lang w:val="en-US" w:eastAsia="zh-CN"/>
              </w:rPr>
              <w:t>4.</w:t>
            </w:r>
            <w:r>
              <w:rPr>
                <w:rFonts w:hint="eastAsia" w:ascii="Times New Roman" w:hAnsi="Times New Roman" w:eastAsia="宋体" w:cs="Times New Roman"/>
                <w:b/>
                <w:sz w:val="21"/>
                <w:szCs w:val="21"/>
                <w:highlight w:val="none"/>
                <w:lang w:eastAsia="zh-CN"/>
              </w:rPr>
              <w:t>项目竣工环境保护验收</w:t>
            </w:r>
          </w:p>
          <w:p w14:paraId="3DCA1A86">
            <w:pPr>
              <w:autoSpaceDE/>
              <w:autoSpaceDN/>
              <w:spacing w:line="300" w:lineRule="exact"/>
              <w:jc w:val="center"/>
              <w:rPr>
                <w:rFonts w:hint="default" w:ascii="Times New Roman" w:hAnsi="Times New Roman" w:cs="Times New Roman"/>
                <w:b/>
                <w:bCs/>
                <w:sz w:val="21"/>
                <w:szCs w:val="21"/>
                <w:highlight w:val="none"/>
                <w:lang w:val="en-US" w:eastAsia="zh-CN"/>
              </w:rPr>
            </w:pPr>
            <w:r>
              <w:rPr>
                <w:rFonts w:hint="eastAsia" w:ascii="Times New Roman" w:hAnsi="Times New Roman" w:cs="Times New Roman"/>
                <w:b/>
                <w:bCs/>
                <w:sz w:val="21"/>
                <w:szCs w:val="21"/>
                <w:highlight w:val="none"/>
                <w:lang w:val="en-US" w:eastAsia="zh-CN"/>
              </w:rPr>
              <w:t>略</w:t>
            </w:r>
          </w:p>
          <w:p w14:paraId="65F8E650">
            <w:pPr>
              <w:numPr>
                <w:ilvl w:val="0"/>
                <w:numId w:val="6"/>
              </w:numPr>
              <w:adjustRightInd w:val="0"/>
              <w:snapToGrid w:val="0"/>
              <w:spacing w:line="360" w:lineRule="auto"/>
              <w:rPr>
                <w:rFonts w:hint="eastAsia" w:ascii="Times New Roman" w:hAnsi="Times New Roman" w:eastAsia="宋体" w:cs="Times New Roman"/>
                <w:b/>
                <w:sz w:val="21"/>
                <w:szCs w:val="21"/>
                <w:highlight w:val="none"/>
                <w:lang w:val="en-US" w:eastAsia="zh-CN"/>
              </w:rPr>
            </w:pPr>
            <w:r>
              <w:rPr>
                <w:rFonts w:hint="eastAsia" w:ascii="Times New Roman" w:hAnsi="Times New Roman" w:eastAsia="宋体" w:cs="Times New Roman"/>
                <w:b/>
                <w:sz w:val="21"/>
                <w:szCs w:val="21"/>
                <w:highlight w:val="none"/>
                <w:lang w:val="en-US" w:eastAsia="zh-CN"/>
              </w:rPr>
              <w:t>企业环境保护档案制度</w:t>
            </w:r>
          </w:p>
          <w:p w14:paraId="6B55DB60">
            <w:pPr>
              <w:autoSpaceDE/>
              <w:autoSpaceDN/>
              <w:spacing w:line="300" w:lineRule="exact"/>
              <w:jc w:val="center"/>
              <w:rPr>
                <w:rFonts w:ascii="Times New Roman" w:hAnsi="Times New Roman" w:cs="Times New Roman"/>
                <w:sz w:val="21"/>
                <w:szCs w:val="21"/>
                <w:lang w:eastAsia="zh-CN"/>
              </w:rPr>
            </w:pPr>
            <w:r>
              <w:rPr>
                <w:rFonts w:hint="eastAsia" w:ascii="Times New Roman" w:hAnsi="Times New Roman" w:cs="Times New Roman"/>
                <w:b/>
                <w:bCs/>
                <w:sz w:val="21"/>
                <w:szCs w:val="21"/>
                <w:highlight w:val="none"/>
                <w:lang w:val="en-US" w:eastAsia="zh-CN"/>
              </w:rPr>
              <w:t>略</w:t>
            </w:r>
          </w:p>
        </w:tc>
      </w:tr>
    </w:tbl>
    <w:p w14:paraId="0E3EA7FD">
      <w:pPr>
        <w:spacing w:line="20" w:lineRule="exact"/>
        <w:rPr>
          <w:rFonts w:ascii="Times New Roman" w:hAnsi="Times New Roman" w:cs="Times New Roman"/>
          <w:sz w:val="21"/>
          <w:lang w:eastAsia="zh-CN"/>
        </w:rPr>
        <w:sectPr>
          <w:type w:val="nextColumn"/>
          <w:pgSz w:w="11913" w:h="16840"/>
          <w:pgMar w:top="1134" w:right="1134" w:bottom="1134" w:left="1134" w:header="0" w:footer="1043" w:gutter="0"/>
          <w:pgBorders>
            <w:top w:val="none" w:sz="0" w:space="0"/>
            <w:left w:val="none" w:sz="0" w:space="0"/>
            <w:bottom w:val="none" w:sz="0" w:space="0"/>
            <w:right w:val="none" w:sz="0" w:space="0"/>
          </w:pgBorders>
          <w:cols w:space="720" w:num="1"/>
        </w:sectPr>
      </w:pPr>
    </w:p>
    <w:p w14:paraId="767A0BF1">
      <w:pPr>
        <w:pStyle w:val="24"/>
        <w:rPr>
          <w:lang w:eastAsia="zh-CN"/>
        </w:rPr>
      </w:pPr>
      <w:bookmarkStart w:id="27" w:name="_Toc8170"/>
      <w:bookmarkStart w:id="28" w:name="_Toc6326"/>
      <w:r>
        <w:rPr>
          <w:rFonts w:hint="eastAsia"/>
          <w:lang w:eastAsia="zh-CN"/>
        </w:rPr>
        <w:t>六</w:t>
      </w:r>
      <w:r>
        <w:rPr>
          <w:lang w:eastAsia="zh-CN"/>
        </w:rPr>
        <w:t>、结论</w:t>
      </w:r>
      <w:bookmarkEnd w:id="27"/>
      <w:bookmarkEnd w:id="28"/>
    </w:p>
    <w:tbl>
      <w:tblPr>
        <w:tblStyle w:val="28"/>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861"/>
      </w:tblGrid>
      <w:tr w14:paraId="6AF91A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597" w:hRule="atLeast"/>
          <w:jc w:val="center"/>
        </w:trPr>
        <w:tc>
          <w:tcPr>
            <w:tcW w:w="5000" w:type="pct"/>
            <w:vAlign w:val="top"/>
          </w:tcPr>
          <w:p w14:paraId="432924B2">
            <w:pPr>
              <w:spacing w:line="360" w:lineRule="auto"/>
              <w:ind w:firstLine="480" w:firstLineChars="200"/>
              <w:jc w:val="left"/>
              <w:rPr>
                <w:rFonts w:hint="eastAsia"/>
                <w:bCs/>
                <w:sz w:val="24"/>
                <w:lang w:eastAsia="zh-CN"/>
              </w:rPr>
            </w:pPr>
            <w:r>
              <w:rPr>
                <w:rFonts w:hint="eastAsia"/>
                <w:bCs/>
                <w:sz w:val="24"/>
                <w:lang w:eastAsia="zh-CN"/>
              </w:rPr>
              <w:t>项目</w:t>
            </w:r>
            <w:r>
              <w:rPr>
                <w:bCs/>
                <w:sz w:val="24"/>
                <w:lang w:eastAsia="zh-CN"/>
              </w:rPr>
              <w:t>符合国家产业政策</w:t>
            </w:r>
            <w:r>
              <w:rPr>
                <w:rFonts w:hint="eastAsia"/>
                <w:bCs/>
                <w:sz w:val="24"/>
                <w:lang w:eastAsia="zh-CN"/>
              </w:rPr>
              <w:t>和相关规划，选址可行</w:t>
            </w:r>
            <w:r>
              <w:rPr>
                <w:bCs/>
                <w:sz w:val="24"/>
                <w:lang w:eastAsia="zh-CN"/>
              </w:rPr>
              <w:t>，通过认真落实本报告提出的各项污染控制措施</w:t>
            </w:r>
            <w:r>
              <w:rPr>
                <w:rFonts w:hint="eastAsia"/>
                <w:bCs/>
                <w:sz w:val="24"/>
                <w:lang w:eastAsia="zh-CN"/>
              </w:rPr>
              <w:t>及环评提出的整改措施</w:t>
            </w:r>
            <w:r>
              <w:rPr>
                <w:bCs/>
                <w:sz w:val="24"/>
                <w:lang w:eastAsia="zh-CN"/>
              </w:rPr>
              <w:t>后，</w:t>
            </w:r>
            <w:r>
              <w:rPr>
                <w:rFonts w:hint="eastAsia"/>
                <w:bCs/>
                <w:sz w:val="24"/>
                <w:lang w:eastAsia="zh-CN"/>
              </w:rPr>
              <w:t>根据上述工程分析，施工期和</w:t>
            </w:r>
            <w:r>
              <w:rPr>
                <w:bCs/>
                <w:sz w:val="24"/>
                <w:lang w:eastAsia="zh-CN"/>
              </w:rPr>
              <w:t>营运期产生的各类污染</w:t>
            </w:r>
            <w:r>
              <w:rPr>
                <w:rFonts w:hint="eastAsia"/>
                <w:bCs/>
                <w:sz w:val="24"/>
                <w:lang w:eastAsia="zh-CN"/>
              </w:rPr>
              <w:t>物均可</w:t>
            </w:r>
            <w:r>
              <w:rPr>
                <w:bCs/>
                <w:sz w:val="24"/>
                <w:lang w:eastAsia="zh-CN"/>
              </w:rPr>
              <w:t>实现达标排放，</w:t>
            </w:r>
            <w:r>
              <w:rPr>
                <w:rFonts w:hint="eastAsia"/>
                <w:bCs/>
                <w:sz w:val="24"/>
                <w:lang w:eastAsia="zh-CN"/>
              </w:rPr>
              <w:t>固废可得到有效控制，环境风险可控，不会改变区域环境功能区划，</w:t>
            </w:r>
            <w:r>
              <w:rPr>
                <w:bCs/>
                <w:sz w:val="24"/>
                <w:lang w:eastAsia="zh-CN"/>
              </w:rPr>
              <w:t>对</w:t>
            </w:r>
            <w:r>
              <w:rPr>
                <w:rFonts w:hint="eastAsia"/>
                <w:bCs/>
                <w:sz w:val="24"/>
                <w:lang w:eastAsia="zh-CN"/>
              </w:rPr>
              <w:t>周边</w:t>
            </w:r>
            <w:r>
              <w:rPr>
                <w:bCs/>
                <w:sz w:val="24"/>
                <w:lang w:eastAsia="zh-CN"/>
              </w:rPr>
              <w:t>环境不会造成明显影响</w:t>
            </w:r>
            <w:r>
              <w:rPr>
                <w:rFonts w:hint="eastAsia"/>
                <w:bCs/>
                <w:sz w:val="24"/>
                <w:lang w:eastAsia="zh-CN"/>
              </w:rPr>
              <w:t>；</w:t>
            </w:r>
            <w:r>
              <w:rPr>
                <w:bCs/>
                <w:sz w:val="24"/>
                <w:lang w:eastAsia="zh-CN"/>
              </w:rPr>
              <w:t>从环境角度分析，项目建设可行</w:t>
            </w:r>
            <w:r>
              <w:rPr>
                <w:rFonts w:hint="eastAsia"/>
                <w:bCs/>
                <w:sz w:val="24"/>
                <w:lang w:eastAsia="zh-CN"/>
              </w:rPr>
              <w:t>。</w:t>
            </w:r>
          </w:p>
          <w:p w14:paraId="1C719C27">
            <w:pPr>
              <w:pStyle w:val="34"/>
              <w:spacing w:line="300" w:lineRule="exact"/>
              <w:jc w:val="left"/>
              <w:rPr>
                <w:rFonts w:hint="eastAsia"/>
                <w:lang w:eastAsia="zh-CN"/>
              </w:rPr>
            </w:pPr>
          </w:p>
          <w:p w14:paraId="4D8055B0">
            <w:pPr>
              <w:pStyle w:val="34"/>
              <w:spacing w:line="300" w:lineRule="exact"/>
              <w:jc w:val="center"/>
              <w:rPr>
                <w:rFonts w:ascii="Times New Roman" w:hAnsi="Times New Roman" w:cs="Times New Roman"/>
                <w:b/>
                <w:bCs/>
                <w:szCs w:val="24"/>
                <w:lang w:eastAsia="zh-CN"/>
              </w:rPr>
            </w:pPr>
          </w:p>
          <w:p w14:paraId="4F6432C1">
            <w:pPr>
              <w:pStyle w:val="34"/>
              <w:spacing w:line="300" w:lineRule="exact"/>
              <w:jc w:val="center"/>
              <w:rPr>
                <w:rFonts w:ascii="Times New Roman" w:hAnsi="Times New Roman" w:cs="Times New Roman"/>
                <w:b/>
                <w:bCs/>
                <w:lang w:eastAsia="zh-CN"/>
              </w:rPr>
            </w:pPr>
          </w:p>
          <w:p w14:paraId="51FBEC94">
            <w:pPr>
              <w:pStyle w:val="34"/>
              <w:spacing w:line="300" w:lineRule="exact"/>
              <w:jc w:val="center"/>
              <w:rPr>
                <w:rFonts w:ascii="Times New Roman" w:hAnsi="Times New Roman" w:cs="Times New Roman"/>
                <w:b/>
                <w:bCs/>
                <w:lang w:eastAsia="zh-CN"/>
              </w:rPr>
            </w:pPr>
          </w:p>
          <w:p w14:paraId="48AFDB22">
            <w:pPr>
              <w:pStyle w:val="34"/>
              <w:spacing w:line="300" w:lineRule="exact"/>
              <w:jc w:val="center"/>
              <w:rPr>
                <w:rFonts w:ascii="Times New Roman" w:hAnsi="Times New Roman" w:cs="Times New Roman"/>
                <w:b/>
                <w:bCs/>
                <w:lang w:eastAsia="zh-CN"/>
              </w:rPr>
            </w:pPr>
          </w:p>
          <w:p w14:paraId="1D767A60">
            <w:pPr>
              <w:pStyle w:val="34"/>
              <w:spacing w:line="300" w:lineRule="exact"/>
              <w:jc w:val="center"/>
              <w:rPr>
                <w:rFonts w:ascii="Times New Roman" w:hAnsi="Times New Roman" w:cs="Times New Roman"/>
                <w:b/>
                <w:bCs/>
                <w:lang w:eastAsia="zh-CN"/>
              </w:rPr>
            </w:pPr>
          </w:p>
          <w:p w14:paraId="6541723D">
            <w:pPr>
              <w:pStyle w:val="34"/>
              <w:spacing w:line="300" w:lineRule="exact"/>
              <w:jc w:val="center"/>
              <w:rPr>
                <w:rFonts w:ascii="Times New Roman" w:hAnsi="Times New Roman" w:cs="Times New Roman"/>
                <w:b/>
                <w:bCs/>
                <w:lang w:eastAsia="zh-CN"/>
              </w:rPr>
            </w:pPr>
          </w:p>
          <w:p w14:paraId="1AC8854C">
            <w:pPr>
              <w:pStyle w:val="34"/>
              <w:spacing w:line="300" w:lineRule="exact"/>
              <w:jc w:val="center"/>
              <w:rPr>
                <w:rFonts w:ascii="Times New Roman" w:hAnsi="Times New Roman" w:cs="Times New Roman"/>
                <w:b/>
                <w:bCs/>
                <w:lang w:eastAsia="zh-CN"/>
              </w:rPr>
            </w:pPr>
          </w:p>
          <w:p w14:paraId="19AE871C">
            <w:pPr>
              <w:pStyle w:val="34"/>
              <w:spacing w:line="300" w:lineRule="exact"/>
              <w:jc w:val="center"/>
              <w:rPr>
                <w:rFonts w:ascii="Times New Roman" w:hAnsi="Times New Roman" w:cs="Times New Roman"/>
                <w:b/>
                <w:bCs/>
                <w:lang w:eastAsia="zh-CN"/>
              </w:rPr>
            </w:pPr>
          </w:p>
          <w:p w14:paraId="5781F01F">
            <w:pPr>
              <w:pStyle w:val="34"/>
              <w:spacing w:line="300" w:lineRule="exact"/>
              <w:jc w:val="center"/>
              <w:rPr>
                <w:rFonts w:ascii="Times New Roman" w:hAnsi="Times New Roman" w:cs="Times New Roman"/>
                <w:b/>
                <w:bCs/>
                <w:lang w:eastAsia="zh-CN"/>
              </w:rPr>
            </w:pPr>
          </w:p>
          <w:p w14:paraId="2EE5C2E2">
            <w:pPr>
              <w:pStyle w:val="34"/>
              <w:spacing w:line="300" w:lineRule="exact"/>
              <w:jc w:val="center"/>
              <w:rPr>
                <w:rFonts w:ascii="Times New Roman" w:hAnsi="Times New Roman" w:cs="Times New Roman"/>
                <w:b/>
                <w:bCs/>
                <w:lang w:eastAsia="zh-CN"/>
              </w:rPr>
            </w:pPr>
          </w:p>
          <w:p w14:paraId="3F7227FA">
            <w:pPr>
              <w:pStyle w:val="34"/>
              <w:spacing w:line="300" w:lineRule="exact"/>
              <w:jc w:val="center"/>
              <w:rPr>
                <w:rFonts w:ascii="Times New Roman" w:hAnsi="Times New Roman" w:cs="Times New Roman"/>
                <w:b/>
                <w:bCs/>
                <w:lang w:eastAsia="zh-CN"/>
              </w:rPr>
            </w:pPr>
          </w:p>
          <w:p w14:paraId="19746D6D">
            <w:pPr>
              <w:pStyle w:val="34"/>
              <w:spacing w:line="300" w:lineRule="exact"/>
              <w:jc w:val="center"/>
              <w:rPr>
                <w:rFonts w:ascii="Times New Roman" w:hAnsi="Times New Roman" w:cs="Times New Roman"/>
                <w:b/>
                <w:bCs/>
                <w:lang w:eastAsia="zh-CN"/>
              </w:rPr>
            </w:pPr>
          </w:p>
          <w:p w14:paraId="2296ACA4">
            <w:pPr>
              <w:pStyle w:val="34"/>
              <w:spacing w:line="300" w:lineRule="exact"/>
              <w:jc w:val="center"/>
              <w:rPr>
                <w:rFonts w:ascii="Times New Roman" w:hAnsi="Times New Roman" w:cs="Times New Roman"/>
                <w:b/>
                <w:bCs/>
                <w:lang w:eastAsia="zh-CN"/>
              </w:rPr>
            </w:pPr>
          </w:p>
          <w:p w14:paraId="0969D258">
            <w:pPr>
              <w:pStyle w:val="34"/>
              <w:spacing w:line="300" w:lineRule="exact"/>
              <w:jc w:val="center"/>
              <w:rPr>
                <w:rFonts w:ascii="Times New Roman" w:hAnsi="Times New Roman" w:cs="Times New Roman"/>
                <w:b/>
                <w:bCs/>
                <w:lang w:eastAsia="zh-CN"/>
              </w:rPr>
            </w:pPr>
          </w:p>
          <w:p w14:paraId="3BB72760">
            <w:pPr>
              <w:pStyle w:val="34"/>
              <w:spacing w:line="300" w:lineRule="exact"/>
              <w:jc w:val="center"/>
              <w:rPr>
                <w:rFonts w:ascii="Times New Roman" w:hAnsi="Times New Roman" w:cs="Times New Roman"/>
                <w:b/>
                <w:bCs/>
                <w:lang w:eastAsia="zh-CN"/>
              </w:rPr>
            </w:pPr>
          </w:p>
          <w:p w14:paraId="7C6E6A8F">
            <w:pPr>
              <w:pStyle w:val="34"/>
              <w:spacing w:line="300" w:lineRule="exact"/>
              <w:jc w:val="center"/>
              <w:rPr>
                <w:rFonts w:ascii="Times New Roman" w:hAnsi="Times New Roman" w:cs="Times New Roman"/>
                <w:b/>
                <w:bCs/>
                <w:lang w:eastAsia="zh-CN"/>
              </w:rPr>
            </w:pPr>
          </w:p>
          <w:p w14:paraId="32FAE43D">
            <w:pPr>
              <w:pStyle w:val="34"/>
              <w:spacing w:line="300" w:lineRule="exact"/>
              <w:jc w:val="center"/>
              <w:rPr>
                <w:rFonts w:ascii="Times New Roman" w:hAnsi="Times New Roman" w:cs="Times New Roman"/>
                <w:b/>
                <w:bCs/>
                <w:lang w:eastAsia="zh-CN"/>
              </w:rPr>
            </w:pPr>
          </w:p>
          <w:p w14:paraId="5E12CE67">
            <w:pPr>
              <w:pStyle w:val="34"/>
              <w:spacing w:line="300" w:lineRule="exact"/>
              <w:jc w:val="center"/>
              <w:rPr>
                <w:rFonts w:ascii="Times New Roman" w:hAnsi="Times New Roman" w:cs="Times New Roman"/>
                <w:b/>
                <w:bCs/>
                <w:lang w:eastAsia="zh-CN"/>
              </w:rPr>
            </w:pPr>
          </w:p>
          <w:p w14:paraId="128521E2">
            <w:pPr>
              <w:pStyle w:val="34"/>
              <w:spacing w:line="300" w:lineRule="exact"/>
              <w:jc w:val="center"/>
              <w:rPr>
                <w:rFonts w:ascii="Times New Roman" w:hAnsi="Times New Roman" w:cs="Times New Roman"/>
                <w:b/>
                <w:bCs/>
                <w:lang w:eastAsia="zh-CN"/>
              </w:rPr>
            </w:pPr>
          </w:p>
          <w:p w14:paraId="18719420">
            <w:pPr>
              <w:pStyle w:val="34"/>
              <w:spacing w:line="300" w:lineRule="exact"/>
              <w:jc w:val="center"/>
              <w:rPr>
                <w:rFonts w:ascii="Times New Roman" w:hAnsi="Times New Roman" w:cs="Times New Roman"/>
                <w:b/>
                <w:bCs/>
                <w:lang w:eastAsia="zh-CN"/>
              </w:rPr>
            </w:pPr>
          </w:p>
          <w:p w14:paraId="584C4BDE">
            <w:pPr>
              <w:pStyle w:val="34"/>
              <w:spacing w:line="300" w:lineRule="exact"/>
              <w:jc w:val="center"/>
              <w:rPr>
                <w:rFonts w:ascii="Times New Roman" w:hAnsi="Times New Roman" w:cs="Times New Roman"/>
                <w:b/>
                <w:bCs/>
                <w:lang w:eastAsia="zh-CN"/>
              </w:rPr>
            </w:pPr>
          </w:p>
          <w:p w14:paraId="02075EFD">
            <w:pPr>
              <w:pStyle w:val="34"/>
              <w:spacing w:line="300" w:lineRule="exact"/>
              <w:jc w:val="center"/>
              <w:rPr>
                <w:rFonts w:ascii="Times New Roman" w:hAnsi="Times New Roman" w:cs="Times New Roman"/>
                <w:b/>
                <w:bCs/>
                <w:lang w:eastAsia="zh-CN"/>
              </w:rPr>
            </w:pPr>
          </w:p>
          <w:p w14:paraId="6FD3D37E">
            <w:pPr>
              <w:pStyle w:val="34"/>
              <w:spacing w:line="300" w:lineRule="exact"/>
              <w:jc w:val="center"/>
              <w:rPr>
                <w:rFonts w:ascii="Times New Roman" w:hAnsi="Times New Roman" w:cs="Times New Roman"/>
                <w:b/>
                <w:bCs/>
                <w:lang w:eastAsia="zh-CN"/>
              </w:rPr>
            </w:pPr>
          </w:p>
          <w:p w14:paraId="2C6582D6">
            <w:pPr>
              <w:pStyle w:val="34"/>
              <w:spacing w:line="300" w:lineRule="exact"/>
              <w:jc w:val="center"/>
              <w:rPr>
                <w:rFonts w:ascii="Times New Roman" w:hAnsi="Times New Roman" w:cs="Times New Roman"/>
                <w:b/>
                <w:bCs/>
                <w:lang w:eastAsia="zh-CN"/>
              </w:rPr>
            </w:pPr>
          </w:p>
          <w:p w14:paraId="4D591219">
            <w:pPr>
              <w:pStyle w:val="34"/>
              <w:spacing w:line="300" w:lineRule="exact"/>
              <w:jc w:val="center"/>
              <w:rPr>
                <w:rFonts w:ascii="Times New Roman" w:hAnsi="Times New Roman" w:cs="Times New Roman"/>
                <w:b/>
                <w:bCs/>
                <w:lang w:eastAsia="zh-CN"/>
              </w:rPr>
            </w:pPr>
          </w:p>
          <w:p w14:paraId="6D18386C">
            <w:pPr>
              <w:pStyle w:val="34"/>
              <w:spacing w:line="300" w:lineRule="exact"/>
              <w:jc w:val="center"/>
              <w:rPr>
                <w:rFonts w:ascii="Times New Roman" w:hAnsi="Times New Roman" w:cs="Times New Roman"/>
                <w:b/>
                <w:bCs/>
                <w:lang w:eastAsia="zh-CN"/>
              </w:rPr>
            </w:pPr>
          </w:p>
          <w:p w14:paraId="5539844A">
            <w:pPr>
              <w:pStyle w:val="34"/>
              <w:spacing w:line="300" w:lineRule="exact"/>
              <w:jc w:val="center"/>
              <w:rPr>
                <w:rFonts w:ascii="Times New Roman" w:hAnsi="Times New Roman" w:cs="Times New Roman"/>
                <w:b/>
                <w:bCs/>
                <w:lang w:eastAsia="zh-CN"/>
              </w:rPr>
            </w:pPr>
          </w:p>
          <w:p w14:paraId="1A94EADE">
            <w:pPr>
              <w:pStyle w:val="34"/>
              <w:spacing w:line="300" w:lineRule="exact"/>
              <w:jc w:val="center"/>
              <w:rPr>
                <w:rFonts w:ascii="Times New Roman" w:hAnsi="Times New Roman" w:cs="Times New Roman"/>
                <w:b/>
                <w:bCs/>
                <w:lang w:eastAsia="zh-CN"/>
              </w:rPr>
            </w:pPr>
          </w:p>
          <w:p w14:paraId="5E031446">
            <w:pPr>
              <w:pStyle w:val="34"/>
              <w:spacing w:line="300" w:lineRule="exact"/>
              <w:jc w:val="center"/>
              <w:rPr>
                <w:rFonts w:ascii="Times New Roman" w:hAnsi="Times New Roman" w:cs="Times New Roman"/>
                <w:b/>
                <w:bCs/>
                <w:lang w:eastAsia="zh-CN"/>
              </w:rPr>
            </w:pPr>
          </w:p>
          <w:p w14:paraId="372DA22A">
            <w:pPr>
              <w:pStyle w:val="34"/>
              <w:spacing w:line="300" w:lineRule="exact"/>
              <w:jc w:val="center"/>
              <w:rPr>
                <w:rFonts w:ascii="Times New Roman" w:hAnsi="Times New Roman" w:cs="Times New Roman"/>
                <w:b/>
                <w:bCs/>
                <w:lang w:eastAsia="zh-CN"/>
              </w:rPr>
            </w:pPr>
          </w:p>
          <w:p w14:paraId="6CB2EBD6">
            <w:pPr>
              <w:pStyle w:val="34"/>
              <w:spacing w:line="300" w:lineRule="exact"/>
              <w:jc w:val="center"/>
              <w:rPr>
                <w:rFonts w:ascii="Times New Roman" w:hAnsi="Times New Roman" w:cs="Times New Roman"/>
                <w:b/>
                <w:bCs/>
                <w:lang w:eastAsia="zh-CN"/>
              </w:rPr>
            </w:pPr>
          </w:p>
          <w:p w14:paraId="270E74FE">
            <w:pPr>
              <w:pStyle w:val="34"/>
              <w:spacing w:line="300" w:lineRule="exact"/>
              <w:jc w:val="center"/>
              <w:rPr>
                <w:rFonts w:ascii="Times New Roman" w:hAnsi="Times New Roman" w:cs="Times New Roman"/>
                <w:b/>
                <w:bCs/>
                <w:lang w:eastAsia="zh-CN"/>
              </w:rPr>
            </w:pPr>
          </w:p>
          <w:p w14:paraId="70AAFEAD">
            <w:pPr>
              <w:pStyle w:val="34"/>
              <w:spacing w:line="300" w:lineRule="exact"/>
              <w:jc w:val="center"/>
              <w:rPr>
                <w:rFonts w:ascii="Times New Roman" w:hAnsi="Times New Roman" w:cs="Times New Roman"/>
                <w:b/>
                <w:bCs/>
                <w:lang w:eastAsia="zh-CN"/>
              </w:rPr>
            </w:pPr>
          </w:p>
        </w:tc>
      </w:tr>
    </w:tbl>
    <w:p w14:paraId="7187D52A">
      <w:pPr>
        <w:pStyle w:val="23"/>
        <w:adjustRightInd w:val="0"/>
        <w:snapToGrid w:val="0"/>
        <w:spacing w:before="0" w:beforeAutospacing="0" w:after="0" w:afterAutospacing="0"/>
        <w:outlineLvl w:val="9"/>
        <w:rPr>
          <w:rFonts w:hint="eastAsia" w:ascii="黑体" w:hAnsi="黑体" w:eastAsia="黑体"/>
          <w:snapToGrid w:val="0"/>
          <w:sz w:val="28"/>
          <w:szCs w:val="28"/>
        </w:rPr>
        <w:sectPr>
          <w:pgSz w:w="11913" w:h="16840"/>
          <w:pgMar w:top="1134" w:right="1134" w:bottom="1134" w:left="1134" w:header="0" w:footer="1043" w:gutter="0"/>
          <w:pgBorders>
            <w:top w:val="none" w:sz="0" w:space="0"/>
            <w:left w:val="none" w:sz="0" w:space="0"/>
            <w:bottom w:val="none" w:sz="0" w:space="0"/>
            <w:right w:val="none" w:sz="0" w:space="0"/>
          </w:pgBorders>
          <w:cols w:space="720" w:num="1"/>
        </w:sectPr>
      </w:pPr>
      <w:bookmarkStart w:id="29" w:name="_Toc26113"/>
    </w:p>
    <w:p w14:paraId="0309A07A">
      <w:pPr>
        <w:pStyle w:val="23"/>
        <w:adjustRightInd w:val="0"/>
        <w:snapToGrid w:val="0"/>
        <w:spacing w:before="0" w:beforeAutospacing="0" w:after="0" w:afterAutospacing="0"/>
        <w:outlineLvl w:val="0"/>
        <w:rPr>
          <w:rFonts w:hint="eastAsia" w:ascii="黑体" w:hAnsi="黑体" w:eastAsia="黑体"/>
          <w:snapToGrid w:val="0"/>
          <w:sz w:val="30"/>
          <w:szCs w:val="30"/>
        </w:rPr>
      </w:pPr>
      <w:bookmarkStart w:id="30" w:name="_Toc1449"/>
      <w:bookmarkStart w:id="31" w:name="_Toc16228"/>
      <w:r>
        <w:rPr>
          <w:rFonts w:hint="eastAsia" w:ascii="黑体" w:hAnsi="黑体" w:eastAsia="黑体"/>
          <w:snapToGrid w:val="0"/>
          <w:sz w:val="30"/>
          <w:szCs w:val="30"/>
        </w:rPr>
        <w:t>附表</w:t>
      </w:r>
      <w:bookmarkEnd w:id="30"/>
      <w:bookmarkEnd w:id="31"/>
    </w:p>
    <w:p w14:paraId="235E114F">
      <w:pPr>
        <w:pStyle w:val="23"/>
        <w:adjustRightInd w:val="0"/>
        <w:snapToGrid w:val="0"/>
        <w:spacing w:before="0" w:beforeAutospacing="0" w:after="0" w:afterAutospacing="0"/>
        <w:jc w:val="center"/>
        <w:outlineLvl w:val="9"/>
        <w:rPr>
          <w:rFonts w:hint="eastAsia" w:ascii="黑体" w:hAnsi="黑体" w:eastAsia="黑体"/>
          <w:snapToGrid w:val="0"/>
          <w:sz w:val="32"/>
          <w:szCs w:val="32"/>
        </w:rPr>
      </w:pPr>
      <w:r>
        <w:rPr>
          <w:rFonts w:hint="eastAsia" w:ascii="黑体" w:hAnsi="黑体" w:eastAsia="黑体"/>
          <w:snapToGrid w:val="0"/>
          <w:sz w:val="32"/>
          <w:szCs w:val="32"/>
        </w:rPr>
        <w:t>建设项目污染物排放量汇总表</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203"/>
        <w:gridCol w:w="1968"/>
        <w:gridCol w:w="1080"/>
        <w:gridCol w:w="1968"/>
        <w:gridCol w:w="2178"/>
        <w:gridCol w:w="1546"/>
        <w:gridCol w:w="2310"/>
        <w:gridCol w:w="1227"/>
      </w:tblGrid>
      <w:tr w14:paraId="3BD63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92" w:type="pct"/>
            <w:tcBorders>
              <w:tl2br w:val="single" w:color="auto" w:sz="4" w:space="0"/>
            </w:tcBorders>
            <w:tcMar>
              <w:left w:w="28" w:type="dxa"/>
              <w:right w:w="28" w:type="dxa"/>
            </w:tcMar>
            <w:vAlign w:val="center"/>
          </w:tcPr>
          <w:p w14:paraId="6ACAC4E3">
            <w:pPr>
              <w:pStyle w:val="48"/>
              <w:spacing w:line="300" w:lineRule="exact"/>
              <w:ind w:left="0" w:leftChars="0" w:firstLine="0" w:firstLineChars="0"/>
              <w:jc w:val="right"/>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项目</w:t>
            </w:r>
          </w:p>
          <w:p w14:paraId="7FF02A5A">
            <w:pPr>
              <w:pStyle w:val="48"/>
              <w:spacing w:line="300" w:lineRule="exact"/>
              <w:ind w:left="0" w:leftChars="0" w:firstLine="0" w:firstLineChars="0"/>
              <w:jc w:val="left"/>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分类</w:t>
            </w:r>
          </w:p>
        </w:tc>
        <w:tc>
          <w:tcPr>
            <w:tcW w:w="411" w:type="pct"/>
            <w:tcMar>
              <w:left w:w="28" w:type="dxa"/>
              <w:right w:w="28" w:type="dxa"/>
            </w:tcMar>
            <w:vAlign w:val="center"/>
          </w:tcPr>
          <w:p w14:paraId="3B95C27F">
            <w:pPr>
              <w:pStyle w:val="48"/>
              <w:spacing w:line="300" w:lineRule="exact"/>
              <w:ind w:left="0" w:leftChars="0" w:firstLine="0" w:firstLineChars="0"/>
              <w:jc w:val="left"/>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污染物名称</w:t>
            </w:r>
          </w:p>
        </w:tc>
        <w:tc>
          <w:tcPr>
            <w:tcW w:w="672" w:type="pct"/>
            <w:tcMar>
              <w:left w:w="28" w:type="dxa"/>
              <w:right w:w="28" w:type="dxa"/>
            </w:tcMar>
            <w:vAlign w:val="center"/>
          </w:tcPr>
          <w:p w14:paraId="7B534917">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现有工程</w:t>
            </w:r>
          </w:p>
          <w:p w14:paraId="4527F815">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排放量（固体废物产生量）</w:t>
            </w:r>
            <w:r>
              <w:rPr>
                <w:rFonts w:hint="default" w:ascii="Times New Roman" w:hAnsi="Times New Roman" w:eastAsia="宋体" w:cs="Times New Roman"/>
                <w:snapToGrid w:val="0"/>
                <w:spacing w:val="-6"/>
                <w:kern w:val="21"/>
                <w:sz w:val="21"/>
                <w:szCs w:val="21"/>
              </w:rPr>
              <w:fldChar w:fldCharType="begin"/>
            </w:r>
            <w:r>
              <w:rPr>
                <w:rFonts w:hint="default" w:ascii="Times New Roman" w:hAnsi="Times New Roman" w:eastAsia="宋体" w:cs="Times New Roman"/>
                <w:snapToGrid w:val="0"/>
                <w:spacing w:val="-6"/>
                <w:kern w:val="21"/>
                <w:sz w:val="21"/>
                <w:szCs w:val="21"/>
              </w:rPr>
              <w:instrText xml:space="preserve"> = 1 \* GB3 \* MERGEFORMAT </w:instrText>
            </w:r>
            <w:r>
              <w:rPr>
                <w:rFonts w:hint="default" w:ascii="Times New Roman" w:hAnsi="Times New Roman" w:eastAsia="宋体" w:cs="Times New Roman"/>
                <w:snapToGrid w:val="0"/>
                <w:spacing w:val="-6"/>
                <w:kern w:val="21"/>
                <w:sz w:val="21"/>
                <w:szCs w:val="21"/>
              </w:rPr>
              <w:fldChar w:fldCharType="separate"/>
            </w:r>
            <w:r>
              <w:rPr>
                <w:rFonts w:hint="default" w:ascii="Times New Roman" w:hAnsi="Times New Roman" w:eastAsia="宋体" w:cs="Times New Roman"/>
                <w:sz w:val="21"/>
                <w:szCs w:val="21"/>
              </w:rPr>
              <w:t>①</w:t>
            </w:r>
            <w:r>
              <w:rPr>
                <w:rFonts w:hint="default" w:ascii="Times New Roman" w:hAnsi="Times New Roman" w:eastAsia="宋体" w:cs="Times New Roman"/>
                <w:snapToGrid w:val="0"/>
                <w:spacing w:val="-6"/>
                <w:kern w:val="21"/>
                <w:sz w:val="21"/>
                <w:szCs w:val="21"/>
              </w:rPr>
              <w:fldChar w:fldCharType="end"/>
            </w:r>
          </w:p>
        </w:tc>
        <w:tc>
          <w:tcPr>
            <w:tcW w:w="369" w:type="pct"/>
            <w:tcMar>
              <w:left w:w="28" w:type="dxa"/>
              <w:right w:w="28" w:type="dxa"/>
            </w:tcMar>
            <w:vAlign w:val="center"/>
          </w:tcPr>
          <w:p w14:paraId="296519DE">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现有工程</w:t>
            </w:r>
          </w:p>
          <w:p w14:paraId="269E2421">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许可排量</w:t>
            </w:r>
          </w:p>
          <w:p w14:paraId="1BDCCE99">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fldChar w:fldCharType="begin"/>
            </w:r>
            <w:r>
              <w:rPr>
                <w:rFonts w:hint="default" w:ascii="Times New Roman" w:hAnsi="Times New Roman" w:eastAsia="宋体" w:cs="Times New Roman"/>
                <w:snapToGrid w:val="0"/>
                <w:spacing w:val="-6"/>
                <w:kern w:val="21"/>
                <w:sz w:val="21"/>
                <w:szCs w:val="21"/>
              </w:rPr>
              <w:instrText xml:space="preserve"> = 2 \* GB3 \* MERGEFORMAT </w:instrText>
            </w:r>
            <w:r>
              <w:rPr>
                <w:rFonts w:hint="default" w:ascii="Times New Roman" w:hAnsi="Times New Roman" w:eastAsia="宋体" w:cs="Times New Roman"/>
                <w:snapToGrid w:val="0"/>
                <w:spacing w:val="-6"/>
                <w:kern w:val="21"/>
                <w:sz w:val="21"/>
                <w:szCs w:val="21"/>
              </w:rPr>
              <w:fldChar w:fldCharType="separate"/>
            </w:r>
            <w:r>
              <w:rPr>
                <w:rFonts w:hint="default" w:ascii="Times New Roman" w:hAnsi="Times New Roman" w:eastAsia="宋体" w:cs="Times New Roman"/>
                <w:snapToGrid w:val="0"/>
                <w:spacing w:val="-6"/>
                <w:kern w:val="21"/>
                <w:sz w:val="21"/>
                <w:szCs w:val="21"/>
              </w:rPr>
              <w:t>②</w:t>
            </w:r>
            <w:r>
              <w:rPr>
                <w:rFonts w:hint="default" w:ascii="Times New Roman" w:hAnsi="Times New Roman" w:eastAsia="宋体" w:cs="Times New Roman"/>
                <w:snapToGrid w:val="0"/>
                <w:spacing w:val="-6"/>
                <w:kern w:val="21"/>
                <w:sz w:val="21"/>
                <w:szCs w:val="21"/>
              </w:rPr>
              <w:fldChar w:fldCharType="end"/>
            </w:r>
          </w:p>
        </w:tc>
        <w:tc>
          <w:tcPr>
            <w:tcW w:w="672" w:type="pct"/>
            <w:tcMar>
              <w:left w:w="28" w:type="dxa"/>
              <w:right w:w="28" w:type="dxa"/>
            </w:tcMar>
            <w:vAlign w:val="center"/>
          </w:tcPr>
          <w:p w14:paraId="00EE7770">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在建工程</w:t>
            </w:r>
          </w:p>
          <w:p w14:paraId="5768AB79">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排放量（固体废物产生量）</w:t>
            </w:r>
            <w:r>
              <w:rPr>
                <w:rFonts w:hint="default" w:ascii="Times New Roman" w:hAnsi="Times New Roman" w:eastAsia="宋体" w:cs="Times New Roman"/>
                <w:snapToGrid w:val="0"/>
                <w:spacing w:val="-6"/>
                <w:kern w:val="21"/>
                <w:sz w:val="21"/>
                <w:szCs w:val="21"/>
              </w:rPr>
              <w:fldChar w:fldCharType="begin"/>
            </w:r>
            <w:r>
              <w:rPr>
                <w:rFonts w:hint="default" w:ascii="Times New Roman" w:hAnsi="Times New Roman" w:eastAsia="宋体" w:cs="Times New Roman"/>
                <w:snapToGrid w:val="0"/>
                <w:spacing w:val="-6"/>
                <w:kern w:val="21"/>
                <w:sz w:val="21"/>
                <w:szCs w:val="21"/>
              </w:rPr>
              <w:instrText xml:space="preserve"> = 3 \* GB3 \* MERGEFORMAT </w:instrText>
            </w:r>
            <w:r>
              <w:rPr>
                <w:rFonts w:hint="default" w:ascii="Times New Roman" w:hAnsi="Times New Roman" w:eastAsia="宋体" w:cs="Times New Roman"/>
                <w:snapToGrid w:val="0"/>
                <w:spacing w:val="-6"/>
                <w:kern w:val="21"/>
                <w:sz w:val="21"/>
                <w:szCs w:val="21"/>
              </w:rPr>
              <w:fldChar w:fldCharType="separate"/>
            </w:r>
            <w:r>
              <w:rPr>
                <w:rFonts w:hint="default" w:ascii="Times New Roman" w:hAnsi="Times New Roman" w:eastAsia="宋体" w:cs="Times New Roman"/>
                <w:sz w:val="21"/>
                <w:szCs w:val="21"/>
              </w:rPr>
              <w:t>③</w:t>
            </w:r>
            <w:r>
              <w:rPr>
                <w:rFonts w:hint="default" w:ascii="Times New Roman" w:hAnsi="Times New Roman" w:eastAsia="宋体" w:cs="Times New Roman"/>
                <w:snapToGrid w:val="0"/>
                <w:spacing w:val="-6"/>
                <w:kern w:val="21"/>
                <w:sz w:val="21"/>
                <w:szCs w:val="21"/>
              </w:rPr>
              <w:fldChar w:fldCharType="end"/>
            </w:r>
          </w:p>
        </w:tc>
        <w:tc>
          <w:tcPr>
            <w:tcW w:w="744" w:type="pct"/>
            <w:tcMar>
              <w:left w:w="28" w:type="dxa"/>
              <w:right w:w="28" w:type="dxa"/>
            </w:tcMar>
            <w:vAlign w:val="center"/>
          </w:tcPr>
          <w:p w14:paraId="65872C1B">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本项目</w:t>
            </w:r>
          </w:p>
          <w:p w14:paraId="0DB3E360">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排放量（固体废物产生量）</w:t>
            </w:r>
            <w:r>
              <w:rPr>
                <w:rFonts w:hint="default" w:ascii="Times New Roman" w:hAnsi="Times New Roman" w:eastAsia="宋体" w:cs="Times New Roman"/>
                <w:snapToGrid w:val="0"/>
                <w:spacing w:val="-6"/>
                <w:kern w:val="21"/>
                <w:sz w:val="21"/>
                <w:szCs w:val="21"/>
              </w:rPr>
              <w:fldChar w:fldCharType="begin"/>
            </w:r>
            <w:r>
              <w:rPr>
                <w:rFonts w:hint="default" w:ascii="Times New Roman" w:hAnsi="Times New Roman" w:eastAsia="宋体" w:cs="Times New Roman"/>
                <w:snapToGrid w:val="0"/>
                <w:spacing w:val="-6"/>
                <w:kern w:val="21"/>
                <w:sz w:val="21"/>
                <w:szCs w:val="21"/>
              </w:rPr>
              <w:instrText xml:space="preserve"> = 4 \* GB3 \* MERGEFORMAT </w:instrText>
            </w:r>
            <w:r>
              <w:rPr>
                <w:rFonts w:hint="default" w:ascii="Times New Roman" w:hAnsi="Times New Roman" w:eastAsia="宋体" w:cs="Times New Roman"/>
                <w:snapToGrid w:val="0"/>
                <w:spacing w:val="-6"/>
                <w:kern w:val="21"/>
                <w:sz w:val="21"/>
                <w:szCs w:val="21"/>
              </w:rPr>
              <w:fldChar w:fldCharType="separate"/>
            </w:r>
            <w:r>
              <w:rPr>
                <w:rFonts w:hint="default" w:ascii="Times New Roman" w:hAnsi="Times New Roman" w:eastAsia="宋体" w:cs="Times New Roman"/>
                <w:sz w:val="21"/>
                <w:szCs w:val="21"/>
              </w:rPr>
              <w:t>④</w:t>
            </w:r>
            <w:r>
              <w:rPr>
                <w:rFonts w:hint="default" w:ascii="Times New Roman" w:hAnsi="Times New Roman" w:eastAsia="宋体" w:cs="Times New Roman"/>
                <w:snapToGrid w:val="0"/>
                <w:spacing w:val="-6"/>
                <w:kern w:val="21"/>
                <w:sz w:val="21"/>
                <w:szCs w:val="21"/>
              </w:rPr>
              <w:fldChar w:fldCharType="end"/>
            </w:r>
          </w:p>
        </w:tc>
        <w:tc>
          <w:tcPr>
            <w:tcW w:w="528" w:type="pct"/>
            <w:tcMar>
              <w:left w:w="28" w:type="dxa"/>
              <w:right w:w="28" w:type="dxa"/>
            </w:tcMar>
            <w:vAlign w:val="center"/>
          </w:tcPr>
          <w:p w14:paraId="49268C00">
            <w:pPr>
              <w:pStyle w:val="48"/>
              <w:spacing w:line="300" w:lineRule="exact"/>
              <w:ind w:left="0" w:leftChars="0" w:firstLine="0" w:firstLineChars="0"/>
              <w:rPr>
                <w:rFonts w:hint="default" w:ascii="Times New Roman" w:hAnsi="Times New Roman" w:eastAsia="宋体" w:cs="Times New Roman"/>
                <w:snapToGrid w:val="0"/>
                <w:spacing w:val="-16"/>
                <w:kern w:val="21"/>
                <w:sz w:val="21"/>
                <w:szCs w:val="21"/>
              </w:rPr>
            </w:pPr>
            <w:r>
              <w:rPr>
                <w:rFonts w:hint="default" w:ascii="Times New Roman" w:hAnsi="Times New Roman" w:eastAsia="宋体" w:cs="Times New Roman"/>
                <w:snapToGrid w:val="0"/>
                <w:spacing w:val="-16"/>
                <w:kern w:val="21"/>
                <w:sz w:val="21"/>
                <w:szCs w:val="21"/>
              </w:rPr>
              <w:t>以新带老削减量（新建项目不填）</w:t>
            </w:r>
            <w:r>
              <w:rPr>
                <w:rFonts w:hint="default" w:ascii="Times New Roman" w:hAnsi="Times New Roman" w:eastAsia="宋体" w:cs="Times New Roman"/>
                <w:snapToGrid w:val="0"/>
                <w:spacing w:val="-16"/>
                <w:kern w:val="21"/>
                <w:sz w:val="21"/>
                <w:szCs w:val="21"/>
              </w:rPr>
              <w:fldChar w:fldCharType="begin"/>
            </w:r>
            <w:r>
              <w:rPr>
                <w:rFonts w:hint="default" w:ascii="Times New Roman" w:hAnsi="Times New Roman" w:eastAsia="宋体" w:cs="Times New Roman"/>
                <w:snapToGrid w:val="0"/>
                <w:spacing w:val="-16"/>
                <w:kern w:val="21"/>
                <w:sz w:val="21"/>
                <w:szCs w:val="21"/>
              </w:rPr>
              <w:instrText xml:space="preserve"> = 5 \* GB3 \* MERGEFORMAT </w:instrText>
            </w:r>
            <w:r>
              <w:rPr>
                <w:rFonts w:hint="default" w:ascii="Times New Roman" w:hAnsi="Times New Roman" w:eastAsia="宋体" w:cs="Times New Roman"/>
                <w:snapToGrid w:val="0"/>
                <w:spacing w:val="-16"/>
                <w:kern w:val="21"/>
                <w:sz w:val="21"/>
                <w:szCs w:val="21"/>
              </w:rPr>
              <w:fldChar w:fldCharType="separate"/>
            </w:r>
            <w:r>
              <w:rPr>
                <w:rFonts w:hint="default" w:ascii="Times New Roman" w:hAnsi="Times New Roman" w:eastAsia="宋体" w:cs="Times New Roman"/>
                <w:sz w:val="21"/>
                <w:szCs w:val="21"/>
              </w:rPr>
              <w:t>⑤</w:t>
            </w:r>
            <w:r>
              <w:rPr>
                <w:rFonts w:hint="default" w:ascii="Times New Roman" w:hAnsi="Times New Roman" w:eastAsia="宋体" w:cs="Times New Roman"/>
                <w:snapToGrid w:val="0"/>
                <w:spacing w:val="-16"/>
                <w:kern w:val="21"/>
                <w:sz w:val="21"/>
                <w:szCs w:val="21"/>
              </w:rPr>
              <w:fldChar w:fldCharType="end"/>
            </w:r>
          </w:p>
        </w:tc>
        <w:tc>
          <w:tcPr>
            <w:tcW w:w="789" w:type="pct"/>
            <w:tcMar>
              <w:left w:w="28" w:type="dxa"/>
              <w:right w:w="28" w:type="dxa"/>
            </w:tcMar>
            <w:vAlign w:val="center"/>
          </w:tcPr>
          <w:p w14:paraId="66D5C9B1">
            <w:pPr>
              <w:pStyle w:val="48"/>
              <w:spacing w:line="300" w:lineRule="exact"/>
              <w:ind w:left="0" w:leftChars="0" w:firstLine="0" w:firstLineChars="0"/>
              <w:rPr>
                <w:rFonts w:hint="default" w:ascii="Times New Roman" w:hAnsi="Times New Roman" w:eastAsia="宋体" w:cs="Times New Roman"/>
                <w:snapToGrid w:val="0"/>
                <w:spacing w:val="-16"/>
                <w:kern w:val="21"/>
                <w:sz w:val="21"/>
                <w:szCs w:val="21"/>
              </w:rPr>
            </w:pPr>
            <w:r>
              <w:rPr>
                <w:rFonts w:hint="default" w:ascii="Times New Roman" w:hAnsi="Times New Roman" w:eastAsia="宋体" w:cs="Times New Roman"/>
                <w:snapToGrid w:val="0"/>
                <w:spacing w:val="-16"/>
                <w:kern w:val="21"/>
                <w:sz w:val="21"/>
                <w:szCs w:val="21"/>
              </w:rPr>
              <w:t>本项目建成后</w:t>
            </w:r>
          </w:p>
          <w:p w14:paraId="32A78882">
            <w:pPr>
              <w:pStyle w:val="48"/>
              <w:spacing w:line="300" w:lineRule="exact"/>
              <w:ind w:left="0" w:leftChars="0" w:firstLine="0" w:firstLineChars="0"/>
              <w:rPr>
                <w:rFonts w:hint="default" w:ascii="Times New Roman" w:hAnsi="Times New Roman" w:eastAsia="宋体" w:cs="Times New Roman"/>
                <w:snapToGrid w:val="0"/>
                <w:spacing w:val="-16"/>
                <w:kern w:val="21"/>
                <w:sz w:val="21"/>
                <w:szCs w:val="21"/>
              </w:rPr>
            </w:pPr>
            <w:r>
              <w:rPr>
                <w:rFonts w:hint="default" w:ascii="Times New Roman" w:hAnsi="Times New Roman" w:eastAsia="宋体" w:cs="Times New Roman"/>
                <w:snapToGrid w:val="0"/>
                <w:spacing w:val="-16"/>
                <w:kern w:val="21"/>
                <w:sz w:val="21"/>
                <w:szCs w:val="21"/>
              </w:rPr>
              <w:t>全厂排放量（固体废物产生量）</w:t>
            </w:r>
            <w:r>
              <w:rPr>
                <w:rFonts w:hint="default" w:ascii="Times New Roman" w:hAnsi="Times New Roman" w:eastAsia="宋体" w:cs="Times New Roman"/>
                <w:snapToGrid w:val="0"/>
                <w:spacing w:val="-16"/>
                <w:kern w:val="21"/>
                <w:sz w:val="21"/>
                <w:szCs w:val="21"/>
              </w:rPr>
              <w:fldChar w:fldCharType="begin"/>
            </w:r>
            <w:r>
              <w:rPr>
                <w:rFonts w:hint="default" w:ascii="Times New Roman" w:hAnsi="Times New Roman" w:eastAsia="宋体" w:cs="Times New Roman"/>
                <w:snapToGrid w:val="0"/>
                <w:spacing w:val="-16"/>
                <w:kern w:val="21"/>
                <w:sz w:val="21"/>
                <w:szCs w:val="21"/>
              </w:rPr>
              <w:instrText xml:space="preserve"> = 6 \* GB3 \* MERGEFORMAT </w:instrText>
            </w:r>
            <w:r>
              <w:rPr>
                <w:rFonts w:hint="default" w:ascii="Times New Roman" w:hAnsi="Times New Roman" w:eastAsia="宋体" w:cs="Times New Roman"/>
                <w:snapToGrid w:val="0"/>
                <w:spacing w:val="-16"/>
                <w:kern w:val="21"/>
                <w:sz w:val="21"/>
                <w:szCs w:val="21"/>
              </w:rPr>
              <w:fldChar w:fldCharType="separate"/>
            </w:r>
            <w:r>
              <w:rPr>
                <w:rFonts w:hint="default" w:ascii="Times New Roman" w:hAnsi="Times New Roman" w:eastAsia="宋体" w:cs="Times New Roman"/>
                <w:sz w:val="21"/>
                <w:szCs w:val="21"/>
              </w:rPr>
              <w:t>⑥</w:t>
            </w:r>
            <w:r>
              <w:rPr>
                <w:rFonts w:hint="default" w:ascii="Times New Roman" w:hAnsi="Times New Roman" w:eastAsia="宋体" w:cs="Times New Roman"/>
                <w:snapToGrid w:val="0"/>
                <w:spacing w:val="-16"/>
                <w:kern w:val="21"/>
                <w:sz w:val="21"/>
                <w:szCs w:val="21"/>
              </w:rPr>
              <w:fldChar w:fldCharType="end"/>
            </w:r>
          </w:p>
        </w:tc>
        <w:tc>
          <w:tcPr>
            <w:tcW w:w="419" w:type="pct"/>
            <w:tcMar>
              <w:left w:w="28" w:type="dxa"/>
              <w:right w:w="28" w:type="dxa"/>
            </w:tcMar>
            <w:vAlign w:val="center"/>
          </w:tcPr>
          <w:p w14:paraId="602CAAB5">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t>变化量</w:t>
            </w:r>
          </w:p>
          <w:p w14:paraId="2C9DC689">
            <w:pPr>
              <w:pStyle w:val="48"/>
              <w:spacing w:line="300" w:lineRule="exact"/>
              <w:ind w:left="0" w:leftChars="0" w:firstLine="0" w:firstLineChars="0"/>
              <w:rPr>
                <w:rFonts w:hint="default" w:ascii="Times New Roman" w:hAnsi="Times New Roman" w:eastAsia="宋体" w:cs="Times New Roman"/>
                <w:snapToGrid w:val="0"/>
                <w:spacing w:val="-6"/>
                <w:kern w:val="21"/>
                <w:sz w:val="21"/>
                <w:szCs w:val="21"/>
              </w:rPr>
            </w:pPr>
            <w:r>
              <w:rPr>
                <w:rFonts w:hint="default" w:ascii="Times New Roman" w:hAnsi="Times New Roman" w:eastAsia="宋体" w:cs="Times New Roman"/>
                <w:snapToGrid w:val="0"/>
                <w:spacing w:val="-6"/>
                <w:kern w:val="21"/>
                <w:sz w:val="21"/>
                <w:szCs w:val="21"/>
              </w:rPr>
              <w:fldChar w:fldCharType="begin"/>
            </w:r>
            <w:r>
              <w:rPr>
                <w:rFonts w:hint="default" w:ascii="Times New Roman" w:hAnsi="Times New Roman" w:eastAsia="宋体" w:cs="Times New Roman"/>
                <w:snapToGrid w:val="0"/>
                <w:spacing w:val="-6"/>
                <w:kern w:val="21"/>
                <w:sz w:val="21"/>
                <w:szCs w:val="21"/>
              </w:rPr>
              <w:instrText xml:space="preserve"> = 7 \* GB3 \* MERGEFORMAT </w:instrText>
            </w:r>
            <w:r>
              <w:rPr>
                <w:rFonts w:hint="default" w:ascii="Times New Roman" w:hAnsi="Times New Roman" w:eastAsia="宋体" w:cs="Times New Roman"/>
                <w:snapToGrid w:val="0"/>
                <w:spacing w:val="-6"/>
                <w:kern w:val="21"/>
                <w:sz w:val="21"/>
                <w:szCs w:val="21"/>
              </w:rPr>
              <w:fldChar w:fldCharType="separate"/>
            </w:r>
            <w:r>
              <w:rPr>
                <w:rFonts w:hint="default" w:ascii="Times New Roman" w:hAnsi="Times New Roman" w:eastAsia="宋体" w:cs="Times New Roman"/>
                <w:sz w:val="21"/>
                <w:szCs w:val="21"/>
              </w:rPr>
              <w:t>⑦</w:t>
            </w:r>
            <w:r>
              <w:rPr>
                <w:rFonts w:hint="default" w:ascii="Times New Roman" w:hAnsi="Times New Roman" w:eastAsia="宋体" w:cs="Times New Roman"/>
                <w:snapToGrid w:val="0"/>
                <w:spacing w:val="-6"/>
                <w:kern w:val="21"/>
                <w:sz w:val="21"/>
                <w:szCs w:val="21"/>
              </w:rPr>
              <w:fldChar w:fldCharType="end"/>
            </w:r>
          </w:p>
        </w:tc>
      </w:tr>
      <w:tr w14:paraId="481F3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restart"/>
            <w:vAlign w:val="center"/>
          </w:tcPr>
          <w:p w14:paraId="23BC7342">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废气</w:t>
            </w:r>
          </w:p>
        </w:tc>
        <w:tc>
          <w:tcPr>
            <w:tcW w:w="411" w:type="pct"/>
            <w:vAlign w:val="center"/>
          </w:tcPr>
          <w:p w14:paraId="0F9E632D">
            <w:pPr>
              <w:pStyle w:val="75"/>
              <w:snapToGrid w:val="0"/>
              <w:spacing w:line="30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颗粒物</w:t>
            </w:r>
          </w:p>
        </w:tc>
        <w:tc>
          <w:tcPr>
            <w:tcW w:w="672" w:type="pct"/>
            <w:vAlign w:val="center"/>
          </w:tcPr>
          <w:p w14:paraId="4A4F71AA">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64C86910">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777370A3">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22B517A6">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18590DA7">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2B6D8B0C">
            <w:pPr>
              <w:spacing w:line="300" w:lineRule="exact"/>
              <w:jc w:val="center"/>
              <w:rPr>
                <w:rFonts w:hint="default" w:ascii="Times New Roman" w:hAnsi="Times New Roman" w:eastAsia="宋体" w:cs="Times New Roman"/>
                <w:snapToGrid w:val="0"/>
                <w:kern w:val="2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247C1ADC">
            <w:pPr>
              <w:spacing w:line="300" w:lineRule="exact"/>
              <w:jc w:val="center"/>
              <w:rPr>
                <w:rFonts w:hint="default" w:ascii="Times New Roman" w:hAnsi="Times New Roman" w:eastAsia="宋体" w:cs="Times New Roman"/>
                <w:snapToGrid w:val="0"/>
                <w:kern w:val="2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0991F9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14D4A690">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411" w:type="pct"/>
            <w:vAlign w:val="center"/>
          </w:tcPr>
          <w:p w14:paraId="2BC75C4B">
            <w:pPr>
              <w:pStyle w:val="75"/>
              <w:snapToGrid w:val="0"/>
              <w:spacing w:line="30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SO</w:t>
            </w:r>
            <w:r>
              <w:rPr>
                <w:rFonts w:hint="default" w:ascii="Times New Roman" w:hAnsi="Times New Roman" w:eastAsia="宋体" w:cs="Times New Roman"/>
                <w:kern w:val="0"/>
                <w:sz w:val="21"/>
                <w:szCs w:val="21"/>
                <w:vertAlign w:val="subscript"/>
                <w:lang w:val="en-US" w:eastAsia="zh-CN"/>
              </w:rPr>
              <w:t>2</w:t>
            </w:r>
          </w:p>
        </w:tc>
        <w:tc>
          <w:tcPr>
            <w:tcW w:w="672" w:type="pct"/>
            <w:vAlign w:val="center"/>
          </w:tcPr>
          <w:p w14:paraId="5EA7CC29">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2F0B7838">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7888E77F">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09FDFF50">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697917E6">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2C4A71C7">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2C5A7D55">
            <w:pPr>
              <w:spacing w:line="300" w:lineRule="exact"/>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46F46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033AB387">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411" w:type="pct"/>
            <w:vAlign w:val="center"/>
          </w:tcPr>
          <w:p w14:paraId="320A937D">
            <w:pPr>
              <w:pStyle w:val="75"/>
              <w:snapToGrid w:val="0"/>
              <w:spacing w:line="30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NO</w:t>
            </w:r>
            <w:r>
              <w:rPr>
                <w:rFonts w:hint="default" w:ascii="Times New Roman" w:hAnsi="Times New Roman" w:eastAsia="宋体" w:cs="Times New Roman"/>
                <w:kern w:val="0"/>
                <w:sz w:val="21"/>
                <w:szCs w:val="21"/>
                <w:vertAlign w:val="subscript"/>
                <w:lang w:val="en-US" w:eastAsia="zh-CN"/>
              </w:rPr>
              <w:t>x</w:t>
            </w:r>
          </w:p>
        </w:tc>
        <w:tc>
          <w:tcPr>
            <w:tcW w:w="672" w:type="pct"/>
            <w:vAlign w:val="center"/>
          </w:tcPr>
          <w:p w14:paraId="656D238D">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091702A6">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268A2DF3">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4284BFAB">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695FB723">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4545AB9E">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00A4DA48">
            <w:pPr>
              <w:spacing w:line="300" w:lineRule="exact"/>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325F8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63ED5404">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411" w:type="pct"/>
            <w:vAlign w:val="center"/>
          </w:tcPr>
          <w:p w14:paraId="0D904B70">
            <w:pPr>
              <w:pStyle w:val="75"/>
              <w:snapToGrid w:val="0"/>
              <w:spacing w:line="300" w:lineRule="exact"/>
              <w:jc w:val="center"/>
              <w:rPr>
                <w:rFonts w:hint="default" w:ascii="Times New Roman" w:hAnsi="Times New Roman" w:eastAsia="宋体" w:cs="Times New Roman"/>
                <w:kern w:val="0"/>
                <w:sz w:val="21"/>
                <w:szCs w:val="21"/>
                <w:lang w:val="en-US" w:eastAsia="zh-CN"/>
              </w:rPr>
            </w:pPr>
            <w:r>
              <w:rPr>
                <w:rFonts w:hint="eastAsia" w:eastAsia="宋体" w:cs="Times New Roman"/>
                <w:kern w:val="0"/>
                <w:sz w:val="21"/>
                <w:szCs w:val="21"/>
                <w:lang w:val="en-US" w:eastAsia="zh-CN"/>
              </w:rPr>
              <w:t>NMHC</w:t>
            </w:r>
          </w:p>
        </w:tc>
        <w:tc>
          <w:tcPr>
            <w:tcW w:w="672" w:type="pct"/>
            <w:vAlign w:val="center"/>
          </w:tcPr>
          <w:p w14:paraId="49B62428">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369" w:type="pct"/>
            <w:vAlign w:val="center"/>
          </w:tcPr>
          <w:p w14:paraId="34C74A35">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672" w:type="pct"/>
            <w:vAlign w:val="center"/>
          </w:tcPr>
          <w:p w14:paraId="2EA4D92B">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744" w:type="pct"/>
            <w:vAlign w:val="center"/>
          </w:tcPr>
          <w:p w14:paraId="1D42B104">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4C453425">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2310" w:type="dxa"/>
            <w:vAlign w:val="center"/>
          </w:tcPr>
          <w:p w14:paraId="4FA37A9D">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283017B1">
            <w:pPr>
              <w:spacing w:line="300" w:lineRule="exact"/>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7B61D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restart"/>
            <w:vAlign w:val="center"/>
          </w:tcPr>
          <w:p w14:paraId="220F9AB6">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一般固体废物</w:t>
            </w:r>
          </w:p>
        </w:tc>
        <w:tc>
          <w:tcPr>
            <w:tcW w:w="411" w:type="pct"/>
            <w:vAlign w:val="center"/>
          </w:tcPr>
          <w:p w14:paraId="79B49B89">
            <w:pPr>
              <w:pStyle w:val="75"/>
              <w:snapToGrid w:val="0"/>
              <w:spacing w:line="300" w:lineRule="exact"/>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生活垃圾</w:t>
            </w:r>
          </w:p>
        </w:tc>
        <w:tc>
          <w:tcPr>
            <w:tcW w:w="672" w:type="pct"/>
            <w:vAlign w:val="center"/>
          </w:tcPr>
          <w:p w14:paraId="12E187DA">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7430F0D7">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3D4BCBDE">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0BACF83E">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5FE809A9">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2A09828D">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6B79F12A">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1BEEC1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3BE0EE1B">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411" w:type="pct"/>
            <w:vAlign w:val="center"/>
          </w:tcPr>
          <w:p w14:paraId="073B8D7F">
            <w:pPr>
              <w:pStyle w:val="75"/>
              <w:snapToGrid w:val="0"/>
              <w:spacing w:line="300" w:lineRule="exact"/>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废丝</w:t>
            </w:r>
          </w:p>
        </w:tc>
        <w:tc>
          <w:tcPr>
            <w:tcW w:w="672" w:type="pct"/>
            <w:vAlign w:val="center"/>
          </w:tcPr>
          <w:p w14:paraId="5EBE7523">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69D76F0B">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6472419E">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20E13DF6">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4F6EC40A">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132C6F08">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03E02027">
            <w:pPr>
              <w:spacing w:line="30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57B96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3A4E6418">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411" w:type="pct"/>
            <w:vAlign w:val="center"/>
          </w:tcPr>
          <w:p w14:paraId="1EAB906C">
            <w:pPr>
              <w:pStyle w:val="75"/>
              <w:snapToGrid w:val="0"/>
              <w:spacing w:line="300" w:lineRule="exact"/>
              <w:jc w:val="center"/>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不合格产品</w:t>
            </w:r>
          </w:p>
        </w:tc>
        <w:tc>
          <w:tcPr>
            <w:tcW w:w="672" w:type="pct"/>
            <w:vAlign w:val="center"/>
          </w:tcPr>
          <w:p w14:paraId="3D1B874A">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4497F2D2">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66934BCF">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3B2D6FFA">
            <w:pPr>
              <w:pStyle w:val="37"/>
              <w:spacing w:line="300" w:lineRule="exact"/>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56F6CD37">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6C4A5539">
            <w:pPr>
              <w:pStyle w:val="37"/>
              <w:spacing w:line="300" w:lineRule="exact"/>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69091E55">
            <w:pPr>
              <w:pStyle w:val="37"/>
              <w:spacing w:line="300" w:lineRule="exact"/>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29BFB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restart"/>
            <w:vAlign w:val="center"/>
          </w:tcPr>
          <w:p w14:paraId="60CF1A9D">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危险废物</w:t>
            </w:r>
          </w:p>
        </w:tc>
        <w:tc>
          <w:tcPr>
            <w:tcW w:w="411" w:type="pct"/>
            <w:vAlign w:val="center"/>
          </w:tcPr>
          <w:p w14:paraId="043CD128">
            <w:pPr>
              <w:spacing w:line="300" w:lineRule="exact"/>
              <w:jc w:val="center"/>
              <w:rPr>
                <w:rFonts w:hint="default" w:ascii="Times New Roman" w:hAnsi="Times New Roman" w:eastAsia="宋体" w:cs="Times New Roman"/>
                <w:kern w:val="1"/>
                <w:sz w:val="21"/>
                <w:szCs w:val="21"/>
                <w:lang w:val="en-US"/>
              </w:rPr>
            </w:pPr>
            <w:r>
              <w:rPr>
                <w:rFonts w:hint="eastAsia" w:ascii="Times New Roman" w:hAnsi="Times New Roman" w:cs="Times New Roman"/>
                <w:kern w:val="1"/>
                <w:sz w:val="21"/>
                <w:szCs w:val="21"/>
                <w:lang w:eastAsia="zh-CN"/>
              </w:rPr>
              <w:t>废</w:t>
            </w:r>
            <w:r>
              <w:rPr>
                <w:rFonts w:hint="eastAsia" w:ascii="Times New Roman" w:hAnsi="Times New Roman" w:cs="Times New Roman"/>
                <w:kern w:val="1"/>
                <w:sz w:val="21"/>
                <w:szCs w:val="21"/>
                <w:lang w:val="en-US" w:eastAsia="zh-CN"/>
              </w:rPr>
              <w:t>机油</w:t>
            </w:r>
          </w:p>
        </w:tc>
        <w:tc>
          <w:tcPr>
            <w:tcW w:w="672" w:type="pct"/>
            <w:vAlign w:val="center"/>
          </w:tcPr>
          <w:p w14:paraId="2C309006">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5E11FB43">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72E1254F">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42613E16">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2797AB89">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009C5C92">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0998108E">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r w14:paraId="69412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3BE6F89E">
            <w:pPr>
              <w:pStyle w:val="48"/>
              <w:spacing w:line="300" w:lineRule="exact"/>
              <w:ind w:left="0" w:leftChars="0" w:firstLine="0" w:firstLineChars="0"/>
              <w:rPr>
                <w:rFonts w:hint="default" w:ascii="Times New Roman" w:hAnsi="Times New Roman" w:eastAsia="宋体" w:cs="Times New Roman"/>
                <w:snapToGrid w:val="0"/>
                <w:kern w:val="21"/>
                <w:sz w:val="21"/>
                <w:szCs w:val="21"/>
              </w:rPr>
            </w:pPr>
          </w:p>
        </w:tc>
        <w:tc>
          <w:tcPr>
            <w:tcW w:w="411" w:type="pct"/>
            <w:vAlign w:val="center"/>
          </w:tcPr>
          <w:p w14:paraId="26DCA5B8">
            <w:pPr>
              <w:spacing w:line="300" w:lineRule="exact"/>
              <w:jc w:val="center"/>
              <w:rPr>
                <w:rFonts w:hint="default" w:ascii="Times New Roman" w:hAnsi="Times New Roman" w:eastAsia="宋体" w:cs="Times New Roman"/>
                <w:kern w:val="1"/>
                <w:sz w:val="21"/>
                <w:szCs w:val="21"/>
              </w:rPr>
            </w:pPr>
            <w:r>
              <w:rPr>
                <w:rFonts w:hint="default" w:ascii="Times New Roman" w:hAnsi="Times New Roman" w:eastAsia="宋体" w:cs="Times New Roman"/>
                <w:kern w:val="1"/>
                <w:sz w:val="21"/>
                <w:szCs w:val="21"/>
                <w:lang w:eastAsia="zh-CN"/>
              </w:rPr>
              <w:t>废</w:t>
            </w:r>
            <w:r>
              <w:rPr>
                <w:rFonts w:hint="eastAsia" w:ascii="Times New Roman" w:hAnsi="Times New Roman" w:cs="Times New Roman"/>
                <w:kern w:val="1"/>
                <w:sz w:val="21"/>
                <w:szCs w:val="21"/>
                <w:lang w:val="en-US" w:eastAsia="zh-CN"/>
              </w:rPr>
              <w:t>机</w:t>
            </w:r>
            <w:r>
              <w:rPr>
                <w:rFonts w:hint="default" w:ascii="Times New Roman" w:hAnsi="Times New Roman" w:eastAsia="宋体" w:cs="Times New Roman"/>
                <w:kern w:val="1"/>
                <w:sz w:val="21"/>
                <w:szCs w:val="21"/>
                <w:lang w:val="en-US" w:eastAsia="zh-CN"/>
              </w:rPr>
              <w:t>油</w:t>
            </w:r>
            <w:r>
              <w:rPr>
                <w:rFonts w:hint="default" w:ascii="Times New Roman" w:hAnsi="Times New Roman" w:eastAsia="宋体" w:cs="Times New Roman"/>
                <w:kern w:val="1"/>
                <w:sz w:val="21"/>
                <w:szCs w:val="21"/>
                <w:lang w:eastAsia="zh-CN"/>
              </w:rPr>
              <w:t>桶</w:t>
            </w:r>
          </w:p>
        </w:tc>
        <w:tc>
          <w:tcPr>
            <w:tcW w:w="672" w:type="pct"/>
            <w:vAlign w:val="center"/>
          </w:tcPr>
          <w:p w14:paraId="79CE5D9B">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369" w:type="pct"/>
            <w:vAlign w:val="center"/>
          </w:tcPr>
          <w:p w14:paraId="7CE9F45F">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672" w:type="pct"/>
            <w:vAlign w:val="center"/>
          </w:tcPr>
          <w:p w14:paraId="3650E476">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585957C3">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kern w:val="1"/>
                <w:sz w:val="21"/>
                <w:szCs w:val="21"/>
                <w:lang w:val="en-US" w:eastAsia="zh-CN"/>
              </w:rPr>
              <w:t>***</w:t>
            </w:r>
            <w:r>
              <w:rPr>
                <w:rFonts w:hint="default" w:ascii="Times New Roman" w:hAnsi="Times New Roman" w:eastAsia="宋体" w:cs="Times New Roman"/>
                <w:kern w:val="1"/>
                <w:sz w:val="21"/>
                <w:szCs w:val="21"/>
                <w:lang w:eastAsia="zh-CN"/>
              </w:rPr>
              <w:t>个</w:t>
            </w:r>
            <w:r>
              <w:rPr>
                <w:rFonts w:hint="default" w:ascii="Times New Roman" w:hAnsi="Times New Roman" w:eastAsia="宋体" w:cs="Times New Roman"/>
                <w:sz w:val="21"/>
                <w:szCs w:val="21"/>
                <w:lang w:eastAsia="zh-CN"/>
              </w:rPr>
              <w:t>/a</w:t>
            </w:r>
          </w:p>
        </w:tc>
        <w:tc>
          <w:tcPr>
            <w:tcW w:w="528" w:type="pct"/>
            <w:vAlign w:val="center"/>
          </w:tcPr>
          <w:p w14:paraId="7688A5F5">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7353AB33">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kern w:val="1"/>
                <w:sz w:val="21"/>
                <w:szCs w:val="21"/>
                <w:lang w:val="en-US" w:eastAsia="zh-CN"/>
              </w:rPr>
              <w:t>***</w:t>
            </w:r>
            <w:r>
              <w:rPr>
                <w:rFonts w:hint="default" w:ascii="Times New Roman" w:hAnsi="Times New Roman" w:eastAsia="宋体" w:cs="Times New Roman"/>
                <w:kern w:val="1"/>
                <w:sz w:val="21"/>
                <w:szCs w:val="21"/>
                <w:lang w:eastAsia="zh-CN"/>
              </w:rPr>
              <w:t>个</w:t>
            </w:r>
            <w:r>
              <w:rPr>
                <w:rFonts w:hint="default" w:ascii="Times New Roman" w:hAnsi="Times New Roman" w:eastAsia="宋体" w:cs="Times New Roman"/>
                <w:sz w:val="21"/>
                <w:szCs w:val="21"/>
                <w:lang w:eastAsia="zh-CN"/>
              </w:rPr>
              <w:t>/a</w:t>
            </w:r>
          </w:p>
        </w:tc>
        <w:tc>
          <w:tcPr>
            <w:tcW w:w="1227" w:type="dxa"/>
            <w:vAlign w:val="center"/>
          </w:tcPr>
          <w:p w14:paraId="6BDBC5D3">
            <w:pPr>
              <w:spacing w:line="300" w:lineRule="exact"/>
              <w:jc w:val="center"/>
              <w:rPr>
                <w:rFonts w:hint="default" w:ascii="Times New Roman" w:hAnsi="Times New Roman" w:eastAsia="宋体" w:cs="Times New Roman"/>
                <w:kern w:val="1"/>
                <w:sz w:val="21"/>
                <w:szCs w:val="21"/>
              </w:rPr>
            </w:pPr>
            <w:r>
              <w:rPr>
                <w:rFonts w:hint="eastAsia" w:ascii="Times New Roman" w:hAnsi="Times New Roman" w:cs="Times New Roman"/>
                <w:kern w:val="1"/>
                <w:sz w:val="21"/>
                <w:szCs w:val="21"/>
                <w:lang w:val="en-US" w:eastAsia="zh-CN"/>
              </w:rPr>
              <w:t>***</w:t>
            </w:r>
            <w:r>
              <w:rPr>
                <w:rFonts w:hint="default" w:ascii="Times New Roman" w:hAnsi="Times New Roman" w:eastAsia="宋体" w:cs="Times New Roman"/>
                <w:kern w:val="1"/>
                <w:sz w:val="21"/>
                <w:szCs w:val="21"/>
                <w:lang w:eastAsia="zh-CN"/>
              </w:rPr>
              <w:t>个</w:t>
            </w:r>
            <w:r>
              <w:rPr>
                <w:rFonts w:hint="default" w:ascii="Times New Roman" w:hAnsi="Times New Roman" w:eastAsia="宋体" w:cs="Times New Roman"/>
                <w:sz w:val="21"/>
                <w:szCs w:val="21"/>
                <w:lang w:eastAsia="zh-CN"/>
              </w:rPr>
              <w:t>/a</w:t>
            </w:r>
          </w:p>
        </w:tc>
      </w:tr>
      <w:tr w14:paraId="2CC62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2" w:type="pct"/>
            <w:vMerge w:val="continue"/>
            <w:vAlign w:val="center"/>
          </w:tcPr>
          <w:p w14:paraId="6D832D3B">
            <w:pPr>
              <w:pStyle w:val="48"/>
              <w:spacing w:line="300" w:lineRule="exact"/>
              <w:ind w:left="0" w:leftChars="0" w:firstLine="0" w:firstLineChars="0"/>
              <w:rPr>
                <w:rFonts w:hint="default" w:ascii="Times New Roman" w:hAnsi="Times New Roman" w:eastAsia="宋体" w:cs="Times New Roman"/>
                <w:snapToGrid w:val="0"/>
                <w:kern w:val="21"/>
                <w:sz w:val="21"/>
                <w:szCs w:val="21"/>
              </w:rPr>
            </w:pPr>
            <w:bookmarkStart w:id="32" w:name="_Toc14077"/>
          </w:p>
        </w:tc>
        <w:tc>
          <w:tcPr>
            <w:tcW w:w="411" w:type="pct"/>
            <w:vAlign w:val="center"/>
          </w:tcPr>
          <w:p w14:paraId="7A07C5FB">
            <w:pPr>
              <w:spacing w:line="300" w:lineRule="exact"/>
              <w:jc w:val="center"/>
              <w:rPr>
                <w:rFonts w:hint="default" w:ascii="Times New Roman" w:hAnsi="Times New Roman" w:eastAsia="宋体" w:cs="Times New Roman"/>
                <w:kern w:val="1"/>
                <w:sz w:val="21"/>
                <w:szCs w:val="21"/>
                <w:lang w:val="en-US" w:eastAsia="zh-CN"/>
              </w:rPr>
            </w:pPr>
            <w:r>
              <w:rPr>
                <w:rFonts w:hint="eastAsia" w:ascii="Times New Roman" w:hAnsi="Times New Roman" w:cs="Times New Roman"/>
                <w:kern w:val="1"/>
                <w:sz w:val="21"/>
                <w:szCs w:val="21"/>
                <w:lang w:val="en-US" w:eastAsia="zh-CN"/>
              </w:rPr>
              <w:t>污水处理站污泥</w:t>
            </w:r>
          </w:p>
        </w:tc>
        <w:tc>
          <w:tcPr>
            <w:tcW w:w="1968" w:type="dxa"/>
            <w:vAlign w:val="center"/>
          </w:tcPr>
          <w:p w14:paraId="0722167C">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1080" w:type="dxa"/>
            <w:vAlign w:val="center"/>
          </w:tcPr>
          <w:p w14:paraId="53CF444F">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1968" w:type="dxa"/>
            <w:vAlign w:val="center"/>
          </w:tcPr>
          <w:p w14:paraId="1323995B">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744" w:type="pct"/>
            <w:vAlign w:val="center"/>
          </w:tcPr>
          <w:p w14:paraId="6CBD2BA1">
            <w:pPr>
              <w:spacing w:line="300" w:lineRule="exact"/>
              <w:jc w:val="center"/>
              <w:rPr>
                <w:rFonts w:hint="default" w:ascii="Times New Roman" w:hAnsi="Times New Roman" w:eastAsia="宋体" w:cs="Times New Roman"/>
                <w:kern w:val="1"/>
                <w:sz w:val="21"/>
                <w:szCs w:val="21"/>
                <w:lang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528" w:type="pct"/>
            <w:vAlign w:val="center"/>
          </w:tcPr>
          <w:p w14:paraId="2D89B294">
            <w:pPr>
              <w:pStyle w:val="48"/>
              <w:spacing w:line="300" w:lineRule="exact"/>
              <w:ind w:left="0" w:leftChars="0" w:firstLine="0" w:firstLineChars="0"/>
              <w:rPr>
                <w:rFonts w:hint="default" w:ascii="Times New Roman" w:hAnsi="Times New Roman" w:eastAsia="宋体" w:cs="Times New Roman"/>
                <w:snapToGrid w:val="0"/>
                <w:kern w:val="21"/>
                <w:sz w:val="21"/>
                <w:szCs w:val="21"/>
              </w:rPr>
            </w:pPr>
            <w:r>
              <w:rPr>
                <w:rFonts w:hint="default" w:ascii="Times New Roman" w:hAnsi="Times New Roman" w:eastAsia="宋体" w:cs="Times New Roman"/>
                <w:snapToGrid w:val="0"/>
                <w:kern w:val="21"/>
                <w:sz w:val="21"/>
                <w:szCs w:val="21"/>
              </w:rPr>
              <w:t>/</w:t>
            </w:r>
          </w:p>
        </w:tc>
        <w:tc>
          <w:tcPr>
            <w:tcW w:w="2310" w:type="dxa"/>
            <w:vAlign w:val="center"/>
          </w:tcPr>
          <w:p w14:paraId="30D728BA">
            <w:pPr>
              <w:spacing w:line="300" w:lineRule="exact"/>
              <w:jc w:val="center"/>
              <w:rPr>
                <w:rFonts w:hint="default" w:ascii="Times New Roman" w:hAnsi="Times New Roman" w:eastAsia="宋体" w:cs="Times New Roman"/>
                <w:kern w:val="1"/>
                <w:sz w:val="21"/>
                <w:szCs w:val="21"/>
                <w:lang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c>
          <w:tcPr>
            <w:tcW w:w="1227" w:type="dxa"/>
            <w:vAlign w:val="center"/>
          </w:tcPr>
          <w:p w14:paraId="67F8841B">
            <w:pPr>
              <w:spacing w:line="300" w:lineRule="exact"/>
              <w:jc w:val="center"/>
              <w:rPr>
                <w:rFonts w:hint="default"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t/a</w:t>
            </w:r>
          </w:p>
        </w:tc>
      </w:tr>
    </w:tbl>
    <w:p w14:paraId="041DBE96">
      <w:pPr>
        <w:pStyle w:val="48"/>
        <w:spacing w:before="24" w:after="24" w:line="260" w:lineRule="auto"/>
        <w:ind w:left="860" w:leftChars="200" w:hanging="420" w:hangingChars="200"/>
        <w:jc w:val="left"/>
        <w:outlineLvl w:val="9"/>
        <w:rPr>
          <w:rFonts w:ascii="Times New Roman" w:hAnsi="Times New Roman" w:eastAsia="宋体" w:cs="Times New Roman"/>
          <w:sz w:val="21"/>
          <w:szCs w:val="21"/>
        </w:rPr>
      </w:pPr>
      <w:r>
        <w:rPr>
          <w:rFonts w:ascii="Times New Roman" w:hAnsi="Times New Roman" w:eastAsia="宋体" w:cs="Times New Roman"/>
          <w:snapToGrid w:val="0"/>
          <w:kern w:val="21"/>
          <w:sz w:val="21"/>
          <w:szCs w:val="21"/>
        </w:rPr>
        <w:t>注：</w:t>
      </w:r>
      <w:r>
        <w:rPr>
          <w:rFonts w:ascii="Times New Roman" w:hAnsi="Times New Roman" w:eastAsia="宋体" w:cs="Times New Roman"/>
          <w:snapToGrid w:val="0"/>
          <w:spacing w:val="-16"/>
          <w:kern w:val="21"/>
          <w:sz w:val="21"/>
          <w:szCs w:val="21"/>
        </w:rPr>
        <w:fldChar w:fldCharType="begin"/>
      </w:r>
      <w:r>
        <w:rPr>
          <w:rFonts w:ascii="Times New Roman" w:hAnsi="Times New Roman" w:eastAsia="宋体" w:cs="Times New Roman"/>
          <w:snapToGrid w:val="0"/>
          <w:spacing w:val="-16"/>
          <w:kern w:val="21"/>
          <w:sz w:val="21"/>
          <w:szCs w:val="21"/>
        </w:rPr>
        <w:instrText xml:space="preserve"> = 6 \* GB3 \* MERGEFORMAT </w:instrText>
      </w:r>
      <w:r>
        <w:rPr>
          <w:rFonts w:ascii="Times New Roman" w:hAnsi="Times New Roman" w:eastAsia="宋体" w:cs="Times New Roman"/>
          <w:snapToGrid w:val="0"/>
          <w:spacing w:val="-16"/>
          <w:kern w:val="21"/>
          <w:sz w:val="21"/>
          <w:szCs w:val="21"/>
        </w:rPr>
        <w:fldChar w:fldCharType="separate"/>
      </w:r>
      <w:r>
        <w:rPr>
          <w:rFonts w:ascii="Cambria Math" w:hAnsi="Cambria Math" w:eastAsia="宋体" w:cs="Cambria Math"/>
          <w:sz w:val="21"/>
          <w:szCs w:val="21"/>
        </w:rPr>
        <w:t>⑥</w:t>
      </w:r>
      <w:r>
        <w:rPr>
          <w:rFonts w:ascii="Times New Roman" w:hAnsi="Times New Roman" w:eastAsia="宋体" w:cs="Times New Roman"/>
          <w:snapToGrid w:val="0"/>
          <w:spacing w:val="-16"/>
          <w:kern w:val="21"/>
          <w:sz w:val="21"/>
          <w:szCs w:val="21"/>
        </w:rPr>
        <w:fldChar w:fldCharType="end"/>
      </w:r>
      <w:r>
        <w:rPr>
          <w:rFonts w:ascii="Times New Roman" w:hAnsi="Times New Roman" w:eastAsia="宋体" w:cs="Times New Roman"/>
          <w:snapToGrid w:val="0"/>
          <w:spacing w:val="-16"/>
          <w:kern w:val="21"/>
          <w:sz w:val="21"/>
          <w:szCs w:val="21"/>
        </w:rPr>
        <w:t>=</w:t>
      </w:r>
      <w:r>
        <w:rPr>
          <w:rFonts w:ascii="Times New Roman" w:hAnsi="Times New Roman" w:eastAsia="宋体" w:cs="Times New Roman"/>
          <w:snapToGrid w:val="0"/>
          <w:spacing w:val="-6"/>
          <w:kern w:val="21"/>
          <w:sz w:val="21"/>
          <w:szCs w:val="21"/>
        </w:rPr>
        <w:fldChar w:fldCharType="begin"/>
      </w:r>
      <w:r>
        <w:rPr>
          <w:rFonts w:ascii="Times New Roman" w:hAnsi="Times New Roman" w:eastAsia="宋体" w:cs="Times New Roman"/>
          <w:snapToGrid w:val="0"/>
          <w:spacing w:val="-6"/>
          <w:kern w:val="21"/>
          <w:sz w:val="21"/>
          <w:szCs w:val="21"/>
        </w:rPr>
        <w:instrText xml:space="preserve"> = 1 \* GB3 \* MERGEFORMAT </w:instrText>
      </w:r>
      <w:r>
        <w:rPr>
          <w:rFonts w:ascii="Times New Roman" w:hAnsi="Times New Roman" w:eastAsia="宋体" w:cs="Times New Roman"/>
          <w:snapToGrid w:val="0"/>
          <w:spacing w:val="-6"/>
          <w:kern w:val="21"/>
          <w:sz w:val="21"/>
          <w:szCs w:val="21"/>
        </w:rPr>
        <w:fldChar w:fldCharType="separate"/>
      </w:r>
      <w:r>
        <w:rPr>
          <w:rFonts w:ascii="Cambria Math" w:hAnsi="Cambria Math" w:eastAsia="宋体" w:cs="Cambria Math"/>
          <w:sz w:val="21"/>
          <w:szCs w:val="21"/>
        </w:rPr>
        <w:t>①</w:t>
      </w:r>
      <w:r>
        <w:rPr>
          <w:rFonts w:ascii="Times New Roman" w:hAnsi="Times New Roman" w:eastAsia="宋体" w:cs="Times New Roman"/>
          <w:snapToGrid w:val="0"/>
          <w:spacing w:val="-6"/>
          <w:kern w:val="21"/>
          <w:sz w:val="21"/>
          <w:szCs w:val="21"/>
        </w:rPr>
        <w:fldChar w:fldCharType="end"/>
      </w:r>
      <w:r>
        <w:rPr>
          <w:rFonts w:ascii="Times New Roman" w:hAnsi="Times New Roman" w:eastAsia="宋体" w:cs="Times New Roman"/>
          <w:snapToGrid w:val="0"/>
          <w:spacing w:val="-6"/>
          <w:kern w:val="21"/>
          <w:sz w:val="21"/>
          <w:szCs w:val="21"/>
        </w:rPr>
        <w:t>+</w:t>
      </w:r>
      <w:r>
        <w:rPr>
          <w:rFonts w:ascii="Times New Roman" w:hAnsi="Times New Roman" w:eastAsia="宋体" w:cs="Times New Roman"/>
          <w:snapToGrid w:val="0"/>
          <w:spacing w:val="-6"/>
          <w:kern w:val="21"/>
          <w:sz w:val="21"/>
          <w:szCs w:val="21"/>
        </w:rPr>
        <w:fldChar w:fldCharType="begin"/>
      </w:r>
      <w:r>
        <w:rPr>
          <w:rFonts w:ascii="Times New Roman" w:hAnsi="Times New Roman" w:eastAsia="宋体" w:cs="Times New Roman"/>
          <w:snapToGrid w:val="0"/>
          <w:spacing w:val="-6"/>
          <w:kern w:val="21"/>
          <w:sz w:val="21"/>
          <w:szCs w:val="21"/>
        </w:rPr>
        <w:instrText xml:space="preserve"> = 3 \* GB3 \* MERGEFORMAT </w:instrText>
      </w:r>
      <w:r>
        <w:rPr>
          <w:rFonts w:ascii="Times New Roman" w:hAnsi="Times New Roman" w:eastAsia="宋体" w:cs="Times New Roman"/>
          <w:snapToGrid w:val="0"/>
          <w:spacing w:val="-6"/>
          <w:kern w:val="21"/>
          <w:sz w:val="21"/>
          <w:szCs w:val="21"/>
        </w:rPr>
        <w:fldChar w:fldCharType="separate"/>
      </w:r>
      <w:r>
        <w:rPr>
          <w:rFonts w:ascii="Cambria Math" w:hAnsi="Cambria Math" w:eastAsia="宋体" w:cs="Cambria Math"/>
          <w:sz w:val="21"/>
          <w:szCs w:val="21"/>
        </w:rPr>
        <w:t>③</w:t>
      </w:r>
      <w:r>
        <w:rPr>
          <w:rFonts w:ascii="Times New Roman" w:hAnsi="Times New Roman" w:eastAsia="宋体" w:cs="Times New Roman"/>
          <w:snapToGrid w:val="0"/>
          <w:spacing w:val="-6"/>
          <w:kern w:val="21"/>
          <w:sz w:val="21"/>
          <w:szCs w:val="21"/>
        </w:rPr>
        <w:fldChar w:fldCharType="end"/>
      </w:r>
      <w:r>
        <w:rPr>
          <w:rFonts w:ascii="Times New Roman" w:hAnsi="Times New Roman" w:eastAsia="宋体" w:cs="Times New Roman"/>
          <w:snapToGrid w:val="0"/>
          <w:spacing w:val="-6"/>
          <w:kern w:val="21"/>
          <w:sz w:val="21"/>
          <w:szCs w:val="21"/>
        </w:rPr>
        <w:t>+</w:t>
      </w:r>
      <w:r>
        <w:rPr>
          <w:rFonts w:ascii="Times New Roman" w:hAnsi="Times New Roman" w:eastAsia="宋体" w:cs="Times New Roman"/>
          <w:snapToGrid w:val="0"/>
          <w:spacing w:val="-6"/>
          <w:kern w:val="21"/>
          <w:sz w:val="21"/>
          <w:szCs w:val="21"/>
        </w:rPr>
        <w:fldChar w:fldCharType="begin"/>
      </w:r>
      <w:r>
        <w:rPr>
          <w:rFonts w:ascii="Times New Roman" w:hAnsi="Times New Roman" w:eastAsia="宋体" w:cs="Times New Roman"/>
          <w:snapToGrid w:val="0"/>
          <w:spacing w:val="-6"/>
          <w:kern w:val="21"/>
          <w:sz w:val="21"/>
          <w:szCs w:val="21"/>
        </w:rPr>
        <w:instrText xml:space="preserve"> = 4 \* GB3 \* MERGEFORMAT </w:instrText>
      </w:r>
      <w:r>
        <w:rPr>
          <w:rFonts w:ascii="Times New Roman" w:hAnsi="Times New Roman" w:eastAsia="宋体" w:cs="Times New Roman"/>
          <w:snapToGrid w:val="0"/>
          <w:spacing w:val="-6"/>
          <w:kern w:val="21"/>
          <w:sz w:val="21"/>
          <w:szCs w:val="21"/>
        </w:rPr>
        <w:fldChar w:fldCharType="separate"/>
      </w:r>
      <w:r>
        <w:rPr>
          <w:rFonts w:ascii="Cambria Math" w:hAnsi="Cambria Math" w:eastAsia="宋体" w:cs="Cambria Math"/>
          <w:sz w:val="21"/>
          <w:szCs w:val="21"/>
        </w:rPr>
        <w:t>④</w:t>
      </w:r>
      <w:r>
        <w:rPr>
          <w:rFonts w:ascii="Times New Roman" w:hAnsi="Times New Roman" w:eastAsia="宋体" w:cs="Times New Roman"/>
          <w:snapToGrid w:val="0"/>
          <w:spacing w:val="-6"/>
          <w:kern w:val="21"/>
          <w:sz w:val="21"/>
          <w:szCs w:val="21"/>
        </w:rPr>
        <w:fldChar w:fldCharType="end"/>
      </w:r>
      <w:r>
        <w:rPr>
          <w:rFonts w:ascii="Times New Roman" w:hAnsi="Times New Roman" w:eastAsia="宋体" w:cs="Times New Roman"/>
          <w:snapToGrid w:val="0"/>
          <w:spacing w:val="-6"/>
          <w:kern w:val="21"/>
          <w:sz w:val="21"/>
          <w:szCs w:val="21"/>
        </w:rPr>
        <w:t>-</w:t>
      </w:r>
      <w:r>
        <w:rPr>
          <w:rFonts w:ascii="Times New Roman" w:hAnsi="Times New Roman" w:eastAsia="宋体" w:cs="Times New Roman"/>
          <w:snapToGrid w:val="0"/>
          <w:spacing w:val="-16"/>
          <w:kern w:val="21"/>
          <w:sz w:val="21"/>
          <w:szCs w:val="21"/>
        </w:rPr>
        <w:fldChar w:fldCharType="begin"/>
      </w:r>
      <w:r>
        <w:rPr>
          <w:rFonts w:ascii="Times New Roman" w:hAnsi="Times New Roman" w:eastAsia="宋体" w:cs="Times New Roman"/>
          <w:snapToGrid w:val="0"/>
          <w:spacing w:val="-16"/>
          <w:kern w:val="21"/>
          <w:sz w:val="21"/>
          <w:szCs w:val="21"/>
        </w:rPr>
        <w:instrText xml:space="preserve"> = 5 \* GB3 \* MERGEFORMAT </w:instrText>
      </w:r>
      <w:r>
        <w:rPr>
          <w:rFonts w:ascii="Times New Roman" w:hAnsi="Times New Roman" w:eastAsia="宋体" w:cs="Times New Roman"/>
          <w:snapToGrid w:val="0"/>
          <w:spacing w:val="-16"/>
          <w:kern w:val="21"/>
          <w:sz w:val="21"/>
          <w:szCs w:val="21"/>
        </w:rPr>
        <w:fldChar w:fldCharType="separate"/>
      </w:r>
      <w:r>
        <w:rPr>
          <w:rFonts w:ascii="Cambria Math" w:hAnsi="Cambria Math" w:eastAsia="宋体" w:cs="Cambria Math"/>
          <w:sz w:val="21"/>
          <w:szCs w:val="21"/>
        </w:rPr>
        <w:t>⑤</w:t>
      </w:r>
      <w:r>
        <w:rPr>
          <w:rFonts w:ascii="Times New Roman" w:hAnsi="Times New Roman" w:eastAsia="宋体" w:cs="Times New Roman"/>
          <w:snapToGrid w:val="0"/>
          <w:spacing w:val="-16"/>
          <w:kern w:val="21"/>
          <w:sz w:val="21"/>
          <w:szCs w:val="21"/>
        </w:rPr>
        <w:fldChar w:fldCharType="end"/>
      </w:r>
      <w:r>
        <w:rPr>
          <w:rFonts w:ascii="Times New Roman" w:hAnsi="Times New Roman" w:eastAsia="宋体" w:cs="Times New Roman"/>
          <w:snapToGrid w:val="0"/>
          <w:spacing w:val="-16"/>
          <w:kern w:val="21"/>
          <w:sz w:val="21"/>
          <w:szCs w:val="21"/>
        </w:rPr>
        <w:t>；</w:t>
      </w:r>
      <w:r>
        <w:rPr>
          <w:rFonts w:ascii="Times New Roman" w:hAnsi="Times New Roman" w:eastAsia="宋体" w:cs="Times New Roman"/>
          <w:snapToGrid w:val="0"/>
          <w:spacing w:val="-6"/>
          <w:kern w:val="21"/>
          <w:sz w:val="21"/>
          <w:szCs w:val="21"/>
        </w:rPr>
        <w:fldChar w:fldCharType="begin"/>
      </w:r>
      <w:r>
        <w:rPr>
          <w:rFonts w:ascii="Times New Roman" w:hAnsi="Times New Roman" w:eastAsia="宋体" w:cs="Times New Roman"/>
          <w:snapToGrid w:val="0"/>
          <w:spacing w:val="-6"/>
          <w:kern w:val="21"/>
          <w:sz w:val="21"/>
          <w:szCs w:val="21"/>
        </w:rPr>
        <w:instrText xml:space="preserve"> = 7 \* GB3 \* MERGEFORMAT </w:instrText>
      </w:r>
      <w:r>
        <w:rPr>
          <w:rFonts w:ascii="Times New Roman" w:hAnsi="Times New Roman" w:eastAsia="宋体" w:cs="Times New Roman"/>
          <w:snapToGrid w:val="0"/>
          <w:spacing w:val="-6"/>
          <w:kern w:val="21"/>
          <w:sz w:val="21"/>
          <w:szCs w:val="21"/>
        </w:rPr>
        <w:fldChar w:fldCharType="separate"/>
      </w:r>
      <w:r>
        <w:rPr>
          <w:rFonts w:ascii="Cambria Math" w:hAnsi="Cambria Math" w:eastAsia="宋体" w:cs="Cambria Math"/>
          <w:sz w:val="21"/>
          <w:szCs w:val="21"/>
        </w:rPr>
        <w:t>⑦</w:t>
      </w:r>
      <w:r>
        <w:rPr>
          <w:rFonts w:ascii="Times New Roman" w:hAnsi="Times New Roman" w:eastAsia="宋体" w:cs="Times New Roman"/>
          <w:snapToGrid w:val="0"/>
          <w:spacing w:val="-6"/>
          <w:kern w:val="21"/>
          <w:sz w:val="21"/>
          <w:szCs w:val="21"/>
        </w:rPr>
        <w:fldChar w:fldCharType="end"/>
      </w:r>
      <w:r>
        <w:rPr>
          <w:rFonts w:ascii="Times New Roman" w:hAnsi="Times New Roman" w:eastAsia="宋体" w:cs="Times New Roman"/>
          <w:snapToGrid w:val="0"/>
          <w:spacing w:val="-6"/>
          <w:kern w:val="21"/>
          <w:sz w:val="21"/>
          <w:szCs w:val="21"/>
        </w:rPr>
        <w:t>=</w:t>
      </w:r>
      <w:r>
        <w:rPr>
          <w:rFonts w:ascii="Times New Roman" w:hAnsi="Times New Roman" w:eastAsia="宋体" w:cs="Times New Roman"/>
          <w:snapToGrid w:val="0"/>
          <w:spacing w:val="-16"/>
          <w:kern w:val="21"/>
          <w:sz w:val="21"/>
          <w:szCs w:val="21"/>
        </w:rPr>
        <w:fldChar w:fldCharType="begin"/>
      </w:r>
      <w:r>
        <w:rPr>
          <w:rFonts w:ascii="Times New Roman" w:hAnsi="Times New Roman" w:eastAsia="宋体" w:cs="Times New Roman"/>
          <w:snapToGrid w:val="0"/>
          <w:spacing w:val="-16"/>
          <w:kern w:val="21"/>
          <w:sz w:val="21"/>
          <w:szCs w:val="21"/>
        </w:rPr>
        <w:instrText xml:space="preserve"> = 6 \* GB3 \* MERGEFORMAT </w:instrText>
      </w:r>
      <w:r>
        <w:rPr>
          <w:rFonts w:ascii="Times New Roman" w:hAnsi="Times New Roman" w:eastAsia="宋体" w:cs="Times New Roman"/>
          <w:snapToGrid w:val="0"/>
          <w:spacing w:val="-16"/>
          <w:kern w:val="21"/>
          <w:sz w:val="21"/>
          <w:szCs w:val="21"/>
        </w:rPr>
        <w:fldChar w:fldCharType="separate"/>
      </w:r>
      <w:r>
        <w:rPr>
          <w:rFonts w:ascii="Cambria Math" w:hAnsi="Cambria Math" w:eastAsia="宋体" w:cs="Cambria Math"/>
          <w:sz w:val="21"/>
          <w:szCs w:val="21"/>
        </w:rPr>
        <w:t>⑥</w:t>
      </w:r>
      <w:r>
        <w:rPr>
          <w:rFonts w:ascii="Times New Roman" w:hAnsi="Times New Roman" w:eastAsia="宋体" w:cs="Times New Roman"/>
          <w:snapToGrid w:val="0"/>
          <w:spacing w:val="-16"/>
          <w:kern w:val="21"/>
          <w:sz w:val="21"/>
          <w:szCs w:val="21"/>
        </w:rPr>
        <w:fldChar w:fldCharType="end"/>
      </w:r>
      <w:r>
        <w:rPr>
          <w:rFonts w:ascii="Times New Roman" w:hAnsi="Times New Roman" w:eastAsia="宋体" w:cs="Times New Roman"/>
          <w:snapToGrid w:val="0"/>
          <w:spacing w:val="-16"/>
          <w:kern w:val="21"/>
          <w:sz w:val="21"/>
          <w:szCs w:val="21"/>
        </w:rPr>
        <w:t>-</w:t>
      </w:r>
      <w:r>
        <w:rPr>
          <w:rFonts w:ascii="Times New Roman" w:hAnsi="Times New Roman" w:eastAsia="宋体" w:cs="Times New Roman"/>
          <w:snapToGrid w:val="0"/>
          <w:spacing w:val="-6"/>
          <w:kern w:val="21"/>
          <w:sz w:val="21"/>
          <w:szCs w:val="21"/>
        </w:rPr>
        <w:fldChar w:fldCharType="begin"/>
      </w:r>
      <w:r>
        <w:rPr>
          <w:rFonts w:ascii="Times New Roman" w:hAnsi="Times New Roman" w:eastAsia="宋体" w:cs="Times New Roman"/>
          <w:snapToGrid w:val="0"/>
          <w:spacing w:val="-6"/>
          <w:kern w:val="21"/>
          <w:sz w:val="21"/>
          <w:szCs w:val="21"/>
        </w:rPr>
        <w:instrText xml:space="preserve"> = 1 \* GB3 \* MERGEFORMAT </w:instrText>
      </w:r>
      <w:r>
        <w:rPr>
          <w:rFonts w:ascii="Times New Roman" w:hAnsi="Times New Roman" w:eastAsia="宋体" w:cs="Times New Roman"/>
          <w:snapToGrid w:val="0"/>
          <w:spacing w:val="-6"/>
          <w:kern w:val="21"/>
          <w:sz w:val="21"/>
          <w:szCs w:val="21"/>
        </w:rPr>
        <w:fldChar w:fldCharType="separate"/>
      </w:r>
      <w:r>
        <w:rPr>
          <w:rFonts w:ascii="Cambria Math" w:hAnsi="Cambria Math" w:eastAsia="宋体" w:cs="Cambria Math"/>
          <w:sz w:val="21"/>
          <w:szCs w:val="21"/>
        </w:rPr>
        <w:t>①</w:t>
      </w:r>
      <w:r>
        <w:rPr>
          <w:rFonts w:ascii="Times New Roman" w:hAnsi="Times New Roman" w:eastAsia="宋体" w:cs="Times New Roman"/>
          <w:snapToGrid w:val="0"/>
          <w:spacing w:val="-6"/>
          <w:kern w:val="21"/>
          <w:sz w:val="21"/>
          <w:szCs w:val="21"/>
        </w:rPr>
        <w:fldChar w:fldCharType="end"/>
      </w:r>
      <w:bookmarkEnd w:id="32"/>
    </w:p>
    <w:p w14:paraId="042535B2">
      <w:pPr>
        <w:pStyle w:val="23"/>
        <w:adjustRightInd w:val="0"/>
        <w:snapToGrid w:val="0"/>
        <w:spacing w:before="0" w:beforeAutospacing="0" w:after="0" w:afterAutospacing="0"/>
        <w:outlineLvl w:val="9"/>
        <w:rPr>
          <w:rFonts w:hint="eastAsia" w:ascii="黑体" w:hAnsi="黑体" w:eastAsia="黑体"/>
          <w:snapToGrid w:val="0"/>
          <w:sz w:val="28"/>
          <w:szCs w:val="28"/>
        </w:rPr>
        <w:sectPr>
          <w:pgSz w:w="16840" w:h="11913" w:orient="landscape"/>
          <w:pgMar w:top="1134" w:right="1134" w:bottom="1134" w:left="1134" w:header="0" w:footer="1043" w:gutter="0"/>
          <w:pgBorders>
            <w:top w:val="none" w:sz="0" w:space="0"/>
            <w:left w:val="none" w:sz="0" w:space="0"/>
            <w:bottom w:val="none" w:sz="0" w:space="0"/>
            <w:right w:val="none" w:sz="0" w:space="0"/>
          </w:pgBorders>
          <w:cols w:space="720" w:num="1"/>
        </w:sectPr>
      </w:pPr>
    </w:p>
    <w:bookmarkEnd w:id="29"/>
    <w:p w14:paraId="22899FCB">
      <w:pPr>
        <w:pStyle w:val="10"/>
        <w:spacing w:before="8"/>
        <w:rPr>
          <w:rFonts w:ascii="Times New Roman" w:hAnsi="Times New Roman" w:cs="Times New Roman"/>
          <w:sz w:val="21"/>
          <w:lang w:eastAsia="zh-CN"/>
        </w:rPr>
      </w:pPr>
    </w:p>
    <w:p w14:paraId="14C3F615">
      <w:pPr>
        <w:pStyle w:val="10"/>
        <w:spacing w:line="360" w:lineRule="auto"/>
        <w:ind w:firstLine="480" w:firstLineChars="200"/>
        <w:jc w:val="center"/>
        <w:rPr>
          <w:rFonts w:hint="eastAsia" w:ascii="宋体" w:hAnsi="宋体" w:eastAsia="宋体"/>
          <w:sz w:val="24"/>
          <w:szCs w:val="24"/>
          <w:lang w:eastAsia="zh-CN"/>
        </w:rPr>
      </w:pPr>
      <w:r>
        <w:rPr>
          <w:rFonts w:hint="eastAsia" w:ascii="宋体" w:hAnsi="宋体" w:eastAsia="宋体"/>
          <w:sz w:val="24"/>
          <w:szCs w:val="24"/>
          <w:lang w:eastAsia="zh-CN"/>
        </w:rPr>
        <w:t>项目实景图</w:t>
      </w:r>
    </w:p>
    <w:tbl>
      <w:tblPr>
        <w:tblStyle w:val="2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930"/>
        <w:gridCol w:w="4931"/>
      </w:tblGrid>
      <w:tr w14:paraId="51B734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930" w:type="dxa"/>
            <w:vAlign w:val="center"/>
          </w:tcPr>
          <w:p w14:paraId="3CC4341C">
            <w:pPr>
              <w:pStyle w:val="10"/>
              <w:spacing w:line="360" w:lineRule="auto"/>
              <w:jc w:val="center"/>
              <w:rPr>
                <w:rFonts w:hint="default" w:ascii="宋体" w:hAnsi="宋体" w:eastAsia="宋体"/>
                <w:color w:val="FF0000"/>
                <w:sz w:val="24"/>
                <w:szCs w:val="24"/>
                <w:lang w:val="en-US" w:eastAsia="zh-CN"/>
              </w:rPr>
            </w:pPr>
            <w:r>
              <w:rPr>
                <w:rFonts w:hint="eastAsia" w:ascii="宋体" w:hAnsi="宋体" w:eastAsia="宋体"/>
                <w:sz w:val="21"/>
                <w:szCs w:val="21"/>
                <w:lang w:val="en-US" w:eastAsia="zh-CN"/>
              </w:rPr>
              <w:t>略</w:t>
            </w:r>
          </w:p>
        </w:tc>
        <w:tc>
          <w:tcPr>
            <w:tcW w:w="4931" w:type="dxa"/>
            <w:vAlign w:val="center"/>
          </w:tcPr>
          <w:p w14:paraId="4E0FDDA7">
            <w:pPr>
              <w:pStyle w:val="10"/>
              <w:spacing w:line="360" w:lineRule="auto"/>
              <w:jc w:val="center"/>
              <w:rPr>
                <w:rFonts w:hint="eastAsia" w:ascii="宋体" w:hAnsi="宋体" w:eastAsia="宋体"/>
                <w:color w:val="FF0000"/>
                <w:sz w:val="24"/>
                <w:szCs w:val="24"/>
                <w:lang w:eastAsia="zh-CN"/>
              </w:rPr>
            </w:pPr>
            <w:r>
              <w:rPr>
                <w:rFonts w:hint="eastAsia" w:ascii="宋体" w:hAnsi="宋体" w:eastAsia="宋体"/>
                <w:sz w:val="21"/>
                <w:szCs w:val="21"/>
                <w:lang w:val="en-US" w:eastAsia="zh-CN"/>
              </w:rPr>
              <w:t>略</w:t>
            </w:r>
          </w:p>
        </w:tc>
      </w:tr>
      <w:tr w14:paraId="36DA58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930" w:type="dxa"/>
            <w:vAlign w:val="center"/>
          </w:tcPr>
          <w:p w14:paraId="7C63DF03">
            <w:pPr>
              <w:pStyle w:val="1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厂房</w:t>
            </w:r>
            <w:r>
              <w:rPr>
                <w:rFonts w:hint="eastAsia" w:ascii="宋体" w:hAnsi="宋体" w:eastAsia="宋体"/>
                <w:sz w:val="21"/>
                <w:szCs w:val="21"/>
                <w:lang w:val="en-US" w:eastAsia="zh-CN"/>
              </w:rPr>
              <w:t>北侧</w:t>
            </w:r>
          </w:p>
        </w:tc>
        <w:tc>
          <w:tcPr>
            <w:tcW w:w="4931" w:type="dxa"/>
            <w:vAlign w:val="center"/>
          </w:tcPr>
          <w:p w14:paraId="1E6F81FC">
            <w:pPr>
              <w:pStyle w:val="1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厂房东侧</w:t>
            </w:r>
          </w:p>
        </w:tc>
      </w:tr>
      <w:tr w14:paraId="561B9C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930" w:type="dxa"/>
            <w:vAlign w:val="center"/>
          </w:tcPr>
          <w:p w14:paraId="718E3392">
            <w:pPr>
              <w:pStyle w:val="10"/>
              <w:spacing w:line="360" w:lineRule="auto"/>
              <w:jc w:val="center"/>
              <w:rPr>
                <w:rFonts w:hint="eastAsia" w:ascii="宋体" w:hAnsi="宋体" w:eastAsia="宋体"/>
                <w:sz w:val="21"/>
                <w:szCs w:val="21"/>
                <w:lang w:eastAsia="zh-CN"/>
              </w:rPr>
            </w:pPr>
            <w:r>
              <w:rPr>
                <w:rFonts w:hint="eastAsia" w:ascii="宋体" w:hAnsi="宋体" w:eastAsia="宋体"/>
                <w:sz w:val="21"/>
                <w:szCs w:val="21"/>
                <w:lang w:val="en-US" w:eastAsia="zh-CN"/>
              </w:rPr>
              <w:t>略</w:t>
            </w:r>
          </w:p>
        </w:tc>
        <w:tc>
          <w:tcPr>
            <w:tcW w:w="4931" w:type="dxa"/>
            <w:vAlign w:val="center"/>
          </w:tcPr>
          <w:p w14:paraId="775D6C96">
            <w:pPr>
              <w:pStyle w:val="10"/>
              <w:spacing w:line="360" w:lineRule="auto"/>
              <w:jc w:val="center"/>
              <w:rPr>
                <w:rFonts w:hint="eastAsia" w:ascii="宋体" w:hAnsi="宋体" w:eastAsia="宋体"/>
                <w:sz w:val="21"/>
                <w:szCs w:val="21"/>
                <w:lang w:eastAsia="zh-CN"/>
              </w:rPr>
            </w:pPr>
            <w:r>
              <w:rPr>
                <w:rFonts w:hint="eastAsia" w:ascii="宋体" w:hAnsi="宋体" w:eastAsia="宋体"/>
                <w:sz w:val="21"/>
                <w:szCs w:val="21"/>
                <w:lang w:val="en-US" w:eastAsia="zh-CN"/>
              </w:rPr>
              <w:t>略</w:t>
            </w:r>
          </w:p>
        </w:tc>
      </w:tr>
      <w:tr w14:paraId="114AE0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930" w:type="dxa"/>
            <w:vAlign w:val="center"/>
          </w:tcPr>
          <w:p w14:paraId="7C5A0927">
            <w:pPr>
              <w:pStyle w:val="1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厂房南侧</w:t>
            </w:r>
          </w:p>
        </w:tc>
        <w:tc>
          <w:tcPr>
            <w:tcW w:w="4931" w:type="dxa"/>
            <w:vAlign w:val="center"/>
          </w:tcPr>
          <w:p w14:paraId="251E2A56">
            <w:pPr>
              <w:pStyle w:val="1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厂房西侧</w:t>
            </w:r>
          </w:p>
        </w:tc>
      </w:tr>
    </w:tbl>
    <w:p w14:paraId="5879EF6B">
      <w:pPr>
        <w:pStyle w:val="10"/>
        <w:spacing w:line="360" w:lineRule="auto"/>
        <w:ind w:firstLine="480" w:firstLineChars="200"/>
        <w:jc w:val="center"/>
        <w:rPr>
          <w:rFonts w:hint="eastAsia" w:ascii="宋体" w:hAnsi="宋体" w:eastAsia="宋体"/>
          <w:color w:val="FF0000"/>
          <w:sz w:val="24"/>
          <w:szCs w:val="24"/>
          <w:lang w:eastAsia="zh-CN"/>
        </w:rPr>
      </w:pPr>
    </w:p>
    <w:p w14:paraId="1D5321D6">
      <w:pPr>
        <w:rPr>
          <w:rFonts w:hint="default"/>
          <w:lang w:val="en-US" w:eastAsia="zh-CN"/>
        </w:rPr>
      </w:pPr>
    </w:p>
    <w:sectPr>
      <w:pgSz w:w="16840" w:h="11913" w:orient="landscape"/>
      <w:pgMar w:top="1134" w:right="1134" w:bottom="1134" w:left="1134" w:header="0" w:footer="104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9341077"/>
    </w:sdtPr>
    <w:sdtContent>
      <w:p w14:paraId="6743E33C">
        <w:pPr>
          <w:pStyle w:val="15"/>
          <w:jc w:val="center"/>
          <w:rPr>
            <w:rFonts w:hint="eastAsia"/>
          </w:rPr>
        </w:pPr>
        <w:r>
          <w:fldChar w:fldCharType="begin"/>
        </w:r>
        <w:r>
          <w:instrText xml:space="preserve">PAGE   \* MERGEFORMAT</w:instrText>
        </w:r>
        <w:r>
          <w:fldChar w:fldCharType="separate"/>
        </w:r>
        <w:r>
          <w:rPr>
            <w:lang w:val="zh-CN" w:eastAsia="zh-CN"/>
          </w:rPr>
          <w:t>2</w:t>
        </w:r>
        <w:r>
          <w:fldChar w:fldCharType="end"/>
        </w:r>
      </w:p>
    </w:sdtContent>
  </w:sdt>
  <w:p w14:paraId="32715887">
    <w:pPr>
      <w:pStyle w:val="10"/>
      <w:spacing w:line="14" w:lineRule="auto"/>
      <w:rPr>
        <w:rFonts w:hint="eastAsia"/>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CAB93">
    <w:pPr>
      <w:pStyle w:val="10"/>
      <w:spacing w:line="14" w:lineRule="auto"/>
      <w:rPr>
        <w:rFonts w:hint="eastAsia"/>
        <w:sz w:val="20"/>
      </w:rPr>
    </w:pPr>
    <w:r>
      <w:rPr>
        <w:rFonts w:hint="eastAsia"/>
      </w:rPr>
      <w:pict>
        <v:shape id="_x0000_s2049" o:spid="_x0000_s2049" o:spt="202" type="#_x0000_t202" style="position:absolute;left:0pt;margin-left:75.6pt;margin-top:778.8pt;height:16.05pt;width:63.1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587BC72D">
                <w:pPr>
                  <w:spacing w:line="301" w:lineRule="exact"/>
                  <w:ind w:left="20"/>
                  <w:rPr>
                    <w:rFonts w:hint="eastAsia"/>
                    <w:sz w:val="2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53B6C">
    <w:pPr>
      <w:pStyle w:val="15"/>
      <w:jc w:val="center"/>
      <w:rPr>
        <w:rFonts w:hint="eastAsia"/>
      </w:rPr>
    </w:pPr>
  </w:p>
  <w:p w14:paraId="7F85778C">
    <w:pPr>
      <w:pStyle w:val="1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239060"/>
    </w:sdtPr>
    <w:sdtContent>
      <w:p w14:paraId="035B81AC">
        <w:pPr>
          <w:pStyle w:val="15"/>
          <w:jc w:val="center"/>
          <w:rPr>
            <w:rFonts w:hint="eastAsia"/>
          </w:rPr>
        </w:pPr>
        <w:r>
          <w:fldChar w:fldCharType="begin"/>
        </w:r>
        <w:r>
          <w:instrText xml:space="preserve">PAGE   \* MERGEFORMAT</w:instrText>
        </w:r>
        <w:r>
          <w:fldChar w:fldCharType="separate"/>
        </w:r>
        <w:r>
          <w:rPr>
            <w:lang w:val="zh-CN" w:eastAsia="zh-CN"/>
          </w:rPr>
          <w:t>34</w:t>
        </w:r>
        <w:r>
          <w:fldChar w:fldCharType="end"/>
        </w:r>
      </w:p>
    </w:sdtContent>
  </w:sdt>
  <w:p w14:paraId="688A4E31">
    <w:pPr>
      <w:pStyle w:val="10"/>
      <w:spacing w:line="14" w:lineRule="auto"/>
      <w:rPr>
        <w:rFonts w:hint="eastAsia"/>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5F5A1">
    <w:pPr>
      <w:pStyle w:val="10"/>
      <w:spacing w:line="14" w:lineRule="auto"/>
      <w:rPr>
        <w:rFonts w:hint="eastAsia"/>
        <w:sz w:val="20"/>
      </w:rPr>
    </w:pPr>
    <w:r>
      <w:rPr>
        <w:rFonts w:hint="eastAsia"/>
      </w:rPr>
      <w:pict>
        <v:shape id="_x0000_s2050" o:spid="_x0000_s2050" o:spt="202" type="#_x0000_t202" style="position:absolute;left:0pt;margin-left:89pt;margin-top:778.8pt;height:16.05pt;width:63.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315A71E4">
                <w:pPr>
                  <w:spacing w:line="301" w:lineRule="exact"/>
                  <w:ind w:left="20"/>
                  <w:rPr>
                    <w:rFonts w:hint="eastAsia"/>
                    <w:sz w:val="2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62CBE"/>
    <w:multiLevelType w:val="singleLevel"/>
    <w:tmpl w:val="80862CBE"/>
    <w:lvl w:ilvl="0" w:tentative="0">
      <w:start w:val="3"/>
      <w:numFmt w:val="decimal"/>
      <w:suff w:val="nothing"/>
      <w:lvlText w:val="（%1）"/>
      <w:lvlJc w:val="left"/>
    </w:lvl>
  </w:abstractNum>
  <w:abstractNum w:abstractNumId="1">
    <w:nsid w:val="C54510A5"/>
    <w:multiLevelType w:val="singleLevel"/>
    <w:tmpl w:val="C54510A5"/>
    <w:lvl w:ilvl="0" w:tentative="0">
      <w:start w:val="1"/>
      <w:numFmt w:val="decimal"/>
      <w:suff w:val="nothing"/>
      <w:lvlText w:val="（%1）"/>
      <w:lvlJc w:val="left"/>
    </w:lvl>
  </w:abstractNum>
  <w:abstractNum w:abstractNumId="2">
    <w:nsid w:val="C9553A10"/>
    <w:multiLevelType w:val="singleLevel"/>
    <w:tmpl w:val="C9553A10"/>
    <w:lvl w:ilvl="0" w:tentative="0">
      <w:start w:val="5"/>
      <w:numFmt w:val="decimal"/>
      <w:lvlText w:val="%1."/>
      <w:lvlJc w:val="left"/>
      <w:pPr>
        <w:tabs>
          <w:tab w:val="left" w:pos="312"/>
        </w:tabs>
      </w:pPr>
    </w:lvl>
  </w:abstractNum>
  <w:abstractNum w:abstractNumId="3">
    <w:nsid w:val="E43B5CE6"/>
    <w:multiLevelType w:val="singleLevel"/>
    <w:tmpl w:val="E43B5CE6"/>
    <w:lvl w:ilvl="0" w:tentative="0">
      <w:start w:val="1"/>
      <w:numFmt w:val="decimal"/>
      <w:suff w:val="nothing"/>
      <w:lvlText w:val="%1）"/>
      <w:lvlJc w:val="left"/>
    </w:lvl>
  </w:abstractNum>
  <w:abstractNum w:abstractNumId="4">
    <w:nsid w:val="2B0D7632"/>
    <w:multiLevelType w:val="singleLevel"/>
    <w:tmpl w:val="2B0D7632"/>
    <w:lvl w:ilvl="0" w:tentative="0">
      <w:start w:val="2"/>
      <w:numFmt w:val="decimal"/>
      <w:lvlText w:val="%1."/>
      <w:lvlJc w:val="left"/>
      <w:pPr>
        <w:tabs>
          <w:tab w:val="left" w:pos="312"/>
        </w:tabs>
      </w:pPr>
    </w:lvl>
  </w:abstractNum>
  <w:abstractNum w:abstractNumId="5">
    <w:nsid w:val="5345793C"/>
    <w:multiLevelType w:val="singleLevel"/>
    <w:tmpl w:val="5345793C"/>
    <w:lvl w:ilvl="0" w:tentative="0">
      <w:start w:val="1"/>
      <w:numFmt w:val="decimal"/>
      <w:suff w:val="nothing"/>
      <w:lvlText w:val="（%1）"/>
      <w:lvlJc w:val="left"/>
      <w:pPr>
        <w:ind w:left="21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adjustLineHeightInTable/>
    <w:doNotWrapTextWithPunct/>
    <w:doNotUseEastAsianBreakRules/>
    <w:useFELayout/>
    <w:compatSetting w:name="compatibilityMode" w:uri="http://schemas.microsoft.com/office/word" w:val="12"/>
  </w:compat>
  <w:rsids>
    <w:rsidRoot w:val="00172A27"/>
    <w:rsid w:val="00000523"/>
    <w:rsid w:val="00000583"/>
    <w:rsid w:val="000006DB"/>
    <w:rsid w:val="0000099D"/>
    <w:rsid w:val="0000113D"/>
    <w:rsid w:val="0000164D"/>
    <w:rsid w:val="00001B96"/>
    <w:rsid w:val="00001C29"/>
    <w:rsid w:val="00002239"/>
    <w:rsid w:val="000026A2"/>
    <w:rsid w:val="000029BC"/>
    <w:rsid w:val="00002D52"/>
    <w:rsid w:val="00002D80"/>
    <w:rsid w:val="00002E55"/>
    <w:rsid w:val="000039B6"/>
    <w:rsid w:val="00003D5B"/>
    <w:rsid w:val="00004508"/>
    <w:rsid w:val="00004B71"/>
    <w:rsid w:val="00004D2D"/>
    <w:rsid w:val="0000511F"/>
    <w:rsid w:val="000056FD"/>
    <w:rsid w:val="000058B8"/>
    <w:rsid w:val="00005ADE"/>
    <w:rsid w:val="00005D77"/>
    <w:rsid w:val="00005FF0"/>
    <w:rsid w:val="00006159"/>
    <w:rsid w:val="00006496"/>
    <w:rsid w:val="00006D63"/>
    <w:rsid w:val="00006E5F"/>
    <w:rsid w:val="00006F39"/>
    <w:rsid w:val="00010C42"/>
    <w:rsid w:val="00011135"/>
    <w:rsid w:val="00011AA7"/>
    <w:rsid w:val="0001257E"/>
    <w:rsid w:val="0001292B"/>
    <w:rsid w:val="00012E3C"/>
    <w:rsid w:val="0001303F"/>
    <w:rsid w:val="00013AD3"/>
    <w:rsid w:val="00013E73"/>
    <w:rsid w:val="00014148"/>
    <w:rsid w:val="00014B94"/>
    <w:rsid w:val="00014BB5"/>
    <w:rsid w:val="00014C45"/>
    <w:rsid w:val="00014D96"/>
    <w:rsid w:val="0001511A"/>
    <w:rsid w:val="000159AF"/>
    <w:rsid w:val="00015FC7"/>
    <w:rsid w:val="000160FC"/>
    <w:rsid w:val="00016DEE"/>
    <w:rsid w:val="00017134"/>
    <w:rsid w:val="00017264"/>
    <w:rsid w:val="000174C6"/>
    <w:rsid w:val="00017C5C"/>
    <w:rsid w:val="00017EAF"/>
    <w:rsid w:val="00020140"/>
    <w:rsid w:val="000206E1"/>
    <w:rsid w:val="000212AC"/>
    <w:rsid w:val="00021978"/>
    <w:rsid w:val="00021C41"/>
    <w:rsid w:val="00021EAB"/>
    <w:rsid w:val="0002259C"/>
    <w:rsid w:val="00022EE1"/>
    <w:rsid w:val="0002327C"/>
    <w:rsid w:val="00023AF5"/>
    <w:rsid w:val="00023B5D"/>
    <w:rsid w:val="00023CDF"/>
    <w:rsid w:val="000245A7"/>
    <w:rsid w:val="00024756"/>
    <w:rsid w:val="00024D35"/>
    <w:rsid w:val="00025064"/>
    <w:rsid w:val="000250BB"/>
    <w:rsid w:val="00025697"/>
    <w:rsid w:val="0002572C"/>
    <w:rsid w:val="0002619D"/>
    <w:rsid w:val="00026E3D"/>
    <w:rsid w:val="00026ED0"/>
    <w:rsid w:val="00027B12"/>
    <w:rsid w:val="00027E69"/>
    <w:rsid w:val="000303C5"/>
    <w:rsid w:val="00030472"/>
    <w:rsid w:val="00032256"/>
    <w:rsid w:val="00032487"/>
    <w:rsid w:val="000324D6"/>
    <w:rsid w:val="000325F6"/>
    <w:rsid w:val="00032703"/>
    <w:rsid w:val="00032996"/>
    <w:rsid w:val="0003299F"/>
    <w:rsid w:val="000329B3"/>
    <w:rsid w:val="00032A9B"/>
    <w:rsid w:val="00032AAF"/>
    <w:rsid w:val="00033719"/>
    <w:rsid w:val="00034039"/>
    <w:rsid w:val="00034133"/>
    <w:rsid w:val="0003434C"/>
    <w:rsid w:val="0003444E"/>
    <w:rsid w:val="0003482B"/>
    <w:rsid w:val="00034EF8"/>
    <w:rsid w:val="00034FA2"/>
    <w:rsid w:val="00035AC8"/>
    <w:rsid w:val="0003727A"/>
    <w:rsid w:val="0003748F"/>
    <w:rsid w:val="0003787E"/>
    <w:rsid w:val="00037903"/>
    <w:rsid w:val="0004109A"/>
    <w:rsid w:val="00041430"/>
    <w:rsid w:val="000416C5"/>
    <w:rsid w:val="000418BC"/>
    <w:rsid w:val="00042525"/>
    <w:rsid w:val="00042A57"/>
    <w:rsid w:val="00042B99"/>
    <w:rsid w:val="00043B4A"/>
    <w:rsid w:val="00043C2F"/>
    <w:rsid w:val="00043CF0"/>
    <w:rsid w:val="000443FD"/>
    <w:rsid w:val="00045613"/>
    <w:rsid w:val="00045727"/>
    <w:rsid w:val="00045DF1"/>
    <w:rsid w:val="000467A9"/>
    <w:rsid w:val="00046990"/>
    <w:rsid w:val="00046CAD"/>
    <w:rsid w:val="00047216"/>
    <w:rsid w:val="000472E3"/>
    <w:rsid w:val="0005006F"/>
    <w:rsid w:val="00050703"/>
    <w:rsid w:val="00050A07"/>
    <w:rsid w:val="00050C91"/>
    <w:rsid w:val="00050D13"/>
    <w:rsid w:val="00051459"/>
    <w:rsid w:val="00051674"/>
    <w:rsid w:val="0005168F"/>
    <w:rsid w:val="000519CA"/>
    <w:rsid w:val="00051F34"/>
    <w:rsid w:val="00052080"/>
    <w:rsid w:val="00052295"/>
    <w:rsid w:val="00052507"/>
    <w:rsid w:val="00052542"/>
    <w:rsid w:val="00052554"/>
    <w:rsid w:val="00052635"/>
    <w:rsid w:val="000531D1"/>
    <w:rsid w:val="000535CA"/>
    <w:rsid w:val="00053800"/>
    <w:rsid w:val="00053C1F"/>
    <w:rsid w:val="000540C0"/>
    <w:rsid w:val="000554C0"/>
    <w:rsid w:val="00055714"/>
    <w:rsid w:val="00056439"/>
    <w:rsid w:val="000569AC"/>
    <w:rsid w:val="00056CEB"/>
    <w:rsid w:val="0005746E"/>
    <w:rsid w:val="000578C4"/>
    <w:rsid w:val="00057BEC"/>
    <w:rsid w:val="00060038"/>
    <w:rsid w:val="000601A5"/>
    <w:rsid w:val="000608F0"/>
    <w:rsid w:val="00060EE9"/>
    <w:rsid w:val="00061056"/>
    <w:rsid w:val="00061443"/>
    <w:rsid w:val="00061A22"/>
    <w:rsid w:val="00062090"/>
    <w:rsid w:val="00062347"/>
    <w:rsid w:val="000625AC"/>
    <w:rsid w:val="00062754"/>
    <w:rsid w:val="000629B3"/>
    <w:rsid w:val="00063143"/>
    <w:rsid w:val="000636CF"/>
    <w:rsid w:val="00063944"/>
    <w:rsid w:val="00063BE1"/>
    <w:rsid w:val="000641A7"/>
    <w:rsid w:val="00064C63"/>
    <w:rsid w:val="00064E79"/>
    <w:rsid w:val="00064FD7"/>
    <w:rsid w:val="00065395"/>
    <w:rsid w:val="000653A5"/>
    <w:rsid w:val="00065A2C"/>
    <w:rsid w:val="00065D49"/>
    <w:rsid w:val="000665CE"/>
    <w:rsid w:val="000668A4"/>
    <w:rsid w:val="00066B5B"/>
    <w:rsid w:val="000670A0"/>
    <w:rsid w:val="0006731E"/>
    <w:rsid w:val="00067749"/>
    <w:rsid w:val="000679CF"/>
    <w:rsid w:val="00067A58"/>
    <w:rsid w:val="00067A7A"/>
    <w:rsid w:val="00067B44"/>
    <w:rsid w:val="00067DFF"/>
    <w:rsid w:val="00070147"/>
    <w:rsid w:val="00070FDA"/>
    <w:rsid w:val="00071D4D"/>
    <w:rsid w:val="00072501"/>
    <w:rsid w:val="00072646"/>
    <w:rsid w:val="000729F5"/>
    <w:rsid w:val="0007348E"/>
    <w:rsid w:val="0007372E"/>
    <w:rsid w:val="0007380D"/>
    <w:rsid w:val="0007457A"/>
    <w:rsid w:val="0007481E"/>
    <w:rsid w:val="00075028"/>
    <w:rsid w:val="00075192"/>
    <w:rsid w:val="000753E8"/>
    <w:rsid w:val="00075F21"/>
    <w:rsid w:val="000760C6"/>
    <w:rsid w:val="00076392"/>
    <w:rsid w:val="00076C02"/>
    <w:rsid w:val="0007734B"/>
    <w:rsid w:val="0007747C"/>
    <w:rsid w:val="00077641"/>
    <w:rsid w:val="00077989"/>
    <w:rsid w:val="00077C2E"/>
    <w:rsid w:val="00077D4B"/>
    <w:rsid w:val="000808B9"/>
    <w:rsid w:val="00080B57"/>
    <w:rsid w:val="000816E8"/>
    <w:rsid w:val="0008172F"/>
    <w:rsid w:val="00081BCB"/>
    <w:rsid w:val="0008309B"/>
    <w:rsid w:val="0008319F"/>
    <w:rsid w:val="000836D9"/>
    <w:rsid w:val="00083A53"/>
    <w:rsid w:val="00083D6D"/>
    <w:rsid w:val="00083FA4"/>
    <w:rsid w:val="00084083"/>
    <w:rsid w:val="00084F15"/>
    <w:rsid w:val="000857BB"/>
    <w:rsid w:val="00085917"/>
    <w:rsid w:val="00086674"/>
    <w:rsid w:val="0008679A"/>
    <w:rsid w:val="000874DA"/>
    <w:rsid w:val="00087B90"/>
    <w:rsid w:val="00087C7A"/>
    <w:rsid w:val="00087F93"/>
    <w:rsid w:val="000905EC"/>
    <w:rsid w:val="00090D60"/>
    <w:rsid w:val="00090E10"/>
    <w:rsid w:val="00090E2E"/>
    <w:rsid w:val="00090F3F"/>
    <w:rsid w:val="000915D0"/>
    <w:rsid w:val="0009166F"/>
    <w:rsid w:val="00091855"/>
    <w:rsid w:val="00091BB4"/>
    <w:rsid w:val="00091DBD"/>
    <w:rsid w:val="000928AE"/>
    <w:rsid w:val="0009300D"/>
    <w:rsid w:val="00093B30"/>
    <w:rsid w:val="000941AD"/>
    <w:rsid w:val="000947B7"/>
    <w:rsid w:val="00095228"/>
    <w:rsid w:val="00095660"/>
    <w:rsid w:val="000958FF"/>
    <w:rsid w:val="00095A70"/>
    <w:rsid w:val="00096797"/>
    <w:rsid w:val="00096F58"/>
    <w:rsid w:val="00097139"/>
    <w:rsid w:val="00097331"/>
    <w:rsid w:val="000979BA"/>
    <w:rsid w:val="00097FC1"/>
    <w:rsid w:val="000A0A10"/>
    <w:rsid w:val="000A10E8"/>
    <w:rsid w:val="000A182B"/>
    <w:rsid w:val="000A1A34"/>
    <w:rsid w:val="000A2382"/>
    <w:rsid w:val="000A2C10"/>
    <w:rsid w:val="000A31C2"/>
    <w:rsid w:val="000A3395"/>
    <w:rsid w:val="000A3CB5"/>
    <w:rsid w:val="000A3E59"/>
    <w:rsid w:val="000A4A41"/>
    <w:rsid w:val="000A4B86"/>
    <w:rsid w:val="000A4C65"/>
    <w:rsid w:val="000A55BC"/>
    <w:rsid w:val="000A63E6"/>
    <w:rsid w:val="000A6494"/>
    <w:rsid w:val="000A6551"/>
    <w:rsid w:val="000A6CB5"/>
    <w:rsid w:val="000A6DA5"/>
    <w:rsid w:val="000A7A38"/>
    <w:rsid w:val="000A7B63"/>
    <w:rsid w:val="000B0A8F"/>
    <w:rsid w:val="000B0FE8"/>
    <w:rsid w:val="000B1157"/>
    <w:rsid w:val="000B1226"/>
    <w:rsid w:val="000B12E4"/>
    <w:rsid w:val="000B1A1A"/>
    <w:rsid w:val="000B1D63"/>
    <w:rsid w:val="000B2CAC"/>
    <w:rsid w:val="000B2D98"/>
    <w:rsid w:val="000B33F3"/>
    <w:rsid w:val="000B345A"/>
    <w:rsid w:val="000B3623"/>
    <w:rsid w:val="000B4562"/>
    <w:rsid w:val="000B47AA"/>
    <w:rsid w:val="000B481E"/>
    <w:rsid w:val="000B48F6"/>
    <w:rsid w:val="000B4BFD"/>
    <w:rsid w:val="000B4FBA"/>
    <w:rsid w:val="000B5146"/>
    <w:rsid w:val="000B533B"/>
    <w:rsid w:val="000B65B9"/>
    <w:rsid w:val="000B6665"/>
    <w:rsid w:val="000B676F"/>
    <w:rsid w:val="000C030B"/>
    <w:rsid w:val="000C1239"/>
    <w:rsid w:val="000C1BBC"/>
    <w:rsid w:val="000C1D4E"/>
    <w:rsid w:val="000C20CF"/>
    <w:rsid w:val="000C21F3"/>
    <w:rsid w:val="000C2313"/>
    <w:rsid w:val="000C2670"/>
    <w:rsid w:val="000C2FD4"/>
    <w:rsid w:val="000C3455"/>
    <w:rsid w:val="000C40D3"/>
    <w:rsid w:val="000C4547"/>
    <w:rsid w:val="000C46E1"/>
    <w:rsid w:val="000C4781"/>
    <w:rsid w:val="000C514C"/>
    <w:rsid w:val="000C5D56"/>
    <w:rsid w:val="000C6C3F"/>
    <w:rsid w:val="000C6CFD"/>
    <w:rsid w:val="000C6E3A"/>
    <w:rsid w:val="000C717C"/>
    <w:rsid w:val="000C74A7"/>
    <w:rsid w:val="000C797B"/>
    <w:rsid w:val="000C7CAB"/>
    <w:rsid w:val="000C7D67"/>
    <w:rsid w:val="000D0597"/>
    <w:rsid w:val="000D05A6"/>
    <w:rsid w:val="000D0623"/>
    <w:rsid w:val="000D081F"/>
    <w:rsid w:val="000D1735"/>
    <w:rsid w:val="000D1AF0"/>
    <w:rsid w:val="000D1B7F"/>
    <w:rsid w:val="000D1E69"/>
    <w:rsid w:val="000D243E"/>
    <w:rsid w:val="000D2497"/>
    <w:rsid w:val="000D2785"/>
    <w:rsid w:val="000D2D07"/>
    <w:rsid w:val="000D2E69"/>
    <w:rsid w:val="000D3749"/>
    <w:rsid w:val="000D374B"/>
    <w:rsid w:val="000D3BEE"/>
    <w:rsid w:val="000D41CE"/>
    <w:rsid w:val="000D460C"/>
    <w:rsid w:val="000D5035"/>
    <w:rsid w:val="000D5045"/>
    <w:rsid w:val="000D50D1"/>
    <w:rsid w:val="000D6731"/>
    <w:rsid w:val="000D67F6"/>
    <w:rsid w:val="000D69EA"/>
    <w:rsid w:val="000D6DB5"/>
    <w:rsid w:val="000D73E9"/>
    <w:rsid w:val="000D7F5B"/>
    <w:rsid w:val="000D7FC4"/>
    <w:rsid w:val="000E0083"/>
    <w:rsid w:val="000E0158"/>
    <w:rsid w:val="000E030B"/>
    <w:rsid w:val="000E043C"/>
    <w:rsid w:val="000E04CB"/>
    <w:rsid w:val="000E04DC"/>
    <w:rsid w:val="000E05A9"/>
    <w:rsid w:val="000E2191"/>
    <w:rsid w:val="000E2208"/>
    <w:rsid w:val="000E2422"/>
    <w:rsid w:val="000E2DBC"/>
    <w:rsid w:val="000E31F2"/>
    <w:rsid w:val="000E337F"/>
    <w:rsid w:val="000E3872"/>
    <w:rsid w:val="000E3CD2"/>
    <w:rsid w:val="000E3F8B"/>
    <w:rsid w:val="000E4390"/>
    <w:rsid w:val="000E6115"/>
    <w:rsid w:val="000E6ADE"/>
    <w:rsid w:val="000E6B51"/>
    <w:rsid w:val="000E6BE3"/>
    <w:rsid w:val="000E7042"/>
    <w:rsid w:val="000E74E3"/>
    <w:rsid w:val="000F0001"/>
    <w:rsid w:val="000F0028"/>
    <w:rsid w:val="000F17F3"/>
    <w:rsid w:val="000F1EC7"/>
    <w:rsid w:val="000F227D"/>
    <w:rsid w:val="000F3368"/>
    <w:rsid w:val="000F3980"/>
    <w:rsid w:val="000F459F"/>
    <w:rsid w:val="000F477D"/>
    <w:rsid w:val="000F566E"/>
    <w:rsid w:val="000F61B9"/>
    <w:rsid w:val="000F7019"/>
    <w:rsid w:val="000F7BBF"/>
    <w:rsid w:val="000F7E04"/>
    <w:rsid w:val="00100291"/>
    <w:rsid w:val="00100D61"/>
    <w:rsid w:val="00101CF0"/>
    <w:rsid w:val="001035A2"/>
    <w:rsid w:val="00104696"/>
    <w:rsid w:val="0010501E"/>
    <w:rsid w:val="001051A4"/>
    <w:rsid w:val="001055B0"/>
    <w:rsid w:val="001059E5"/>
    <w:rsid w:val="00105F6C"/>
    <w:rsid w:val="001070A3"/>
    <w:rsid w:val="001071B2"/>
    <w:rsid w:val="00107283"/>
    <w:rsid w:val="00107A19"/>
    <w:rsid w:val="001106D0"/>
    <w:rsid w:val="00110710"/>
    <w:rsid w:val="001108AE"/>
    <w:rsid w:val="0011141E"/>
    <w:rsid w:val="001118A4"/>
    <w:rsid w:val="001119FD"/>
    <w:rsid w:val="001121C1"/>
    <w:rsid w:val="001123BD"/>
    <w:rsid w:val="00112ACC"/>
    <w:rsid w:val="00112F1D"/>
    <w:rsid w:val="001131D6"/>
    <w:rsid w:val="0011337D"/>
    <w:rsid w:val="001136C9"/>
    <w:rsid w:val="00113818"/>
    <w:rsid w:val="00113877"/>
    <w:rsid w:val="001144E1"/>
    <w:rsid w:val="0011457B"/>
    <w:rsid w:val="00114A27"/>
    <w:rsid w:val="00114B5C"/>
    <w:rsid w:val="001158A8"/>
    <w:rsid w:val="00116205"/>
    <w:rsid w:val="00116343"/>
    <w:rsid w:val="00117184"/>
    <w:rsid w:val="0011725C"/>
    <w:rsid w:val="00117493"/>
    <w:rsid w:val="001175B6"/>
    <w:rsid w:val="001178D9"/>
    <w:rsid w:val="00117B03"/>
    <w:rsid w:val="00117B06"/>
    <w:rsid w:val="00117E0E"/>
    <w:rsid w:val="00117F9A"/>
    <w:rsid w:val="001205FE"/>
    <w:rsid w:val="0012066A"/>
    <w:rsid w:val="001207F8"/>
    <w:rsid w:val="00121F5B"/>
    <w:rsid w:val="001221CB"/>
    <w:rsid w:val="00122874"/>
    <w:rsid w:val="00122AEF"/>
    <w:rsid w:val="00122C1D"/>
    <w:rsid w:val="0012306B"/>
    <w:rsid w:val="00123249"/>
    <w:rsid w:val="001233B0"/>
    <w:rsid w:val="00123C65"/>
    <w:rsid w:val="00123D89"/>
    <w:rsid w:val="0012412F"/>
    <w:rsid w:val="0012440F"/>
    <w:rsid w:val="0012466F"/>
    <w:rsid w:val="001248BF"/>
    <w:rsid w:val="0012542A"/>
    <w:rsid w:val="001254BF"/>
    <w:rsid w:val="00125B61"/>
    <w:rsid w:val="00130EED"/>
    <w:rsid w:val="0013183A"/>
    <w:rsid w:val="00131D15"/>
    <w:rsid w:val="00132412"/>
    <w:rsid w:val="00132660"/>
    <w:rsid w:val="00133BEE"/>
    <w:rsid w:val="00134336"/>
    <w:rsid w:val="00134875"/>
    <w:rsid w:val="00134E0A"/>
    <w:rsid w:val="001359FC"/>
    <w:rsid w:val="00135C56"/>
    <w:rsid w:val="00136106"/>
    <w:rsid w:val="00136883"/>
    <w:rsid w:val="00136A88"/>
    <w:rsid w:val="00136D15"/>
    <w:rsid w:val="00136FE1"/>
    <w:rsid w:val="001377DC"/>
    <w:rsid w:val="00137FE4"/>
    <w:rsid w:val="001401C9"/>
    <w:rsid w:val="00140265"/>
    <w:rsid w:val="00140B1F"/>
    <w:rsid w:val="00140B6C"/>
    <w:rsid w:val="00140CC4"/>
    <w:rsid w:val="00140D07"/>
    <w:rsid w:val="00140F71"/>
    <w:rsid w:val="0014134A"/>
    <w:rsid w:val="00141512"/>
    <w:rsid w:val="001423FE"/>
    <w:rsid w:val="00142B8B"/>
    <w:rsid w:val="00142BF7"/>
    <w:rsid w:val="00142ED2"/>
    <w:rsid w:val="00143477"/>
    <w:rsid w:val="001434DA"/>
    <w:rsid w:val="001435CB"/>
    <w:rsid w:val="001437EA"/>
    <w:rsid w:val="00143AE7"/>
    <w:rsid w:val="001442EA"/>
    <w:rsid w:val="001446A4"/>
    <w:rsid w:val="00144B1E"/>
    <w:rsid w:val="0014520D"/>
    <w:rsid w:val="00145669"/>
    <w:rsid w:val="00145D59"/>
    <w:rsid w:val="00146262"/>
    <w:rsid w:val="00146E71"/>
    <w:rsid w:val="00146F23"/>
    <w:rsid w:val="00147782"/>
    <w:rsid w:val="00147B2E"/>
    <w:rsid w:val="0015041A"/>
    <w:rsid w:val="001515A5"/>
    <w:rsid w:val="00151B3F"/>
    <w:rsid w:val="001520EF"/>
    <w:rsid w:val="00153437"/>
    <w:rsid w:val="001537AB"/>
    <w:rsid w:val="00153817"/>
    <w:rsid w:val="001539A0"/>
    <w:rsid w:val="00153A43"/>
    <w:rsid w:val="001547B6"/>
    <w:rsid w:val="00154CD1"/>
    <w:rsid w:val="00154DB3"/>
    <w:rsid w:val="00154ED7"/>
    <w:rsid w:val="00155A31"/>
    <w:rsid w:val="001563D2"/>
    <w:rsid w:val="0015668D"/>
    <w:rsid w:val="0015693F"/>
    <w:rsid w:val="00156D85"/>
    <w:rsid w:val="001570BB"/>
    <w:rsid w:val="0015718F"/>
    <w:rsid w:val="00157FC8"/>
    <w:rsid w:val="00160685"/>
    <w:rsid w:val="001609B8"/>
    <w:rsid w:val="001612AF"/>
    <w:rsid w:val="00161745"/>
    <w:rsid w:val="00161C9C"/>
    <w:rsid w:val="00162105"/>
    <w:rsid w:val="00162813"/>
    <w:rsid w:val="001634DF"/>
    <w:rsid w:val="001634F4"/>
    <w:rsid w:val="001644F7"/>
    <w:rsid w:val="001652FE"/>
    <w:rsid w:val="00165C2A"/>
    <w:rsid w:val="00166857"/>
    <w:rsid w:val="00166D70"/>
    <w:rsid w:val="00166DA8"/>
    <w:rsid w:val="0016709D"/>
    <w:rsid w:val="00167B10"/>
    <w:rsid w:val="00167DF3"/>
    <w:rsid w:val="00170742"/>
    <w:rsid w:val="00170D79"/>
    <w:rsid w:val="00171538"/>
    <w:rsid w:val="001724C5"/>
    <w:rsid w:val="00172E25"/>
    <w:rsid w:val="00173038"/>
    <w:rsid w:val="0017351F"/>
    <w:rsid w:val="00174174"/>
    <w:rsid w:val="0017451D"/>
    <w:rsid w:val="00174D81"/>
    <w:rsid w:val="00176322"/>
    <w:rsid w:val="0017637D"/>
    <w:rsid w:val="00176570"/>
    <w:rsid w:val="00176E09"/>
    <w:rsid w:val="001772CD"/>
    <w:rsid w:val="0017750C"/>
    <w:rsid w:val="001778C9"/>
    <w:rsid w:val="00181326"/>
    <w:rsid w:val="001816F6"/>
    <w:rsid w:val="001821E5"/>
    <w:rsid w:val="00182B99"/>
    <w:rsid w:val="00182E2E"/>
    <w:rsid w:val="00182EE2"/>
    <w:rsid w:val="00183083"/>
    <w:rsid w:val="0018313F"/>
    <w:rsid w:val="00183421"/>
    <w:rsid w:val="00183AC7"/>
    <w:rsid w:val="0018448C"/>
    <w:rsid w:val="00184793"/>
    <w:rsid w:val="00184AC1"/>
    <w:rsid w:val="001851DC"/>
    <w:rsid w:val="001853FF"/>
    <w:rsid w:val="001854F7"/>
    <w:rsid w:val="00185FC7"/>
    <w:rsid w:val="0018616C"/>
    <w:rsid w:val="00186550"/>
    <w:rsid w:val="00186B64"/>
    <w:rsid w:val="00186C06"/>
    <w:rsid w:val="001873D1"/>
    <w:rsid w:val="00187B6F"/>
    <w:rsid w:val="00190073"/>
    <w:rsid w:val="00190777"/>
    <w:rsid w:val="001907B7"/>
    <w:rsid w:val="00190B3F"/>
    <w:rsid w:val="00190C60"/>
    <w:rsid w:val="00190EC8"/>
    <w:rsid w:val="001922B7"/>
    <w:rsid w:val="00193B0F"/>
    <w:rsid w:val="00193ED0"/>
    <w:rsid w:val="00194A20"/>
    <w:rsid w:val="00194E0A"/>
    <w:rsid w:val="00194E4D"/>
    <w:rsid w:val="0019507F"/>
    <w:rsid w:val="001959AC"/>
    <w:rsid w:val="00195D3E"/>
    <w:rsid w:val="001964EE"/>
    <w:rsid w:val="001964FC"/>
    <w:rsid w:val="00196611"/>
    <w:rsid w:val="00196AA0"/>
    <w:rsid w:val="001972DA"/>
    <w:rsid w:val="00197A90"/>
    <w:rsid w:val="00197E64"/>
    <w:rsid w:val="00197ED0"/>
    <w:rsid w:val="001A0FB2"/>
    <w:rsid w:val="001A1C4C"/>
    <w:rsid w:val="001A295D"/>
    <w:rsid w:val="001A33C8"/>
    <w:rsid w:val="001A3578"/>
    <w:rsid w:val="001A36E7"/>
    <w:rsid w:val="001A3D21"/>
    <w:rsid w:val="001A4176"/>
    <w:rsid w:val="001A4837"/>
    <w:rsid w:val="001A4FD7"/>
    <w:rsid w:val="001A50EB"/>
    <w:rsid w:val="001A56CA"/>
    <w:rsid w:val="001A666C"/>
    <w:rsid w:val="001A6F91"/>
    <w:rsid w:val="001A7521"/>
    <w:rsid w:val="001A7619"/>
    <w:rsid w:val="001A78A5"/>
    <w:rsid w:val="001A7A5D"/>
    <w:rsid w:val="001A7EE2"/>
    <w:rsid w:val="001B02D4"/>
    <w:rsid w:val="001B06DC"/>
    <w:rsid w:val="001B0D8E"/>
    <w:rsid w:val="001B11F1"/>
    <w:rsid w:val="001B146E"/>
    <w:rsid w:val="001B2416"/>
    <w:rsid w:val="001B2715"/>
    <w:rsid w:val="001B2A19"/>
    <w:rsid w:val="001B2AB0"/>
    <w:rsid w:val="001B2C11"/>
    <w:rsid w:val="001B39DD"/>
    <w:rsid w:val="001B3D76"/>
    <w:rsid w:val="001B3DFD"/>
    <w:rsid w:val="001B3F89"/>
    <w:rsid w:val="001B44E4"/>
    <w:rsid w:val="001B4CBD"/>
    <w:rsid w:val="001B4F0B"/>
    <w:rsid w:val="001B5EBB"/>
    <w:rsid w:val="001B5F5D"/>
    <w:rsid w:val="001B6217"/>
    <w:rsid w:val="001B6289"/>
    <w:rsid w:val="001B661D"/>
    <w:rsid w:val="001B7FD6"/>
    <w:rsid w:val="001C0208"/>
    <w:rsid w:val="001C026C"/>
    <w:rsid w:val="001C079F"/>
    <w:rsid w:val="001C0B07"/>
    <w:rsid w:val="001C0CBE"/>
    <w:rsid w:val="001C1B1B"/>
    <w:rsid w:val="001C1D26"/>
    <w:rsid w:val="001C21E4"/>
    <w:rsid w:val="001C28DE"/>
    <w:rsid w:val="001C2F1D"/>
    <w:rsid w:val="001C320C"/>
    <w:rsid w:val="001C37B3"/>
    <w:rsid w:val="001C39B3"/>
    <w:rsid w:val="001C44F8"/>
    <w:rsid w:val="001C50DB"/>
    <w:rsid w:val="001C527D"/>
    <w:rsid w:val="001C5378"/>
    <w:rsid w:val="001C5E42"/>
    <w:rsid w:val="001C5F11"/>
    <w:rsid w:val="001C627A"/>
    <w:rsid w:val="001C6685"/>
    <w:rsid w:val="001C6FFE"/>
    <w:rsid w:val="001C7EBD"/>
    <w:rsid w:val="001D05DD"/>
    <w:rsid w:val="001D0712"/>
    <w:rsid w:val="001D08E7"/>
    <w:rsid w:val="001D0A78"/>
    <w:rsid w:val="001D18DE"/>
    <w:rsid w:val="001D1F67"/>
    <w:rsid w:val="001D21CB"/>
    <w:rsid w:val="001D2384"/>
    <w:rsid w:val="001D253D"/>
    <w:rsid w:val="001D2DA5"/>
    <w:rsid w:val="001D3C02"/>
    <w:rsid w:val="001D3D56"/>
    <w:rsid w:val="001D4066"/>
    <w:rsid w:val="001D44EC"/>
    <w:rsid w:val="001D4558"/>
    <w:rsid w:val="001D46E8"/>
    <w:rsid w:val="001D4A08"/>
    <w:rsid w:val="001D5D08"/>
    <w:rsid w:val="001D5DB9"/>
    <w:rsid w:val="001D69AD"/>
    <w:rsid w:val="001D6AB6"/>
    <w:rsid w:val="001D74BA"/>
    <w:rsid w:val="001D75B2"/>
    <w:rsid w:val="001D75EE"/>
    <w:rsid w:val="001D76E5"/>
    <w:rsid w:val="001D77D0"/>
    <w:rsid w:val="001D7AF0"/>
    <w:rsid w:val="001D7F73"/>
    <w:rsid w:val="001E0080"/>
    <w:rsid w:val="001E0F1B"/>
    <w:rsid w:val="001E1445"/>
    <w:rsid w:val="001E1DC0"/>
    <w:rsid w:val="001E290A"/>
    <w:rsid w:val="001E32B4"/>
    <w:rsid w:val="001E35E5"/>
    <w:rsid w:val="001E376D"/>
    <w:rsid w:val="001E38F7"/>
    <w:rsid w:val="001E4A3A"/>
    <w:rsid w:val="001E562C"/>
    <w:rsid w:val="001E5D5C"/>
    <w:rsid w:val="001E6287"/>
    <w:rsid w:val="001E6EDB"/>
    <w:rsid w:val="001E6F75"/>
    <w:rsid w:val="001E768B"/>
    <w:rsid w:val="001E79E2"/>
    <w:rsid w:val="001F0804"/>
    <w:rsid w:val="001F0C18"/>
    <w:rsid w:val="001F1BDB"/>
    <w:rsid w:val="001F1BE2"/>
    <w:rsid w:val="001F1ED8"/>
    <w:rsid w:val="001F26EF"/>
    <w:rsid w:val="001F2EE4"/>
    <w:rsid w:val="001F31A8"/>
    <w:rsid w:val="001F3246"/>
    <w:rsid w:val="001F32C1"/>
    <w:rsid w:val="001F3B39"/>
    <w:rsid w:val="001F442C"/>
    <w:rsid w:val="001F472C"/>
    <w:rsid w:val="001F4757"/>
    <w:rsid w:val="001F47D6"/>
    <w:rsid w:val="001F547B"/>
    <w:rsid w:val="001F6AD7"/>
    <w:rsid w:val="001F6EA7"/>
    <w:rsid w:val="001F6EAA"/>
    <w:rsid w:val="001F7773"/>
    <w:rsid w:val="001F79D2"/>
    <w:rsid w:val="002001C3"/>
    <w:rsid w:val="002003A9"/>
    <w:rsid w:val="002003AD"/>
    <w:rsid w:val="0020053F"/>
    <w:rsid w:val="002005F5"/>
    <w:rsid w:val="00201197"/>
    <w:rsid w:val="0020182C"/>
    <w:rsid w:val="0020182D"/>
    <w:rsid w:val="00201A5D"/>
    <w:rsid w:val="00201AF7"/>
    <w:rsid w:val="00201F01"/>
    <w:rsid w:val="002022F5"/>
    <w:rsid w:val="00202306"/>
    <w:rsid w:val="00203B2D"/>
    <w:rsid w:val="002043C7"/>
    <w:rsid w:val="00204AA2"/>
    <w:rsid w:val="00204D93"/>
    <w:rsid w:val="0020555B"/>
    <w:rsid w:val="002055C1"/>
    <w:rsid w:val="00205AD6"/>
    <w:rsid w:val="0020625B"/>
    <w:rsid w:val="002068B7"/>
    <w:rsid w:val="0020741F"/>
    <w:rsid w:val="00207C98"/>
    <w:rsid w:val="0021167D"/>
    <w:rsid w:val="002117CC"/>
    <w:rsid w:val="002117F8"/>
    <w:rsid w:val="00211CCD"/>
    <w:rsid w:val="00211E3F"/>
    <w:rsid w:val="00212219"/>
    <w:rsid w:val="00212860"/>
    <w:rsid w:val="00212A00"/>
    <w:rsid w:val="0021327F"/>
    <w:rsid w:val="002135DB"/>
    <w:rsid w:val="00213DC5"/>
    <w:rsid w:val="00213F70"/>
    <w:rsid w:val="00213FF9"/>
    <w:rsid w:val="002142FB"/>
    <w:rsid w:val="002149BF"/>
    <w:rsid w:val="00214BD8"/>
    <w:rsid w:val="00214E15"/>
    <w:rsid w:val="00214E4C"/>
    <w:rsid w:val="00214EDF"/>
    <w:rsid w:val="00215196"/>
    <w:rsid w:val="0021528E"/>
    <w:rsid w:val="00215478"/>
    <w:rsid w:val="00215A0D"/>
    <w:rsid w:val="00215EA0"/>
    <w:rsid w:val="002160ED"/>
    <w:rsid w:val="00216A3A"/>
    <w:rsid w:val="002175A9"/>
    <w:rsid w:val="002176EF"/>
    <w:rsid w:val="00217D25"/>
    <w:rsid w:val="0022033D"/>
    <w:rsid w:val="00220C0D"/>
    <w:rsid w:val="002211DF"/>
    <w:rsid w:val="0022137F"/>
    <w:rsid w:val="00221890"/>
    <w:rsid w:val="00221DF0"/>
    <w:rsid w:val="00221EFB"/>
    <w:rsid w:val="002224BE"/>
    <w:rsid w:val="00222CD9"/>
    <w:rsid w:val="0022364C"/>
    <w:rsid w:val="00223DB1"/>
    <w:rsid w:val="00224509"/>
    <w:rsid w:val="0022456B"/>
    <w:rsid w:val="00224659"/>
    <w:rsid w:val="002249AB"/>
    <w:rsid w:val="002251DF"/>
    <w:rsid w:val="002252D9"/>
    <w:rsid w:val="00226175"/>
    <w:rsid w:val="0022676D"/>
    <w:rsid w:val="00226B2F"/>
    <w:rsid w:val="0022733F"/>
    <w:rsid w:val="00227C5C"/>
    <w:rsid w:val="00227F85"/>
    <w:rsid w:val="00230212"/>
    <w:rsid w:val="00230305"/>
    <w:rsid w:val="002307CF"/>
    <w:rsid w:val="00230BE7"/>
    <w:rsid w:val="00231686"/>
    <w:rsid w:val="002316D3"/>
    <w:rsid w:val="0023178C"/>
    <w:rsid w:val="0023185C"/>
    <w:rsid w:val="00231E99"/>
    <w:rsid w:val="002329FC"/>
    <w:rsid w:val="00232B30"/>
    <w:rsid w:val="002334AF"/>
    <w:rsid w:val="00235475"/>
    <w:rsid w:val="00235680"/>
    <w:rsid w:val="00235BD1"/>
    <w:rsid w:val="00236140"/>
    <w:rsid w:val="00236F99"/>
    <w:rsid w:val="00237395"/>
    <w:rsid w:val="0023742D"/>
    <w:rsid w:val="002376EE"/>
    <w:rsid w:val="0024038E"/>
    <w:rsid w:val="00240B0F"/>
    <w:rsid w:val="00240F4B"/>
    <w:rsid w:val="00241183"/>
    <w:rsid w:val="00241447"/>
    <w:rsid w:val="00241E10"/>
    <w:rsid w:val="00242261"/>
    <w:rsid w:val="0024230F"/>
    <w:rsid w:val="00242673"/>
    <w:rsid w:val="00242B13"/>
    <w:rsid w:val="0024316D"/>
    <w:rsid w:val="0024336D"/>
    <w:rsid w:val="00243464"/>
    <w:rsid w:val="002434B8"/>
    <w:rsid w:val="002437C2"/>
    <w:rsid w:val="0024392D"/>
    <w:rsid w:val="00243FFE"/>
    <w:rsid w:val="002441BB"/>
    <w:rsid w:val="00244612"/>
    <w:rsid w:val="00244C84"/>
    <w:rsid w:val="00244EED"/>
    <w:rsid w:val="00244F3C"/>
    <w:rsid w:val="002456F5"/>
    <w:rsid w:val="00245C06"/>
    <w:rsid w:val="00245DB3"/>
    <w:rsid w:val="002466E2"/>
    <w:rsid w:val="0024687E"/>
    <w:rsid w:val="0024706D"/>
    <w:rsid w:val="00247613"/>
    <w:rsid w:val="00247BC8"/>
    <w:rsid w:val="00247C48"/>
    <w:rsid w:val="002501E5"/>
    <w:rsid w:val="002505CB"/>
    <w:rsid w:val="00250B17"/>
    <w:rsid w:val="00250BCA"/>
    <w:rsid w:val="00250BDB"/>
    <w:rsid w:val="00251569"/>
    <w:rsid w:val="0025157E"/>
    <w:rsid w:val="00251A87"/>
    <w:rsid w:val="00251C1A"/>
    <w:rsid w:val="0025235A"/>
    <w:rsid w:val="00252E4B"/>
    <w:rsid w:val="00252EAE"/>
    <w:rsid w:val="00252FB2"/>
    <w:rsid w:val="00253413"/>
    <w:rsid w:val="002539DE"/>
    <w:rsid w:val="00253E8F"/>
    <w:rsid w:val="00254395"/>
    <w:rsid w:val="0025480E"/>
    <w:rsid w:val="0025488B"/>
    <w:rsid w:val="002549ED"/>
    <w:rsid w:val="00254A0B"/>
    <w:rsid w:val="0025591D"/>
    <w:rsid w:val="0025592A"/>
    <w:rsid w:val="0025664E"/>
    <w:rsid w:val="002569D5"/>
    <w:rsid w:val="00256E09"/>
    <w:rsid w:val="00257095"/>
    <w:rsid w:val="00257A12"/>
    <w:rsid w:val="00261139"/>
    <w:rsid w:val="00261150"/>
    <w:rsid w:val="00261D0D"/>
    <w:rsid w:val="00261D65"/>
    <w:rsid w:val="0026212A"/>
    <w:rsid w:val="00262958"/>
    <w:rsid w:val="00263FBB"/>
    <w:rsid w:val="00264315"/>
    <w:rsid w:val="002643BE"/>
    <w:rsid w:val="00264CFD"/>
    <w:rsid w:val="00264DF0"/>
    <w:rsid w:val="00265C14"/>
    <w:rsid w:val="00266000"/>
    <w:rsid w:val="00266A98"/>
    <w:rsid w:val="00266D44"/>
    <w:rsid w:val="0026720A"/>
    <w:rsid w:val="0026722A"/>
    <w:rsid w:val="00267AA0"/>
    <w:rsid w:val="00267C8A"/>
    <w:rsid w:val="00267EBE"/>
    <w:rsid w:val="00267F03"/>
    <w:rsid w:val="002704BA"/>
    <w:rsid w:val="002708CE"/>
    <w:rsid w:val="00270DF2"/>
    <w:rsid w:val="002718D2"/>
    <w:rsid w:val="00272E1A"/>
    <w:rsid w:val="002733D3"/>
    <w:rsid w:val="00273D82"/>
    <w:rsid w:val="002741B9"/>
    <w:rsid w:val="00274577"/>
    <w:rsid w:val="002746D7"/>
    <w:rsid w:val="002747A8"/>
    <w:rsid w:val="00274F21"/>
    <w:rsid w:val="002755C7"/>
    <w:rsid w:val="0027576A"/>
    <w:rsid w:val="00275953"/>
    <w:rsid w:val="00275A12"/>
    <w:rsid w:val="00275FB0"/>
    <w:rsid w:val="002764E4"/>
    <w:rsid w:val="00277594"/>
    <w:rsid w:val="0028038A"/>
    <w:rsid w:val="00280981"/>
    <w:rsid w:val="00281123"/>
    <w:rsid w:val="00281546"/>
    <w:rsid w:val="0028157E"/>
    <w:rsid w:val="00281874"/>
    <w:rsid w:val="00281D2A"/>
    <w:rsid w:val="00282BC4"/>
    <w:rsid w:val="002830B6"/>
    <w:rsid w:val="00283B00"/>
    <w:rsid w:val="00285508"/>
    <w:rsid w:val="002855F8"/>
    <w:rsid w:val="00285C36"/>
    <w:rsid w:val="00286117"/>
    <w:rsid w:val="0028680D"/>
    <w:rsid w:val="002869E6"/>
    <w:rsid w:val="002872DE"/>
    <w:rsid w:val="00287413"/>
    <w:rsid w:val="002876C0"/>
    <w:rsid w:val="00287C03"/>
    <w:rsid w:val="002900CC"/>
    <w:rsid w:val="00290A21"/>
    <w:rsid w:val="00290B85"/>
    <w:rsid w:val="00290BDC"/>
    <w:rsid w:val="00290DB2"/>
    <w:rsid w:val="00290EC9"/>
    <w:rsid w:val="00291688"/>
    <w:rsid w:val="00291A2E"/>
    <w:rsid w:val="00292294"/>
    <w:rsid w:val="0029231F"/>
    <w:rsid w:val="002929D7"/>
    <w:rsid w:val="00292BBB"/>
    <w:rsid w:val="00292D27"/>
    <w:rsid w:val="00293043"/>
    <w:rsid w:val="00293171"/>
    <w:rsid w:val="00293913"/>
    <w:rsid w:val="0029418B"/>
    <w:rsid w:val="002942A7"/>
    <w:rsid w:val="002946B4"/>
    <w:rsid w:val="00294720"/>
    <w:rsid w:val="00295253"/>
    <w:rsid w:val="0029597B"/>
    <w:rsid w:val="00295A40"/>
    <w:rsid w:val="002964AF"/>
    <w:rsid w:val="00296F1E"/>
    <w:rsid w:val="00296F3B"/>
    <w:rsid w:val="002970F8"/>
    <w:rsid w:val="00297472"/>
    <w:rsid w:val="00297609"/>
    <w:rsid w:val="0029761C"/>
    <w:rsid w:val="00297DB0"/>
    <w:rsid w:val="002A1030"/>
    <w:rsid w:val="002A12AA"/>
    <w:rsid w:val="002A13F1"/>
    <w:rsid w:val="002A19C5"/>
    <w:rsid w:val="002A229B"/>
    <w:rsid w:val="002A3263"/>
    <w:rsid w:val="002A4684"/>
    <w:rsid w:val="002A5CDA"/>
    <w:rsid w:val="002A6A3E"/>
    <w:rsid w:val="002A73B0"/>
    <w:rsid w:val="002A7FA9"/>
    <w:rsid w:val="002B0165"/>
    <w:rsid w:val="002B0DF4"/>
    <w:rsid w:val="002B17A6"/>
    <w:rsid w:val="002B1937"/>
    <w:rsid w:val="002B19DB"/>
    <w:rsid w:val="002B267D"/>
    <w:rsid w:val="002B319B"/>
    <w:rsid w:val="002B35A7"/>
    <w:rsid w:val="002B3869"/>
    <w:rsid w:val="002B39EA"/>
    <w:rsid w:val="002B3B90"/>
    <w:rsid w:val="002B3FBA"/>
    <w:rsid w:val="002B45FB"/>
    <w:rsid w:val="002B4689"/>
    <w:rsid w:val="002B46BB"/>
    <w:rsid w:val="002B4D76"/>
    <w:rsid w:val="002B4F1D"/>
    <w:rsid w:val="002B52F4"/>
    <w:rsid w:val="002B5CEA"/>
    <w:rsid w:val="002B60AD"/>
    <w:rsid w:val="002B628C"/>
    <w:rsid w:val="002B62A0"/>
    <w:rsid w:val="002B63B3"/>
    <w:rsid w:val="002B6D68"/>
    <w:rsid w:val="002B7E40"/>
    <w:rsid w:val="002C01DC"/>
    <w:rsid w:val="002C023A"/>
    <w:rsid w:val="002C0823"/>
    <w:rsid w:val="002C0A7C"/>
    <w:rsid w:val="002C0B41"/>
    <w:rsid w:val="002C1425"/>
    <w:rsid w:val="002C1463"/>
    <w:rsid w:val="002C22E7"/>
    <w:rsid w:val="002C2EB2"/>
    <w:rsid w:val="002C2FA0"/>
    <w:rsid w:val="002C31DA"/>
    <w:rsid w:val="002C331B"/>
    <w:rsid w:val="002C3412"/>
    <w:rsid w:val="002C37D6"/>
    <w:rsid w:val="002C3E06"/>
    <w:rsid w:val="002C4616"/>
    <w:rsid w:val="002C49D8"/>
    <w:rsid w:val="002C4AE6"/>
    <w:rsid w:val="002C5893"/>
    <w:rsid w:val="002C58E9"/>
    <w:rsid w:val="002C59C1"/>
    <w:rsid w:val="002C5D10"/>
    <w:rsid w:val="002C6094"/>
    <w:rsid w:val="002C6A12"/>
    <w:rsid w:val="002C6E32"/>
    <w:rsid w:val="002C78D6"/>
    <w:rsid w:val="002C79E0"/>
    <w:rsid w:val="002C7B00"/>
    <w:rsid w:val="002C7D10"/>
    <w:rsid w:val="002D0052"/>
    <w:rsid w:val="002D0F92"/>
    <w:rsid w:val="002D1521"/>
    <w:rsid w:val="002D1A12"/>
    <w:rsid w:val="002D2D6B"/>
    <w:rsid w:val="002D3685"/>
    <w:rsid w:val="002D3805"/>
    <w:rsid w:val="002D39B8"/>
    <w:rsid w:val="002D3E49"/>
    <w:rsid w:val="002D4022"/>
    <w:rsid w:val="002D4323"/>
    <w:rsid w:val="002D4F81"/>
    <w:rsid w:val="002D516C"/>
    <w:rsid w:val="002D5F15"/>
    <w:rsid w:val="002D7575"/>
    <w:rsid w:val="002D7D2F"/>
    <w:rsid w:val="002E038C"/>
    <w:rsid w:val="002E063C"/>
    <w:rsid w:val="002E0F43"/>
    <w:rsid w:val="002E1096"/>
    <w:rsid w:val="002E1C5C"/>
    <w:rsid w:val="002E217F"/>
    <w:rsid w:val="002E2BD3"/>
    <w:rsid w:val="002E308B"/>
    <w:rsid w:val="002E33AA"/>
    <w:rsid w:val="002E3456"/>
    <w:rsid w:val="002E363A"/>
    <w:rsid w:val="002E39F1"/>
    <w:rsid w:val="002E45BB"/>
    <w:rsid w:val="002E45D1"/>
    <w:rsid w:val="002E5210"/>
    <w:rsid w:val="002E5391"/>
    <w:rsid w:val="002E5652"/>
    <w:rsid w:val="002E5BCD"/>
    <w:rsid w:val="002E5DBB"/>
    <w:rsid w:val="002E5FAF"/>
    <w:rsid w:val="002E6921"/>
    <w:rsid w:val="002E71ED"/>
    <w:rsid w:val="002F037E"/>
    <w:rsid w:val="002F14CA"/>
    <w:rsid w:val="002F167C"/>
    <w:rsid w:val="002F182C"/>
    <w:rsid w:val="002F1A22"/>
    <w:rsid w:val="002F1E43"/>
    <w:rsid w:val="002F1E9A"/>
    <w:rsid w:val="002F26E7"/>
    <w:rsid w:val="002F2CC5"/>
    <w:rsid w:val="002F2D6F"/>
    <w:rsid w:val="002F3092"/>
    <w:rsid w:val="002F32AA"/>
    <w:rsid w:val="002F3488"/>
    <w:rsid w:val="002F3E35"/>
    <w:rsid w:val="002F49DF"/>
    <w:rsid w:val="002F4BDB"/>
    <w:rsid w:val="002F4F05"/>
    <w:rsid w:val="002F50D5"/>
    <w:rsid w:val="002F5BE2"/>
    <w:rsid w:val="002F5F82"/>
    <w:rsid w:val="002F6520"/>
    <w:rsid w:val="002F689D"/>
    <w:rsid w:val="002F68E3"/>
    <w:rsid w:val="002F6DE6"/>
    <w:rsid w:val="002F72F6"/>
    <w:rsid w:val="002F753A"/>
    <w:rsid w:val="002F7581"/>
    <w:rsid w:val="00300828"/>
    <w:rsid w:val="00300B4F"/>
    <w:rsid w:val="00300E56"/>
    <w:rsid w:val="00301BF4"/>
    <w:rsid w:val="003020C8"/>
    <w:rsid w:val="003023C1"/>
    <w:rsid w:val="00302531"/>
    <w:rsid w:val="00302B4F"/>
    <w:rsid w:val="003033D2"/>
    <w:rsid w:val="00303ED9"/>
    <w:rsid w:val="0030405A"/>
    <w:rsid w:val="0030408D"/>
    <w:rsid w:val="0030474B"/>
    <w:rsid w:val="0030478B"/>
    <w:rsid w:val="003047BD"/>
    <w:rsid w:val="003047E4"/>
    <w:rsid w:val="003052BA"/>
    <w:rsid w:val="00305452"/>
    <w:rsid w:val="0030568F"/>
    <w:rsid w:val="00305E9B"/>
    <w:rsid w:val="003061A4"/>
    <w:rsid w:val="00306375"/>
    <w:rsid w:val="00306A11"/>
    <w:rsid w:val="00306FFA"/>
    <w:rsid w:val="003075C9"/>
    <w:rsid w:val="00307611"/>
    <w:rsid w:val="00307ABE"/>
    <w:rsid w:val="00307DF9"/>
    <w:rsid w:val="00310925"/>
    <w:rsid w:val="00311164"/>
    <w:rsid w:val="0031181D"/>
    <w:rsid w:val="00311B80"/>
    <w:rsid w:val="00311C97"/>
    <w:rsid w:val="00311F93"/>
    <w:rsid w:val="0031234F"/>
    <w:rsid w:val="00312708"/>
    <w:rsid w:val="0031277C"/>
    <w:rsid w:val="00312AB2"/>
    <w:rsid w:val="00312B99"/>
    <w:rsid w:val="00312F35"/>
    <w:rsid w:val="003137C7"/>
    <w:rsid w:val="00314485"/>
    <w:rsid w:val="003146E4"/>
    <w:rsid w:val="0031567B"/>
    <w:rsid w:val="003159BB"/>
    <w:rsid w:val="00315C31"/>
    <w:rsid w:val="003160FA"/>
    <w:rsid w:val="0031617F"/>
    <w:rsid w:val="00316A0E"/>
    <w:rsid w:val="00316F05"/>
    <w:rsid w:val="00317001"/>
    <w:rsid w:val="00317254"/>
    <w:rsid w:val="00317838"/>
    <w:rsid w:val="003200C2"/>
    <w:rsid w:val="00320691"/>
    <w:rsid w:val="0032069B"/>
    <w:rsid w:val="003208CA"/>
    <w:rsid w:val="00320A66"/>
    <w:rsid w:val="00320BC8"/>
    <w:rsid w:val="00320CBA"/>
    <w:rsid w:val="0032109C"/>
    <w:rsid w:val="003211E7"/>
    <w:rsid w:val="00321473"/>
    <w:rsid w:val="003218B2"/>
    <w:rsid w:val="003219E4"/>
    <w:rsid w:val="003224FF"/>
    <w:rsid w:val="00322B9A"/>
    <w:rsid w:val="00322BC4"/>
    <w:rsid w:val="003235A6"/>
    <w:rsid w:val="00323653"/>
    <w:rsid w:val="00323B35"/>
    <w:rsid w:val="0032404F"/>
    <w:rsid w:val="003245C8"/>
    <w:rsid w:val="00325409"/>
    <w:rsid w:val="00326FAB"/>
    <w:rsid w:val="0032718A"/>
    <w:rsid w:val="003272AE"/>
    <w:rsid w:val="00327951"/>
    <w:rsid w:val="00327B53"/>
    <w:rsid w:val="0033017D"/>
    <w:rsid w:val="0033045A"/>
    <w:rsid w:val="00330FA2"/>
    <w:rsid w:val="00331259"/>
    <w:rsid w:val="003313D4"/>
    <w:rsid w:val="00331478"/>
    <w:rsid w:val="0033147E"/>
    <w:rsid w:val="00331EDC"/>
    <w:rsid w:val="003324E2"/>
    <w:rsid w:val="00333EB3"/>
    <w:rsid w:val="00334EAC"/>
    <w:rsid w:val="0033558E"/>
    <w:rsid w:val="00335968"/>
    <w:rsid w:val="00335EDE"/>
    <w:rsid w:val="003360C5"/>
    <w:rsid w:val="0033684B"/>
    <w:rsid w:val="00336A1B"/>
    <w:rsid w:val="0033774F"/>
    <w:rsid w:val="003377D1"/>
    <w:rsid w:val="00337CA1"/>
    <w:rsid w:val="003404D8"/>
    <w:rsid w:val="00340C98"/>
    <w:rsid w:val="00341F4D"/>
    <w:rsid w:val="00342E96"/>
    <w:rsid w:val="00342F03"/>
    <w:rsid w:val="00342FD2"/>
    <w:rsid w:val="00344253"/>
    <w:rsid w:val="00344B4B"/>
    <w:rsid w:val="00344C45"/>
    <w:rsid w:val="003466C7"/>
    <w:rsid w:val="00346D7C"/>
    <w:rsid w:val="00346EB0"/>
    <w:rsid w:val="003479E3"/>
    <w:rsid w:val="00347D5F"/>
    <w:rsid w:val="00347F94"/>
    <w:rsid w:val="003500B6"/>
    <w:rsid w:val="00350730"/>
    <w:rsid w:val="00350970"/>
    <w:rsid w:val="00350C2E"/>
    <w:rsid w:val="00350F85"/>
    <w:rsid w:val="00352321"/>
    <w:rsid w:val="00352C42"/>
    <w:rsid w:val="003531A3"/>
    <w:rsid w:val="00353462"/>
    <w:rsid w:val="00353465"/>
    <w:rsid w:val="00353839"/>
    <w:rsid w:val="003539E8"/>
    <w:rsid w:val="0035433D"/>
    <w:rsid w:val="003544EC"/>
    <w:rsid w:val="0035459B"/>
    <w:rsid w:val="00355B8A"/>
    <w:rsid w:val="003562FA"/>
    <w:rsid w:val="003569D7"/>
    <w:rsid w:val="00356B9E"/>
    <w:rsid w:val="00357996"/>
    <w:rsid w:val="003602CF"/>
    <w:rsid w:val="00360CC3"/>
    <w:rsid w:val="003611D4"/>
    <w:rsid w:val="003611F7"/>
    <w:rsid w:val="00361BD2"/>
    <w:rsid w:val="00361C07"/>
    <w:rsid w:val="00361D9D"/>
    <w:rsid w:val="0036235E"/>
    <w:rsid w:val="003625AC"/>
    <w:rsid w:val="00362B47"/>
    <w:rsid w:val="00362DAC"/>
    <w:rsid w:val="0036325B"/>
    <w:rsid w:val="003633B4"/>
    <w:rsid w:val="00363E33"/>
    <w:rsid w:val="00364038"/>
    <w:rsid w:val="003648F8"/>
    <w:rsid w:val="00364966"/>
    <w:rsid w:val="00364CE2"/>
    <w:rsid w:val="003656F5"/>
    <w:rsid w:val="0036578E"/>
    <w:rsid w:val="0036686B"/>
    <w:rsid w:val="00366B30"/>
    <w:rsid w:val="00367545"/>
    <w:rsid w:val="003676DB"/>
    <w:rsid w:val="00367A07"/>
    <w:rsid w:val="00367DF1"/>
    <w:rsid w:val="003707E5"/>
    <w:rsid w:val="003713A3"/>
    <w:rsid w:val="0037183F"/>
    <w:rsid w:val="003718F5"/>
    <w:rsid w:val="003721E8"/>
    <w:rsid w:val="003722F4"/>
    <w:rsid w:val="00372343"/>
    <w:rsid w:val="0037284E"/>
    <w:rsid w:val="003728EE"/>
    <w:rsid w:val="00372939"/>
    <w:rsid w:val="00373246"/>
    <w:rsid w:val="003737F2"/>
    <w:rsid w:val="0037435F"/>
    <w:rsid w:val="0037519A"/>
    <w:rsid w:val="003753DC"/>
    <w:rsid w:val="00375576"/>
    <w:rsid w:val="00375D5E"/>
    <w:rsid w:val="00376B1C"/>
    <w:rsid w:val="00377C32"/>
    <w:rsid w:val="00377F17"/>
    <w:rsid w:val="003806D2"/>
    <w:rsid w:val="0038103A"/>
    <w:rsid w:val="0038164F"/>
    <w:rsid w:val="0038178A"/>
    <w:rsid w:val="00381975"/>
    <w:rsid w:val="00382192"/>
    <w:rsid w:val="003823AD"/>
    <w:rsid w:val="00382CBA"/>
    <w:rsid w:val="00383BEF"/>
    <w:rsid w:val="00384A6A"/>
    <w:rsid w:val="00384BF0"/>
    <w:rsid w:val="00384DDE"/>
    <w:rsid w:val="003854B0"/>
    <w:rsid w:val="00385677"/>
    <w:rsid w:val="003857E9"/>
    <w:rsid w:val="00386241"/>
    <w:rsid w:val="003862ED"/>
    <w:rsid w:val="00386305"/>
    <w:rsid w:val="0038645B"/>
    <w:rsid w:val="00386806"/>
    <w:rsid w:val="00386896"/>
    <w:rsid w:val="00386976"/>
    <w:rsid w:val="00386C28"/>
    <w:rsid w:val="003877F0"/>
    <w:rsid w:val="00387FA7"/>
    <w:rsid w:val="003901E3"/>
    <w:rsid w:val="0039036D"/>
    <w:rsid w:val="00390407"/>
    <w:rsid w:val="00390488"/>
    <w:rsid w:val="00390B3D"/>
    <w:rsid w:val="00390CFE"/>
    <w:rsid w:val="00391330"/>
    <w:rsid w:val="003915BE"/>
    <w:rsid w:val="003918EB"/>
    <w:rsid w:val="003923BA"/>
    <w:rsid w:val="003925D3"/>
    <w:rsid w:val="00392D12"/>
    <w:rsid w:val="00392DF0"/>
    <w:rsid w:val="0039324A"/>
    <w:rsid w:val="0039348A"/>
    <w:rsid w:val="003945D9"/>
    <w:rsid w:val="00394636"/>
    <w:rsid w:val="00394E3C"/>
    <w:rsid w:val="00395235"/>
    <w:rsid w:val="003956D4"/>
    <w:rsid w:val="00396EC3"/>
    <w:rsid w:val="00397298"/>
    <w:rsid w:val="00397779"/>
    <w:rsid w:val="00397B13"/>
    <w:rsid w:val="003A00CA"/>
    <w:rsid w:val="003A0C28"/>
    <w:rsid w:val="003A0D5D"/>
    <w:rsid w:val="003A13BA"/>
    <w:rsid w:val="003A2843"/>
    <w:rsid w:val="003A2889"/>
    <w:rsid w:val="003A2893"/>
    <w:rsid w:val="003A30F1"/>
    <w:rsid w:val="003A3293"/>
    <w:rsid w:val="003A44BA"/>
    <w:rsid w:val="003A452C"/>
    <w:rsid w:val="003A49A7"/>
    <w:rsid w:val="003A4E8D"/>
    <w:rsid w:val="003A5068"/>
    <w:rsid w:val="003A5CC0"/>
    <w:rsid w:val="003A677C"/>
    <w:rsid w:val="003A680B"/>
    <w:rsid w:val="003A6DB7"/>
    <w:rsid w:val="003A7501"/>
    <w:rsid w:val="003B00C8"/>
    <w:rsid w:val="003B08F1"/>
    <w:rsid w:val="003B114A"/>
    <w:rsid w:val="003B11BE"/>
    <w:rsid w:val="003B12D1"/>
    <w:rsid w:val="003B1C1C"/>
    <w:rsid w:val="003B1F42"/>
    <w:rsid w:val="003B1FF6"/>
    <w:rsid w:val="003B2100"/>
    <w:rsid w:val="003B289F"/>
    <w:rsid w:val="003B3405"/>
    <w:rsid w:val="003B341E"/>
    <w:rsid w:val="003B3A4F"/>
    <w:rsid w:val="003B3E8E"/>
    <w:rsid w:val="003B4928"/>
    <w:rsid w:val="003B4DD5"/>
    <w:rsid w:val="003B4F5E"/>
    <w:rsid w:val="003B5ECB"/>
    <w:rsid w:val="003B6176"/>
    <w:rsid w:val="003B62C2"/>
    <w:rsid w:val="003B6580"/>
    <w:rsid w:val="003B695E"/>
    <w:rsid w:val="003B6F5F"/>
    <w:rsid w:val="003B75BE"/>
    <w:rsid w:val="003B7D01"/>
    <w:rsid w:val="003C0942"/>
    <w:rsid w:val="003C0EEE"/>
    <w:rsid w:val="003C1593"/>
    <w:rsid w:val="003C195C"/>
    <w:rsid w:val="003C2B77"/>
    <w:rsid w:val="003C2D2B"/>
    <w:rsid w:val="003C2D8E"/>
    <w:rsid w:val="003C36CB"/>
    <w:rsid w:val="003C3A60"/>
    <w:rsid w:val="003C3C73"/>
    <w:rsid w:val="003C3F83"/>
    <w:rsid w:val="003C428D"/>
    <w:rsid w:val="003C43E2"/>
    <w:rsid w:val="003C642D"/>
    <w:rsid w:val="003C7B57"/>
    <w:rsid w:val="003C7CA8"/>
    <w:rsid w:val="003D0651"/>
    <w:rsid w:val="003D073F"/>
    <w:rsid w:val="003D14ED"/>
    <w:rsid w:val="003D14FF"/>
    <w:rsid w:val="003D1D65"/>
    <w:rsid w:val="003D1E5B"/>
    <w:rsid w:val="003D1EEC"/>
    <w:rsid w:val="003D418D"/>
    <w:rsid w:val="003D469B"/>
    <w:rsid w:val="003D476B"/>
    <w:rsid w:val="003D487B"/>
    <w:rsid w:val="003D4934"/>
    <w:rsid w:val="003D49A4"/>
    <w:rsid w:val="003D53D0"/>
    <w:rsid w:val="003D62F9"/>
    <w:rsid w:val="003D68D3"/>
    <w:rsid w:val="003D70AC"/>
    <w:rsid w:val="003E0424"/>
    <w:rsid w:val="003E0BC2"/>
    <w:rsid w:val="003E0E57"/>
    <w:rsid w:val="003E1130"/>
    <w:rsid w:val="003E1677"/>
    <w:rsid w:val="003E1E99"/>
    <w:rsid w:val="003E1EAC"/>
    <w:rsid w:val="003E219F"/>
    <w:rsid w:val="003E2857"/>
    <w:rsid w:val="003E286C"/>
    <w:rsid w:val="003E2B52"/>
    <w:rsid w:val="003E350A"/>
    <w:rsid w:val="003E356E"/>
    <w:rsid w:val="003E38CB"/>
    <w:rsid w:val="003E3A5F"/>
    <w:rsid w:val="003E42AB"/>
    <w:rsid w:val="003E4457"/>
    <w:rsid w:val="003E459F"/>
    <w:rsid w:val="003E4C1C"/>
    <w:rsid w:val="003E4F1C"/>
    <w:rsid w:val="003E52D8"/>
    <w:rsid w:val="003E5E5C"/>
    <w:rsid w:val="003E63B2"/>
    <w:rsid w:val="003E66BE"/>
    <w:rsid w:val="003E6FAD"/>
    <w:rsid w:val="003E7B65"/>
    <w:rsid w:val="003F0B73"/>
    <w:rsid w:val="003F1792"/>
    <w:rsid w:val="003F1CF8"/>
    <w:rsid w:val="003F3BAA"/>
    <w:rsid w:val="003F4297"/>
    <w:rsid w:val="003F47E7"/>
    <w:rsid w:val="003F49CE"/>
    <w:rsid w:val="003F53A5"/>
    <w:rsid w:val="003F5945"/>
    <w:rsid w:val="003F5A97"/>
    <w:rsid w:val="003F5DFE"/>
    <w:rsid w:val="003F5F36"/>
    <w:rsid w:val="003F6119"/>
    <w:rsid w:val="003F6885"/>
    <w:rsid w:val="003F68E1"/>
    <w:rsid w:val="003F72B6"/>
    <w:rsid w:val="003F75C8"/>
    <w:rsid w:val="004001FA"/>
    <w:rsid w:val="00400A47"/>
    <w:rsid w:val="00401810"/>
    <w:rsid w:val="00401D47"/>
    <w:rsid w:val="0040280A"/>
    <w:rsid w:val="00402EBB"/>
    <w:rsid w:val="0040375B"/>
    <w:rsid w:val="00403A3E"/>
    <w:rsid w:val="00403BFB"/>
    <w:rsid w:val="00404249"/>
    <w:rsid w:val="00404369"/>
    <w:rsid w:val="0040457D"/>
    <w:rsid w:val="00404C64"/>
    <w:rsid w:val="00404ED0"/>
    <w:rsid w:val="00404F14"/>
    <w:rsid w:val="004052E2"/>
    <w:rsid w:val="004058DD"/>
    <w:rsid w:val="00405C66"/>
    <w:rsid w:val="00405CDB"/>
    <w:rsid w:val="00405E56"/>
    <w:rsid w:val="004060DA"/>
    <w:rsid w:val="00406FEA"/>
    <w:rsid w:val="00407FE4"/>
    <w:rsid w:val="00410C80"/>
    <w:rsid w:val="004112A9"/>
    <w:rsid w:val="004117B4"/>
    <w:rsid w:val="004118FA"/>
    <w:rsid w:val="00411A32"/>
    <w:rsid w:val="00411AE7"/>
    <w:rsid w:val="004121FE"/>
    <w:rsid w:val="0041264E"/>
    <w:rsid w:val="00412E0F"/>
    <w:rsid w:val="00413440"/>
    <w:rsid w:val="00413660"/>
    <w:rsid w:val="00413D22"/>
    <w:rsid w:val="00413DE1"/>
    <w:rsid w:val="00413F4D"/>
    <w:rsid w:val="00414B76"/>
    <w:rsid w:val="0041538D"/>
    <w:rsid w:val="00415C49"/>
    <w:rsid w:val="00415F11"/>
    <w:rsid w:val="00416072"/>
    <w:rsid w:val="00416235"/>
    <w:rsid w:val="0041627E"/>
    <w:rsid w:val="0041648D"/>
    <w:rsid w:val="004166C8"/>
    <w:rsid w:val="00416E88"/>
    <w:rsid w:val="00416EB3"/>
    <w:rsid w:val="004172DE"/>
    <w:rsid w:val="00417B7A"/>
    <w:rsid w:val="00417E8B"/>
    <w:rsid w:val="0042022A"/>
    <w:rsid w:val="0042022C"/>
    <w:rsid w:val="004202C6"/>
    <w:rsid w:val="00420439"/>
    <w:rsid w:val="004204B0"/>
    <w:rsid w:val="00420893"/>
    <w:rsid w:val="00420CEF"/>
    <w:rsid w:val="004215A0"/>
    <w:rsid w:val="00421972"/>
    <w:rsid w:val="004223B8"/>
    <w:rsid w:val="004223CF"/>
    <w:rsid w:val="00422F50"/>
    <w:rsid w:val="00423389"/>
    <w:rsid w:val="004234C1"/>
    <w:rsid w:val="004238E8"/>
    <w:rsid w:val="00423AD4"/>
    <w:rsid w:val="00423BB5"/>
    <w:rsid w:val="00424848"/>
    <w:rsid w:val="00424BD8"/>
    <w:rsid w:val="0042672D"/>
    <w:rsid w:val="00427560"/>
    <w:rsid w:val="0042758F"/>
    <w:rsid w:val="004279EA"/>
    <w:rsid w:val="00427BFE"/>
    <w:rsid w:val="00430194"/>
    <w:rsid w:val="00431A83"/>
    <w:rsid w:val="00432238"/>
    <w:rsid w:val="00432640"/>
    <w:rsid w:val="004326BB"/>
    <w:rsid w:val="0043290B"/>
    <w:rsid w:val="00432A89"/>
    <w:rsid w:val="004337C6"/>
    <w:rsid w:val="004338AB"/>
    <w:rsid w:val="004341B7"/>
    <w:rsid w:val="0043438B"/>
    <w:rsid w:val="004343BE"/>
    <w:rsid w:val="00434410"/>
    <w:rsid w:val="00434A1A"/>
    <w:rsid w:val="00434A4B"/>
    <w:rsid w:val="00435398"/>
    <w:rsid w:val="004357B8"/>
    <w:rsid w:val="00435A60"/>
    <w:rsid w:val="00436239"/>
    <w:rsid w:val="004366F1"/>
    <w:rsid w:val="00437FBF"/>
    <w:rsid w:val="004404CA"/>
    <w:rsid w:val="00440985"/>
    <w:rsid w:val="00440FAD"/>
    <w:rsid w:val="004417B4"/>
    <w:rsid w:val="004419C9"/>
    <w:rsid w:val="00441F68"/>
    <w:rsid w:val="00443293"/>
    <w:rsid w:val="0044333E"/>
    <w:rsid w:val="00444612"/>
    <w:rsid w:val="0044492F"/>
    <w:rsid w:val="00444A75"/>
    <w:rsid w:val="00444B1D"/>
    <w:rsid w:val="00445333"/>
    <w:rsid w:val="00445EEE"/>
    <w:rsid w:val="00445F96"/>
    <w:rsid w:val="00446C18"/>
    <w:rsid w:val="004479F7"/>
    <w:rsid w:val="00447B3C"/>
    <w:rsid w:val="0045044F"/>
    <w:rsid w:val="00450718"/>
    <w:rsid w:val="00450966"/>
    <w:rsid w:val="0045098C"/>
    <w:rsid w:val="00450D9B"/>
    <w:rsid w:val="004510D3"/>
    <w:rsid w:val="00451106"/>
    <w:rsid w:val="004512BE"/>
    <w:rsid w:val="004516F2"/>
    <w:rsid w:val="00451877"/>
    <w:rsid w:val="00451C72"/>
    <w:rsid w:val="00451EF5"/>
    <w:rsid w:val="0045216A"/>
    <w:rsid w:val="00453114"/>
    <w:rsid w:val="0045325D"/>
    <w:rsid w:val="00453599"/>
    <w:rsid w:val="0045378E"/>
    <w:rsid w:val="00453DA0"/>
    <w:rsid w:val="00453EE6"/>
    <w:rsid w:val="0045432D"/>
    <w:rsid w:val="004546C6"/>
    <w:rsid w:val="00454C3C"/>
    <w:rsid w:val="004552D1"/>
    <w:rsid w:val="0045570C"/>
    <w:rsid w:val="004558C7"/>
    <w:rsid w:val="00455C34"/>
    <w:rsid w:val="00456A8B"/>
    <w:rsid w:val="00456BB2"/>
    <w:rsid w:val="00456E6A"/>
    <w:rsid w:val="004577D3"/>
    <w:rsid w:val="00457CEC"/>
    <w:rsid w:val="00460CC5"/>
    <w:rsid w:val="00460E1C"/>
    <w:rsid w:val="004616CA"/>
    <w:rsid w:val="00461C95"/>
    <w:rsid w:val="00462761"/>
    <w:rsid w:val="00462A35"/>
    <w:rsid w:val="00462D52"/>
    <w:rsid w:val="00463068"/>
    <w:rsid w:val="00463141"/>
    <w:rsid w:val="004635BF"/>
    <w:rsid w:val="00463DEB"/>
    <w:rsid w:val="004645E0"/>
    <w:rsid w:val="00464651"/>
    <w:rsid w:val="0046473B"/>
    <w:rsid w:val="00464B39"/>
    <w:rsid w:val="00465CB0"/>
    <w:rsid w:val="0046723C"/>
    <w:rsid w:val="00467AA9"/>
    <w:rsid w:val="00470371"/>
    <w:rsid w:val="004711F2"/>
    <w:rsid w:val="00471636"/>
    <w:rsid w:val="00471B55"/>
    <w:rsid w:val="00473233"/>
    <w:rsid w:val="00473B75"/>
    <w:rsid w:val="00473D9F"/>
    <w:rsid w:val="00474344"/>
    <w:rsid w:val="0047445B"/>
    <w:rsid w:val="004745DE"/>
    <w:rsid w:val="00474693"/>
    <w:rsid w:val="00474950"/>
    <w:rsid w:val="00474A23"/>
    <w:rsid w:val="00475034"/>
    <w:rsid w:val="0047525E"/>
    <w:rsid w:val="00475652"/>
    <w:rsid w:val="00475ACF"/>
    <w:rsid w:val="00475AD0"/>
    <w:rsid w:val="00475B67"/>
    <w:rsid w:val="00475DA7"/>
    <w:rsid w:val="004763C3"/>
    <w:rsid w:val="004764AA"/>
    <w:rsid w:val="00476F7B"/>
    <w:rsid w:val="004771B4"/>
    <w:rsid w:val="00477276"/>
    <w:rsid w:val="004774A9"/>
    <w:rsid w:val="00477552"/>
    <w:rsid w:val="0047759E"/>
    <w:rsid w:val="00477C4A"/>
    <w:rsid w:val="00477EC5"/>
    <w:rsid w:val="004803E6"/>
    <w:rsid w:val="0048070B"/>
    <w:rsid w:val="00480ADE"/>
    <w:rsid w:val="00480B8E"/>
    <w:rsid w:val="00480F5C"/>
    <w:rsid w:val="00481505"/>
    <w:rsid w:val="004823B6"/>
    <w:rsid w:val="004824DE"/>
    <w:rsid w:val="004827B2"/>
    <w:rsid w:val="00482F40"/>
    <w:rsid w:val="00483447"/>
    <w:rsid w:val="00483477"/>
    <w:rsid w:val="004839D6"/>
    <w:rsid w:val="00484047"/>
    <w:rsid w:val="00485487"/>
    <w:rsid w:val="00485D50"/>
    <w:rsid w:val="00485F7D"/>
    <w:rsid w:val="004863D9"/>
    <w:rsid w:val="00486C10"/>
    <w:rsid w:val="00486D48"/>
    <w:rsid w:val="00486DF1"/>
    <w:rsid w:val="00487165"/>
    <w:rsid w:val="0048745D"/>
    <w:rsid w:val="00487A02"/>
    <w:rsid w:val="00487C72"/>
    <w:rsid w:val="004900D4"/>
    <w:rsid w:val="004907DC"/>
    <w:rsid w:val="004917F6"/>
    <w:rsid w:val="00491B3D"/>
    <w:rsid w:val="00491E44"/>
    <w:rsid w:val="00491EF5"/>
    <w:rsid w:val="00492189"/>
    <w:rsid w:val="004924AB"/>
    <w:rsid w:val="00492F25"/>
    <w:rsid w:val="00493492"/>
    <w:rsid w:val="00493577"/>
    <w:rsid w:val="0049362D"/>
    <w:rsid w:val="00493947"/>
    <w:rsid w:val="00493B1B"/>
    <w:rsid w:val="00493D80"/>
    <w:rsid w:val="0049407D"/>
    <w:rsid w:val="004946D7"/>
    <w:rsid w:val="00494840"/>
    <w:rsid w:val="00495940"/>
    <w:rsid w:val="00495EB0"/>
    <w:rsid w:val="004962AD"/>
    <w:rsid w:val="00497C0D"/>
    <w:rsid w:val="004A03AC"/>
    <w:rsid w:val="004A0A1D"/>
    <w:rsid w:val="004A22E2"/>
    <w:rsid w:val="004A3D47"/>
    <w:rsid w:val="004A40A7"/>
    <w:rsid w:val="004A60D5"/>
    <w:rsid w:val="004A61D7"/>
    <w:rsid w:val="004A65E8"/>
    <w:rsid w:val="004A6AC7"/>
    <w:rsid w:val="004A77B5"/>
    <w:rsid w:val="004A7FD2"/>
    <w:rsid w:val="004B0235"/>
    <w:rsid w:val="004B02ED"/>
    <w:rsid w:val="004B19D6"/>
    <w:rsid w:val="004B1E52"/>
    <w:rsid w:val="004B216E"/>
    <w:rsid w:val="004B2522"/>
    <w:rsid w:val="004B2A6D"/>
    <w:rsid w:val="004B4616"/>
    <w:rsid w:val="004B4662"/>
    <w:rsid w:val="004B46EE"/>
    <w:rsid w:val="004B47C2"/>
    <w:rsid w:val="004B4D48"/>
    <w:rsid w:val="004B5021"/>
    <w:rsid w:val="004B5805"/>
    <w:rsid w:val="004B5C53"/>
    <w:rsid w:val="004B5D3B"/>
    <w:rsid w:val="004B63AD"/>
    <w:rsid w:val="004B64D3"/>
    <w:rsid w:val="004B66D3"/>
    <w:rsid w:val="004B68F5"/>
    <w:rsid w:val="004B717F"/>
    <w:rsid w:val="004C005A"/>
    <w:rsid w:val="004C0278"/>
    <w:rsid w:val="004C0BB8"/>
    <w:rsid w:val="004C1185"/>
    <w:rsid w:val="004C2175"/>
    <w:rsid w:val="004C300F"/>
    <w:rsid w:val="004C320B"/>
    <w:rsid w:val="004C3ACB"/>
    <w:rsid w:val="004C42F8"/>
    <w:rsid w:val="004C4A1D"/>
    <w:rsid w:val="004C6A14"/>
    <w:rsid w:val="004C6B51"/>
    <w:rsid w:val="004C718D"/>
    <w:rsid w:val="004C7CB5"/>
    <w:rsid w:val="004C7D17"/>
    <w:rsid w:val="004D0323"/>
    <w:rsid w:val="004D08B5"/>
    <w:rsid w:val="004D0FBB"/>
    <w:rsid w:val="004D21C8"/>
    <w:rsid w:val="004D28D5"/>
    <w:rsid w:val="004D3267"/>
    <w:rsid w:val="004D3521"/>
    <w:rsid w:val="004D366F"/>
    <w:rsid w:val="004D3AB1"/>
    <w:rsid w:val="004D4183"/>
    <w:rsid w:val="004D43B9"/>
    <w:rsid w:val="004D4867"/>
    <w:rsid w:val="004D4B5F"/>
    <w:rsid w:val="004D5230"/>
    <w:rsid w:val="004D5619"/>
    <w:rsid w:val="004D6004"/>
    <w:rsid w:val="004D6073"/>
    <w:rsid w:val="004D6D4C"/>
    <w:rsid w:val="004D7ACD"/>
    <w:rsid w:val="004D7D78"/>
    <w:rsid w:val="004D7EA7"/>
    <w:rsid w:val="004E010B"/>
    <w:rsid w:val="004E0445"/>
    <w:rsid w:val="004E0BC5"/>
    <w:rsid w:val="004E2835"/>
    <w:rsid w:val="004E28E7"/>
    <w:rsid w:val="004E3925"/>
    <w:rsid w:val="004E41D5"/>
    <w:rsid w:val="004E4988"/>
    <w:rsid w:val="004E4B3C"/>
    <w:rsid w:val="004E531E"/>
    <w:rsid w:val="004E5622"/>
    <w:rsid w:val="004E5828"/>
    <w:rsid w:val="004E5BB8"/>
    <w:rsid w:val="004E68FA"/>
    <w:rsid w:val="004E69A6"/>
    <w:rsid w:val="004E6D06"/>
    <w:rsid w:val="004E7CDD"/>
    <w:rsid w:val="004F051F"/>
    <w:rsid w:val="004F06EF"/>
    <w:rsid w:val="004F1397"/>
    <w:rsid w:val="004F1571"/>
    <w:rsid w:val="004F15A7"/>
    <w:rsid w:val="004F15B1"/>
    <w:rsid w:val="004F20A2"/>
    <w:rsid w:val="004F230D"/>
    <w:rsid w:val="004F3F5A"/>
    <w:rsid w:val="004F4213"/>
    <w:rsid w:val="004F4427"/>
    <w:rsid w:val="004F4AF5"/>
    <w:rsid w:val="004F4C0E"/>
    <w:rsid w:val="004F52BD"/>
    <w:rsid w:val="004F6066"/>
    <w:rsid w:val="004F6C18"/>
    <w:rsid w:val="004F755C"/>
    <w:rsid w:val="004F7A91"/>
    <w:rsid w:val="00500173"/>
    <w:rsid w:val="005013A7"/>
    <w:rsid w:val="005019E5"/>
    <w:rsid w:val="00501A8C"/>
    <w:rsid w:val="00501CC3"/>
    <w:rsid w:val="0050218E"/>
    <w:rsid w:val="00502645"/>
    <w:rsid w:val="00502BF4"/>
    <w:rsid w:val="00502F9A"/>
    <w:rsid w:val="00503174"/>
    <w:rsid w:val="005039AC"/>
    <w:rsid w:val="00504F77"/>
    <w:rsid w:val="0050536E"/>
    <w:rsid w:val="00505502"/>
    <w:rsid w:val="00505776"/>
    <w:rsid w:val="0050592A"/>
    <w:rsid w:val="00505C4A"/>
    <w:rsid w:val="00506425"/>
    <w:rsid w:val="0050697C"/>
    <w:rsid w:val="00507155"/>
    <w:rsid w:val="00507384"/>
    <w:rsid w:val="0050746E"/>
    <w:rsid w:val="005074CE"/>
    <w:rsid w:val="00507786"/>
    <w:rsid w:val="005077EE"/>
    <w:rsid w:val="005079C8"/>
    <w:rsid w:val="00507A2C"/>
    <w:rsid w:val="00510C3C"/>
    <w:rsid w:val="0051200D"/>
    <w:rsid w:val="00512235"/>
    <w:rsid w:val="0051278E"/>
    <w:rsid w:val="005127C5"/>
    <w:rsid w:val="00512910"/>
    <w:rsid w:val="00512AAA"/>
    <w:rsid w:val="005131CA"/>
    <w:rsid w:val="00513583"/>
    <w:rsid w:val="005135C9"/>
    <w:rsid w:val="005136E6"/>
    <w:rsid w:val="00514D3E"/>
    <w:rsid w:val="00514F15"/>
    <w:rsid w:val="00515F4E"/>
    <w:rsid w:val="00516050"/>
    <w:rsid w:val="0051618A"/>
    <w:rsid w:val="00516309"/>
    <w:rsid w:val="00516B40"/>
    <w:rsid w:val="00517295"/>
    <w:rsid w:val="005172D3"/>
    <w:rsid w:val="00517D83"/>
    <w:rsid w:val="00520097"/>
    <w:rsid w:val="00520A50"/>
    <w:rsid w:val="00521566"/>
    <w:rsid w:val="00521633"/>
    <w:rsid w:val="00521F6E"/>
    <w:rsid w:val="00521FFA"/>
    <w:rsid w:val="005223EA"/>
    <w:rsid w:val="005227E4"/>
    <w:rsid w:val="005229D4"/>
    <w:rsid w:val="005232C6"/>
    <w:rsid w:val="00524128"/>
    <w:rsid w:val="00524710"/>
    <w:rsid w:val="00524719"/>
    <w:rsid w:val="005248A5"/>
    <w:rsid w:val="00524908"/>
    <w:rsid w:val="00524BBF"/>
    <w:rsid w:val="00525919"/>
    <w:rsid w:val="00526185"/>
    <w:rsid w:val="00526209"/>
    <w:rsid w:val="00526E5A"/>
    <w:rsid w:val="00527C33"/>
    <w:rsid w:val="00530044"/>
    <w:rsid w:val="00530105"/>
    <w:rsid w:val="00530577"/>
    <w:rsid w:val="005305E7"/>
    <w:rsid w:val="00530C0B"/>
    <w:rsid w:val="00530C24"/>
    <w:rsid w:val="00530CEF"/>
    <w:rsid w:val="00530E73"/>
    <w:rsid w:val="00531779"/>
    <w:rsid w:val="00531FE1"/>
    <w:rsid w:val="005324DA"/>
    <w:rsid w:val="0053269E"/>
    <w:rsid w:val="00532928"/>
    <w:rsid w:val="00532AF2"/>
    <w:rsid w:val="005338FD"/>
    <w:rsid w:val="0053414E"/>
    <w:rsid w:val="005341D0"/>
    <w:rsid w:val="0053475B"/>
    <w:rsid w:val="00534FFB"/>
    <w:rsid w:val="005352C2"/>
    <w:rsid w:val="00535306"/>
    <w:rsid w:val="00535B78"/>
    <w:rsid w:val="005364D0"/>
    <w:rsid w:val="0053678B"/>
    <w:rsid w:val="00536E5C"/>
    <w:rsid w:val="00537221"/>
    <w:rsid w:val="00537F26"/>
    <w:rsid w:val="00540186"/>
    <w:rsid w:val="00540DD4"/>
    <w:rsid w:val="005414C0"/>
    <w:rsid w:val="0054155A"/>
    <w:rsid w:val="00541766"/>
    <w:rsid w:val="00541786"/>
    <w:rsid w:val="00541965"/>
    <w:rsid w:val="00541E43"/>
    <w:rsid w:val="00542451"/>
    <w:rsid w:val="0054253E"/>
    <w:rsid w:val="00542923"/>
    <w:rsid w:val="005432CF"/>
    <w:rsid w:val="005444C1"/>
    <w:rsid w:val="00544A7B"/>
    <w:rsid w:val="00544B50"/>
    <w:rsid w:val="00544D71"/>
    <w:rsid w:val="0054528C"/>
    <w:rsid w:val="00546594"/>
    <w:rsid w:val="00546DEE"/>
    <w:rsid w:val="005502A1"/>
    <w:rsid w:val="00550936"/>
    <w:rsid w:val="00550F94"/>
    <w:rsid w:val="00551116"/>
    <w:rsid w:val="00551154"/>
    <w:rsid w:val="00551327"/>
    <w:rsid w:val="0055175B"/>
    <w:rsid w:val="00551A83"/>
    <w:rsid w:val="005522D3"/>
    <w:rsid w:val="005527AB"/>
    <w:rsid w:val="00552A87"/>
    <w:rsid w:val="00552C14"/>
    <w:rsid w:val="00553895"/>
    <w:rsid w:val="00553B60"/>
    <w:rsid w:val="00553F74"/>
    <w:rsid w:val="005541D6"/>
    <w:rsid w:val="005545F5"/>
    <w:rsid w:val="00554684"/>
    <w:rsid w:val="00554811"/>
    <w:rsid w:val="00554FF3"/>
    <w:rsid w:val="005560F8"/>
    <w:rsid w:val="005563DF"/>
    <w:rsid w:val="00556F09"/>
    <w:rsid w:val="00557142"/>
    <w:rsid w:val="0055735A"/>
    <w:rsid w:val="005600FC"/>
    <w:rsid w:val="0056017C"/>
    <w:rsid w:val="00560FD8"/>
    <w:rsid w:val="00561140"/>
    <w:rsid w:val="00561803"/>
    <w:rsid w:val="00561882"/>
    <w:rsid w:val="00561B6C"/>
    <w:rsid w:val="005623E3"/>
    <w:rsid w:val="0056267E"/>
    <w:rsid w:val="00562C6D"/>
    <w:rsid w:val="00562FD9"/>
    <w:rsid w:val="0056340F"/>
    <w:rsid w:val="00563606"/>
    <w:rsid w:val="00563664"/>
    <w:rsid w:val="00563700"/>
    <w:rsid w:val="00563B8B"/>
    <w:rsid w:val="0056439D"/>
    <w:rsid w:val="005647CA"/>
    <w:rsid w:val="00566A32"/>
    <w:rsid w:val="005677F7"/>
    <w:rsid w:val="00570C2C"/>
    <w:rsid w:val="00570EC8"/>
    <w:rsid w:val="00571150"/>
    <w:rsid w:val="00571364"/>
    <w:rsid w:val="00571E7F"/>
    <w:rsid w:val="00572407"/>
    <w:rsid w:val="005728DD"/>
    <w:rsid w:val="00573B8F"/>
    <w:rsid w:val="0057484A"/>
    <w:rsid w:val="0057545C"/>
    <w:rsid w:val="00575555"/>
    <w:rsid w:val="0057708D"/>
    <w:rsid w:val="0057754B"/>
    <w:rsid w:val="00577E9A"/>
    <w:rsid w:val="00580506"/>
    <w:rsid w:val="005810A4"/>
    <w:rsid w:val="00581B2A"/>
    <w:rsid w:val="00581C50"/>
    <w:rsid w:val="00582129"/>
    <w:rsid w:val="00582485"/>
    <w:rsid w:val="005831F8"/>
    <w:rsid w:val="005837C2"/>
    <w:rsid w:val="005838DC"/>
    <w:rsid w:val="00583A57"/>
    <w:rsid w:val="0058428B"/>
    <w:rsid w:val="00584694"/>
    <w:rsid w:val="0058481D"/>
    <w:rsid w:val="00584927"/>
    <w:rsid w:val="00584F18"/>
    <w:rsid w:val="00585075"/>
    <w:rsid w:val="00585457"/>
    <w:rsid w:val="00585597"/>
    <w:rsid w:val="00585A0F"/>
    <w:rsid w:val="00585DD9"/>
    <w:rsid w:val="0058655C"/>
    <w:rsid w:val="005868A5"/>
    <w:rsid w:val="00586D38"/>
    <w:rsid w:val="00586F6C"/>
    <w:rsid w:val="00587069"/>
    <w:rsid w:val="00587F1E"/>
    <w:rsid w:val="00590E82"/>
    <w:rsid w:val="00590FF0"/>
    <w:rsid w:val="0059135C"/>
    <w:rsid w:val="005915B9"/>
    <w:rsid w:val="0059167E"/>
    <w:rsid w:val="00591691"/>
    <w:rsid w:val="005919F3"/>
    <w:rsid w:val="005920C7"/>
    <w:rsid w:val="00592AC3"/>
    <w:rsid w:val="00592BF3"/>
    <w:rsid w:val="005932B7"/>
    <w:rsid w:val="00593B9C"/>
    <w:rsid w:val="005940AE"/>
    <w:rsid w:val="0059430F"/>
    <w:rsid w:val="005943BA"/>
    <w:rsid w:val="005948EF"/>
    <w:rsid w:val="005949C7"/>
    <w:rsid w:val="00595646"/>
    <w:rsid w:val="00595F0D"/>
    <w:rsid w:val="005965B0"/>
    <w:rsid w:val="005969AE"/>
    <w:rsid w:val="005969CA"/>
    <w:rsid w:val="00597613"/>
    <w:rsid w:val="00597818"/>
    <w:rsid w:val="00597A2F"/>
    <w:rsid w:val="005A05D8"/>
    <w:rsid w:val="005A0D8B"/>
    <w:rsid w:val="005A0E07"/>
    <w:rsid w:val="005A0F27"/>
    <w:rsid w:val="005A1273"/>
    <w:rsid w:val="005A12F9"/>
    <w:rsid w:val="005A1571"/>
    <w:rsid w:val="005A18F1"/>
    <w:rsid w:val="005A1D0B"/>
    <w:rsid w:val="005A23D6"/>
    <w:rsid w:val="005A2794"/>
    <w:rsid w:val="005A2F07"/>
    <w:rsid w:val="005A56E4"/>
    <w:rsid w:val="005A5DD7"/>
    <w:rsid w:val="005A6028"/>
    <w:rsid w:val="005A6818"/>
    <w:rsid w:val="005A7E1A"/>
    <w:rsid w:val="005B01DB"/>
    <w:rsid w:val="005B1D26"/>
    <w:rsid w:val="005B1EE5"/>
    <w:rsid w:val="005B21CC"/>
    <w:rsid w:val="005B2750"/>
    <w:rsid w:val="005B29BA"/>
    <w:rsid w:val="005B2A4B"/>
    <w:rsid w:val="005B2C44"/>
    <w:rsid w:val="005B2C8B"/>
    <w:rsid w:val="005B2F21"/>
    <w:rsid w:val="005B2F43"/>
    <w:rsid w:val="005B3393"/>
    <w:rsid w:val="005B3461"/>
    <w:rsid w:val="005B3B31"/>
    <w:rsid w:val="005B3CAC"/>
    <w:rsid w:val="005B3CE0"/>
    <w:rsid w:val="005B3DD8"/>
    <w:rsid w:val="005B40AB"/>
    <w:rsid w:val="005B42EE"/>
    <w:rsid w:val="005B42FC"/>
    <w:rsid w:val="005B4CB7"/>
    <w:rsid w:val="005B4D0A"/>
    <w:rsid w:val="005B4E8F"/>
    <w:rsid w:val="005B4F11"/>
    <w:rsid w:val="005B4F82"/>
    <w:rsid w:val="005B591C"/>
    <w:rsid w:val="005B5AFD"/>
    <w:rsid w:val="005B5B2A"/>
    <w:rsid w:val="005B5EF7"/>
    <w:rsid w:val="005B670E"/>
    <w:rsid w:val="005B6D2F"/>
    <w:rsid w:val="005B6E85"/>
    <w:rsid w:val="005B709A"/>
    <w:rsid w:val="005B732E"/>
    <w:rsid w:val="005B73C5"/>
    <w:rsid w:val="005C000A"/>
    <w:rsid w:val="005C0520"/>
    <w:rsid w:val="005C0F06"/>
    <w:rsid w:val="005C0F8D"/>
    <w:rsid w:val="005C1513"/>
    <w:rsid w:val="005C1574"/>
    <w:rsid w:val="005C22FC"/>
    <w:rsid w:val="005C2752"/>
    <w:rsid w:val="005C2B6A"/>
    <w:rsid w:val="005C2B98"/>
    <w:rsid w:val="005C2E78"/>
    <w:rsid w:val="005C31BD"/>
    <w:rsid w:val="005C334B"/>
    <w:rsid w:val="005C39FE"/>
    <w:rsid w:val="005C3D5C"/>
    <w:rsid w:val="005C401C"/>
    <w:rsid w:val="005C45AE"/>
    <w:rsid w:val="005C464C"/>
    <w:rsid w:val="005C4879"/>
    <w:rsid w:val="005C51F9"/>
    <w:rsid w:val="005C535A"/>
    <w:rsid w:val="005C5ACA"/>
    <w:rsid w:val="005C604A"/>
    <w:rsid w:val="005C63CD"/>
    <w:rsid w:val="005C64DE"/>
    <w:rsid w:val="005C68FE"/>
    <w:rsid w:val="005C7860"/>
    <w:rsid w:val="005D01B9"/>
    <w:rsid w:val="005D02ED"/>
    <w:rsid w:val="005D07B5"/>
    <w:rsid w:val="005D0D9D"/>
    <w:rsid w:val="005D10F7"/>
    <w:rsid w:val="005D14C2"/>
    <w:rsid w:val="005D1524"/>
    <w:rsid w:val="005D152E"/>
    <w:rsid w:val="005D1F68"/>
    <w:rsid w:val="005D224E"/>
    <w:rsid w:val="005D276D"/>
    <w:rsid w:val="005D306C"/>
    <w:rsid w:val="005D41D5"/>
    <w:rsid w:val="005D4BAD"/>
    <w:rsid w:val="005D4BC6"/>
    <w:rsid w:val="005D517F"/>
    <w:rsid w:val="005D5BDE"/>
    <w:rsid w:val="005D5DDC"/>
    <w:rsid w:val="005D601A"/>
    <w:rsid w:val="005D6101"/>
    <w:rsid w:val="005D66B6"/>
    <w:rsid w:val="005D686E"/>
    <w:rsid w:val="005D6DE0"/>
    <w:rsid w:val="005D7296"/>
    <w:rsid w:val="005D72E0"/>
    <w:rsid w:val="005D7857"/>
    <w:rsid w:val="005D7CF7"/>
    <w:rsid w:val="005D7E5E"/>
    <w:rsid w:val="005E00AE"/>
    <w:rsid w:val="005E0F79"/>
    <w:rsid w:val="005E0FE5"/>
    <w:rsid w:val="005E1075"/>
    <w:rsid w:val="005E1095"/>
    <w:rsid w:val="005E1276"/>
    <w:rsid w:val="005E181F"/>
    <w:rsid w:val="005E18EA"/>
    <w:rsid w:val="005E19A1"/>
    <w:rsid w:val="005E1E07"/>
    <w:rsid w:val="005E263A"/>
    <w:rsid w:val="005E2677"/>
    <w:rsid w:val="005E420C"/>
    <w:rsid w:val="005E495D"/>
    <w:rsid w:val="005E4F43"/>
    <w:rsid w:val="005E52E9"/>
    <w:rsid w:val="005E544B"/>
    <w:rsid w:val="005E5DAF"/>
    <w:rsid w:val="005E5E96"/>
    <w:rsid w:val="005E6178"/>
    <w:rsid w:val="005E6D66"/>
    <w:rsid w:val="005E6EC9"/>
    <w:rsid w:val="005E705B"/>
    <w:rsid w:val="005E7266"/>
    <w:rsid w:val="005F0008"/>
    <w:rsid w:val="005F026C"/>
    <w:rsid w:val="005F0B2A"/>
    <w:rsid w:val="005F0DEC"/>
    <w:rsid w:val="005F0EA6"/>
    <w:rsid w:val="005F1059"/>
    <w:rsid w:val="005F120E"/>
    <w:rsid w:val="005F1238"/>
    <w:rsid w:val="005F1AB3"/>
    <w:rsid w:val="005F1E3A"/>
    <w:rsid w:val="005F2E98"/>
    <w:rsid w:val="005F3D79"/>
    <w:rsid w:val="005F45A1"/>
    <w:rsid w:val="005F4FD4"/>
    <w:rsid w:val="005F5273"/>
    <w:rsid w:val="005F56EA"/>
    <w:rsid w:val="005F6475"/>
    <w:rsid w:val="005F6864"/>
    <w:rsid w:val="005F6B8C"/>
    <w:rsid w:val="005F6C6D"/>
    <w:rsid w:val="005F70D1"/>
    <w:rsid w:val="005F7382"/>
    <w:rsid w:val="0060029F"/>
    <w:rsid w:val="006002A0"/>
    <w:rsid w:val="006002FE"/>
    <w:rsid w:val="006004F4"/>
    <w:rsid w:val="00600EC1"/>
    <w:rsid w:val="00601706"/>
    <w:rsid w:val="006019D4"/>
    <w:rsid w:val="00601BA9"/>
    <w:rsid w:val="00601E38"/>
    <w:rsid w:val="0060204C"/>
    <w:rsid w:val="00602806"/>
    <w:rsid w:val="0060280C"/>
    <w:rsid w:val="00602AA6"/>
    <w:rsid w:val="00603649"/>
    <w:rsid w:val="00603DC7"/>
    <w:rsid w:val="00603E37"/>
    <w:rsid w:val="00604122"/>
    <w:rsid w:val="006041A8"/>
    <w:rsid w:val="006045EA"/>
    <w:rsid w:val="00604C43"/>
    <w:rsid w:val="00604D56"/>
    <w:rsid w:val="00604DEC"/>
    <w:rsid w:val="00605184"/>
    <w:rsid w:val="00605200"/>
    <w:rsid w:val="006052DC"/>
    <w:rsid w:val="00606BCD"/>
    <w:rsid w:val="00607CF1"/>
    <w:rsid w:val="00610AC1"/>
    <w:rsid w:val="00611129"/>
    <w:rsid w:val="00611690"/>
    <w:rsid w:val="006119BA"/>
    <w:rsid w:val="00611A8B"/>
    <w:rsid w:val="00612D8C"/>
    <w:rsid w:val="00613011"/>
    <w:rsid w:val="006131F7"/>
    <w:rsid w:val="0061369C"/>
    <w:rsid w:val="00613C70"/>
    <w:rsid w:val="00613EF1"/>
    <w:rsid w:val="00614845"/>
    <w:rsid w:val="006157C5"/>
    <w:rsid w:val="00615B41"/>
    <w:rsid w:val="00615D11"/>
    <w:rsid w:val="00616287"/>
    <w:rsid w:val="006163FA"/>
    <w:rsid w:val="00616B50"/>
    <w:rsid w:val="006176EA"/>
    <w:rsid w:val="0062049E"/>
    <w:rsid w:val="006205A8"/>
    <w:rsid w:val="00620DBF"/>
    <w:rsid w:val="00621644"/>
    <w:rsid w:val="006224F2"/>
    <w:rsid w:val="00622547"/>
    <w:rsid w:val="006226C4"/>
    <w:rsid w:val="00622F98"/>
    <w:rsid w:val="006230D4"/>
    <w:rsid w:val="006233B2"/>
    <w:rsid w:val="00623DCF"/>
    <w:rsid w:val="00624C07"/>
    <w:rsid w:val="0062520D"/>
    <w:rsid w:val="006254AE"/>
    <w:rsid w:val="00625585"/>
    <w:rsid w:val="00625A4C"/>
    <w:rsid w:val="00625EAF"/>
    <w:rsid w:val="0062636C"/>
    <w:rsid w:val="00626384"/>
    <w:rsid w:val="006268DD"/>
    <w:rsid w:val="00626A0F"/>
    <w:rsid w:val="00626A43"/>
    <w:rsid w:val="00626B44"/>
    <w:rsid w:val="00626FDD"/>
    <w:rsid w:val="006272CA"/>
    <w:rsid w:val="00630207"/>
    <w:rsid w:val="006304F1"/>
    <w:rsid w:val="00630516"/>
    <w:rsid w:val="00630541"/>
    <w:rsid w:val="006306AF"/>
    <w:rsid w:val="0063076F"/>
    <w:rsid w:val="00631167"/>
    <w:rsid w:val="0063133A"/>
    <w:rsid w:val="00631FDA"/>
    <w:rsid w:val="00632989"/>
    <w:rsid w:val="00633066"/>
    <w:rsid w:val="006336CB"/>
    <w:rsid w:val="00633707"/>
    <w:rsid w:val="00634869"/>
    <w:rsid w:val="00634971"/>
    <w:rsid w:val="0063537F"/>
    <w:rsid w:val="00635AC6"/>
    <w:rsid w:val="00635B79"/>
    <w:rsid w:val="00636924"/>
    <w:rsid w:val="006371B8"/>
    <w:rsid w:val="00637274"/>
    <w:rsid w:val="006379D0"/>
    <w:rsid w:val="00637BE4"/>
    <w:rsid w:val="0064016F"/>
    <w:rsid w:val="0064019C"/>
    <w:rsid w:val="00640586"/>
    <w:rsid w:val="00640805"/>
    <w:rsid w:val="00640D50"/>
    <w:rsid w:val="0064119D"/>
    <w:rsid w:val="006418F9"/>
    <w:rsid w:val="00642481"/>
    <w:rsid w:val="006428E5"/>
    <w:rsid w:val="00642B46"/>
    <w:rsid w:val="00642C8A"/>
    <w:rsid w:val="00643D67"/>
    <w:rsid w:val="00644018"/>
    <w:rsid w:val="00644411"/>
    <w:rsid w:val="00644DA0"/>
    <w:rsid w:val="00645EF0"/>
    <w:rsid w:val="00645F68"/>
    <w:rsid w:val="00646318"/>
    <w:rsid w:val="006473BA"/>
    <w:rsid w:val="00647C6E"/>
    <w:rsid w:val="00650BB3"/>
    <w:rsid w:val="00651043"/>
    <w:rsid w:val="00651D10"/>
    <w:rsid w:val="00651DF6"/>
    <w:rsid w:val="00652096"/>
    <w:rsid w:val="006522F7"/>
    <w:rsid w:val="00652692"/>
    <w:rsid w:val="00652B3C"/>
    <w:rsid w:val="00654306"/>
    <w:rsid w:val="00654496"/>
    <w:rsid w:val="006549CC"/>
    <w:rsid w:val="0065531E"/>
    <w:rsid w:val="006554A7"/>
    <w:rsid w:val="006556C5"/>
    <w:rsid w:val="006557DF"/>
    <w:rsid w:val="0065594D"/>
    <w:rsid w:val="00656F55"/>
    <w:rsid w:val="006578B9"/>
    <w:rsid w:val="00657C8D"/>
    <w:rsid w:val="00657FAC"/>
    <w:rsid w:val="00660A89"/>
    <w:rsid w:val="00660F42"/>
    <w:rsid w:val="00660FF6"/>
    <w:rsid w:val="0066100F"/>
    <w:rsid w:val="006611B5"/>
    <w:rsid w:val="0066146F"/>
    <w:rsid w:val="00661C33"/>
    <w:rsid w:val="00661C72"/>
    <w:rsid w:val="0066201A"/>
    <w:rsid w:val="0066226E"/>
    <w:rsid w:val="00662ED6"/>
    <w:rsid w:val="006632F7"/>
    <w:rsid w:val="00663D8C"/>
    <w:rsid w:val="00663FEA"/>
    <w:rsid w:val="0066444E"/>
    <w:rsid w:val="00664619"/>
    <w:rsid w:val="00664DCA"/>
    <w:rsid w:val="006651BF"/>
    <w:rsid w:val="00666D8D"/>
    <w:rsid w:val="00667327"/>
    <w:rsid w:val="00667532"/>
    <w:rsid w:val="00667652"/>
    <w:rsid w:val="0066795F"/>
    <w:rsid w:val="00667FA9"/>
    <w:rsid w:val="00667FF1"/>
    <w:rsid w:val="006704BF"/>
    <w:rsid w:val="0067123A"/>
    <w:rsid w:val="00671AAB"/>
    <w:rsid w:val="00671C12"/>
    <w:rsid w:val="00671D55"/>
    <w:rsid w:val="00671F19"/>
    <w:rsid w:val="0067230A"/>
    <w:rsid w:val="00672CE5"/>
    <w:rsid w:val="00672E8C"/>
    <w:rsid w:val="00673072"/>
    <w:rsid w:val="006734C0"/>
    <w:rsid w:val="006739C3"/>
    <w:rsid w:val="00673EE2"/>
    <w:rsid w:val="00673F86"/>
    <w:rsid w:val="00674242"/>
    <w:rsid w:val="0067429F"/>
    <w:rsid w:val="0067457A"/>
    <w:rsid w:val="00674667"/>
    <w:rsid w:val="0067495D"/>
    <w:rsid w:val="00674BDD"/>
    <w:rsid w:val="00674D30"/>
    <w:rsid w:val="0067531E"/>
    <w:rsid w:val="0067549E"/>
    <w:rsid w:val="00675725"/>
    <w:rsid w:val="006758C4"/>
    <w:rsid w:val="006759B6"/>
    <w:rsid w:val="00675A0E"/>
    <w:rsid w:val="00675D21"/>
    <w:rsid w:val="00676864"/>
    <w:rsid w:val="00676EBE"/>
    <w:rsid w:val="0067707B"/>
    <w:rsid w:val="006772FA"/>
    <w:rsid w:val="00677468"/>
    <w:rsid w:val="00677D7C"/>
    <w:rsid w:val="00677E1C"/>
    <w:rsid w:val="00680451"/>
    <w:rsid w:val="006808C1"/>
    <w:rsid w:val="00681CA4"/>
    <w:rsid w:val="00681EB9"/>
    <w:rsid w:val="00681EE9"/>
    <w:rsid w:val="006829A0"/>
    <w:rsid w:val="00682D1B"/>
    <w:rsid w:val="00682EC6"/>
    <w:rsid w:val="0068309F"/>
    <w:rsid w:val="006832AD"/>
    <w:rsid w:val="00683366"/>
    <w:rsid w:val="00683C95"/>
    <w:rsid w:val="00684DBF"/>
    <w:rsid w:val="00684F4A"/>
    <w:rsid w:val="006855B6"/>
    <w:rsid w:val="00685652"/>
    <w:rsid w:val="006856DA"/>
    <w:rsid w:val="00686213"/>
    <w:rsid w:val="0068669A"/>
    <w:rsid w:val="006866F4"/>
    <w:rsid w:val="00686A2D"/>
    <w:rsid w:val="00686DF7"/>
    <w:rsid w:val="00686ED4"/>
    <w:rsid w:val="00686F56"/>
    <w:rsid w:val="006877BF"/>
    <w:rsid w:val="006878F7"/>
    <w:rsid w:val="00687C5D"/>
    <w:rsid w:val="00690570"/>
    <w:rsid w:val="006907D1"/>
    <w:rsid w:val="00691383"/>
    <w:rsid w:val="00691447"/>
    <w:rsid w:val="00691B1A"/>
    <w:rsid w:val="00691C06"/>
    <w:rsid w:val="006920F2"/>
    <w:rsid w:val="006923E1"/>
    <w:rsid w:val="00692766"/>
    <w:rsid w:val="00692CB8"/>
    <w:rsid w:val="00693A0D"/>
    <w:rsid w:val="00694321"/>
    <w:rsid w:val="0069492B"/>
    <w:rsid w:val="00696706"/>
    <w:rsid w:val="0069670F"/>
    <w:rsid w:val="00696E46"/>
    <w:rsid w:val="00696FDF"/>
    <w:rsid w:val="00697265"/>
    <w:rsid w:val="006A00AF"/>
    <w:rsid w:val="006A0256"/>
    <w:rsid w:val="006A0671"/>
    <w:rsid w:val="006A0850"/>
    <w:rsid w:val="006A120F"/>
    <w:rsid w:val="006A182A"/>
    <w:rsid w:val="006A19AB"/>
    <w:rsid w:val="006A1C85"/>
    <w:rsid w:val="006A1E64"/>
    <w:rsid w:val="006A2018"/>
    <w:rsid w:val="006A232A"/>
    <w:rsid w:val="006A2906"/>
    <w:rsid w:val="006A30CE"/>
    <w:rsid w:val="006A31B3"/>
    <w:rsid w:val="006A3277"/>
    <w:rsid w:val="006A3565"/>
    <w:rsid w:val="006A423D"/>
    <w:rsid w:val="006A452A"/>
    <w:rsid w:val="006A4EBF"/>
    <w:rsid w:val="006A5009"/>
    <w:rsid w:val="006A58E8"/>
    <w:rsid w:val="006A5A09"/>
    <w:rsid w:val="006A654D"/>
    <w:rsid w:val="006A6CED"/>
    <w:rsid w:val="006A73A7"/>
    <w:rsid w:val="006A7628"/>
    <w:rsid w:val="006A789F"/>
    <w:rsid w:val="006A7A7B"/>
    <w:rsid w:val="006A7AF8"/>
    <w:rsid w:val="006B03A3"/>
    <w:rsid w:val="006B0476"/>
    <w:rsid w:val="006B0741"/>
    <w:rsid w:val="006B0A09"/>
    <w:rsid w:val="006B0D2B"/>
    <w:rsid w:val="006B0D3C"/>
    <w:rsid w:val="006B10FC"/>
    <w:rsid w:val="006B1DE4"/>
    <w:rsid w:val="006B1EB3"/>
    <w:rsid w:val="006B22F9"/>
    <w:rsid w:val="006B2E92"/>
    <w:rsid w:val="006B3928"/>
    <w:rsid w:val="006B3E71"/>
    <w:rsid w:val="006B428F"/>
    <w:rsid w:val="006B5191"/>
    <w:rsid w:val="006B524E"/>
    <w:rsid w:val="006B5358"/>
    <w:rsid w:val="006B5655"/>
    <w:rsid w:val="006B622A"/>
    <w:rsid w:val="006B65AD"/>
    <w:rsid w:val="006B68DB"/>
    <w:rsid w:val="006B6F10"/>
    <w:rsid w:val="006B7C54"/>
    <w:rsid w:val="006B7F65"/>
    <w:rsid w:val="006C0459"/>
    <w:rsid w:val="006C0ECB"/>
    <w:rsid w:val="006C1272"/>
    <w:rsid w:val="006C14FF"/>
    <w:rsid w:val="006C17E6"/>
    <w:rsid w:val="006C18A2"/>
    <w:rsid w:val="006C1B0C"/>
    <w:rsid w:val="006C28C8"/>
    <w:rsid w:val="006C3315"/>
    <w:rsid w:val="006C3409"/>
    <w:rsid w:val="006C35CD"/>
    <w:rsid w:val="006C3618"/>
    <w:rsid w:val="006C3AE8"/>
    <w:rsid w:val="006C4461"/>
    <w:rsid w:val="006C47FB"/>
    <w:rsid w:val="006C49E3"/>
    <w:rsid w:val="006C52B4"/>
    <w:rsid w:val="006C5714"/>
    <w:rsid w:val="006C5A34"/>
    <w:rsid w:val="006C5D15"/>
    <w:rsid w:val="006C5D38"/>
    <w:rsid w:val="006C6E4F"/>
    <w:rsid w:val="006C7C99"/>
    <w:rsid w:val="006C7F39"/>
    <w:rsid w:val="006D0063"/>
    <w:rsid w:val="006D12BE"/>
    <w:rsid w:val="006D1AB6"/>
    <w:rsid w:val="006D1FE8"/>
    <w:rsid w:val="006D2B7D"/>
    <w:rsid w:val="006D33E5"/>
    <w:rsid w:val="006D4228"/>
    <w:rsid w:val="006D43DE"/>
    <w:rsid w:val="006D4787"/>
    <w:rsid w:val="006D4F80"/>
    <w:rsid w:val="006D4FE5"/>
    <w:rsid w:val="006D5983"/>
    <w:rsid w:val="006D5D25"/>
    <w:rsid w:val="006D5D2B"/>
    <w:rsid w:val="006D6AA1"/>
    <w:rsid w:val="006D6ABF"/>
    <w:rsid w:val="006D6C72"/>
    <w:rsid w:val="006D7289"/>
    <w:rsid w:val="006D72F3"/>
    <w:rsid w:val="006D7647"/>
    <w:rsid w:val="006D78DC"/>
    <w:rsid w:val="006D7B42"/>
    <w:rsid w:val="006D7D4F"/>
    <w:rsid w:val="006E0F93"/>
    <w:rsid w:val="006E1495"/>
    <w:rsid w:val="006E1561"/>
    <w:rsid w:val="006E1706"/>
    <w:rsid w:val="006E197D"/>
    <w:rsid w:val="006E1BBB"/>
    <w:rsid w:val="006E29FB"/>
    <w:rsid w:val="006E2E95"/>
    <w:rsid w:val="006E2F5D"/>
    <w:rsid w:val="006E38F8"/>
    <w:rsid w:val="006E4D01"/>
    <w:rsid w:val="006E57E8"/>
    <w:rsid w:val="006E6738"/>
    <w:rsid w:val="006E7069"/>
    <w:rsid w:val="006E72EB"/>
    <w:rsid w:val="006E73BB"/>
    <w:rsid w:val="006E79CA"/>
    <w:rsid w:val="006E7A86"/>
    <w:rsid w:val="006E7D6D"/>
    <w:rsid w:val="006F043C"/>
    <w:rsid w:val="006F12D3"/>
    <w:rsid w:val="006F1A20"/>
    <w:rsid w:val="006F1C8E"/>
    <w:rsid w:val="006F1E08"/>
    <w:rsid w:val="006F1F34"/>
    <w:rsid w:val="006F2148"/>
    <w:rsid w:val="006F2DF9"/>
    <w:rsid w:val="006F30E8"/>
    <w:rsid w:val="006F3944"/>
    <w:rsid w:val="006F3B29"/>
    <w:rsid w:val="006F4086"/>
    <w:rsid w:val="006F41BF"/>
    <w:rsid w:val="006F4410"/>
    <w:rsid w:val="006F4729"/>
    <w:rsid w:val="006F4D1A"/>
    <w:rsid w:val="006F4E55"/>
    <w:rsid w:val="006F5985"/>
    <w:rsid w:val="006F640D"/>
    <w:rsid w:val="006F64B7"/>
    <w:rsid w:val="006F671D"/>
    <w:rsid w:val="006F6ACD"/>
    <w:rsid w:val="006F6C1A"/>
    <w:rsid w:val="006F7AB5"/>
    <w:rsid w:val="00700028"/>
    <w:rsid w:val="007002F2"/>
    <w:rsid w:val="00700420"/>
    <w:rsid w:val="00700691"/>
    <w:rsid w:val="00700939"/>
    <w:rsid w:val="00700CA6"/>
    <w:rsid w:val="00700D4A"/>
    <w:rsid w:val="00700E1D"/>
    <w:rsid w:val="00701518"/>
    <w:rsid w:val="0070254D"/>
    <w:rsid w:val="007027E8"/>
    <w:rsid w:val="00702EF4"/>
    <w:rsid w:val="00703656"/>
    <w:rsid w:val="007037A9"/>
    <w:rsid w:val="0070451D"/>
    <w:rsid w:val="00704899"/>
    <w:rsid w:val="00704BE6"/>
    <w:rsid w:val="007051E7"/>
    <w:rsid w:val="007053E3"/>
    <w:rsid w:val="0070552A"/>
    <w:rsid w:val="00705A41"/>
    <w:rsid w:val="00705C34"/>
    <w:rsid w:val="00707083"/>
    <w:rsid w:val="00707675"/>
    <w:rsid w:val="00707A1F"/>
    <w:rsid w:val="00707F1A"/>
    <w:rsid w:val="00707FA1"/>
    <w:rsid w:val="0071023C"/>
    <w:rsid w:val="007108AA"/>
    <w:rsid w:val="00710A0C"/>
    <w:rsid w:val="00710A4E"/>
    <w:rsid w:val="00710E00"/>
    <w:rsid w:val="0071107C"/>
    <w:rsid w:val="00711273"/>
    <w:rsid w:val="00712F10"/>
    <w:rsid w:val="0071320C"/>
    <w:rsid w:val="0071354B"/>
    <w:rsid w:val="007135A0"/>
    <w:rsid w:val="0071361B"/>
    <w:rsid w:val="00713711"/>
    <w:rsid w:val="00713C42"/>
    <w:rsid w:val="00713DAC"/>
    <w:rsid w:val="00714002"/>
    <w:rsid w:val="007142A4"/>
    <w:rsid w:val="0071472F"/>
    <w:rsid w:val="00714AF5"/>
    <w:rsid w:val="00714DA0"/>
    <w:rsid w:val="007150E4"/>
    <w:rsid w:val="00715535"/>
    <w:rsid w:val="00715815"/>
    <w:rsid w:val="007162E9"/>
    <w:rsid w:val="0071697C"/>
    <w:rsid w:val="00716D65"/>
    <w:rsid w:val="00717703"/>
    <w:rsid w:val="00717B23"/>
    <w:rsid w:val="00717EBB"/>
    <w:rsid w:val="00720A6B"/>
    <w:rsid w:val="00720AAF"/>
    <w:rsid w:val="007214E1"/>
    <w:rsid w:val="00721DAB"/>
    <w:rsid w:val="007222C5"/>
    <w:rsid w:val="00722C14"/>
    <w:rsid w:val="00723071"/>
    <w:rsid w:val="007234EB"/>
    <w:rsid w:val="00723741"/>
    <w:rsid w:val="00724825"/>
    <w:rsid w:val="0072575C"/>
    <w:rsid w:val="007258C8"/>
    <w:rsid w:val="00725AE4"/>
    <w:rsid w:val="00726EDC"/>
    <w:rsid w:val="00727BA2"/>
    <w:rsid w:val="00730D2C"/>
    <w:rsid w:val="00731677"/>
    <w:rsid w:val="00731B7D"/>
    <w:rsid w:val="0073313B"/>
    <w:rsid w:val="0073346F"/>
    <w:rsid w:val="00733B12"/>
    <w:rsid w:val="00733D23"/>
    <w:rsid w:val="00733F52"/>
    <w:rsid w:val="0073421F"/>
    <w:rsid w:val="007343C9"/>
    <w:rsid w:val="0073448E"/>
    <w:rsid w:val="0073484E"/>
    <w:rsid w:val="00734F77"/>
    <w:rsid w:val="0073523F"/>
    <w:rsid w:val="007353F5"/>
    <w:rsid w:val="0073548C"/>
    <w:rsid w:val="00735B69"/>
    <w:rsid w:val="00735B6E"/>
    <w:rsid w:val="007361EA"/>
    <w:rsid w:val="0073623C"/>
    <w:rsid w:val="007362D0"/>
    <w:rsid w:val="0073764A"/>
    <w:rsid w:val="00737D38"/>
    <w:rsid w:val="00737E8E"/>
    <w:rsid w:val="00737F6E"/>
    <w:rsid w:val="007408B4"/>
    <w:rsid w:val="00740E3B"/>
    <w:rsid w:val="00740F2A"/>
    <w:rsid w:val="00740F60"/>
    <w:rsid w:val="0074131E"/>
    <w:rsid w:val="00741B12"/>
    <w:rsid w:val="00741D7B"/>
    <w:rsid w:val="0074213B"/>
    <w:rsid w:val="00742153"/>
    <w:rsid w:val="0074309F"/>
    <w:rsid w:val="007430E5"/>
    <w:rsid w:val="00743203"/>
    <w:rsid w:val="00743738"/>
    <w:rsid w:val="00743A11"/>
    <w:rsid w:val="00743F63"/>
    <w:rsid w:val="007440B8"/>
    <w:rsid w:val="0074437A"/>
    <w:rsid w:val="007449AB"/>
    <w:rsid w:val="00745216"/>
    <w:rsid w:val="007454E1"/>
    <w:rsid w:val="00745C42"/>
    <w:rsid w:val="007463E7"/>
    <w:rsid w:val="00747548"/>
    <w:rsid w:val="00747D9F"/>
    <w:rsid w:val="00751B4B"/>
    <w:rsid w:val="00751C03"/>
    <w:rsid w:val="0075213E"/>
    <w:rsid w:val="00752D7F"/>
    <w:rsid w:val="007530D6"/>
    <w:rsid w:val="00753508"/>
    <w:rsid w:val="00753F07"/>
    <w:rsid w:val="00753F53"/>
    <w:rsid w:val="00754C2E"/>
    <w:rsid w:val="00754C7E"/>
    <w:rsid w:val="00755A2A"/>
    <w:rsid w:val="00755CEF"/>
    <w:rsid w:val="0075680A"/>
    <w:rsid w:val="00756820"/>
    <w:rsid w:val="00756F29"/>
    <w:rsid w:val="007570FF"/>
    <w:rsid w:val="00757177"/>
    <w:rsid w:val="0075774A"/>
    <w:rsid w:val="007601B5"/>
    <w:rsid w:val="00760776"/>
    <w:rsid w:val="00760C7D"/>
    <w:rsid w:val="00761116"/>
    <w:rsid w:val="00761EF0"/>
    <w:rsid w:val="007622C0"/>
    <w:rsid w:val="007626B7"/>
    <w:rsid w:val="0076319E"/>
    <w:rsid w:val="00763950"/>
    <w:rsid w:val="00763F88"/>
    <w:rsid w:val="0076447E"/>
    <w:rsid w:val="00764E44"/>
    <w:rsid w:val="00765351"/>
    <w:rsid w:val="007653CF"/>
    <w:rsid w:val="007657AD"/>
    <w:rsid w:val="00765963"/>
    <w:rsid w:val="00765B2F"/>
    <w:rsid w:val="00766837"/>
    <w:rsid w:val="00766C84"/>
    <w:rsid w:val="00766DBE"/>
    <w:rsid w:val="00767627"/>
    <w:rsid w:val="00767693"/>
    <w:rsid w:val="00767C04"/>
    <w:rsid w:val="007703E3"/>
    <w:rsid w:val="0077055E"/>
    <w:rsid w:val="00770883"/>
    <w:rsid w:val="00770AF4"/>
    <w:rsid w:val="00771E4D"/>
    <w:rsid w:val="007732F8"/>
    <w:rsid w:val="00773A33"/>
    <w:rsid w:val="00773B94"/>
    <w:rsid w:val="0077414E"/>
    <w:rsid w:val="00774800"/>
    <w:rsid w:val="00774BC4"/>
    <w:rsid w:val="0077518C"/>
    <w:rsid w:val="00775226"/>
    <w:rsid w:val="007755FD"/>
    <w:rsid w:val="00775892"/>
    <w:rsid w:val="00776296"/>
    <w:rsid w:val="00776CEF"/>
    <w:rsid w:val="00777D04"/>
    <w:rsid w:val="00777D37"/>
    <w:rsid w:val="00777F27"/>
    <w:rsid w:val="007805BD"/>
    <w:rsid w:val="0078064A"/>
    <w:rsid w:val="007809C0"/>
    <w:rsid w:val="00780B1C"/>
    <w:rsid w:val="00781427"/>
    <w:rsid w:val="00782039"/>
    <w:rsid w:val="0078217F"/>
    <w:rsid w:val="0078239A"/>
    <w:rsid w:val="007826B3"/>
    <w:rsid w:val="0078292A"/>
    <w:rsid w:val="00782AAB"/>
    <w:rsid w:val="00782B99"/>
    <w:rsid w:val="00782D2B"/>
    <w:rsid w:val="00783661"/>
    <w:rsid w:val="0078396A"/>
    <w:rsid w:val="00783CC8"/>
    <w:rsid w:val="00783F0E"/>
    <w:rsid w:val="007841E1"/>
    <w:rsid w:val="00784380"/>
    <w:rsid w:val="007844E6"/>
    <w:rsid w:val="0078525B"/>
    <w:rsid w:val="007852A6"/>
    <w:rsid w:val="007854F3"/>
    <w:rsid w:val="00786218"/>
    <w:rsid w:val="0078633B"/>
    <w:rsid w:val="0078697D"/>
    <w:rsid w:val="007869AF"/>
    <w:rsid w:val="00786AD4"/>
    <w:rsid w:val="007870A5"/>
    <w:rsid w:val="00787179"/>
    <w:rsid w:val="00787FD2"/>
    <w:rsid w:val="00790767"/>
    <w:rsid w:val="00791154"/>
    <w:rsid w:val="007929AE"/>
    <w:rsid w:val="00792FDF"/>
    <w:rsid w:val="0079361C"/>
    <w:rsid w:val="00793715"/>
    <w:rsid w:val="007937B6"/>
    <w:rsid w:val="00793AA3"/>
    <w:rsid w:val="007940A4"/>
    <w:rsid w:val="007941C3"/>
    <w:rsid w:val="00794A20"/>
    <w:rsid w:val="00794E21"/>
    <w:rsid w:val="00794E65"/>
    <w:rsid w:val="0079513F"/>
    <w:rsid w:val="007953F7"/>
    <w:rsid w:val="00795505"/>
    <w:rsid w:val="0079556A"/>
    <w:rsid w:val="0079589D"/>
    <w:rsid w:val="00796648"/>
    <w:rsid w:val="00796898"/>
    <w:rsid w:val="00796B61"/>
    <w:rsid w:val="00797091"/>
    <w:rsid w:val="007971B6"/>
    <w:rsid w:val="00797C94"/>
    <w:rsid w:val="00797F0C"/>
    <w:rsid w:val="00797F4E"/>
    <w:rsid w:val="007A02F8"/>
    <w:rsid w:val="007A0E67"/>
    <w:rsid w:val="007A166F"/>
    <w:rsid w:val="007A1C6A"/>
    <w:rsid w:val="007A2191"/>
    <w:rsid w:val="007A26A8"/>
    <w:rsid w:val="007A30A5"/>
    <w:rsid w:val="007A30A9"/>
    <w:rsid w:val="007A30EE"/>
    <w:rsid w:val="007A36A5"/>
    <w:rsid w:val="007A383E"/>
    <w:rsid w:val="007A3B7C"/>
    <w:rsid w:val="007A3E92"/>
    <w:rsid w:val="007A3F8D"/>
    <w:rsid w:val="007A4360"/>
    <w:rsid w:val="007A4A25"/>
    <w:rsid w:val="007A5287"/>
    <w:rsid w:val="007A549B"/>
    <w:rsid w:val="007A562B"/>
    <w:rsid w:val="007A5F6E"/>
    <w:rsid w:val="007A606B"/>
    <w:rsid w:val="007A654F"/>
    <w:rsid w:val="007A696B"/>
    <w:rsid w:val="007A6C0B"/>
    <w:rsid w:val="007A756C"/>
    <w:rsid w:val="007A7E14"/>
    <w:rsid w:val="007B0102"/>
    <w:rsid w:val="007B017F"/>
    <w:rsid w:val="007B020E"/>
    <w:rsid w:val="007B036A"/>
    <w:rsid w:val="007B03FD"/>
    <w:rsid w:val="007B05E8"/>
    <w:rsid w:val="007B0DFA"/>
    <w:rsid w:val="007B0F98"/>
    <w:rsid w:val="007B105A"/>
    <w:rsid w:val="007B13D5"/>
    <w:rsid w:val="007B1834"/>
    <w:rsid w:val="007B19DD"/>
    <w:rsid w:val="007B1F0C"/>
    <w:rsid w:val="007B1F73"/>
    <w:rsid w:val="007B23F0"/>
    <w:rsid w:val="007B258A"/>
    <w:rsid w:val="007B2A72"/>
    <w:rsid w:val="007B3B18"/>
    <w:rsid w:val="007B3C2C"/>
    <w:rsid w:val="007B3C49"/>
    <w:rsid w:val="007B3DF3"/>
    <w:rsid w:val="007B4E66"/>
    <w:rsid w:val="007B5BA6"/>
    <w:rsid w:val="007B6762"/>
    <w:rsid w:val="007B6BF5"/>
    <w:rsid w:val="007B712F"/>
    <w:rsid w:val="007B7408"/>
    <w:rsid w:val="007B7A58"/>
    <w:rsid w:val="007C09A6"/>
    <w:rsid w:val="007C0A9D"/>
    <w:rsid w:val="007C1AEA"/>
    <w:rsid w:val="007C1B7E"/>
    <w:rsid w:val="007C2055"/>
    <w:rsid w:val="007C29DC"/>
    <w:rsid w:val="007C2B30"/>
    <w:rsid w:val="007C2CC4"/>
    <w:rsid w:val="007C3396"/>
    <w:rsid w:val="007C4D69"/>
    <w:rsid w:val="007C54D2"/>
    <w:rsid w:val="007C5986"/>
    <w:rsid w:val="007C5A81"/>
    <w:rsid w:val="007C5BB1"/>
    <w:rsid w:val="007C6E9B"/>
    <w:rsid w:val="007C754C"/>
    <w:rsid w:val="007C75FD"/>
    <w:rsid w:val="007C7666"/>
    <w:rsid w:val="007C7D92"/>
    <w:rsid w:val="007C7FB3"/>
    <w:rsid w:val="007D0C50"/>
    <w:rsid w:val="007D1EEF"/>
    <w:rsid w:val="007D1FDB"/>
    <w:rsid w:val="007D25AA"/>
    <w:rsid w:val="007D2C72"/>
    <w:rsid w:val="007D2DC6"/>
    <w:rsid w:val="007D31A0"/>
    <w:rsid w:val="007D3834"/>
    <w:rsid w:val="007D396B"/>
    <w:rsid w:val="007D4167"/>
    <w:rsid w:val="007D4264"/>
    <w:rsid w:val="007D49EE"/>
    <w:rsid w:val="007D4B78"/>
    <w:rsid w:val="007D4C89"/>
    <w:rsid w:val="007D4E8C"/>
    <w:rsid w:val="007D5FC6"/>
    <w:rsid w:val="007D65CF"/>
    <w:rsid w:val="007D68DD"/>
    <w:rsid w:val="007D6D4D"/>
    <w:rsid w:val="007D7A09"/>
    <w:rsid w:val="007D7D5D"/>
    <w:rsid w:val="007D7FF9"/>
    <w:rsid w:val="007E0324"/>
    <w:rsid w:val="007E0965"/>
    <w:rsid w:val="007E0DD4"/>
    <w:rsid w:val="007E0E54"/>
    <w:rsid w:val="007E1084"/>
    <w:rsid w:val="007E2764"/>
    <w:rsid w:val="007E2A9E"/>
    <w:rsid w:val="007E2F15"/>
    <w:rsid w:val="007E2F95"/>
    <w:rsid w:val="007E3552"/>
    <w:rsid w:val="007E36CD"/>
    <w:rsid w:val="007E3DF8"/>
    <w:rsid w:val="007E4280"/>
    <w:rsid w:val="007E43F0"/>
    <w:rsid w:val="007E4AF7"/>
    <w:rsid w:val="007E4F12"/>
    <w:rsid w:val="007E5616"/>
    <w:rsid w:val="007E64FA"/>
    <w:rsid w:val="007E65AD"/>
    <w:rsid w:val="007E6BA0"/>
    <w:rsid w:val="007E6E62"/>
    <w:rsid w:val="007E7155"/>
    <w:rsid w:val="007E73D5"/>
    <w:rsid w:val="007F01AD"/>
    <w:rsid w:val="007F0D75"/>
    <w:rsid w:val="007F0DFE"/>
    <w:rsid w:val="007F10D2"/>
    <w:rsid w:val="007F11B1"/>
    <w:rsid w:val="007F13DF"/>
    <w:rsid w:val="007F1B3C"/>
    <w:rsid w:val="007F22CC"/>
    <w:rsid w:val="007F2557"/>
    <w:rsid w:val="007F2BD7"/>
    <w:rsid w:val="007F3119"/>
    <w:rsid w:val="007F394A"/>
    <w:rsid w:val="007F3BA6"/>
    <w:rsid w:val="007F3BEF"/>
    <w:rsid w:val="007F410C"/>
    <w:rsid w:val="007F48C1"/>
    <w:rsid w:val="007F4911"/>
    <w:rsid w:val="007F49A5"/>
    <w:rsid w:val="007F4A62"/>
    <w:rsid w:val="007F5141"/>
    <w:rsid w:val="007F550D"/>
    <w:rsid w:val="007F58B4"/>
    <w:rsid w:val="007F5900"/>
    <w:rsid w:val="007F5A09"/>
    <w:rsid w:val="007F5B21"/>
    <w:rsid w:val="007F6618"/>
    <w:rsid w:val="007F6C47"/>
    <w:rsid w:val="007F7A66"/>
    <w:rsid w:val="008008E3"/>
    <w:rsid w:val="00800EC5"/>
    <w:rsid w:val="00801600"/>
    <w:rsid w:val="008016A3"/>
    <w:rsid w:val="0080186F"/>
    <w:rsid w:val="008024FD"/>
    <w:rsid w:val="0080265B"/>
    <w:rsid w:val="0080285D"/>
    <w:rsid w:val="008029EA"/>
    <w:rsid w:val="008030E2"/>
    <w:rsid w:val="008034A8"/>
    <w:rsid w:val="00803F23"/>
    <w:rsid w:val="008041D3"/>
    <w:rsid w:val="0080423E"/>
    <w:rsid w:val="008049BE"/>
    <w:rsid w:val="00804DA5"/>
    <w:rsid w:val="00804E95"/>
    <w:rsid w:val="00804FC8"/>
    <w:rsid w:val="008054A8"/>
    <w:rsid w:val="0080553D"/>
    <w:rsid w:val="00805707"/>
    <w:rsid w:val="00805A36"/>
    <w:rsid w:val="00805FF5"/>
    <w:rsid w:val="008067A3"/>
    <w:rsid w:val="00806FBA"/>
    <w:rsid w:val="00807683"/>
    <w:rsid w:val="008079BA"/>
    <w:rsid w:val="00807F82"/>
    <w:rsid w:val="00810640"/>
    <w:rsid w:val="00810668"/>
    <w:rsid w:val="008106AE"/>
    <w:rsid w:val="0081082E"/>
    <w:rsid w:val="00810CD7"/>
    <w:rsid w:val="0081124B"/>
    <w:rsid w:val="00811CC6"/>
    <w:rsid w:val="008129E7"/>
    <w:rsid w:val="00812CA5"/>
    <w:rsid w:val="00813263"/>
    <w:rsid w:val="008132DC"/>
    <w:rsid w:val="008136A1"/>
    <w:rsid w:val="00813B7D"/>
    <w:rsid w:val="00813B7E"/>
    <w:rsid w:val="0081413C"/>
    <w:rsid w:val="0081443A"/>
    <w:rsid w:val="008146F6"/>
    <w:rsid w:val="00814739"/>
    <w:rsid w:val="0081482F"/>
    <w:rsid w:val="008150A8"/>
    <w:rsid w:val="0081527F"/>
    <w:rsid w:val="00815765"/>
    <w:rsid w:val="0081590F"/>
    <w:rsid w:val="008160F8"/>
    <w:rsid w:val="008167F9"/>
    <w:rsid w:val="00816E23"/>
    <w:rsid w:val="00816FC2"/>
    <w:rsid w:val="0081708B"/>
    <w:rsid w:val="0081787B"/>
    <w:rsid w:val="008201C1"/>
    <w:rsid w:val="008215F3"/>
    <w:rsid w:val="00821625"/>
    <w:rsid w:val="00821A0D"/>
    <w:rsid w:val="00821ED6"/>
    <w:rsid w:val="0082212A"/>
    <w:rsid w:val="0082231F"/>
    <w:rsid w:val="00822986"/>
    <w:rsid w:val="00822AE6"/>
    <w:rsid w:val="00822CDA"/>
    <w:rsid w:val="008233B8"/>
    <w:rsid w:val="008238A5"/>
    <w:rsid w:val="0082421F"/>
    <w:rsid w:val="00824540"/>
    <w:rsid w:val="00824823"/>
    <w:rsid w:val="008255DE"/>
    <w:rsid w:val="008256D7"/>
    <w:rsid w:val="0082669B"/>
    <w:rsid w:val="00826AE6"/>
    <w:rsid w:val="00826EB3"/>
    <w:rsid w:val="00827330"/>
    <w:rsid w:val="0082744A"/>
    <w:rsid w:val="00827B3F"/>
    <w:rsid w:val="00830813"/>
    <w:rsid w:val="00830959"/>
    <w:rsid w:val="008318EB"/>
    <w:rsid w:val="008319ED"/>
    <w:rsid w:val="00831AFC"/>
    <w:rsid w:val="00831FEA"/>
    <w:rsid w:val="008327DD"/>
    <w:rsid w:val="008328DC"/>
    <w:rsid w:val="00832F92"/>
    <w:rsid w:val="0083411A"/>
    <w:rsid w:val="0083422C"/>
    <w:rsid w:val="00834367"/>
    <w:rsid w:val="0083452E"/>
    <w:rsid w:val="0083465A"/>
    <w:rsid w:val="00834B07"/>
    <w:rsid w:val="00834C41"/>
    <w:rsid w:val="00834ED6"/>
    <w:rsid w:val="008356CB"/>
    <w:rsid w:val="00835F3F"/>
    <w:rsid w:val="0083641E"/>
    <w:rsid w:val="0083651B"/>
    <w:rsid w:val="00836593"/>
    <w:rsid w:val="008367C5"/>
    <w:rsid w:val="00836A9B"/>
    <w:rsid w:val="00836B0F"/>
    <w:rsid w:val="00837D5B"/>
    <w:rsid w:val="00840AC2"/>
    <w:rsid w:val="00841EED"/>
    <w:rsid w:val="00842264"/>
    <w:rsid w:val="00842273"/>
    <w:rsid w:val="00842600"/>
    <w:rsid w:val="008429F8"/>
    <w:rsid w:val="00842E07"/>
    <w:rsid w:val="008430D4"/>
    <w:rsid w:val="008434B8"/>
    <w:rsid w:val="00843BC7"/>
    <w:rsid w:val="00843C15"/>
    <w:rsid w:val="00844A4E"/>
    <w:rsid w:val="0084515D"/>
    <w:rsid w:val="008454B0"/>
    <w:rsid w:val="00845BC6"/>
    <w:rsid w:val="00845D0F"/>
    <w:rsid w:val="00846156"/>
    <w:rsid w:val="0084664B"/>
    <w:rsid w:val="00847568"/>
    <w:rsid w:val="008476FE"/>
    <w:rsid w:val="008479F4"/>
    <w:rsid w:val="00847B23"/>
    <w:rsid w:val="00847EA2"/>
    <w:rsid w:val="00851299"/>
    <w:rsid w:val="00851C4E"/>
    <w:rsid w:val="00851E0C"/>
    <w:rsid w:val="00852308"/>
    <w:rsid w:val="008524AF"/>
    <w:rsid w:val="00852662"/>
    <w:rsid w:val="008529EF"/>
    <w:rsid w:val="00852D79"/>
    <w:rsid w:val="00852DC2"/>
    <w:rsid w:val="008530DD"/>
    <w:rsid w:val="008537CC"/>
    <w:rsid w:val="008539CC"/>
    <w:rsid w:val="00853C04"/>
    <w:rsid w:val="00853D7A"/>
    <w:rsid w:val="008542AD"/>
    <w:rsid w:val="00854360"/>
    <w:rsid w:val="008543E8"/>
    <w:rsid w:val="00854AA3"/>
    <w:rsid w:val="00854F38"/>
    <w:rsid w:val="0085627D"/>
    <w:rsid w:val="0085647A"/>
    <w:rsid w:val="008565EF"/>
    <w:rsid w:val="00856ABB"/>
    <w:rsid w:val="00857467"/>
    <w:rsid w:val="0085785B"/>
    <w:rsid w:val="00857AE5"/>
    <w:rsid w:val="00860098"/>
    <w:rsid w:val="00860551"/>
    <w:rsid w:val="00860794"/>
    <w:rsid w:val="00860DE3"/>
    <w:rsid w:val="0086117A"/>
    <w:rsid w:val="008618AE"/>
    <w:rsid w:val="008622AC"/>
    <w:rsid w:val="008623AA"/>
    <w:rsid w:val="0086281E"/>
    <w:rsid w:val="0086396C"/>
    <w:rsid w:val="00863F39"/>
    <w:rsid w:val="00864354"/>
    <w:rsid w:val="00864476"/>
    <w:rsid w:val="0086463D"/>
    <w:rsid w:val="00864813"/>
    <w:rsid w:val="0086488D"/>
    <w:rsid w:val="0086489A"/>
    <w:rsid w:val="00864F3B"/>
    <w:rsid w:val="00865BD8"/>
    <w:rsid w:val="00865E72"/>
    <w:rsid w:val="008662FF"/>
    <w:rsid w:val="00866D9F"/>
    <w:rsid w:val="008670AD"/>
    <w:rsid w:val="00867521"/>
    <w:rsid w:val="0086790C"/>
    <w:rsid w:val="00867D43"/>
    <w:rsid w:val="00870119"/>
    <w:rsid w:val="00870132"/>
    <w:rsid w:val="0087053F"/>
    <w:rsid w:val="0087057F"/>
    <w:rsid w:val="00870660"/>
    <w:rsid w:val="00870BF0"/>
    <w:rsid w:val="008712F4"/>
    <w:rsid w:val="008713CD"/>
    <w:rsid w:val="00871D3C"/>
    <w:rsid w:val="00871DCD"/>
    <w:rsid w:val="00871EF9"/>
    <w:rsid w:val="0087231A"/>
    <w:rsid w:val="008724C2"/>
    <w:rsid w:val="008728DC"/>
    <w:rsid w:val="0087418D"/>
    <w:rsid w:val="00874D1E"/>
    <w:rsid w:val="0087570D"/>
    <w:rsid w:val="008758EC"/>
    <w:rsid w:val="00875A11"/>
    <w:rsid w:val="00876263"/>
    <w:rsid w:val="0087646A"/>
    <w:rsid w:val="008767B4"/>
    <w:rsid w:val="008779D1"/>
    <w:rsid w:val="00877D19"/>
    <w:rsid w:val="00881B7E"/>
    <w:rsid w:val="008821B3"/>
    <w:rsid w:val="008824E7"/>
    <w:rsid w:val="00883186"/>
    <w:rsid w:val="008831D4"/>
    <w:rsid w:val="00884283"/>
    <w:rsid w:val="00884BBF"/>
    <w:rsid w:val="0088538F"/>
    <w:rsid w:val="008857D6"/>
    <w:rsid w:val="00885B74"/>
    <w:rsid w:val="0088613A"/>
    <w:rsid w:val="0088698A"/>
    <w:rsid w:val="008873A4"/>
    <w:rsid w:val="00887EEE"/>
    <w:rsid w:val="00887FC8"/>
    <w:rsid w:val="008904AE"/>
    <w:rsid w:val="00890F6A"/>
    <w:rsid w:val="00891214"/>
    <w:rsid w:val="00891387"/>
    <w:rsid w:val="00891663"/>
    <w:rsid w:val="008918BF"/>
    <w:rsid w:val="008922D5"/>
    <w:rsid w:val="00892514"/>
    <w:rsid w:val="008925F4"/>
    <w:rsid w:val="008928BE"/>
    <w:rsid w:val="00892CC5"/>
    <w:rsid w:val="00892D9C"/>
    <w:rsid w:val="00892E86"/>
    <w:rsid w:val="00892ED9"/>
    <w:rsid w:val="008933EE"/>
    <w:rsid w:val="0089341E"/>
    <w:rsid w:val="0089352C"/>
    <w:rsid w:val="00893ABE"/>
    <w:rsid w:val="008943E7"/>
    <w:rsid w:val="00895628"/>
    <w:rsid w:val="00895E57"/>
    <w:rsid w:val="008960DC"/>
    <w:rsid w:val="008966DF"/>
    <w:rsid w:val="00896CFE"/>
    <w:rsid w:val="00896E71"/>
    <w:rsid w:val="00897966"/>
    <w:rsid w:val="008A066D"/>
    <w:rsid w:val="008A0FC8"/>
    <w:rsid w:val="008A1874"/>
    <w:rsid w:val="008A1DEE"/>
    <w:rsid w:val="008A2177"/>
    <w:rsid w:val="008A219A"/>
    <w:rsid w:val="008A2FD9"/>
    <w:rsid w:val="008A3FB8"/>
    <w:rsid w:val="008A403D"/>
    <w:rsid w:val="008A4E8C"/>
    <w:rsid w:val="008A53A7"/>
    <w:rsid w:val="008A5BBB"/>
    <w:rsid w:val="008A5E5B"/>
    <w:rsid w:val="008A612C"/>
    <w:rsid w:val="008A6E28"/>
    <w:rsid w:val="008A6EC7"/>
    <w:rsid w:val="008A7439"/>
    <w:rsid w:val="008A74E0"/>
    <w:rsid w:val="008A7840"/>
    <w:rsid w:val="008A7C18"/>
    <w:rsid w:val="008B0B2C"/>
    <w:rsid w:val="008B1560"/>
    <w:rsid w:val="008B174F"/>
    <w:rsid w:val="008B22D3"/>
    <w:rsid w:val="008B2336"/>
    <w:rsid w:val="008B2ADF"/>
    <w:rsid w:val="008B3C16"/>
    <w:rsid w:val="008B4391"/>
    <w:rsid w:val="008B45E5"/>
    <w:rsid w:val="008B4F9F"/>
    <w:rsid w:val="008B51AB"/>
    <w:rsid w:val="008B5DB3"/>
    <w:rsid w:val="008B63BD"/>
    <w:rsid w:val="008B7231"/>
    <w:rsid w:val="008B7AE7"/>
    <w:rsid w:val="008C01E2"/>
    <w:rsid w:val="008C0CFB"/>
    <w:rsid w:val="008C1C9E"/>
    <w:rsid w:val="008C1E84"/>
    <w:rsid w:val="008C254E"/>
    <w:rsid w:val="008C26B8"/>
    <w:rsid w:val="008C26C1"/>
    <w:rsid w:val="008C279E"/>
    <w:rsid w:val="008C2C49"/>
    <w:rsid w:val="008C2D20"/>
    <w:rsid w:val="008C3534"/>
    <w:rsid w:val="008C372B"/>
    <w:rsid w:val="008C3A88"/>
    <w:rsid w:val="008C3C16"/>
    <w:rsid w:val="008C4EBD"/>
    <w:rsid w:val="008C4F5B"/>
    <w:rsid w:val="008C5160"/>
    <w:rsid w:val="008C6C27"/>
    <w:rsid w:val="008C70F3"/>
    <w:rsid w:val="008D04AF"/>
    <w:rsid w:val="008D10EF"/>
    <w:rsid w:val="008D13BA"/>
    <w:rsid w:val="008D1BCC"/>
    <w:rsid w:val="008D2397"/>
    <w:rsid w:val="008D2924"/>
    <w:rsid w:val="008D2DBD"/>
    <w:rsid w:val="008D2EB7"/>
    <w:rsid w:val="008D35BB"/>
    <w:rsid w:val="008D3649"/>
    <w:rsid w:val="008D4260"/>
    <w:rsid w:val="008D46CD"/>
    <w:rsid w:val="008D4860"/>
    <w:rsid w:val="008D500C"/>
    <w:rsid w:val="008D501E"/>
    <w:rsid w:val="008D528A"/>
    <w:rsid w:val="008D55AE"/>
    <w:rsid w:val="008D5E73"/>
    <w:rsid w:val="008D62D6"/>
    <w:rsid w:val="008D63FB"/>
    <w:rsid w:val="008D6C2A"/>
    <w:rsid w:val="008D6D38"/>
    <w:rsid w:val="008D7995"/>
    <w:rsid w:val="008D79D4"/>
    <w:rsid w:val="008E0255"/>
    <w:rsid w:val="008E0AFB"/>
    <w:rsid w:val="008E0BAA"/>
    <w:rsid w:val="008E0DF7"/>
    <w:rsid w:val="008E1327"/>
    <w:rsid w:val="008E19AB"/>
    <w:rsid w:val="008E2652"/>
    <w:rsid w:val="008E2B37"/>
    <w:rsid w:val="008E3019"/>
    <w:rsid w:val="008E3AAD"/>
    <w:rsid w:val="008E3D5D"/>
    <w:rsid w:val="008E4061"/>
    <w:rsid w:val="008E42BB"/>
    <w:rsid w:val="008E46F0"/>
    <w:rsid w:val="008E4AD7"/>
    <w:rsid w:val="008E5290"/>
    <w:rsid w:val="008E5913"/>
    <w:rsid w:val="008E5C08"/>
    <w:rsid w:val="008E5DC0"/>
    <w:rsid w:val="008E620D"/>
    <w:rsid w:val="008E6AAA"/>
    <w:rsid w:val="008E6F60"/>
    <w:rsid w:val="008E7244"/>
    <w:rsid w:val="008E72D6"/>
    <w:rsid w:val="008E73DC"/>
    <w:rsid w:val="008E7EC3"/>
    <w:rsid w:val="008F086E"/>
    <w:rsid w:val="008F1815"/>
    <w:rsid w:val="008F1E7A"/>
    <w:rsid w:val="008F202B"/>
    <w:rsid w:val="008F2920"/>
    <w:rsid w:val="008F2CF7"/>
    <w:rsid w:val="008F2E6B"/>
    <w:rsid w:val="008F3086"/>
    <w:rsid w:val="008F3C1C"/>
    <w:rsid w:val="008F45C7"/>
    <w:rsid w:val="008F4637"/>
    <w:rsid w:val="008F46A1"/>
    <w:rsid w:val="008F47B1"/>
    <w:rsid w:val="008F4E88"/>
    <w:rsid w:val="008F53F3"/>
    <w:rsid w:val="008F61F6"/>
    <w:rsid w:val="008F669E"/>
    <w:rsid w:val="008F6724"/>
    <w:rsid w:val="008F6899"/>
    <w:rsid w:val="008F6B10"/>
    <w:rsid w:val="008F6BFF"/>
    <w:rsid w:val="008F6F9A"/>
    <w:rsid w:val="008F73C9"/>
    <w:rsid w:val="0090004C"/>
    <w:rsid w:val="00900595"/>
    <w:rsid w:val="00900616"/>
    <w:rsid w:val="00901284"/>
    <w:rsid w:val="0090153E"/>
    <w:rsid w:val="009016BC"/>
    <w:rsid w:val="00901BF0"/>
    <w:rsid w:val="009026B4"/>
    <w:rsid w:val="0090318C"/>
    <w:rsid w:val="00903CC7"/>
    <w:rsid w:val="00903D5B"/>
    <w:rsid w:val="00904835"/>
    <w:rsid w:val="00904A6E"/>
    <w:rsid w:val="00904B5F"/>
    <w:rsid w:val="009053A4"/>
    <w:rsid w:val="009058F2"/>
    <w:rsid w:val="00905ABB"/>
    <w:rsid w:val="00905E06"/>
    <w:rsid w:val="0090650E"/>
    <w:rsid w:val="00907538"/>
    <w:rsid w:val="00907C5E"/>
    <w:rsid w:val="00907CE4"/>
    <w:rsid w:val="00907E3C"/>
    <w:rsid w:val="009102EB"/>
    <w:rsid w:val="009109D2"/>
    <w:rsid w:val="00910B87"/>
    <w:rsid w:val="00910EB5"/>
    <w:rsid w:val="00911268"/>
    <w:rsid w:val="0091133C"/>
    <w:rsid w:val="00911624"/>
    <w:rsid w:val="00911899"/>
    <w:rsid w:val="00911FA6"/>
    <w:rsid w:val="00912167"/>
    <w:rsid w:val="00912A1D"/>
    <w:rsid w:val="00912A31"/>
    <w:rsid w:val="00912B37"/>
    <w:rsid w:val="00913349"/>
    <w:rsid w:val="00913941"/>
    <w:rsid w:val="00913EF0"/>
    <w:rsid w:val="009140FE"/>
    <w:rsid w:val="009145FF"/>
    <w:rsid w:val="00914987"/>
    <w:rsid w:val="00915216"/>
    <w:rsid w:val="009163E1"/>
    <w:rsid w:val="0091653E"/>
    <w:rsid w:val="00916617"/>
    <w:rsid w:val="00916665"/>
    <w:rsid w:val="00916793"/>
    <w:rsid w:val="00916A16"/>
    <w:rsid w:val="00916AEA"/>
    <w:rsid w:val="00916C4A"/>
    <w:rsid w:val="00916FAF"/>
    <w:rsid w:val="00917355"/>
    <w:rsid w:val="00917A49"/>
    <w:rsid w:val="00917B51"/>
    <w:rsid w:val="0092043D"/>
    <w:rsid w:val="009205EB"/>
    <w:rsid w:val="009207CB"/>
    <w:rsid w:val="009209A2"/>
    <w:rsid w:val="00920B8E"/>
    <w:rsid w:val="00920CF4"/>
    <w:rsid w:val="00920F3C"/>
    <w:rsid w:val="0092198D"/>
    <w:rsid w:val="00922192"/>
    <w:rsid w:val="009227A5"/>
    <w:rsid w:val="0092407A"/>
    <w:rsid w:val="00925A4E"/>
    <w:rsid w:val="00925D2E"/>
    <w:rsid w:val="00926006"/>
    <w:rsid w:val="00926034"/>
    <w:rsid w:val="00926395"/>
    <w:rsid w:val="00926A98"/>
    <w:rsid w:val="00926BE0"/>
    <w:rsid w:val="00927A9C"/>
    <w:rsid w:val="00930C06"/>
    <w:rsid w:val="00931474"/>
    <w:rsid w:val="00931495"/>
    <w:rsid w:val="0093175F"/>
    <w:rsid w:val="009319D0"/>
    <w:rsid w:val="00931F4A"/>
    <w:rsid w:val="00931FF3"/>
    <w:rsid w:val="009320A2"/>
    <w:rsid w:val="009324CD"/>
    <w:rsid w:val="009332E0"/>
    <w:rsid w:val="009339CD"/>
    <w:rsid w:val="00933E90"/>
    <w:rsid w:val="00933F9E"/>
    <w:rsid w:val="00934107"/>
    <w:rsid w:val="00934577"/>
    <w:rsid w:val="00934C4E"/>
    <w:rsid w:val="00934FCF"/>
    <w:rsid w:val="009353C3"/>
    <w:rsid w:val="009353C4"/>
    <w:rsid w:val="009355AB"/>
    <w:rsid w:val="00935A3D"/>
    <w:rsid w:val="00935AC6"/>
    <w:rsid w:val="00935D12"/>
    <w:rsid w:val="00935E7B"/>
    <w:rsid w:val="00936B59"/>
    <w:rsid w:val="0093727B"/>
    <w:rsid w:val="00937431"/>
    <w:rsid w:val="00937745"/>
    <w:rsid w:val="009400B0"/>
    <w:rsid w:val="00940E48"/>
    <w:rsid w:val="00940EF5"/>
    <w:rsid w:val="0094123C"/>
    <w:rsid w:val="009413F7"/>
    <w:rsid w:val="00941420"/>
    <w:rsid w:val="009424B1"/>
    <w:rsid w:val="009429C6"/>
    <w:rsid w:val="009431DC"/>
    <w:rsid w:val="009439D5"/>
    <w:rsid w:val="009441ED"/>
    <w:rsid w:val="0094433F"/>
    <w:rsid w:val="0094457B"/>
    <w:rsid w:val="00944AD7"/>
    <w:rsid w:val="00944F7D"/>
    <w:rsid w:val="00944F8C"/>
    <w:rsid w:val="00945261"/>
    <w:rsid w:val="009453E1"/>
    <w:rsid w:val="0094541B"/>
    <w:rsid w:val="0094650B"/>
    <w:rsid w:val="00946D3C"/>
    <w:rsid w:val="00946FD3"/>
    <w:rsid w:val="009470F9"/>
    <w:rsid w:val="009471C6"/>
    <w:rsid w:val="00947AB4"/>
    <w:rsid w:val="00947C49"/>
    <w:rsid w:val="00950AEB"/>
    <w:rsid w:val="009517ED"/>
    <w:rsid w:val="00951DBF"/>
    <w:rsid w:val="00952409"/>
    <w:rsid w:val="00952642"/>
    <w:rsid w:val="0095268A"/>
    <w:rsid w:val="00952C8C"/>
    <w:rsid w:val="00953266"/>
    <w:rsid w:val="0095400F"/>
    <w:rsid w:val="00954164"/>
    <w:rsid w:val="0095447F"/>
    <w:rsid w:val="009545C1"/>
    <w:rsid w:val="00954B67"/>
    <w:rsid w:val="00955AE5"/>
    <w:rsid w:val="00955BA9"/>
    <w:rsid w:val="00956840"/>
    <w:rsid w:val="0095695E"/>
    <w:rsid w:val="00956BCD"/>
    <w:rsid w:val="009571FD"/>
    <w:rsid w:val="00957230"/>
    <w:rsid w:val="00957336"/>
    <w:rsid w:val="00957539"/>
    <w:rsid w:val="00957B0F"/>
    <w:rsid w:val="0096004F"/>
    <w:rsid w:val="00960188"/>
    <w:rsid w:val="009605BF"/>
    <w:rsid w:val="00960A8A"/>
    <w:rsid w:val="00961937"/>
    <w:rsid w:val="0096208E"/>
    <w:rsid w:val="00962909"/>
    <w:rsid w:val="00962CBA"/>
    <w:rsid w:val="009633CB"/>
    <w:rsid w:val="0096347A"/>
    <w:rsid w:val="0096393A"/>
    <w:rsid w:val="00964E71"/>
    <w:rsid w:val="00965CA5"/>
    <w:rsid w:val="00966346"/>
    <w:rsid w:val="00966D45"/>
    <w:rsid w:val="0097059C"/>
    <w:rsid w:val="009709D7"/>
    <w:rsid w:val="00970BB0"/>
    <w:rsid w:val="009716B9"/>
    <w:rsid w:val="00972104"/>
    <w:rsid w:val="00972BED"/>
    <w:rsid w:val="00972D17"/>
    <w:rsid w:val="009731E3"/>
    <w:rsid w:val="00973880"/>
    <w:rsid w:val="00973CCA"/>
    <w:rsid w:val="00973D2D"/>
    <w:rsid w:val="00974B45"/>
    <w:rsid w:val="009757E3"/>
    <w:rsid w:val="00975C6D"/>
    <w:rsid w:val="00975D1A"/>
    <w:rsid w:val="0097611B"/>
    <w:rsid w:val="0097683F"/>
    <w:rsid w:val="00976CA2"/>
    <w:rsid w:val="00977027"/>
    <w:rsid w:val="009772D5"/>
    <w:rsid w:val="009779BD"/>
    <w:rsid w:val="00977F40"/>
    <w:rsid w:val="00980333"/>
    <w:rsid w:val="009803B2"/>
    <w:rsid w:val="0098062C"/>
    <w:rsid w:val="0098064F"/>
    <w:rsid w:val="00980CC5"/>
    <w:rsid w:val="00981374"/>
    <w:rsid w:val="0098146C"/>
    <w:rsid w:val="0098149E"/>
    <w:rsid w:val="00981727"/>
    <w:rsid w:val="00981D46"/>
    <w:rsid w:val="00981E35"/>
    <w:rsid w:val="0098271D"/>
    <w:rsid w:val="0098301B"/>
    <w:rsid w:val="0098329F"/>
    <w:rsid w:val="009833DD"/>
    <w:rsid w:val="00983735"/>
    <w:rsid w:val="0098380E"/>
    <w:rsid w:val="00983824"/>
    <w:rsid w:val="00983877"/>
    <w:rsid w:val="009841A3"/>
    <w:rsid w:val="00984768"/>
    <w:rsid w:val="009852B6"/>
    <w:rsid w:val="0098599D"/>
    <w:rsid w:val="009866A7"/>
    <w:rsid w:val="0098696C"/>
    <w:rsid w:val="00987B03"/>
    <w:rsid w:val="009902F5"/>
    <w:rsid w:val="009912CD"/>
    <w:rsid w:val="009913AC"/>
    <w:rsid w:val="00991C68"/>
    <w:rsid w:val="0099223B"/>
    <w:rsid w:val="00992306"/>
    <w:rsid w:val="00992327"/>
    <w:rsid w:val="009927C1"/>
    <w:rsid w:val="00992B90"/>
    <w:rsid w:val="00994E2B"/>
    <w:rsid w:val="0099536F"/>
    <w:rsid w:val="00995CA6"/>
    <w:rsid w:val="00995D2F"/>
    <w:rsid w:val="00995DE7"/>
    <w:rsid w:val="00995E05"/>
    <w:rsid w:val="0099666C"/>
    <w:rsid w:val="00996DFB"/>
    <w:rsid w:val="00996E06"/>
    <w:rsid w:val="009A0458"/>
    <w:rsid w:val="009A0731"/>
    <w:rsid w:val="009A1EA8"/>
    <w:rsid w:val="009A2046"/>
    <w:rsid w:val="009A21EF"/>
    <w:rsid w:val="009A2372"/>
    <w:rsid w:val="009A257B"/>
    <w:rsid w:val="009A28CE"/>
    <w:rsid w:val="009A3C78"/>
    <w:rsid w:val="009A461B"/>
    <w:rsid w:val="009A6430"/>
    <w:rsid w:val="009A6E94"/>
    <w:rsid w:val="009A74DC"/>
    <w:rsid w:val="009A796E"/>
    <w:rsid w:val="009B0311"/>
    <w:rsid w:val="009B0755"/>
    <w:rsid w:val="009B083A"/>
    <w:rsid w:val="009B1468"/>
    <w:rsid w:val="009B14A6"/>
    <w:rsid w:val="009B22F1"/>
    <w:rsid w:val="009B239A"/>
    <w:rsid w:val="009B23AF"/>
    <w:rsid w:val="009B2483"/>
    <w:rsid w:val="009B2A82"/>
    <w:rsid w:val="009B2ADF"/>
    <w:rsid w:val="009B2C5B"/>
    <w:rsid w:val="009B2CAB"/>
    <w:rsid w:val="009B3205"/>
    <w:rsid w:val="009B371E"/>
    <w:rsid w:val="009B3977"/>
    <w:rsid w:val="009B4078"/>
    <w:rsid w:val="009B4F30"/>
    <w:rsid w:val="009B507F"/>
    <w:rsid w:val="009B50FF"/>
    <w:rsid w:val="009B5148"/>
    <w:rsid w:val="009B5565"/>
    <w:rsid w:val="009B5A2B"/>
    <w:rsid w:val="009B61CB"/>
    <w:rsid w:val="009B6B82"/>
    <w:rsid w:val="009B6B94"/>
    <w:rsid w:val="009B6E0C"/>
    <w:rsid w:val="009B6E46"/>
    <w:rsid w:val="009B751B"/>
    <w:rsid w:val="009B7AD7"/>
    <w:rsid w:val="009C0AFD"/>
    <w:rsid w:val="009C132B"/>
    <w:rsid w:val="009C2E5B"/>
    <w:rsid w:val="009C2F24"/>
    <w:rsid w:val="009C3442"/>
    <w:rsid w:val="009C3BB3"/>
    <w:rsid w:val="009C40B9"/>
    <w:rsid w:val="009C4CAF"/>
    <w:rsid w:val="009C4F08"/>
    <w:rsid w:val="009C56B8"/>
    <w:rsid w:val="009C587D"/>
    <w:rsid w:val="009C6420"/>
    <w:rsid w:val="009C675E"/>
    <w:rsid w:val="009C6930"/>
    <w:rsid w:val="009C6D04"/>
    <w:rsid w:val="009C6E25"/>
    <w:rsid w:val="009C7240"/>
    <w:rsid w:val="009C7353"/>
    <w:rsid w:val="009C7727"/>
    <w:rsid w:val="009C785F"/>
    <w:rsid w:val="009D0A46"/>
    <w:rsid w:val="009D0AD0"/>
    <w:rsid w:val="009D0F4C"/>
    <w:rsid w:val="009D18FA"/>
    <w:rsid w:val="009D1A0D"/>
    <w:rsid w:val="009D2ACF"/>
    <w:rsid w:val="009D2D2B"/>
    <w:rsid w:val="009D2F63"/>
    <w:rsid w:val="009D31F8"/>
    <w:rsid w:val="009D3829"/>
    <w:rsid w:val="009D3B09"/>
    <w:rsid w:val="009D3F2D"/>
    <w:rsid w:val="009D3FA8"/>
    <w:rsid w:val="009D4260"/>
    <w:rsid w:val="009D43FB"/>
    <w:rsid w:val="009D4D8B"/>
    <w:rsid w:val="009D5D6D"/>
    <w:rsid w:val="009D790D"/>
    <w:rsid w:val="009E00F4"/>
    <w:rsid w:val="009E00FB"/>
    <w:rsid w:val="009E04B3"/>
    <w:rsid w:val="009E0A74"/>
    <w:rsid w:val="009E1578"/>
    <w:rsid w:val="009E1F5A"/>
    <w:rsid w:val="009E2B01"/>
    <w:rsid w:val="009E2EED"/>
    <w:rsid w:val="009E32D1"/>
    <w:rsid w:val="009E3429"/>
    <w:rsid w:val="009E3B22"/>
    <w:rsid w:val="009E3B8E"/>
    <w:rsid w:val="009E3BF9"/>
    <w:rsid w:val="009E3DE0"/>
    <w:rsid w:val="009E40E4"/>
    <w:rsid w:val="009E417B"/>
    <w:rsid w:val="009E5172"/>
    <w:rsid w:val="009E681E"/>
    <w:rsid w:val="009E6841"/>
    <w:rsid w:val="009E6988"/>
    <w:rsid w:val="009E6A68"/>
    <w:rsid w:val="009E6E99"/>
    <w:rsid w:val="009E705F"/>
    <w:rsid w:val="009E737A"/>
    <w:rsid w:val="009E7D28"/>
    <w:rsid w:val="009E7F95"/>
    <w:rsid w:val="009F005B"/>
    <w:rsid w:val="009F017C"/>
    <w:rsid w:val="009F01C7"/>
    <w:rsid w:val="009F04BE"/>
    <w:rsid w:val="009F04CB"/>
    <w:rsid w:val="009F0681"/>
    <w:rsid w:val="009F1289"/>
    <w:rsid w:val="009F1437"/>
    <w:rsid w:val="009F1A17"/>
    <w:rsid w:val="009F1DAD"/>
    <w:rsid w:val="009F258F"/>
    <w:rsid w:val="009F2605"/>
    <w:rsid w:val="009F268B"/>
    <w:rsid w:val="009F284E"/>
    <w:rsid w:val="009F29A5"/>
    <w:rsid w:val="009F2F1F"/>
    <w:rsid w:val="009F32D2"/>
    <w:rsid w:val="009F3322"/>
    <w:rsid w:val="009F3741"/>
    <w:rsid w:val="009F423C"/>
    <w:rsid w:val="009F425A"/>
    <w:rsid w:val="009F4D64"/>
    <w:rsid w:val="009F4E2E"/>
    <w:rsid w:val="009F50B9"/>
    <w:rsid w:val="009F550A"/>
    <w:rsid w:val="009F5A28"/>
    <w:rsid w:val="009F61AD"/>
    <w:rsid w:val="009F669B"/>
    <w:rsid w:val="009F7190"/>
    <w:rsid w:val="009F786A"/>
    <w:rsid w:val="00A00D31"/>
    <w:rsid w:val="00A00ED3"/>
    <w:rsid w:val="00A01171"/>
    <w:rsid w:val="00A012F5"/>
    <w:rsid w:val="00A01DCD"/>
    <w:rsid w:val="00A0213D"/>
    <w:rsid w:val="00A02230"/>
    <w:rsid w:val="00A0267B"/>
    <w:rsid w:val="00A02AF1"/>
    <w:rsid w:val="00A02D83"/>
    <w:rsid w:val="00A03125"/>
    <w:rsid w:val="00A033A8"/>
    <w:rsid w:val="00A038C6"/>
    <w:rsid w:val="00A03F20"/>
    <w:rsid w:val="00A044E9"/>
    <w:rsid w:val="00A04605"/>
    <w:rsid w:val="00A0519B"/>
    <w:rsid w:val="00A058E1"/>
    <w:rsid w:val="00A05FAE"/>
    <w:rsid w:val="00A0643A"/>
    <w:rsid w:val="00A068D9"/>
    <w:rsid w:val="00A06B0C"/>
    <w:rsid w:val="00A06C1A"/>
    <w:rsid w:val="00A06C6E"/>
    <w:rsid w:val="00A105B4"/>
    <w:rsid w:val="00A107B9"/>
    <w:rsid w:val="00A11DE5"/>
    <w:rsid w:val="00A12D56"/>
    <w:rsid w:val="00A1331E"/>
    <w:rsid w:val="00A134FD"/>
    <w:rsid w:val="00A13F19"/>
    <w:rsid w:val="00A1406F"/>
    <w:rsid w:val="00A15E6A"/>
    <w:rsid w:val="00A160AB"/>
    <w:rsid w:val="00A16165"/>
    <w:rsid w:val="00A161CA"/>
    <w:rsid w:val="00A167D6"/>
    <w:rsid w:val="00A16D32"/>
    <w:rsid w:val="00A16D9A"/>
    <w:rsid w:val="00A1734F"/>
    <w:rsid w:val="00A17803"/>
    <w:rsid w:val="00A1782C"/>
    <w:rsid w:val="00A20197"/>
    <w:rsid w:val="00A2044D"/>
    <w:rsid w:val="00A209E5"/>
    <w:rsid w:val="00A20D50"/>
    <w:rsid w:val="00A2138D"/>
    <w:rsid w:val="00A21787"/>
    <w:rsid w:val="00A21EAC"/>
    <w:rsid w:val="00A2227F"/>
    <w:rsid w:val="00A22569"/>
    <w:rsid w:val="00A229DA"/>
    <w:rsid w:val="00A22B6F"/>
    <w:rsid w:val="00A22BED"/>
    <w:rsid w:val="00A231D9"/>
    <w:rsid w:val="00A23AA4"/>
    <w:rsid w:val="00A23B90"/>
    <w:rsid w:val="00A24763"/>
    <w:rsid w:val="00A24866"/>
    <w:rsid w:val="00A252CC"/>
    <w:rsid w:val="00A25588"/>
    <w:rsid w:val="00A25651"/>
    <w:rsid w:val="00A259EF"/>
    <w:rsid w:val="00A25AB5"/>
    <w:rsid w:val="00A2676C"/>
    <w:rsid w:val="00A2687F"/>
    <w:rsid w:val="00A26BEC"/>
    <w:rsid w:val="00A27494"/>
    <w:rsid w:val="00A30438"/>
    <w:rsid w:val="00A30532"/>
    <w:rsid w:val="00A3072C"/>
    <w:rsid w:val="00A30A67"/>
    <w:rsid w:val="00A30D3F"/>
    <w:rsid w:val="00A30EAE"/>
    <w:rsid w:val="00A320FC"/>
    <w:rsid w:val="00A32DEE"/>
    <w:rsid w:val="00A33215"/>
    <w:rsid w:val="00A33454"/>
    <w:rsid w:val="00A3361A"/>
    <w:rsid w:val="00A33775"/>
    <w:rsid w:val="00A339F6"/>
    <w:rsid w:val="00A344C7"/>
    <w:rsid w:val="00A34CE3"/>
    <w:rsid w:val="00A34EFC"/>
    <w:rsid w:val="00A350D9"/>
    <w:rsid w:val="00A35409"/>
    <w:rsid w:val="00A35423"/>
    <w:rsid w:val="00A361DE"/>
    <w:rsid w:val="00A36424"/>
    <w:rsid w:val="00A36BA5"/>
    <w:rsid w:val="00A36CFF"/>
    <w:rsid w:val="00A36E45"/>
    <w:rsid w:val="00A36ED6"/>
    <w:rsid w:val="00A3709D"/>
    <w:rsid w:val="00A40671"/>
    <w:rsid w:val="00A40D3B"/>
    <w:rsid w:val="00A410AF"/>
    <w:rsid w:val="00A422E1"/>
    <w:rsid w:val="00A42B7A"/>
    <w:rsid w:val="00A4323A"/>
    <w:rsid w:val="00A432AB"/>
    <w:rsid w:val="00A43671"/>
    <w:rsid w:val="00A43B88"/>
    <w:rsid w:val="00A440D7"/>
    <w:rsid w:val="00A440DC"/>
    <w:rsid w:val="00A44686"/>
    <w:rsid w:val="00A44BEF"/>
    <w:rsid w:val="00A44DA3"/>
    <w:rsid w:val="00A44F7D"/>
    <w:rsid w:val="00A44F85"/>
    <w:rsid w:val="00A450CD"/>
    <w:rsid w:val="00A45914"/>
    <w:rsid w:val="00A4633A"/>
    <w:rsid w:val="00A46391"/>
    <w:rsid w:val="00A47F81"/>
    <w:rsid w:val="00A47F85"/>
    <w:rsid w:val="00A500C7"/>
    <w:rsid w:val="00A5014E"/>
    <w:rsid w:val="00A505A9"/>
    <w:rsid w:val="00A50DF5"/>
    <w:rsid w:val="00A50F95"/>
    <w:rsid w:val="00A5147C"/>
    <w:rsid w:val="00A51926"/>
    <w:rsid w:val="00A51BF7"/>
    <w:rsid w:val="00A51CD1"/>
    <w:rsid w:val="00A52053"/>
    <w:rsid w:val="00A5243C"/>
    <w:rsid w:val="00A525F2"/>
    <w:rsid w:val="00A53727"/>
    <w:rsid w:val="00A53BF5"/>
    <w:rsid w:val="00A54B52"/>
    <w:rsid w:val="00A54C91"/>
    <w:rsid w:val="00A553E7"/>
    <w:rsid w:val="00A55514"/>
    <w:rsid w:val="00A55C3E"/>
    <w:rsid w:val="00A55CDD"/>
    <w:rsid w:val="00A55D00"/>
    <w:rsid w:val="00A55F63"/>
    <w:rsid w:val="00A5682A"/>
    <w:rsid w:val="00A569FE"/>
    <w:rsid w:val="00A56BF2"/>
    <w:rsid w:val="00A56F19"/>
    <w:rsid w:val="00A5754D"/>
    <w:rsid w:val="00A578D2"/>
    <w:rsid w:val="00A57BBB"/>
    <w:rsid w:val="00A57C98"/>
    <w:rsid w:val="00A57DBC"/>
    <w:rsid w:val="00A608B8"/>
    <w:rsid w:val="00A621FF"/>
    <w:rsid w:val="00A62868"/>
    <w:rsid w:val="00A62C92"/>
    <w:rsid w:val="00A62E2C"/>
    <w:rsid w:val="00A6343B"/>
    <w:rsid w:val="00A6350D"/>
    <w:rsid w:val="00A65700"/>
    <w:rsid w:val="00A65E45"/>
    <w:rsid w:val="00A66380"/>
    <w:rsid w:val="00A663A1"/>
    <w:rsid w:val="00A67A1E"/>
    <w:rsid w:val="00A67C01"/>
    <w:rsid w:val="00A702C5"/>
    <w:rsid w:val="00A7112F"/>
    <w:rsid w:val="00A71A82"/>
    <w:rsid w:val="00A732A7"/>
    <w:rsid w:val="00A741BC"/>
    <w:rsid w:val="00A74253"/>
    <w:rsid w:val="00A754AF"/>
    <w:rsid w:val="00A75C54"/>
    <w:rsid w:val="00A76150"/>
    <w:rsid w:val="00A761BB"/>
    <w:rsid w:val="00A766D8"/>
    <w:rsid w:val="00A769C2"/>
    <w:rsid w:val="00A77438"/>
    <w:rsid w:val="00A77A60"/>
    <w:rsid w:val="00A77CAC"/>
    <w:rsid w:val="00A802A4"/>
    <w:rsid w:val="00A81C4C"/>
    <w:rsid w:val="00A81EB5"/>
    <w:rsid w:val="00A821B6"/>
    <w:rsid w:val="00A83C01"/>
    <w:rsid w:val="00A84215"/>
    <w:rsid w:val="00A84606"/>
    <w:rsid w:val="00A846A1"/>
    <w:rsid w:val="00A846BB"/>
    <w:rsid w:val="00A84EE5"/>
    <w:rsid w:val="00A85EBD"/>
    <w:rsid w:val="00A85F98"/>
    <w:rsid w:val="00A86104"/>
    <w:rsid w:val="00A861D7"/>
    <w:rsid w:val="00A86732"/>
    <w:rsid w:val="00A86DFB"/>
    <w:rsid w:val="00A86F13"/>
    <w:rsid w:val="00A873C4"/>
    <w:rsid w:val="00A877E4"/>
    <w:rsid w:val="00A8793F"/>
    <w:rsid w:val="00A87BA8"/>
    <w:rsid w:val="00A87C84"/>
    <w:rsid w:val="00A87FF8"/>
    <w:rsid w:val="00A9065E"/>
    <w:rsid w:val="00A908A9"/>
    <w:rsid w:val="00A90DE8"/>
    <w:rsid w:val="00A916D0"/>
    <w:rsid w:val="00A9172A"/>
    <w:rsid w:val="00A91BA9"/>
    <w:rsid w:val="00A92124"/>
    <w:rsid w:val="00A92638"/>
    <w:rsid w:val="00A926B8"/>
    <w:rsid w:val="00A92FE1"/>
    <w:rsid w:val="00A9315A"/>
    <w:rsid w:val="00A936CB"/>
    <w:rsid w:val="00A941C2"/>
    <w:rsid w:val="00A943D5"/>
    <w:rsid w:val="00A95364"/>
    <w:rsid w:val="00A953AF"/>
    <w:rsid w:val="00A959B3"/>
    <w:rsid w:val="00A95A69"/>
    <w:rsid w:val="00A95BB7"/>
    <w:rsid w:val="00A962F5"/>
    <w:rsid w:val="00A972E7"/>
    <w:rsid w:val="00A97335"/>
    <w:rsid w:val="00A97435"/>
    <w:rsid w:val="00A97531"/>
    <w:rsid w:val="00A9764B"/>
    <w:rsid w:val="00A979DA"/>
    <w:rsid w:val="00A97FEC"/>
    <w:rsid w:val="00AA0028"/>
    <w:rsid w:val="00AA00A0"/>
    <w:rsid w:val="00AA0103"/>
    <w:rsid w:val="00AA0168"/>
    <w:rsid w:val="00AA0187"/>
    <w:rsid w:val="00AA0F43"/>
    <w:rsid w:val="00AA16AA"/>
    <w:rsid w:val="00AA16AD"/>
    <w:rsid w:val="00AA197C"/>
    <w:rsid w:val="00AA283A"/>
    <w:rsid w:val="00AA2C28"/>
    <w:rsid w:val="00AA2C90"/>
    <w:rsid w:val="00AA3896"/>
    <w:rsid w:val="00AA3EC9"/>
    <w:rsid w:val="00AA4459"/>
    <w:rsid w:val="00AA451F"/>
    <w:rsid w:val="00AA505A"/>
    <w:rsid w:val="00AA6C6F"/>
    <w:rsid w:val="00AA7638"/>
    <w:rsid w:val="00AA783E"/>
    <w:rsid w:val="00AA7CF1"/>
    <w:rsid w:val="00AB041A"/>
    <w:rsid w:val="00AB0598"/>
    <w:rsid w:val="00AB1CED"/>
    <w:rsid w:val="00AB37CB"/>
    <w:rsid w:val="00AB3D60"/>
    <w:rsid w:val="00AB3F68"/>
    <w:rsid w:val="00AB40A7"/>
    <w:rsid w:val="00AB4107"/>
    <w:rsid w:val="00AB4650"/>
    <w:rsid w:val="00AB4CBE"/>
    <w:rsid w:val="00AB5852"/>
    <w:rsid w:val="00AB58EA"/>
    <w:rsid w:val="00AB5BF7"/>
    <w:rsid w:val="00AB5E06"/>
    <w:rsid w:val="00AB6313"/>
    <w:rsid w:val="00AB659A"/>
    <w:rsid w:val="00AB6B0E"/>
    <w:rsid w:val="00AB71EF"/>
    <w:rsid w:val="00AB74BA"/>
    <w:rsid w:val="00AB7DC1"/>
    <w:rsid w:val="00AC050A"/>
    <w:rsid w:val="00AC08FC"/>
    <w:rsid w:val="00AC0C1A"/>
    <w:rsid w:val="00AC0FBC"/>
    <w:rsid w:val="00AC1233"/>
    <w:rsid w:val="00AC1BE5"/>
    <w:rsid w:val="00AC22CD"/>
    <w:rsid w:val="00AC2306"/>
    <w:rsid w:val="00AC283B"/>
    <w:rsid w:val="00AC2D55"/>
    <w:rsid w:val="00AC2DE0"/>
    <w:rsid w:val="00AC3230"/>
    <w:rsid w:val="00AC3609"/>
    <w:rsid w:val="00AC37B8"/>
    <w:rsid w:val="00AC38A3"/>
    <w:rsid w:val="00AC48AA"/>
    <w:rsid w:val="00AC4927"/>
    <w:rsid w:val="00AC4F86"/>
    <w:rsid w:val="00AC537B"/>
    <w:rsid w:val="00AC540B"/>
    <w:rsid w:val="00AC55EB"/>
    <w:rsid w:val="00AC5CC8"/>
    <w:rsid w:val="00AC5F0D"/>
    <w:rsid w:val="00AC60F6"/>
    <w:rsid w:val="00AC622B"/>
    <w:rsid w:val="00AC6713"/>
    <w:rsid w:val="00AC6DAF"/>
    <w:rsid w:val="00AC6FDB"/>
    <w:rsid w:val="00AC75A3"/>
    <w:rsid w:val="00AC7969"/>
    <w:rsid w:val="00AD0321"/>
    <w:rsid w:val="00AD17AB"/>
    <w:rsid w:val="00AD1B30"/>
    <w:rsid w:val="00AD1D79"/>
    <w:rsid w:val="00AD1FD3"/>
    <w:rsid w:val="00AD230E"/>
    <w:rsid w:val="00AD26E4"/>
    <w:rsid w:val="00AD2A95"/>
    <w:rsid w:val="00AD2F27"/>
    <w:rsid w:val="00AD34C9"/>
    <w:rsid w:val="00AD4130"/>
    <w:rsid w:val="00AD44D6"/>
    <w:rsid w:val="00AD46AD"/>
    <w:rsid w:val="00AD494D"/>
    <w:rsid w:val="00AD5459"/>
    <w:rsid w:val="00AD5761"/>
    <w:rsid w:val="00AD5C5B"/>
    <w:rsid w:val="00AD5E46"/>
    <w:rsid w:val="00AE0100"/>
    <w:rsid w:val="00AE0424"/>
    <w:rsid w:val="00AE076D"/>
    <w:rsid w:val="00AE1181"/>
    <w:rsid w:val="00AE11BF"/>
    <w:rsid w:val="00AE15E9"/>
    <w:rsid w:val="00AE1855"/>
    <w:rsid w:val="00AE1F3E"/>
    <w:rsid w:val="00AE2EA0"/>
    <w:rsid w:val="00AE340E"/>
    <w:rsid w:val="00AE3488"/>
    <w:rsid w:val="00AE3BB4"/>
    <w:rsid w:val="00AE3F3B"/>
    <w:rsid w:val="00AE53DC"/>
    <w:rsid w:val="00AE568F"/>
    <w:rsid w:val="00AE5C65"/>
    <w:rsid w:val="00AE6278"/>
    <w:rsid w:val="00AE62D2"/>
    <w:rsid w:val="00AE63C2"/>
    <w:rsid w:val="00AE6C07"/>
    <w:rsid w:val="00AE752D"/>
    <w:rsid w:val="00AE79F3"/>
    <w:rsid w:val="00AE7C5D"/>
    <w:rsid w:val="00AE7D84"/>
    <w:rsid w:val="00AF0D77"/>
    <w:rsid w:val="00AF11C3"/>
    <w:rsid w:val="00AF16B1"/>
    <w:rsid w:val="00AF1EB3"/>
    <w:rsid w:val="00AF1F24"/>
    <w:rsid w:val="00AF2068"/>
    <w:rsid w:val="00AF20FC"/>
    <w:rsid w:val="00AF2909"/>
    <w:rsid w:val="00AF319A"/>
    <w:rsid w:val="00AF3CA2"/>
    <w:rsid w:val="00AF3D8C"/>
    <w:rsid w:val="00AF4852"/>
    <w:rsid w:val="00AF49D1"/>
    <w:rsid w:val="00AF4AD6"/>
    <w:rsid w:val="00AF4CB9"/>
    <w:rsid w:val="00AF5099"/>
    <w:rsid w:val="00AF5923"/>
    <w:rsid w:val="00AF5A18"/>
    <w:rsid w:val="00AF6816"/>
    <w:rsid w:val="00AF6C73"/>
    <w:rsid w:val="00AF77D8"/>
    <w:rsid w:val="00AF7A83"/>
    <w:rsid w:val="00AF7D36"/>
    <w:rsid w:val="00B00449"/>
    <w:rsid w:val="00B004B9"/>
    <w:rsid w:val="00B008EE"/>
    <w:rsid w:val="00B008F1"/>
    <w:rsid w:val="00B00C1C"/>
    <w:rsid w:val="00B016C9"/>
    <w:rsid w:val="00B01FB1"/>
    <w:rsid w:val="00B0242D"/>
    <w:rsid w:val="00B02714"/>
    <w:rsid w:val="00B02B55"/>
    <w:rsid w:val="00B031C2"/>
    <w:rsid w:val="00B03690"/>
    <w:rsid w:val="00B037FD"/>
    <w:rsid w:val="00B038E6"/>
    <w:rsid w:val="00B0427A"/>
    <w:rsid w:val="00B04657"/>
    <w:rsid w:val="00B04798"/>
    <w:rsid w:val="00B049BD"/>
    <w:rsid w:val="00B04BE0"/>
    <w:rsid w:val="00B04D14"/>
    <w:rsid w:val="00B050D1"/>
    <w:rsid w:val="00B051EB"/>
    <w:rsid w:val="00B05290"/>
    <w:rsid w:val="00B05ADB"/>
    <w:rsid w:val="00B061C7"/>
    <w:rsid w:val="00B06F8B"/>
    <w:rsid w:val="00B074D7"/>
    <w:rsid w:val="00B0775D"/>
    <w:rsid w:val="00B07E75"/>
    <w:rsid w:val="00B10035"/>
    <w:rsid w:val="00B10890"/>
    <w:rsid w:val="00B1102B"/>
    <w:rsid w:val="00B11FD0"/>
    <w:rsid w:val="00B12B13"/>
    <w:rsid w:val="00B12BF5"/>
    <w:rsid w:val="00B12E96"/>
    <w:rsid w:val="00B12EDE"/>
    <w:rsid w:val="00B12EF9"/>
    <w:rsid w:val="00B12F54"/>
    <w:rsid w:val="00B13334"/>
    <w:rsid w:val="00B139ED"/>
    <w:rsid w:val="00B13AB0"/>
    <w:rsid w:val="00B1456C"/>
    <w:rsid w:val="00B14763"/>
    <w:rsid w:val="00B14C5B"/>
    <w:rsid w:val="00B14F54"/>
    <w:rsid w:val="00B15735"/>
    <w:rsid w:val="00B1581D"/>
    <w:rsid w:val="00B15B61"/>
    <w:rsid w:val="00B15CC7"/>
    <w:rsid w:val="00B15D44"/>
    <w:rsid w:val="00B15EFD"/>
    <w:rsid w:val="00B16118"/>
    <w:rsid w:val="00B16859"/>
    <w:rsid w:val="00B16C8D"/>
    <w:rsid w:val="00B17288"/>
    <w:rsid w:val="00B173F9"/>
    <w:rsid w:val="00B178B5"/>
    <w:rsid w:val="00B20FDC"/>
    <w:rsid w:val="00B212A0"/>
    <w:rsid w:val="00B21D04"/>
    <w:rsid w:val="00B2283F"/>
    <w:rsid w:val="00B22BE0"/>
    <w:rsid w:val="00B22CEB"/>
    <w:rsid w:val="00B2305D"/>
    <w:rsid w:val="00B2327E"/>
    <w:rsid w:val="00B23B64"/>
    <w:rsid w:val="00B24032"/>
    <w:rsid w:val="00B24265"/>
    <w:rsid w:val="00B24373"/>
    <w:rsid w:val="00B2437C"/>
    <w:rsid w:val="00B24514"/>
    <w:rsid w:val="00B24AFE"/>
    <w:rsid w:val="00B25307"/>
    <w:rsid w:val="00B25BD5"/>
    <w:rsid w:val="00B25EE1"/>
    <w:rsid w:val="00B2682C"/>
    <w:rsid w:val="00B26A4F"/>
    <w:rsid w:val="00B26A8E"/>
    <w:rsid w:val="00B26D00"/>
    <w:rsid w:val="00B275DF"/>
    <w:rsid w:val="00B2795D"/>
    <w:rsid w:val="00B27E1B"/>
    <w:rsid w:val="00B30365"/>
    <w:rsid w:val="00B30415"/>
    <w:rsid w:val="00B30972"/>
    <w:rsid w:val="00B30D9B"/>
    <w:rsid w:val="00B31EEA"/>
    <w:rsid w:val="00B31FDB"/>
    <w:rsid w:val="00B323EE"/>
    <w:rsid w:val="00B32E55"/>
    <w:rsid w:val="00B339CD"/>
    <w:rsid w:val="00B3410C"/>
    <w:rsid w:val="00B3493A"/>
    <w:rsid w:val="00B35069"/>
    <w:rsid w:val="00B35369"/>
    <w:rsid w:val="00B354F7"/>
    <w:rsid w:val="00B3558F"/>
    <w:rsid w:val="00B359B0"/>
    <w:rsid w:val="00B35F31"/>
    <w:rsid w:val="00B3684E"/>
    <w:rsid w:val="00B369EE"/>
    <w:rsid w:val="00B36EC8"/>
    <w:rsid w:val="00B37E57"/>
    <w:rsid w:val="00B404FA"/>
    <w:rsid w:val="00B4057A"/>
    <w:rsid w:val="00B40C44"/>
    <w:rsid w:val="00B40CAF"/>
    <w:rsid w:val="00B41083"/>
    <w:rsid w:val="00B4130D"/>
    <w:rsid w:val="00B414C2"/>
    <w:rsid w:val="00B41775"/>
    <w:rsid w:val="00B418E4"/>
    <w:rsid w:val="00B41AE4"/>
    <w:rsid w:val="00B41E2B"/>
    <w:rsid w:val="00B4222C"/>
    <w:rsid w:val="00B42589"/>
    <w:rsid w:val="00B426C4"/>
    <w:rsid w:val="00B4351A"/>
    <w:rsid w:val="00B4352A"/>
    <w:rsid w:val="00B43716"/>
    <w:rsid w:val="00B43DE5"/>
    <w:rsid w:val="00B43FA8"/>
    <w:rsid w:val="00B44ED3"/>
    <w:rsid w:val="00B4531F"/>
    <w:rsid w:val="00B45CA2"/>
    <w:rsid w:val="00B46274"/>
    <w:rsid w:val="00B46C18"/>
    <w:rsid w:val="00B46CB8"/>
    <w:rsid w:val="00B478D8"/>
    <w:rsid w:val="00B502DC"/>
    <w:rsid w:val="00B5047E"/>
    <w:rsid w:val="00B50557"/>
    <w:rsid w:val="00B50923"/>
    <w:rsid w:val="00B50A3C"/>
    <w:rsid w:val="00B51811"/>
    <w:rsid w:val="00B51F63"/>
    <w:rsid w:val="00B51FA0"/>
    <w:rsid w:val="00B526E2"/>
    <w:rsid w:val="00B528CA"/>
    <w:rsid w:val="00B534E4"/>
    <w:rsid w:val="00B5435F"/>
    <w:rsid w:val="00B54374"/>
    <w:rsid w:val="00B54416"/>
    <w:rsid w:val="00B551AF"/>
    <w:rsid w:val="00B55C28"/>
    <w:rsid w:val="00B56016"/>
    <w:rsid w:val="00B562FF"/>
    <w:rsid w:val="00B56496"/>
    <w:rsid w:val="00B565C4"/>
    <w:rsid w:val="00B56D45"/>
    <w:rsid w:val="00B56DDE"/>
    <w:rsid w:val="00B57211"/>
    <w:rsid w:val="00B57515"/>
    <w:rsid w:val="00B57BA1"/>
    <w:rsid w:val="00B57DB4"/>
    <w:rsid w:val="00B601B8"/>
    <w:rsid w:val="00B60264"/>
    <w:rsid w:val="00B61187"/>
    <w:rsid w:val="00B6223A"/>
    <w:rsid w:val="00B625CA"/>
    <w:rsid w:val="00B62976"/>
    <w:rsid w:val="00B62AAB"/>
    <w:rsid w:val="00B6365E"/>
    <w:rsid w:val="00B639E4"/>
    <w:rsid w:val="00B63C00"/>
    <w:rsid w:val="00B63D4C"/>
    <w:rsid w:val="00B644A3"/>
    <w:rsid w:val="00B64B55"/>
    <w:rsid w:val="00B64F67"/>
    <w:rsid w:val="00B653E7"/>
    <w:rsid w:val="00B65517"/>
    <w:rsid w:val="00B66762"/>
    <w:rsid w:val="00B667FE"/>
    <w:rsid w:val="00B6698D"/>
    <w:rsid w:val="00B66B2A"/>
    <w:rsid w:val="00B66C96"/>
    <w:rsid w:val="00B66FC7"/>
    <w:rsid w:val="00B67756"/>
    <w:rsid w:val="00B67BC9"/>
    <w:rsid w:val="00B708D0"/>
    <w:rsid w:val="00B70FCD"/>
    <w:rsid w:val="00B71409"/>
    <w:rsid w:val="00B71754"/>
    <w:rsid w:val="00B71782"/>
    <w:rsid w:val="00B71BD9"/>
    <w:rsid w:val="00B71E0D"/>
    <w:rsid w:val="00B71FAA"/>
    <w:rsid w:val="00B72325"/>
    <w:rsid w:val="00B729D9"/>
    <w:rsid w:val="00B72CCC"/>
    <w:rsid w:val="00B730BD"/>
    <w:rsid w:val="00B737A1"/>
    <w:rsid w:val="00B73A84"/>
    <w:rsid w:val="00B73B06"/>
    <w:rsid w:val="00B741B7"/>
    <w:rsid w:val="00B745AB"/>
    <w:rsid w:val="00B74830"/>
    <w:rsid w:val="00B75C8B"/>
    <w:rsid w:val="00B75E27"/>
    <w:rsid w:val="00B76222"/>
    <w:rsid w:val="00B76957"/>
    <w:rsid w:val="00B7797A"/>
    <w:rsid w:val="00B77F54"/>
    <w:rsid w:val="00B800B6"/>
    <w:rsid w:val="00B80AA0"/>
    <w:rsid w:val="00B80AA4"/>
    <w:rsid w:val="00B81063"/>
    <w:rsid w:val="00B81306"/>
    <w:rsid w:val="00B8159E"/>
    <w:rsid w:val="00B81792"/>
    <w:rsid w:val="00B824AD"/>
    <w:rsid w:val="00B8321C"/>
    <w:rsid w:val="00B83B5C"/>
    <w:rsid w:val="00B85140"/>
    <w:rsid w:val="00B85610"/>
    <w:rsid w:val="00B85817"/>
    <w:rsid w:val="00B864AE"/>
    <w:rsid w:val="00B865F4"/>
    <w:rsid w:val="00B86944"/>
    <w:rsid w:val="00B86F24"/>
    <w:rsid w:val="00B87B0B"/>
    <w:rsid w:val="00B87C22"/>
    <w:rsid w:val="00B87DF5"/>
    <w:rsid w:val="00B907C0"/>
    <w:rsid w:val="00B9082A"/>
    <w:rsid w:val="00B9122D"/>
    <w:rsid w:val="00B9154C"/>
    <w:rsid w:val="00B91EAA"/>
    <w:rsid w:val="00B924F6"/>
    <w:rsid w:val="00B92822"/>
    <w:rsid w:val="00B92E17"/>
    <w:rsid w:val="00B932DD"/>
    <w:rsid w:val="00B934F0"/>
    <w:rsid w:val="00B935E8"/>
    <w:rsid w:val="00B9368D"/>
    <w:rsid w:val="00B9478B"/>
    <w:rsid w:val="00B94C1E"/>
    <w:rsid w:val="00B94C21"/>
    <w:rsid w:val="00B95211"/>
    <w:rsid w:val="00B9594A"/>
    <w:rsid w:val="00B95DB1"/>
    <w:rsid w:val="00B95F90"/>
    <w:rsid w:val="00B97352"/>
    <w:rsid w:val="00B97669"/>
    <w:rsid w:val="00BA062F"/>
    <w:rsid w:val="00BA2A0F"/>
    <w:rsid w:val="00BA2CA3"/>
    <w:rsid w:val="00BA31EB"/>
    <w:rsid w:val="00BA321F"/>
    <w:rsid w:val="00BA362E"/>
    <w:rsid w:val="00BA3ABA"/>
    <w:rsid w:val="00BA3B9D"/>
    <w:rsid w:val="00BA455D"/>
    <w:rsid w:val="00BA46F4"/>
    <w:rsid w:val="00BA4C73"/>
    <w:rsid w:val="00BA4E2C"/>
    <w:rsid w:val="00BA51DC"/>
    <w:rsid w:val="00BA54F7"/>
    <w:rsid w:val="00BA5533"/>
    <w:rsid w:val="00BA5A63"/>
    <w:rsid w:val="00BA60EB"/>
    <w:rsid w:val="00BA6F74"/>
    <w:rsid w:val="00BA7713"/>
    <w:rsid w:val="00BA7D5C"/>
    <w:rsid w:val="00BB03F3"/>
    <w:rsid w:val="00BB0AF8"/>
    <w:rsid w:val="00BB0F25"/>
    <w:rsid w:val="00BB1378"/>
    <w:rsid w:val="00BB1DBE"/>
    <w:rsid w:val="00BB1EE3"/>
    <w:rsid w:val="00BB2152"/>
    <w:rsid w:val="00BB2BB4"/>
    <w:rsid w:val="00BB39E5"/>
    <w:rsid w:val="00BB3AB7"/>
    <w:rsid w:val="00BB430A"/>
    <w:rsid w:val="00BB5271"/>
    <w:rsid w:val="00BB57B0"/>
    <w:rsid w:val="00BB5AA6"/>
    <w:rsid w:val="00BB67C3"/>
    <w:rsid w:val="00BB696D"/>
    <w:rsid w:val="00BB6BBA"/>
    <w:rsid w:val="00BB6C48"/>
    <w:rsid w:val="00BB6EB8"/>
    <w:rsid w:val="00BB7377"/>
    <w:rsid w:val="00BB7442"/>
    <w:rsid w:val="00BB7C94"/>
    <w:rsid w:val="00BB7EEE"/>
    <w:rsid w:val="00BC15D0"/>
    <w:rsid w:val="00BC16F1"/>
    <w:rsid w:val="00BC1AC6"/>
    <w:rsid w:val="00BC2011"/>
    <w:rsid w:val="00BC2685"/>
    <w:rsid w:val="00BC2824"/>
    <w:rsid w:val="00BC2C6D"/>
    <w:rsid w:val="00BC2E0E"/>
    <w:rsid w:val="00BC307B"/>
    <w:rsid w:val="00BC351C"/>
    <w:rsid w:val="00BC3E7E"/>
    <w:rsid w:val="00BC3F4E"/>
    <w:rsid w:val="00BC3FFB"/>
    <w:rsid w:val="00BC41A6"/>
    <w:rsid w:val="00BC435C"/>
    <w:rsid w:val="00BC449C"/>
    <w:rsid w:val="00BC45CF"/>
    <w:rsid w:val="00BC5233"/>
    <w:rsid w:val="00BC5A4E"/>
    <w:rsid w:val="00BC5E83"/>
    <w:rsid w:val="00BC6A5D"/>
    <w:rsid w:val="00BC73D2"/>
    <w:rsid w:val="00BC7A11"/>
    <w:rsid w:val="00BC7B32"/>
    <w:rsid w:val="00BD0008"/>
    <w:rsid w:val="00BD0778"/>
    <w:rsid w:val="00BD21D0"/>
    <w:rsid w:val="00BD2364"/>
    <w:rsid w:val="00BD26AC"/>
    <w:rsid w:val="00BD3159"/>
    <w:rsid w:val="00BD34A4"/>
    <w:rsid w:val="00BD3716"/>
    <w:rsid w:val="00BD44FA"/>
    <w:rsid w:val="00BD4C65"/>
    <w:rsid w:val="00BD4EBD"/>
    <w:rsid w:val="00BD54B4"/>
    <w:rsid w:val="00BD5500"/>
    <w:rsid w:val="00BD5A11"/>
    <w:rsid w:val="00BD60CA"/>
    <w:rsid w:val="00BD6FB2"/>
    <w:rsid w:val="00BD7132"/>
    <w:rsid w:val="00BD7677"/>
    <w:rsid w:val="00BD7913"/>
    <w:rsid w:val="00BE0295"/>
    <w:rsid w:val="00BE048E"/>
    <w:rsid w:val="00BE0B95"/>
    <w:rsid w:val="00BE0BF0"/>
    <w:rsid w:val="00BE0DFF"/>
    <w:rsid w:val="00BE0E28"/>
    <w:rsid w:val="00BE0FDF"/>
    <w:rsid w:val="00BE15F6"/>
    <w:rsid w:val="00BE1CD6"/>
    <w:rsid w:val="00BE2494"/>
    <w:rsid w:val="00BE2696"/>
    <w:rsid w:val="00BE2F5F"/>
    <w:rsid w:val="00BE3237"/>
    <w:rsid w:val="00BE341F"/>
    <w:rsid w:val="00BE394D"/>
    <w:rsid w:val="00BE3B33"/>
    <w:rsid w:val="00BE4B6E"/>
    <w:rsid w:val="00BE5038"/>
    <w:rsid w:val="00BE5222"/>
    <w:rsid w:val="00BE5547"/>
    <w:rsid w:val="00BE5712"/>
    <w:rsid w:val="00BE5EDA"/>
    <w:rsid w:val="00BE6226"/>
    <w:rsid w:val="00BE67E9"/>
    <w:rsid w:val="00BE6955"/>
    <w:rsid w:val="00BE6ECF"/>
    <w:rsid w:val="00BE711E"/>
    <w:rsid w:val="00BE731D"/>
    <w:rsid w:val="00BE79A2"/>
    <w:rsid w:val="00BE7A0D"/>
    <w:rsid w:val="00BF026A"/>
    <w:rsid w:val="00BF1043"/>
    <w:rsid w:val="00BF19CE"/>
    <w:rsid w:val="00BF2389"/>
    <w:rsid w:val="00BF3769"/>
    <w:rsid w:val="00BF4430"/>
    <w:rsid w:val="00BF4610"/>
    <w:rsid w:val="00BF4639"/>
    <w:rsid w:val="00BF49A8"/>
    <w:rsid w:val="00BF4B1E"/>
    <w:rsid w:val="00BF4D3E"/>
    <w:rsid w:val="00BF56A6"/>
    <w:rsid w:val="00BF595B"/>
    <w:rsid w:val="00BF5BA5"/>
    <w:rsid w:val="00BF6529"/>
    <w:rsid w:val="00BF6726"/>
    <w:rsid w:val="00BF6DB1"/>
    <w:rsid w:val="00BF7431"/>
    <w:rsid w:val="00BF7BDB"/>
    <w:rsid w:val="00C001B7"/>
    <w:rsid w:val="00C00527"/>
    <w:rsid w:val="00C00CA2"/>
    <w:rsid w:val="00C00EB2"/>
    <w:rsid w:val="00C01899"/>
    <w:rsid w:val="00C0247F"/>
    <w:rsid w:val="00C02D5F"/>
    <w:rsid w:val="00C02EC7"/>
    <w:rsid w:val="00C0338A"/>
    <w:rsid w:val="00C03BF7"/>
    <w:rsid w:val="00C04453"/>
    <w:rsid w:val="00C049FD"/>
    <w:rsid w:val="00C04CFD"/>
    <w:rsid w:val="00C04D39"/>
    <w:rsid w:val="00C04D58"/>
    <w:rsid w:val="00C0568E"/>
    <w:rsid w:val="00C05B72"/>
    <w:rsid w:val="00C0611E"/>
    <w:rsid w:val="00C064CE"/>
    <w:rsid w:val="00C06F43"/>
    <w:rsid w:val="00C07459"/>
    <w:rsid w:val="00C07470"/>
    <w:rsid w:val="00C1038C"/>
    <w:rsid w:val="00C10E02"/>
    <w:rsid w:val="00C10FFE"/>
    <w:rsid w:val="00C112BA"/>
    <w:rsid w:val="00C11CCE"/>
    <w:rsid w:val="00C12258"/>
    <w:rsid w:val="00C12D1E"/>
    <w:rsid w:val="00C12D72"/>
    <w:rsid w:val="00C12DFF"/>
    <w:rsid w:val="00C12F1A"/>
    <w:rsid w:val="00C13BA9"/>
    <w:rsid w:val="00C13EB2"/>
    <w:rsid w:val="00C153CA"/>
    <w:rsid w:val="00C16229"/>
    <w:rsid w:val="00C166BD"/>
    <w:rsid w:val="00C16D6C"/>
    <w:rsid w:val="00C16E7E"/>
    <w:rsid w:val="00C17573"/>
    <w:rsid w:val="00C17804"/>
    <w:rsid w:val="00C20A1D"/>
    <w:rsid w:val="00C20F97"/>
    <w:rsid w:val="00C21039"/>
    <w:rsid w:val="00C2103E"/>
    <w:rsid w:val="00C21214"/>
    <w:rsid w:val="00C212BE"/>
    <w:rsid w:val="00C214D8"/>
    <w:rsid w:val="00C218B9"/>
    <w:rsid w:val="00C21E1D"/>
    <w:rsid w:val="00C21E72"/>
    <w:rsid w:val="00C21E85"/>
    <w:rsid w:val="00C22208"/>
    <w:rsid w:val="00C22670"/>
    <w:rsid w:val="00C22851"/>
    <w:rsid w:val="00C22D53"/>
    <w:rsid w:val="00C22E59"/>
    <w:rsid w:val="00C23262"/>
    <w:rsid w:val="00C232B9"/>
    <w:rsid w:val="00C24382"/>
    <w:rsid w:val="00C244A9"/>
    <w:rsid w:val="00C24BC6"/>
    <w:rsid w:val="00C24C05"/>
    <w:rsid w:val="00C25682"/>
    <w:rsid w:val="00C25B38"/>
    <w:rsid w:val="00C25BC7"/>
    <w:rsid w:val="00C25EB1"/>
    <w:rsid w:val="00C25EBC"/>
    <w:rsid w:val="00C268AE"/>
    <w:rsid w:val="00C274FE"/>
    <w:rsid w:val="00C27B56"/>
    <w:rsid w:val="00C27D2C"/>
    <w:rsid w:val="00C27DA7"/>
    <w:rsid w:val="00C27FAE"/>
    <w:rsid w:val="00C30E11"/>
    <w:rsid w:val="00C310BA"/>
    <w:rsid w:val="00C311D4"/>
    <w:rsid w:val="00C313FE"/>
    <w:rsid w:val="00C31710"/>
    <w:rsid w:val="00C317A0"/>
    <w:rsid w:val="00C3186D"/>
    <w:rsid w:val="00C319D2"/>
    <w:rsid w:val="00C31DAD"/>
    <w:rsid w:val="00C32ADC"/>
    <w:rsid w:val="00C32B35"/>
    <w:rsid w:val="00C32FA5"/>
    <w:rsid w:val="00C332E9"/>
    <w:rsid w:val="00C332FE"/>
    <w:rsid w:val="00C334D3"/>
    <w:rsid w:val="00C33721"/>
    <w:rsid w:val="00C339A6"/>
    <w:rsid w:val="00C33BDF"/>
    <w:rsid w:val="00C346F8"/>
    <w:rsid w:val="00C348D2"/>
    <w:rsid w:val="00C34931"/>
    <w:rsid w:val="00C34C5F"/>
    <w:rsid w:val="00C34F98"/>
    <w:rsid w:val="00C3567D"/>
    <w:rsid w:val="00C358CC"/>
    <w:rsid w:val="00C359DF"/>
    <w:rsid w:val="00C35A06"/>
    <w:rsid w:val="00C35AA6"/>
    <w:rsid w:val="00C35AEF"/>
    <w:rsid w:val="00C35EC7"/>
    <w:rsid w:val="00C36142"/>
    <w:rsid w:val="00C36295"/>
    <w:rsid w:val="00C362F8"/>
    <w:rsid w:val="00C36CA2"/>
    <w:rsid w:val="00C36FCF"/>
    <w:rsid w:val="00C37072"/>
    <w:rsid w:val="00C3732A"/>
    <w:rsid w:val="00C3755E"/>
    <w:rsid w:val="00C375C2"/>
    <w:rsid w:val="00C3767F"/>
    <w:rsid w:val="00C37BEC"/>
    <w:rsid w:val="00C4035E"/>
    <w:rsid w:val="00C40591"/>
    <w:rsid w:val="00C40E1C"/>
    <w:rsid w:val="00C41F07"/>
    <w:rsid w:val="00C42CF3"/>
    <w:rsid w:val="00C43047"/>
    <w:rsid w:val="00C43075"/>
    <w:rsid w:val="00C43719"/>
    <w:rsid w:val="00C43766"/>
    <w:rsid w:val="00C43C2D"/>
    <w:rsid w:val="00C442E7"/>
    <w:rsid w:val="00C4448E"/>
    <w:rsid w:val="00C44B5E"/>
    <w:rsid w:val="00C44E37"/>
    <w:rsid w:val="00C45276"/>
    <w:rsid w:val="00C4553D"/>
    <w:rsid w:val="00C45A95"/>
    <w:rsid w:val="00C45B8D"/>
    <w:rsid w:val="00C45C67"/>
    <w:rsid w:val="00C45FAD"/>
    <w:rsid w:val="00C467D1"/>
    <w:rsid w:val="00C467FB"/>
    <w:rsid w:val="00C468FC"/>
    <w:rsid w:val="00C46C46"/>
    <w:rsid w:val="00C47818"/>
    <w:rsid w:val="00C478A0"/>
    <w:rsid w:val="00C5105F"/>
    <w:rsid w:val="00C51E58"/>
    <w:rsid w:val="00C51EEB"/>
    <w:rsid w:val="00C521E5"/>
    <w:rsid w:val="00C52780"/>
    <w:rsid w:val="00C52D13"/>
    <w:rsid w:val="00C53031"/>
    <w:rsid w:val="00C53B4F"/>
    <w:rsid w:val="00C546D7"/>
    <w:rsid w:val="00C5527F"/>
    <w:rsid w:val="00C55309"/>
    <w:rsid w:val="00C55603"/>
    <w:rsid w:val="00C55682"/>
    <w:rsid w:val="00C55C3F"/>
    <w:rsid w:val="00C56D25"/>
    <w:rsid w:val="00C576E6"/>
    <w:rsid w:val="00C57A8B"/>
    <w:rsid w:val="00C61CBD"/>
    <w:rsid w:val="00C62037"/>
    <w:rsid w:val="00C623FE"/>
    <w:rsid w:val="00C626CC"/>
    <w:rsid w:val="00C629D9"/>
    <w:rsid w:val="00C62C7D"/>
    <w:rsid w:val="00C62E76"/>
    <w:rsid w:val="00C6330B"/>
    <w:rsid w:val="00C63878"/>
    <w:rsid w:val="00C63989"/>
    <w:rsid w:val="00C63B97"/>
    <w:rsid w:val="00C64871"/>
    <w:rsid w:val="00C64A24"/>
    <w:rsid w:val="00C651A8"/>
    <w:rsid w:val="00C654A7"/>
    <w:rsid w:val="00C656A2"/>
    <w:rsid w:val="00C65775"/>
    <w:rsid w:val="00C658D1"/>
    <w:rsid w:val="00C65ADA"/>
    <w:rsid w:val="00C65D30"/>
    <w:rsid w:val="00C66858"/>
    <w:rsid w:val="00C66861"/>
    <w:rsid w:val="00C66BEB"/>
    <w:rsid w:val="00C70EA0"/>
    <w:rsid w:val="00C71F90"/>
    <w:rsid w:val="00C72846"/>
    <w:rsid w:val="00C72C26"/>
    <w:rsid w:val="00C73333"/>
    <w:rsid w:val="00C738E6"/>
    <w:rsid w:val="00C73BE6"/>
    <w:rsid w:val="00C73DDB"/>
    <w:rsid w:val="00C740CA"/>
    <w:rsid w:val="00C746B0"/>
    <w:rsid w:val="00C74756"/>
    <w:rsid w:val="00C7490F"/>
    <w:rsid w:val="00C74D4C"/>
    <w:rsid w:val="00C74EB9"/>
    <w:rsid w:val="00C751DB"/>
    <w:rsid w:val="00C7561A"/>
    <w:rsid w:val="00C75A0C"/>
    <w:rsid w:val="00C76131"/>
    <w:rsid w:val="00C7635F"/>
    <w:rsid w:val="00C7654F"/>
    <w:rsid w:val="00C7658C"/>
    <w:rsid w:val="00C771D0"/>
    <w:rsid w:val="00C77279"/>
    <w:rsid w:val="00C776D8"/>
    <w:rsid w:val="00C77832"/>
    <w:rsid w:val="00C77DE7"/>
    <w:rsid w:val="00C8088A"/>
    <w:rsid w:val="00C81048"/>
    <w:rsid w:val="00C811F5"/>
    <w:rsid w:val="00C812A0"/>
    <w:rsid w:val="00C81DDB"/>
    <w:rsid w:val="00C82035"/>
    <w:rsid w:val="00C821A3"/>
    <w:rsid w:val="00C8282A"/>
    <w:rsid w:val="00C82CBC"/>
    <w:rsid w:val="00C82FAC"/>
    <w:rsid w:val="00C8331B"/>
    <w:rsid w:val="00C834FF"/>
    <w:rsid w:val="00C83ABA"/>
    <w:rsid w:val="00C842B5"/>
    <w:rsid w:val="00C84DC5"/>
    <w:rsid w:val="00C85271"/>
    <w:rsid w:val="00C85BF5"/>
    <w:rsid w:val="00C85E98"/>
    <w:rsid w:val="00C86146"/>
    <w:rsid w:val="00C862A0"/>
    <w:rsid w:val="00C865E2"/>
    <w:rsid w:val="00C86858"/>
    <w:rsid w:val="00C87262"/>
    <w:rsid w:val="00C8732A"/>
    <w:rsid w:val="00C875E3"/>
    <w:rsid w:val="00C87705"/>
    <w:rsid w:val="00C878D3"/>
    <w:rsid w:val="00C87BAA"/>
    <w:rsid w:val="00C90491"/>
    <w:rsid w:val="00C90D6F"/>
    <w:rsid w:val="00C90DDF"/>
    <w:rsid w:val="00C90E17"/>
    <w:rsid w:val="00C90F6A"/>
    <w:rsid w:val="00C91139"/>
    <w:rsid w:val="00C91569"/>
    <w:rsid w:val="00C91B4D"/>
    <w:rsid w:val="00C92BED"/>
    <w:rsid w:val="00C92E40"/>
    <w:rsid w:val="00C9312C"/>
    <w:rsid w:val="00C9479F"/>
    <w:rsid w:val="00C94BD7"/>
    <w:rsid w:val="00C94D56"/>
    <w:rsid w:val="00C9504A"/>
    <w:rsid w:val="00C95BCD"/>
    <w:rsid w:val="00C9607E"/>
    <w:rsid w:val="00C96A98"/>
    <w:rsid w:val="00CA11D3"/>
    <w:rsid w:val="00CA1AA2"/>
    <w:rsid w:val="00CA1DBC"/>
    <w:rsid w:val="00CA2B89"/>
    <w:rsid w:val="00CA2F49"/>
    <w:rsid w:val="00CA3792"/>
    <w:rsid w:val="00CA3BD3"/>
    <w:rsid w:val="00CA3E17"/>
    <w:rsid w:val="00CA4A5E"/>
    <w:rsid w:val="00CA4BDD"/>
    <w:rsid w:val="00CA50D7"/>
    <w:rsid w:val="00CA536C"/>
    <w:rsid w:val="00CA5F5E"/>
    <w:rsid w:val="00CA6307"/>
    <w:rsid w:val="00CA6DAA"/>
    <w:rsid w:val="00CA72F0"/>
    <w:rsid w:val="00CA78AE"/>
    <w:rsid w:val="00CB090D"/>
    <w:rsid w:val="00CB112D"/>
    <w:rsid w:val="00CB11DE"/>
    <w:rsid w:val="00CB2030"/>
    <w:rsid w:val="00CB23F7"/>
    <w:rsid w:val="00CB2DB8"/>
    <w:rsid w:val="00CB399B"/>
    <w:rsid w:val="00CB44FE"/>
    <w:rsid w:val="00CB4654"/>
    <w:rsid w:val="00CB473E"/>
    <w:rsid w:val="00CB4B67"/>
    <w:rsid w:val="00CB50A3"/>
    <w:rsid w:val="00CB5163"/>
    <w:rsid w:val="00CB5B1A"/>
    <w:rsid w:val="00CB688F"/>
    <w:rsid w:val="00CB6F96"/>
    <w:rsid w:val="00CB7421"/>
    <w:rsid w:val="00CB795D"/>
    <w:rsid w:val="00CB7B06"/>
    <w:rsid w:val="00CC01C3"/>
    <w:rsid w:val="00CC038E"/>
    <w:rsid w:val="00CC0431"/>
    <w:rsid w:val="00CC0960"/>
    <w:rsid w:val="00CC0A8D"/>
    <w:rsid w:val="00CC0C9B"/>
    <w:rsid w:val="00CC0CB8"/>
    <w:rsid w:val="00CC104D"/>
    <w:rsid w:val="00CC187F"/>
    <w:rsid w:val="00CC1A5E"/>
    <w:rsid w:val="00CC2403"/>
    <w:rsid w:val="00CC2477"/>
    <w:rsid w:val="00CC297C"/>
    <w:rsid w:val="00CC2CCD"/>
    <w:rsid w:val="00CC30D3"/>
    <w:rsid w:val="00CC31D5"/>
    <w:rsid w:val="00CC3629"/>
    <w:rsid w:val="00CC3647"/>
    <w:rsid w:val="00CC3F3C"/>
    <w:rsid w:val="00CC44B2"/>
    <w:rsid w:val="00CC4826"/>
    <w:rsid w:val="00CC504B"/>
    <w:rsid w:val="00CC5738"/>
    <w:rsid w:val="00CC5FF9"/>
    <w:rsid w:val="00CC609C"/>
    <w:rsid w:val="00CC618A"/>
    <w:rsid w:val="00CC645D"/>
    <w:rsid w:val="00CC68B6"/>
    <w:rsid w:val="00CC6AA8"/>
    <w:rsid w:val="00CC73A5"/>
    <w:rsid w:val="00CD0604"/>
    <w:rsid w:val="00CD0BEB"/>
    <w:rsid w:val="00CD0C50"/>
    <w:rsid w:val="00CD1AAF"/>
    <w:rsid w:val="00CD1BBC"/>
    <w:rsid w:val="00CD1BF4"/>
    <w:rsid w:val="00CD1D27"/>
    <w:rsid w:val="00CD2383"/>
    <w:rsid w:val="00CD38FF"/>
    <w:rsid w:val="00CD3DA2"/>
    <w:rsid w:val="00CD42B1"/>
    <w:rsid w:val="00CD4357"/>
    <w:rsid w:val="00CD464E"/>
    <w:rsid w:val="00CD4A97"/>
    <w:rsid w:val="00CD506B"/>
    <w:rsid w:val="00CD55D3"/>
    <w:rsid w:val="00CD58D9"/>
    <w:rsid w:val="00CD595C"/>
    <w:rsid w:val="00CD6E8E"/>
    <w:rsid w:val="00CD6ED2"/>
    <w:rsid w:val="00CD6F72"/>
    <w:rsid w:val="00CD70D2"/>
    <w:rsid w:val="00CD7C33"/>
    <w:rsid w:val="00CD7D96"/>
    <w:rsid w:val="00CD7E01"/>
    <w:rsid w:val="00CE05C2"/>
    <w:rsid w:val="00CE0C14"/>
    <w:rsid w:val="00CE0CE3"/>
    <w:rsid w:val="00CE0D1C"/>
    <w:rsid w:val="00CE1387"/>
    <w:rsid w:val="00CE166F"/>
    <w:rsid w:val="00CE1869"/>
    <w:rsid w:val="00CE1DC0"/>
    <w:rsid w:val="00CE1E2E"/>
    <w:rsid w:val="00CE2735"/>
    <w:rsid w:val="00CE32DA"/>
    <w:rsid w:val="00CE3849"/>
    <w:rsid w:val="00CE38E6"/>
    <w:rsid w:val="00CE3EDA"/>
    <w:rsid w:val="00CE5031"/>
    <w:rsid w:val="00CE56CF"/>
    <w:rsid w:val="00CE636F"/>
    <w:rsid w:val="00CE6571"/>
    <w:rsid w:val="00CE68C7"/>
    <w:rsid w:val="00CE6CB8"/>
    <w:rsid w:val="00CE6DCF"/>
    <w:rsid w:val="00CE7D32"/>
    <w:rsid w:val="00CF019B"/>
    <w:rsid w:val="00CF08E6"/>
    <w:rsid w:val="00CF09CA"/>
    <w:rsid w:val="00CF0AEE"/>
    <w:rsid w:val="00CF0C74"/>
    <w:rsid w:val="00CF1071"/>
    <w:rsid w:val="00CF1ADA"/>
    <w:rsid w:val="00CF203E"/>
    <w:rsid w:val="00CF3F3F"/>
    <w:rsid w:val="00CF44C1"/>
    <w:rsid w:val="00CF4A92"/>
    <w:rsid w:val="00CF4D1F"/>
    <w:rsid w:val="00CF4DF2"/>
    <w:rsid w:val="00CF525C"/>
    <w:rsid w:val="00CF5D28"/>
    <w:rsid w:val="00CF5DD6"/>
    <w:rsid w:val="00CF6346"/>
    <w:rsid w:val="00CF65D1"/>
    <w:rsid w:val="00CF6ACE"/>
    <w:rsid w:val="00CF6C07"/>
    <w:rsid w:val="00CF6C9B"/>
    <w:rsid w:val="00CF72DE"/>
    <w:rsid w:val="00D002A9"/>
    <w:rsid w:val="00D0091E"/>
    <w:rsid w:val="00D00B00"/>
    <w:rsid w:val="00D00C21"/>
    <w:rsid w:val="00D013D4"/>
    <w:rsid w:val="00D01C84"/>
    <w:rsid w:val="00D01D6F"/>
    <w:rsid w:val="00D021AE"/>
    <w:rsid w:val="00D02E14"/>
    <w:rsid w:val="00D0314D"/>
    <w:rsid w:val="00D0342C"/>
    <w:rsid w:val="00D03470"/>
    <w:rsid w:val="00D035C2"/>
    <w:rsid w:val="00D03789"/>
    <w:rsid w:val="00D03A85"/>
    <w:rsid w:val="00D03ABE"/>
    <w:rsid w:val="00D0441A"/>
    <w:rsid w:val="00D05085"/>
    <w:rsid w:val="00D050C6"/>
    <w:rsid w:val="00D06562"/>
    <w:rsid w:val="00D06B53"/>
    <w:rsid w:val="00D07ADB"/>
    <w:rsid w:val="00D07B23"/>
    <w:rsid w:val="00D07DAA"/>
    <w:rsid w:val="00D10019"/>
    <w:rsid w:val="00D1079B"/>
    <w:rsid w:val="00D10902"/>
    <w:rsid w:val="00D10F3E"/>
    <w:rsid w:val="00D11FFD"/>
    <w:rsid w:val="00D12400"/>
    <w:rsid w:val="00D1263A"/>
    <w:rsid w:val="00D12D97"/>
    <w:rsid w:val="00D1401D"/>
    <w:rsid w:val="00D14064"/>
    <w:rsid w:val="00D14ACE"/>
    <w:rsid w:val="00D15A7B"/>
    <w:rsid w:val="00D15D17"/>
    <w:rsid w:val="00D16F35"/>
    <w:rsid w:val="00D16FA7"/>
    <w:rsid w:val="00D1725A"/>
    <w:rsid w:val="00D173C7"/>
    <w:rsid w:val="00D17533"/>
    <w:rsid w:val="00D17536"/>
    <w:rsid w:val="00D1773D"/>
    <w:rsid w:val="00D200C8"/>
    <w:rsid w:val="00D20E63"/>
    <w:rsid w:val="00D21196"/>
    <w:rsid w:val="00D211A4"/>
    <w:rsid w:val="00D211D6"/>
    <w:rsid w:val="00D21FDD"/>
    <w:rsid w:val="00D228D7"/>
    <w:rsid w:val="00D22E20"/>
    <w:rsid w:val="00D22E55"/>
    <w:rsid w:val="00D22FC5"/>
    <w:rsid w:val="00D23091"/>
    <w:rsid w:val="00D233F6"/>
    <w:rsid w:val="00D2352D"/>
    <w:rsid w:val="00D23636"/>
    <w:rsid w:val="00D23922"/>
    <w:rsid w:val="00D23B8A"/>
    <w:rsid w:val="00D23C49"/>
    <w:rsid w:val="00D2449C"/>
    <w:rsid w:val="00D24803"/>
    <w:rsid w:val="00D2508C"/>
    <w:rsid w:val="00D25533"/>
    <w:rsid w:val="00D25CAC"/>
    <w:rsid w:val="00D261BA"/>
    <w:rsid w:val="00D26203"/>
    <w:rsid w:val="00D2667B"/>
    <w:rsid w:val="00D266E1"/>
    <w:rsid w:val="00D26ADA"/>
    <w:rsid w:val="00D270D9"/>
    <w:rsid w:val="00D27BFC"/>
    <w:rsid w:val="00D302FE"/>
    <w:rsid w:val="00D30704"/>
    <w:rsid w:val="00D30AD3"/>
    <w:rsid w:val="00D30BA5"/>
    <w:rsid w:val="00D30FA6"/>
    <w:rsid w:val="00D31154"/>
    <w:rsid w:val="00D31E67"/>
    <w:rsid w:val="00D321D6"/>
    <w:rsid w:val="00D323F1"/>
    <w:rsid w:val="00D328A2"/>
    <w:rsid w:val="00D3292E"/>
    <w:rsid w:val="00D32EE1"/>
    <w:rsid w:val="00D332AE"/>
    <w:rsid w:val="00D3330C"/>
    <w:rsid w:val="00D33688"/>
    <w:rsid w:val="00D338BF"/>
    <w:rsid w:val="00D33BAF"/>
    <w:rsid w:val="00D34EC0"/>
    <w:rsid w:val="00D35188"/>
    <w:rsid w:val="00D3544D"/>
    <w:rsid w:val="00D35DE1"/>
    <w:rsid w:val="00D35F59"/>
    <w:rsid w:val="00D36106"/>
    <w:rsid w:val="00D3666F"/>
    <w:rsid w:val="00D37222"/>
    <w:rsid w:val="00D37925"/>
    <w:rsid w:val="00D37AD7"/>
    <w:rsid w:val="00D402ED"/>
    <w:rsid w:val="00D40572"/>
    <w:rsid w:val="00D4074B"/>
    <w:rsid w:val="00D40827"/>
    <w:rsid w:val="00D41ABD"/>
    <w:rsid w:val="00D41DC4"/>
    <w:rsid w:val="00D420F1"/>
    <w:rsid w:val="00D4246C"/>
    <w:rsid w:val="00D432A4"/>
    <w:rsid w:val="00D4365E"/>
    <w:rsid w:val="00D43B0B"/>
    <w:rsid w:val="00D43EA4"/>
    <w:rsid w:val="00D450B8"/>
    <w:rsid w:val="00D457FC"/>
    <w:rsid w:val="00D45E1A"/>
    <w:rsid w:val="00D462AA"/>
    <w:rsid w:val="00D46415"/>
    <w:rsid w:val="00D4676E"/>
    <w:rsid w:val="00D47105"/>
    <w:rsid w:val="00D5000B"/>
    <w:rsid w:val="00D503E7"/>
    <w:rsid w:val="00D506F3"/>
    <w:rsid w:val="00D511BC"/>
    <w:rsid w:val="00D51B81"/>
    <w:rsid w:val="00D5250A"/>
    <w:rsid w:val="00D53235"/>
    <w:rsid w:val="00D53B76"/>
    <w:rsid w:val="00D53CB2"/>
    <w:rsid w:val="00D53EA0"/>
    <w:rsid w:val="00D5410D"/>
    <w:rsid w:val="00D541C6"/>
    <w:rsid w:val="00D54207"/>
    <w:rsid w:val="00D54285"/>
    <w:rsid w:val="00D54396"/>
    <w:rsid w:val="00D54A20"/>
    <w:rsid w:val="00D54B3E"/>
    <w:rsid w:val="00D54BA1"/>
    <w:rsid w:val="00D5501C"/>
    <w:rsid w:val="00D55024"/>
    <w:rsid w:val="00D552E2"/>
    <w:rsid w:val="00D55944"/>
    <w:rsid w:val="00D563E3"/>
    <w:rsid w:val="00D5674B"/>
    <w:rsid w:val="00D57A6C"/>
    <w:rsid w:val="00D57B87"/>
    <w:rsid w:val="00D57F75"/>
    <w:rsid w:val="00D6011C"/>
    <w:rsid w:val="00D609E2"/>
    <w:rsid w:val="00D60C77"/>
    <w:rsid w:val="00D60E20"/>
    <w:rsid w:val="00D615D3"/>
    <w:rsid w:val="00D61C20"/>
    <w:rsid w:val="00D62353"/>
    <w:rsid w:val="00D63067"/>
    <w:rsid w:val="00D6340F"/>
    <w:rsid w:val="00D63474"/>
    <w:rsid w:val="00D6349D"/>
    <w:rsid w:val="00D63655"/>
    <w:rsid w:val="00D63AB7"/>
    <w:rsid w:val="00D63C45"/>
    <w:rsid w:val="00D6477E"/>
    <w:rsid w:val="00D64F96"/>
    <w:rsid w:val="00D653AD"/>
    <w:rsid w:val="00D653C1"/>
    <w:rsid w:val="00D65433"/>
    <w:rsid w:val="00D664EB"/>
    <w:rsid w:val="00D707D5"/>
    <w:rsid w:val="00D7192E"/>
    <w:rsid w:val="00D71EDF"/>
    <w:rsid w:val="00D72050"/>
    <w:rsid w:val="00D7214B"/>
    <w:rsid w:val="00D72968"/>
    <w:rsid w:val="00D72EC4"/>
    <w:rsid w:val="00D73BEF"/>
    <w:rsid w:val="00D746C1"/>
    <w:rsid w:val="00D74B10"/>
    <w:rsid w:val="00D75F62"/>
    <w:rsid w:val="00D76634"/>
    <w:rsid w:val="00D7788A"/>
    <w:rsid w:val="00D808B5"/>
    <w:rsid w:val="00D809F8"/>
    <w:rsid w:val="00D80ADF"/>
    <w:rsid w:val="00D812DD"/>
    <w:rsid w:val="00D81704"/>
    <w:rsid w:val="00D817B6"/>
    <w:rsid w:val="00D82203"/>
    <w:rsid w:val="00D82C3A"/>
    <w:rsid w:val="00D830BD"/>
    <w:rsid w:val="00D83B88"/>
    <w:rsid w:val="00D83BEA"/>
    <w:rsid w:val="00D843A8"/>
    <w:rsid w:val="00D8482A"/>
    <w:rsid w:val="00D84FBD"/>
    <w:rsid w:val="00D85726"/>
    <w:rsid w:val="00D85A7B"/>
    <w:rsid w:val="00D85FA3"/>
    <w:rsid w:val="00D86395"/>
    <w:rsid w:val="00D86BA9"/>
    <w:rsid w:val="00D86D39"/>
    <w:rsid w:val="00D879C4"/>
    <w:rsid w:val="00D879E3"/>
    <w:rsid w:val="00D87A31"/>
    <w:rsid w:val="00D9032D"/>
    <w:rsid w:val="00D90508"/>
    <w:rsid w:val="00D9082C"/>
    <w:rsid w:val="00D9087D"/>
    <w:rsid w:val="00D90ABB"/>
    <w:rsid w:val="00D90DBE"/>
    <w:rsid w:val="00D90F30"/>
    <w:rsid w:val="00D9153C"/>
    <w:rsid w:val="00D91607"/>
    <w:rsid w:val="00D91627"/>
    <w:rsid w:val="00D916FF"/>
    <w:rsid w:val="00D918DE"/>
    <w:rsid w:val="00D92316"/>
    <w:rsid w:val="00D929AA"/>
    <w:rsid w:val="00D9329B"/>
    <w:rsid w:val="00D9394A"/>
    <w:rsid w:val="00D93DDC"/>
    <w:rsid w:val="00D94935"/>
    <w:rsid w:val="00D95B86"/>
    <w:rsid w:val="00D95D16"/>
    <w:rsid w:val="00D95F6A"/>
    <w:rsid w:val="00D96549"/>
    <w:rsid w:val="00D96DC5"/>
    <w:rsid w:val="00D96E28"/>
    <w:rsid w:val="00D96E4E"/>
    <w:rsid w:val="00D971B8"/>
    <w:rsid w:val="00D976FB"/>
    <w:rsid w:val="00DA0458"/>
    <w:rsid w:val="00DA0715"/>
    <w:rsid w:val="00DA0C26"/>
    <w:rsid w:val="00DA0C45"/>
    <w:rsid w:val="00DA0C46"/>
    <w:rsid w:val="00DA0C88"/>
    <w:rsid w:val="00DA11A1"/>
    <w:rsid w:val="00DA14E8"/>
    <w:rsid w:val="00DA1822"/>
    <w:rsid w:val="00DA1823"/>
    <w:rsid w:val="00DA1B36"/>
    <w:rsid w:val="00DA237B"/>
    <w:rsid w:val="00DA2515"/>
    <w:rsid w:val="00DA26C4"/>
    <w:rsid w:val="00DA2D1A"/>
    <w:rsid w:val="00DA39FD"/>
    <w:rsid w:val="00DA429C"/>
    <w:rsid w:val="00DA4771"/>
    <w:rsid w:val="00DA4A7C"/>
    <w:rsid w:val="00DA4E98"/>
    <w:rsid w:val="00DA55D2"/>
    <w:rsid w:val="00DA5DF8"/>
    <w:rsid w:val="00DA6098"/>
    <w:rsid w:val="00DA653C"/>
    <w:rsid w:val="00DA6B0F"/>
    <w:rsid w:val="00DA721D"/>
    <w:rsid w:val="00DA7835"/>
    <w:rsid w:val="00DA7D98"/>
    <w:rsid w:val="00DB066F"/>
    <w:rsid w:val="00DB0AF9"/>
    <w:rsid w:val="00DB14F1"/>
    <w:rsid w:val="00DB1ACF"/>
    <w:rsid w:val="00DB1B6C"/>
    <w:rsid w:val="00DB1E5D"/>
    <w:rsid w:val="00DB21FC"/>
    <w:rsid w:val="00DB29DF"/>
    <w:rsid w:val="00DB2A44"/>
    <w:rsid w:val="00DB2C4C"/>
    <w:rsid w:val="00DB3302"/>
    <w:rsid w:val="00DB40D5"/>
    <w:rsid w:val="00DB4815"/>
    <w:rsid w:val="00DB4905"/>
    <w:rsid w:val="00DB4E70"/>
    <w:rsid w:val="00DB5011"/>
    <w:rsid w:val="00DB50C7"/>
    <w:rsid w:val="00DB578F"/>
    <w:rsid w:val="00DB5CF1"/>
    <w:rsid w:val="00DB62F6"/>
    <w:rsid w:val="00DB6681"/>
    <w:rsid w:val="00DB66FA"/>
    <w:rsid w:val="00DB6A8E"/>
    <w:rsid w:val="00DB6A9F"/>
    <w:rsid w:val="00DB75F5"/>
    <w:rsid w:val="00DB7652"/>
    <w:rsid w:val="00DB78E5"/>
    <w:rsid w:val="00DB79DE"/>
    <w:rsid w:val="00DB7F71"/>
    <w:rsid w:val="00DC0F62"/>
    <w:rsid w:val="00DC121C"/>
    <w:rsid w:val="00DC20AF"/>
    <w:rsid w:val="00DC23BF"/>
    <w:rsid w:val="00DC29B3"/>
    <w:rsid w:val="00DC36E8"/>
    <w:rsid w:val="00DC37D6"/>
    <w:rsid w:val="00DC3AA5"/>
    <w:rsid w:val="00DC4018"/>
    <w:rsid w:val="00DC4322"/>
    <w:rsid w:val="00DC48CE"/>
    <w:rsid w:val="00DC4B44"/>
    <w:rsid w:val="00DC4CEA"/>
    <w:rsid w:val="00DC4E0C"/>
    <w:rsid w:val="00DC54F9"/>
    <w:rsid w:val="00DC5AE4"/>
    <w:rsid w:val="00DC5F4E"/>
    <w:rsid w:val="00DC6223"/>
    <w:rsid w:val="00DC6EE7"/>
    <w:rsid w:val="00DC7308"/>
    <w:rsid w:val="00DC755E"/>
    <w:rsid w:val="00DC768A"/>
    <w:rsid w:val="00DC7785"/>
    <w:rsid w:val="00DC7801"/>
    <w:rsid w:val="00DC7B42"/>
    <w:rsid w:val="00DD03CC"/>
    <w:rsid w:val="00DD09ED"/>
    <w:rsid w:val="00DD164D"/>
    <w:rsid w:val="00DD1DF0"/>
    <w:rsid w:val="00DD2121"/>
    <w:rsid w:val="00DD22FA"/>
    <w:rsid w:val="00DD2472"/>
    <w:rsid w:val="00DD276F"/>
    <w:rsid w:val="00DD27AD"/>
    <w:rsid w:val="00DD2961"/>
    <w:rsid w:val="00DD3072"/>
    <w:rsid w:val="00DD333C"/>
    <w:rsid w:val="00DD39F9"/>
    <w:rsid w:val="00DD47F1"/>
    <w:rsid w:val="00DD4A24"/>
    <w:rsid w:val="00DD5116"/>
    <w:rsid w:val="00DD5CC6"/>
    <w:rsid w:val="00DD6E40"/>
    <w:rsid w:val="00DD6F49"/>
    <w:rsid w:val="00DD73A8"/>
    <w:rsid w:val="00DD7819"/>
    <w:rsid w:val="00DD7E7C"/>
    <w:rsid w:val="00DE057A"/>
    <w:rsid w:val="00DE088B"/>
    <w:rsid w:val="00DE0ACC"/>
    <w:rsid w:val="00DE0CB8"/>
    <w:rsid w:val="00DE13CB"/>
    <w:rsid w:val="00DE1CC3"/>
    <w:rsid w:val="00DE1D0F"/>
    <w:rsid w:val="00DE2C93"/>
    <w:rsid w:val="00DE3371"/>
    <w:rsid w:val="00DE3D7E"/>
    <w:rsid w:val="00DE3EBB"/>
    <w:rsid w:val="00DE3F13"/>
    <w:rsid w:val="00DE4228"/>
    <w:rsid w:val="00DE4392"/>
    <w:rsid w:val="00DE4782"/>
    <w:rsid w:val="00DE503D"/>
    <w:rsid w:val="00DE5144"/>
    <w:rsid w:val="00DE5152"/>
    <w:rsid w:val="00DE51D8"/>
    <w:rsid w:val="00DE5611"/>
    <w:rsid w:val="00DE5BA0"/>
    <w:rsid w:val="00DE5BC5"/>
    <w:rsid w:val="00DE6484"/>
    <w:rsid w:val="00DE7367"/>
    <w:rsid w:val="00DE77BA"/>
    <w:rsid w:val="00DE7A91"/>
    <w:rsid w:val="00DF130B"/>
    <w:rsid w:val="00DF1787"/>
    <w:rsid w:val="00DF1BDB"/>
    <w:rsid w:val="00DF2335"/>
    <w:rsid w:val="00DF2EA5"/>
    <w:rsid w:val="00DF35ED"/>
    <w:rsid w:val="00DF3632"/>
    <w:rsid w:val="00DF3AF4"/>
    <w:rsid w:val="00DF3CF6"/>
    <w:rsid w:val="00DF4408"/>
    <w:rsid w:val="00DF48CB"/>
    <w:rsid w:val="00DF6D5B"/>
    <w:rsid w:val="00DF7D6A"/>
    <w:rsid w:val="00E00693"/>
    <w:rsid w:val="00E00709"/>
    <w:rsid w:val="00E017FD"/>
    <w:rsid w:val="00E0199B"/>
    <w:rsid w:val="00E01D85"/>
    <w:rsid w:val="00E01EBC"/>
    <w:rsid w:val="00E02215"/>
    <w:rsid w:val="00E0265A"/>
    <w:rsid w:val="00E028BF"/>
    <w:rsid w:val="00E030F8"/>
    <w:rsid w:val="00E03123"/>
    <w:rsid w:val="00E03501"/>
    <w:rsid w:val="00E03BFE"/>
    <w:rsid w:val="00E03C94"/>
    <w:rsid w:val="00E040A1"/>
    <w:rsid w:val="00E044CB"/>
    <w:rsid w:val="00E044E5"/>
    <w:rsid w:val="00E04565"/>
    <w:rsid w:val="00E0479F"/>
    <w:rsid w:val="00E04DA6"/>
    <w:rsid w:val="00E04EAE"/>
    <w:rsid w:val="00E04FCD"/>
    <w:rsid w:val="00E05523"/>
    <w:rsid w:val="00E058C5"/>
    <w:rsid w:val="00E05A91"/>
    <w:rsid w:val="00E06225"/>
    <w:rsid w:val="00E06381"/>
    <w:rsid w:val="00E06C38"/>
    <w:rsid w:val="00E0794C"/>
    <w:rsid w:val="00E07AB5"/>
    <w:rsid w:val="00E1023D"/>
    <w:rsid w:val="00E104E0"/>
    <w:rsid w:val="00E1063A"/>
    <w:rsid w:val="00E11FA2"/>
    <w:rsid w:val="00E120F9"/>
    <w:rsid w:val="00E122C7"/>
    <w:rsid w:val="00E12854"/>
    <w:rsid w:val="00E14C6A"/>
    <w:rsid w:val="00E14FB2"/>
    <w:rsid w:val="00E15434"/>
    <w:rsid w:val="00E158E7"/>
    <w:rsid w:val="00E15B22"/>
    <w:rsid w:val="00E15BE2"/>
    <w:rsid w:val="00E16588"/>
    <w:rsid w:val="00E16A2A"/>
    <w:rsid w:val="00E170F1"/>
    <w:rsid w:val="00E17101"/>
    <w:rsid w:val="00E1722F"/>
    <w:rsid w:val="00E17B13"/>
    <w:rsid w:val="00E17BBA"/>
    <w:rsid w:val="00E20375"/>
    <w:rsid w:val="00E20C72"/>
    <w:rsid w:val="00E21206"/>
    <w:rsid w:val="00E21534"/>
    <w:rsid w:val="00E2172F"/>
    <w:rsid w:val="00E21880"/>
    <w:rsid w:val="00E225E7"/>
    <w:rsid w:val="00E2270B"/>
    <w:rsid w:val="00E22B6D"/>
    <w:rsid w:val="00E22BCC"/>
    <w:rsid w:val="00E2317C"/>
    <w:rsid w:val="00E2318B"/>
    <w:rsid w:val="00E23872"/>
    <w:rsid w:val="00E2391F"/>
    <w:rsid w:val="00E23E19"/>
    <w:rsid w:val="00E24004"/>
    <w:rsid w:val="00E241C6"/>
    <w:rsid w:val="00E24C55"/>
    <w:rsid w:val="00E24CA8"/>
    <w:rsid w:val="00E24E36"/>
    <w:rsid w:val="00E24F6E"/>
    <w:rsid w:val="00E259FB"/>
    <w:rsid w:val="00E25BD1"/>
    <w:rsid w:val="00E26EE4"/>
    <w:rsid w:val="00E30454"/>
    <w:rsid w:val="00E31145"/>
    <w:rsid w:val="00E31449"/>
    <w:rsid w:val="00E316D3"/>
    <w:rsid w:val="00E31E9A"/>
    <w:rsid w:val="00E32332"/>
    <w:rsid w:val="00E32810"/>
    <w:rsid w:val="00E32E44"/>
    <w:rsid w:val="00E348D4"/>
    <w:rsid w:val="00E34971"/>
    <w:rsid w:val="00E34A54"/>
    <w:rsid w:val="00E34F82"/>
    <w:rsid w:val="00E35965"/>
    <w:rsid w:val="00E35CE9"/>
    <w:rsid w:val="00E35DB1"/>
    <w:rsid w:val="00E367FF"/>
    <w:rsid w:val="00E369E5"/>
    <w:rsid w:val="00E4053E"/>
    <w:rsid w:val="00E42069"/>
    <w:rsid w:val="00E423C0"/>
    <w:rsid w:val="00E423CF"/>
    <w:rsid w:val="00E4260A"/>
    <w:rsid w:val="00E4283F"/>
    <w:rsid w:val="00E42F6D"/>
    <w:rsid w:val="00E43036"/>
    <w:rsid w:val="00E439C2"/>
    <w:rsid w:val="00E447DF"/>
    <w:rsid w:val="00E450F5"/>
    <w:rsid w:val="00E4532D"/>
    <w:rsid w:val="00E45477"/>
    <w:rsid w:val="00E456E4"/>
    <w:rsid w:val="00E45845"/>
    <w:rsid w:val="00E45FC3"/>
    <w:rsid w:val="00E46064"/>
    <w:rsid w:val="00E4658C"/>
    <w:rsid w:val="00E46CDC"/>
    <w:rsid w:val="00E47204"/>
    <w:rsid w:val="00E474B4"/>
    <w:rsid w:val="00E47922"/>
    <w:rsid w:val="00E47A23"/>
    <w:rsid w:val="00E50216"/>
    <w:rsid w:val="00E507F7"/>
    <w:rsid w:val="00E50883"/>
    <w:rsid w:val="00E50E1E"/>
    <w:rsid w:val="00E50EB7"/>
    <w:rsid w:val="00E51C47"/>
    <w:rsid w:val="00E52164"/>
    <w:rsid w:val="00E5272A"/>
    <w:rsid w:val="00E54277"/>
    <w:rsid w:val="00E546E3"/>
    <w:rsid w:val="00E54D1B"/>
    <w:rsid w:val="00E55651"/>
    <w:rsid w:val="00E559E4"/>
    <w:rsid w:val="00E55A88"/>
    <w:rsid w:val="00E55AC6"/>
    <w:rsid w:val="00E563B9"/>
    <w:rsid w:val="00E57174"/>
    <w:rsid w:val="00E57A2C"/>
    <w:rsid w:val="00E57B7B"/>
    <w:rsid w:val="00E57E98"/>
    <w:rsid w:val="00E57EB7"/>
    <w:rsid w:val="00E60055"/>
    <w:rsid w:val="00E61284"/>
    <w:rsid w:val="00E61468"/>
    <w:rsid w:val="00E61B6C"/>
    <w:rsid w:val="00E61BB4"/>
    <w:rsid w:val="00E61E85"/>
    <w:rsid w:val="00E6200D"/>
    <w:rsid w:val="00E62517"/>
    <w:rsid w:val="00E62CDE"/>
    <w:rsid w:val="00E63491"/>
    <w:rsid w:val="00E63A16"/>
    <w:rsid w:val="00E63C50"/>
    <w:rsid w:val="00E64074"/>
    <w:rsid w:val="00E64338"/>
    <w:rsid w:val="00E644C6"/>
    <w:rsid w:val="00E648B5"/>
    <w:rsid w:val="00E65115"/>
    <w:rsid w:val="00E656F4"/>
    <w:rsid w:val="00E66193"/>
    <w:rsid w:val="00E66267"/>
    <w:rsid w:val="00E6633B"/>
    <w:rsid w:val="00E66E33"/>
    <w:rsid w:val="00E67412"/>
    <w:rsid w:val="00E678EF"/>
    <w:rsid w:val="00E67F30"/>
    <w:rsid w:val="00E701B5"/>
    <w:rsid w:val="00E702CA"/>
    <w:rsid w:val="00E709ED"/>
    <w:rsid w:val="00E70AA6"/>
    <w:rsid w:val="00E70EB1"/>
    <w:rsid w:val="00E7397F"/>
    <w:rsid w:val="00E73AB9"/>
    <w:rsid w:val="00E73B2D"/>
    <w:rsid w:val="00E74016"/>
    <w:rsid w:val="00E74048"/>
    <w:rsid w:val="00E743E1"/>
    <w:rsid w:val="00E74505"/>
    <w:rsid w:val="00E74C9A"/>
    <w:rsid w:val="00E75294"/>
    <w:rsid w:val="00E75411"/>
    <w:rsid w:val="00E75708"/>
    <w:rsid w:val="00E75D33"/>
    <w:rsid w:val="00E76BB7"/>
    <w:rsid w:val="00E76D3C"/>
    <w:rsid w:val="00E76E0C"/>
    <w:rsid w:val="00E7709C"/>
    <w:rsid w:val="00E77511"/>
    <w:rsid w:val="00E77C86"/>
    <w:rsid w:val="00E81784"/>
    <w:rsid w:val="00E81DF2"/>
    <w:rsid w:val="00E8270C"/>
    <w:rsid w:val="00E828DB"/>
    <w:rsid w:val="00E8298A"/>
    <w:rsid w:val="00E82ADB"/>
    <w:rsid w:val="00E8426D"/>
    <w:rsid w:val="00E8429E"/>
    <w:rsid w:val="00E843D4"/>
    <w:rsid w:val="00E844CC"/>
    <w:rsid w:val="00E84F1E"/>
    <w:rsid w:val="00E85086"/>
    <w:rsid w:val="00E853B6"/>
    <w:rsid w:val="00E86461"/>
    <w:rsid w:val="00E86A23"/>
    <w:rsid w:val="00E86A34"/>
    <w:rsid w:val="00E86B54"/>
    <w:rsid w:val="00E86C3A"/>
    <w:rsid w:val="00E90961"/>
    <w:rsid w:val="00E90C9C"/>
    <w:rsid w:val="00E91247"/>
    <w:rsid w:val="00E91BC8"/>
    <w:rsid w:val="00E91FA3"/>
    <w:rsid w:val="00E92164"/>
    <w:rsid w:val="00E9300E"/>
    <w:rsid w:val="00E93BF1"/>
    <w:rsid w:val="00E93D00"/>
    <w:rsid w:val="00E93E15"/>
    <w:rsid w:val="00E9409F"/>
    <w:rsid w:val="00E941A6"/>
    <w:rsid w:val="00E9429B"/>
    <w:rsid w:val="00E943AF"/>
    <w:rsid w:val="00E948B6"/>
    <w:rsid w:val="00E94F7C"/>
    <w:rsid w:val="00E95AFB"/>
    <w:rsid w:val="00E96094"/>
    <w:rsid w:val="00E96DFC"/>
    <w:rsid w:val="00E96EC3"/>
    <w:rsid w:val="00E97812"/>
    <w:rsid w:val="00E9788D"/>
    <w:rsid w:val="00E97AD0"/>
    <w:rsid w:val="00EA0E28"/>
    <w:rsid w:val="00EA15BB"/>
    <w:rsid w:val="00EA1778"/>
    <w:rsid w:val="00EA1E59"/>
    <w:rsid w:val="00EA221F"/>
    <w:rsid w:val="00EA2461"/>
    <w:rsid w:val="00EA2ACC"/>
    <w:rsid w:val="00EA3626"/>
    <w:rsid w:val="00EA3854"/>
    <w:rsid w:val="00EA3A72"/>
    <w:rsid w:val="00EA3DB3"/>
    <w:rsid w:val="00EA4263"/>
    <w:rsid w:val="00EA4AC0"/>
    <w:rsid w:val="00EA595E"/>
    <w:rsid w:val="00EA60BD"/>
    <w:rsid w:val="00EA68CD"/>
    <w:rsid w:val="00EA708F"/>
    <w:rsid w:val="00EA72E5"/>
    <w:rsid w:val="00EA75AB"/>
    <w:rsid w:val="00EA7704"/>
    <w:rsid w:val="00EA7A0B"/>
    <w:rsid w:val="00EB0612"/>
    <w:rsid w:val="00EB097F"/>
    <w:rsid w:val="00EB0DEE"/>
    <w:rsid w:val="00EB11AE"/>
    <w:rsid w:val="00EB1496"/>
    <w:rsid w:val="00EB24AD"/>
    <w:rsid w:val="00EB2E21"/>
    <w:rsid w:val="00EB2F30"/>
    <w:rsid w:val="00EB4D5C"/>
    <w:rsid w:val="00EB4F54"/>
    <w:rsid w:val="00EB5132"/>
    <w:rsid w:val="00EB523B"/>
    <w:rsid w:val="00EB58A4"/>
    <w:rsid w:val="00EB6B85"/>
    <w:rsid w:val="00EB6D80"/>
    <w:rsid w:val="00EB7FFE"/>
    <w:rsid w:val="00EC0AA0"/>
    <w:rsid w:val="00EC0AB5"/>
    <w:rsid w:val="00EC0CC5"/>
    <w:rsid w:val="00EC0F7D"/>
    <w:rsid w:val="00EC1D8F"/>
    <w:rsid w:val="00EC1D9F"/>
    <w:rsid w:val="00EC1E89"/>
    <w:rsid w:val="00EC36D1"/>
    <w:rsid w:val="00EC452E"/>
    <w:rsid w:val="00EC4564"/>
    <w:rsid w:val="00EC4E51"/>
    <w:rsid w:val="00EC57F3"/>
    <w:rsid w:val="00EC58A5"/>
    <w:rsid w:val="00EC59D3"/>
    <w:rsid w:val="00EC5CC3"/>
    <w:rsid w:val="00EC6A60"/>
    <w:rsid w:val="00EC6C3D"/>
    <w:rsid w:val="00EC6F29"/>
    <w:rsid w:val="00EC6F43"/>
    <w:rsid w:val="00EC7994"/>
    <w:rsid w:val="00ED0675"/>
    <w:rsid w:val="00ED0680"/>
    <w:rsid w:val="00ED06A0"/>
    <w:rsid w:val="00ED0A3F"/>
    <w:rsid w:val="00ED0AEF"/>
    <w:rsid w:val="00ED147A"/>
    <w:rsid w:val="00ED15D2"/>
    <w:rsid w:val="00ED2021"/>
    <w:rsid w:val="00ED20C6"/>
    <w:rsid w:val="00ED2489"/>
    <w:rsid w:val="00ED2684"/>
    <w:rsid w:val="00ED2992"/>
    <w:rsid w:val="00ED2A88"/>
    <w:rsid w:val="00ED2D92"/>
    <w:rsid w:val="00ED2E11"/>
    <w:rsid w:val="00ED4874"/>
    <w:rsid w:val="00ED4E3B"/>
    <w:rsid w:val="00ED5000"/>
    <w:rsid w:val="00ED5198"/>
    <w:rsid w:val="00ED52ED"/>
    <w:rsid w:val="00ED596A"/>
    <w:rsid w:val="00ED5E64"/>
    <w:rsid w:val="00ED60E6"/>
    <w:rsid w:val="00ED6621"/>
    <w:rsid w:val="00ED674D"/>
    <w:rsid w:val="00ED68CE"/>
    <w:rsid w:val="00ED697D"/>
    <w:rsid w:val="00ED6E03"/>
    <w:rsid w:val="00ED7697"/>
    <w:rsid w:val="00ED78B1"/>
    <w:rsid w:val="00ED795D"/>
    <w:rsid w:val="00ED7BE2"/>
    <w:rsid w:val="00ED7BEC"/>
    <w:rsid w:val="00ED7FCA"/>
    <w:rsid w:val="00EE015E"/>
    <w:rsid w:val="00EE01CE"/>
    <w:rsid w:val="00EE0447"/>
    <w:rsid w:val="00EE06ED"/>
    <w:rsid w:val="00EE0C21"/>
    <w:rsid w:val="00EE12AC"/>
    <w:rsid w:val="00EE15FA"/>
    <w:rsid w:val="00EE18BC"/>
    <w:rsid w:val="00EE1E9C"/>
    <w:rsid w:val="00EE29EF"/>
    <w:rsid w:val="00EE2AC7"/>
    <w:rsid w:val="00EE2C3A"/>
    <w:rsid w:val="00EE3436"/>
    <w:rsid w:val="00EE351F"/>
    <w:rsid w:val="00EE3B5C"/>
    <w:rsid w:val="00EE4C62"/>
    <w:rsid w:val="00EE4D91"/>
    <w:rsid w:val="00EE4E1D"/>
    <w:rsid w:val="00EE4F9F"/>
    <w:rsid w:val="00EE5768"/>
    <w:rsid w:val="00EE610F"/>
    <w:rsid w:val="00EE616B"/>
    <w:rsid w:val="00EE6CEB"/>
    <w:rsid w:val="00EE71BE"/>
    <w:rsid w:val="00EE7305"/>
    <w:rsid w:val="00EE73B0"/>
    <w:rsid w:val="00EE796E"/>
    <w:rsid w:val="00EE79CC"/>
    <w:rsid w:val="00EE7A64"/>
    <w:rsid w:val="00EF015B"/>
    <w:rsid w:val="00EF0F46"/>
    <w:rsid w:val="00EF1140"/>
    <w:rsid w:val="00EF1172"/>
    <w:rsid w:val="00EF1AFA"/>
    <w:rsid w:val="00EF1BCB"/>
    <w:rsid w:val="00EF1C93"/>
    <w:rsid w:val="00EF1F9E"/>
    <w:rsid w:val="00EF20A4"/>
    <w:rsid w:val="00EF20BD"/>
    <w:rsid w:val="00EF241F"/>
    <w:rsid w:val="00EF2579"/>
    <w:rsid w:val="00EF2C6A"/>
    <w:rsid w:val="00EF2ED0"/>
    <w:rsid w:val="00EF348A"/>
    <w:rsid w:val="00EF38E4"/>
    <w:rsid w:val="00EF3DCA"/>
    <w:rsid w:val="00EF3FE2"/>
    <w:rsid w:val="00EF406F"/>
    <w:rsid w:val="00EF4BA3"/>
    <w:rsid w:val="00EF4DD2"/>
    <w:rsid w:val="00EF4E04"/>
    <w:rsid w:val="00EF509E"/>
    <w:rsid w:val="00EF52DA"/>
    <w:rsid w:val="00EF5867"/>
    <w:rsid w:val="00EF5F18"/>
    <w:rsid w:val="00EF600D"/>
    <w:rsid w:val="00EF6201"/>
    <w:rsid w:val="00EF64EF"/>
    <w:rsid w:val="00EF69C3"/>
    <w:rsid w:val="00EF6F2E"/>
    <w:rsid w:val="00EF73A7"/>
    <w:rsid w:val="00EF7C16"/>
    <w:rsid w:val="00F01093"/>
    <w:rsid w:val="00F01488"/>
    <w:rsid w:val="00F01AF0"/>
    <w:rsid w:val="00F01D1B"/>
    <w:rsid w:val="00F0235E"/>
    <w:rsid w:val="00F02938"/>
    <w:rsid w:val="00F029E9"/>
    <w:rsid w:val="00F03B21"/>
    <w:rsid w:val="00F03CB1"/>
    <w:rsid w:val="00F03F6D"/>
    <w:rsid w:val="00F047BE"/>
    <w:rsid w:val="00F049EB"/>
    <w:rsid w:val="00F04C27"/>
    <w:rsid w:val="00F04E32"/>
    <w:rsid w:val="00F05034"/>
    <w:rsid w:val="00F05FE1"/>
    <w:rsid w:val="00F06447"/>
    <w:rsid w:val="00F066AB"/>
    <w:rsid w:val="00F06EE4"/>
    <w:rsid w:val="00F07C3A"/>
    <w:rsid w:val="00F10012"/>
    <w:rsid w:val="00F1026F"/>
    <w:rsid w:val="00F1060C"/>
    <w:rsid w:val="00F109C1"/>
    <w:rsid w:val="00F113ED"/>
    <w:rsid w:val="00F1197A"/>
    <w:rsid w:val="00F11D72"/>
    <w:rsid w:val="00F1227F"/>
    <w:rsid w:val="00F124E0"/>
    <w:rsid w:val="00F12C4E"/>
    <w:rsid w:val="00F13441"/>
    <w:rsid w:val="00F1394D"/>
    <w:rsid w:val="00F13EA2"/>
    <w:rsid w:val="00F140FA"/>
    <w:rsid w:val="00F143AA"/>
    <w:rsid w:val="00F1442F"/>
    <w:rsid w:val="00F14440"/>
    <w:rsid w:val="00F147F7"/>
    <w:rsid w:val="00F152EA"/>
    <w:rsid w:val="00F16635"/>
    <w:rsid w:val="00F17C41"/>
    <w:rsid w:val="00F17DD1"/>
    <w:rsid w:val="00F17F32"/>
    <w:rsid w:val="00F20162"/>
    <w:rsid w:val="00F2055F"/>
    <w:rsid w:val="00F205DA"/>
    <w:rsid w:val="00F2120B"/>
    <w:rsid w:val="00F21222"/>
    <w:rsid w:val="00F214B7"/>
    <w:rsid w:val="00F216DA"/>
    <w:rsid w:val="00F22094"/>
    <w:rsid w:val="00F2214A"/>
    <w:rsid w:val="00F22856"/>
    <w:rsid w:val="00F22A73"/>
    <w:rsid w:val="00F231F9"/>
    <w:rsid w:val="00F23B08"/>
    <w:rsid w:val="00F23CD5"/>
    <w:rsid w:val="00F25286"/>
    <w:rsid w:val="00F25705"/>
    <w:rsid w:val="00F27264"/>
    <w:rsid w:val="00F27BF3"/>
    <w:rsid w:val="00F27F65"/>
    <w:rsid w:val="00F3005A"/>
    <w:rsid w:val="00F30B6C"/>
    <w:rsid w:val="00F322B2"/>
    <w:rsid w:val="00F33B39"/>
    <w:rsid w:val="00F33CC1"/>
    <w:rsid w:val="00F33E5A"/>
    <w:rsid w:val="00F34830"/>
    <w:rsid w:val="00F36937"/>
    <w:rsid w:val="00F37013"/>
    <w:rsid w:val="00F3741A"/>
    <w:rsid w:val="00F37481"/>
    <w:rsid w:val="00F37970"/>
    <w:rsid w:val="00F37AE5"/>
    <w:rsid w:val="00F40E8F"/>
    <w:rsid w:val="00F41185"/>
    <w:rsid w:val="00F41798"/>
    <w:rsid w:val="00F4179D"/>
    <w:rsid w:val="00F42094"/>
    <w:rsid w:val="00F42452"/>
    <w:rsid w:val="00F42C03"/>
    <w:rsid w:val="00F4361C"/>
    <w:rsid w:val="00F43B2D"/>
    <w:rsid w:val="00F43D0F"/>
    <w:rsid w:val="00F43DE7"/>
    <w:rsid w:val="00F4451E"/>
    <w:rsid w:val="00F44E98"/>
    <w:rsid w:val="00F4503E"/>
    <w:rsid w:val="00F4508C"/>
    <w:rsid w:val="00F4555E"/>
    <w:rsid w:val="00F45D00"/>
    <w:rsid w:val="00F45E60"/>
    <w:rsid w:val="00F4607B"/>
    <w:rsid w:val="00F46421"/>
    <w:rsid w:val="00F47681"/>
    <w:rsid w:val="00F47AF1"/>
    <w:rsid w:val="00F50064"/>
    <w:rsid w:val="00F506C5"/>
    <w:rsid w:val="00F50844"/>
    <w:rsid w:val="00F50A0A"/>
    <w:rsid w:val="00F50A27"/>
    <w:rsid w:val="00F513F2"/>
    <w:rsid w:val="00F51670"/>
    <w:rsid w:val="00F51D65"/>
    <w:rsid w:val="00F51F19"/>
    <w:rsid w:val="00F51FB3"/>
    <w:rsid w:val="00F524B8"/>
    <w:rsid w:val="00F52E71"/>
    <w:rsid w:val="00F52FED"/>
    <w:rsid w:val="00F53104"/>
    <w:rsid w:val="00F53575"/>
    <w:rsid w:val="00F53837"/>
    <w:rsid w:val="00F53DB0"/>
    <w:rsid w:val="00F54978"/>
    <w:rsid w:val="00F55460"/>
    <w:rsid w:val="00F5588E"/>
    <w:rsid w:val="00F55A6B"/>
    <w:rsid w:val="00F55D75"/>
    <w:rsid w:val="00F55E16"/>
    <w:rsid w:val="00F57192"/>
    <w:rsid w:val="00F5734E"/>
    <w:rsid w:val="00F5740B"/>
    <w:rsid w:val="00F574C7"/>
    <w:rsid w:val="00F57B76"/>
    <w:rsid w:val="00F60344"/>
    <w:rsid w:val="00F60370"/>
    <w:rsid w:val="00F613B0"/>
    <w:rsid w:val="00F61418"/>
    <w:rsid w:val="00F61852"/>
    <w:rsid w:val="00F61C9E"/>
    <w:rsid w:val="00F6239F"/>
    <w:rsid w:val="00F629CE"/>
    <w:rsid w:val="00F6382F"/>
    <w:rsid w:val="00F63AC4"/>
    <w:rsid w:val="00F63E31"/>
    <w:rsid w:val="00F6458C"/>
    <w:rsid w:val="00F6470C"/>
    <w:rsid w:val="00F64960"/>
    <w:rsid w:val="00F64A99"/>
    <w:rsid w:val="00F64B57"/>
    <w:rsid w:val="00F64C1A"/>
    <w:rsid w:val="00F64D2A"/>
    <w:rsid w:val="00F65A60"/>
    <w:rsid w:val="00F6606C"/>
    <w:rsid w:val="00F66350"/>
    <w:rsid w:val="00F66473"/>
    <w:rsid w:val="00F66601"/>
    <w:rsid w:val="00F6663C"/>
    <w:rsid w:val="00F66A12"/>
    <w:rsid w:val="00F66FB0"/>
    <w:rsid w:val="00F66FCB"/>
    <w:rsid w:val="00F67396"/>
    <w:rsid w:val="00F67554"/>
    <w:rsid w:val="00F67755"/>
    <w:rsid w:val="00F67966"/>
    <w:rsid w:val="00F67B74"/>
    <w:rsid w:val="00F70378"/>
    <w:rsid w:val="00F7048D"/>
    <w:rsid w:val="00F705A3"/>
    <w:rsid w:val="00F70A5C"/>
    <w:rsid w:val="00F70B22"/>
    <w:rsid w:val="00F70BC6"/>
    <w:rsid w:val="00F713C0"/>
    <w:rsid w:val="00F714EC"/>
    <w:rsid w:val="00F7189C"/>
    <w:rsid w:val="00F71AE6"/>
    <w:rsid w:val="00F72B76"/>
    <w:rsid w:val="00F72EDB"/>
    <w:rsid w:val="00F73681"/>
    <w:rsid w:val="00F73746"/>
    <w:rsid w:val="00F73B9E"/>
    <w:rsid w:val="00F73CD9"/>
    <w:rsid w:val="00F74658"/>
    <w:rsid w:val="00F746C8"/>
    <w:rsid w:val="00F74995"/>
    <w:rsid w:val="00F7520C"/>
    <w:rsid w:val="00F752B8"/>
    <w:rsid w:val="00F75B85"/>
    <w:rsid w:val="00F76715"/>
    <w:rsid w:val="00F76986"/>
    <w:rsid w:val="00F76D2C"/>
    <w:rsid w:val="00F77256"/>
    <w:rsid w:val="00F77954"/>
    <w:rsid w:val="00F77A1F"/>
    <w:rsid w:val="00F77BA5"/>
    <w:rsid w:val="00F77DEB"/>
    <w:rsid w:val="00F77FA2"/>
    <w:rsid w:val="00F80093"/>
    <w:rsid w:val="00F80312"/>
    <w:rsid w:val="00F817D5"/>
    <w:rsid w:val="00F81BAA"/>
    <w:rsid w:val="00F81D41"/>
    <w:rsid w:val="00F823E2"/>
    <w:rsid w:val="00F825E8"/>
    <w:rsid w:val="00F82697"/>
    <w:rsid w:val="00F831DA"/>
    <w:rsid w:val="00F83268"/>
    <w:rsid w:val="00F83444"/>
    <w:rsid w:val="00F83787"/>
    <w:rsid w:val="00F837A4"/>
    <w:rsid w:val="00F83C5A"/>
    <w:rsid w:val="00F83C96"/>
    <w:rsid w:val="00F83D77"/>
    <w:rsid w:val="00F8415D"/>
    <w:rsid w:val="00F8457D"/>
    <w:rsid w:val="00F854BD"/>
    <w:rsid w:val="00F856F1"/>
    <w:rsid w:val="00F86677"/>
    <w:rsid w:val="00F87545"/>
    <w:rsid w:val="00F87EE2"/>
    <w:rsid w:val="00F904A7"/>
    <w:rsid w:val="00F916F0"/>
    <w:rsid w:val="00F91FB8"/>
    <w:rsid w:val="00F92531"/>
    <w:rsid w:val="00F9329E"/>
    <w:rsid w:val="00F93C35"/>
    <w:rsid w:val="00F93DA3"/>
    <w:rsid w:val="00F93EC5"/>
    <w:rsid w:val="00F942E8"/>
    <w:rsid w:val="00F943EF"/>
    <w:rsid w:val="00F94B4B"/>
    <w:rsid w:val="00F94CB2"/>
    <w:rsid w:val="00F94FCB"/>
    <w:rsid w:val="00F950FB"/>
    <w:rsid w:val="00F95519"/>
    <w:rsid w:val="00F957CF"/>
    <w:rsid w:val="00F95892"/>
    <w:rsid w:val="00F960CF"/>
    <w:rsid w:val="00F963C4"/>
    <w:rsid w:val="00F96481"/>
    <w:rsid w:val="00F97585"/>
    <w:rsid w:val="00F97B8D"/>
    <w:rsid w:val="00FA0A20"/>
    <w:rsid w:val="00FA0C85"/>
    <w:rsid w:val="00FA0DB0"/>
    <w:rsid w:val="00FA2115"/>
    <w:rsid w:val="00FA2744"/>
    <w:rsid w:val="00FA3013"/>
    <w:rsid w:val="00FA4A7C"/>
    <w:rsid w:val="00FA4F2B"/>
    <w:rsid w:val="00FA5E36"/>
    <w:rsid w:val="00FA6637"/>
    <w:rsid w:val="00FA66DB"/>
    <w:rsid w:val="00FA6FD2"/>
    <w:rsid w:val="00FA72C4"/>
    <w:rsid w:val="00FA7794"/>
    <w:rsid w:val="00FA7975"/>
    <w:rsid w:val="00FA7EB5"/>
    <w:rsid w:val="00FB10B5"/>
    <w:rsid w:val="00FB1129"/>
    <w:rsid w:val="00FB234F"/>
    <w:rsid w:val="00FB2C26"/>
    <w:rsid w:val="00FB3828"/>
    <w:rsid w:val="00FB4A79"/>
    <w:rsid w:val="00FB5A9C"/>
    <w:rsid w:val="00FB5FE9"/>
    <w:rsid w:val="00FB6408"/>
    <w:rsid w:val="00FB732F"/>
    <w:rsid w:val="00FB734E"/>
    <w:rsid w:val="00FB756B"/>
    <w:rsid w:val="00FB7878"/>
    <w:rsid w:val="00FB789F"/>
    <w:rsid w:val="00FB7BB1"/>
    <w:rsid w:val="00FB7F52"/>
    <w:rsid w:val="00FC0FA4"/>
    <w:rsid w:val="00FC1582"/>
    <w:rsid w:val="00FC1EA2"/>
    <w:rsid w:val="00FC27EB"/>
    <w:rsid w:val="00FC31BE"/>
    <w:rsid w:val="00FC32A8"/>
    <w:rsid w:val="00FC332B"/>
    <w:rsid w:val="00FC3549"/>
    <w:rsid w:val="00FC3A6E"/>
    <w:rsid w:val="00FC3B40"/>
    <w:rsid w:val="00FC3E24"/>
    <w:rsid w:val="00FC4031"/>
    <w:rsid w:val="00FC43BC"/>
    <w:rsid w:val="00FC446E"/>
    <w:rsid w:val="00FC48A9"/>
    <w:rsid w:val="00FC4B4F"/>
    <w:rsid w:val="00FC4BB8"/>
    <w:rsid w:val="00FC5C80"/>
    <w:rsid w:val="00FC68B1"/>
    <w:rsid w:val="00FC6A54"/>
    <w:rsid w:val="00FC6E55"/>
    <w:rsid w:val="00FC79BE"/>
    <w:rsid w:val="00FC7C79"/>
    <w:rsid w:val="00FC7F02"/>
    <w:rsid w:val="00FD0691"/>
    <w:rsid w:val="00FD078F"/>
    <w:rsid w:val="00FD0A98"/>
    <w:rsid w:val="00FD1522"/>
    <w:rsid w:val="00FD193B"/>
    <w:rsid w:val="00FD23F2"/>
    <w:rsid w:val="00FD275D"/>
    <w:rsid w:val="00FD3111"/>
    <w:rsid w:val="00FD324A"/>
    <w:rsid w:val="00FD3346"/>
    <w:rsid w:val="00FD4026"/>
    <w:rsid w:val="00FD40E2"/>
    <w:rsid w:val="00FD4D5A"/>
    <w:rsid w:val="00FD5297"/>
    <w:rsid w:val="00FD55D1"/>
    <w:rsid w:val="00FD5AED"/>
    <w:rsid w:val="00FD5B38"/>
    <w:rsid w:val="00FD5B6C"/>
    <w:rsid w:val="00FD5C4B"/>
    <w:rsid w:val="00FD65DE"/>
    <w:rsid w:val="00FD73D0"/>
    <w:rsid w:val="00FD7A78"/>
    <w:rsid w:val="00FE09C0"/>
    <w:rsid w:val="00FE0F02"/>
    <w:rsid w:val="00FE1333"/>
    <w:rsid w:val="00FE133C"/>
    <w:rsid w:val="00FE1C4F"/>
    <w:rsid w:val="00FE20A3"/>
    <w:rsid w:val="00FE2436"/>
    <w:rsid w:val="00FE2B6A"/>
    <w:rsid w:val="00FE30C3"/>
    <w:rsid w:val="00FE3F9D"/>
    <w:rsid w:val="00FE4469"/>
    <w:rsid w:val="00FE4652"/>
    <w:rsid w:val="00FE4A35"/>
    <w:rsid w:val="00FE4EC9"/>
    <w:rsid w:val="00FE5077"/>
    <w:rsid w:val="00FE5246"/>
    <w:rsid w:val="00FE5460"/>
    <w:rsid w:val="00FE56D4"/>
    <w:rsid w:val="00FE60E9"/>
    <w:rsid w:val="00FE611E"/>
    <w:rsid w:val="00FE643E"/>
    <w:rsid w:val="00FE64A5"/>
    <w:rsid w:val="00FE6C7B"/>
    <w:rsid w:val="00FE6F49"/>
    <w:rsid w:val="00FE7839"/>
    <w:rsid w:val="00FE7F86"/>
    <w:rsid w:val="00FF014A"/>
    <w:rsid w:val="00FF057D"/>
    <w:rsid w:val="00FF0895"/>
    <w:rsid w:val="00FF10C8"/>
    <w:rsid w:val="00FF13E9"/>
    <w:rsid w:val="00FF15E9"/>
    <w:rsid w:val="00FF16C6"/>
    <w:rsid w:val="00FF1837"/>
    <w:rsid w:val="00FF1EF6"/>
    <w:rsid w:val="00FF1F78"/>
    <w:rsid w:val="00FF2607"/>
    <w:rsid w:val="00FF2AC6"/>
    <w:rsid w:val="00FF2DAB"/>
    <w:rsid w:val="00FF3489"/>
    <w:rsid w:val="00FF3911"/>
    <w:rsid w:val="00FF3914"/>
    <w:rsid w:val="00FF48AA"/>
    <w:rsid w:val="00FF49B0"/>
    <w:rsid w:val="00FF4BB9"/>
    <w:rsid w:val="00FF50A5"/>
    <w:rsid w:val="00FF5274"/>
    <w:rsid w:val="00FF53A3"/>
    <w:rsid w:val="00FF55CA"/>
    <w:rsid w:val="00FF5A1A"/>
    <w:rsid w:val="00FF667A"/>
    <w:rsid w:val="00FF6F6E"/>
    <w:rsid w:val="00FF7E7A"/>
    <w:rsid w:val="021876EC"/>
    <w:rsid w:val="0262590B"/>
    <w:rsid w:val="06245FF6"/>
    <w:rsid w:val="067803E8"/>
    <w:rsid w:val="09EF500C"/>
    <w:rsid w:val="0BAB1F7D"/>
    <w:rsid w:val="10171FD2"/>
    <w:rsid w:val="10414F02"/>
    <w:rsid w:val="1481607B"/>
    <w:rsid w:val="166E2319"/>
    <w:rsid w:val="16886ED8"/>
    <w:rsid w:val="180C0BF7"/>
    <w:rsid w:val="18265E99"/>
    <w:rsid w:val="183B6342"/>
    <w:rsid w:val="18604B97"/>
    <w:rsid w:val="189F4722"/>
    <w:rsid w:val="18F8150A"/>
    <w:rsid w:val="1AB80D41"/>
    <w:rsid w:val="1B2E48BC"/>
    <w:rsid w:val="1B700072"/>
    <w:rsid w:val="1BBA1CED"/>
    <w:rsid w:val="1DDC01A2"/>
    <w:rsid w:val="1E3058A4"/>
    <w:rsid w:val="1ED55DD8"/>
    <w:rsid w:val="1ED6492B"/>
    <w:rsid w:val="1FDB53D1"/>
    <w:rsid w:val="21694262"/>
    <w:rsid w:val="22336E04"/>
    <w:rsid w:val="23501BA2"/>
    <w:rsid w:val="265B5CCA"/>
    <w:rsid w:val="286E1ECF"/>
    <w:rsid w:val="29505C28"/>
    <w:rsid w:val="299B4A24"/>
    <w:rsid w:val="2A5F2145"/>
    <w:rsid w:val="2C04667D"/>
    <w:rsid w:val="2D8A71D8"/>
    <w:rsid w:val="2F0672B1"/>
    <w:rsid w:val="30562E05"/>
    <w:rsid w:val="30C11DC9"/>
    <w:rsid w:val="31E06B7D"/>
    <w:rsid w:val="3380360D"/>
    <w:rsid w:val="33E50D9A"/>
    <w:rsid w:val="341C6A1A"/>
    <w:rsid w:val="342D2D66"/>
    <w:rsid w:val="34C578C1"/>
    <w:rsid w:val="361B3D26"/>
    <w:rsid w:val="362864E1"/>
    <w:rsid w:val="3661252D"/>
    <w:rsid w:val="3AED7D56"/>
    <w:rsid w:val="3D1C1526"/>
    <w:rsid w:val="3D2C2BCE"/>
    <w:rsid w:val="3F3629C6"/>
    <w:rsid w:val="3F727D55"/>
    <w:rsid w:val="3FA959AA"/>
    <w:rsid w:val="402828F4"/>
    <w:rsid w:val="417173CC"/>
    <w:rsid w:val="419B050B"/>
    <w:rsid w:val="42657B1B"/>
    <w:rsid w:val="431745FE"/>
    <w:rsid w:val="440F0443"/>
    <w:rsid w:val="44F46840"/>
    <w:rsid w:val="458E5C52"/>
    <w:rsid w:val="469B2D81"/>
    <w:rsid w:val="477F4F6A"/>
    <w:rsid w:val="48773032"/>
    <w:rsid w:val="4B273C56"/>
    <w:rsid w:val="4EE7316A"/>
    <w:rsid w:val="4F6341F4"/>
    <w:rsid w:val="4F6D1311"/>
    <w:rsid w:val="534B0CC5"/>
    <w:rsid w:val="53581490"/>
    <w:rsid w:val="537171B6"/>
    <w:rsid w:val="53981487"/>
    <w:rsid w:val="53EC08C5"/>
    <w:rsid w:val="5479255B"/>
    <w:rsid w:val="56333B43"/>
    <w:rsid w:val="570D246C"/>
    <w:rsid w:val="57344BEE"/>
    <w:rsid w:val="5A461CB4"/>
    <w:rsid w:val="5B7F7235"/>
    <w:rsid w:val="5E221AFF"/>
    <w:rsid w:val="5F1B7DD7"/>
    <w:rsid w:val="60991373"/>
    <w:rsid w:val="62460B50"/>
    <w:rsid w:val="625565DE"/>
    <w:rsid w:val="627D5314"/>
    <w:rsid w:val="650E1E72"/>
    <w:rsid w:val="67081382"/>
    <w:rsid w:val="670D3442"/>
    <w:rsid w:val="671F538A"/>
    <w:rsid w:val="68A272F5"/>
    <w:rsid w:val="68C51829"/>
    <w:rsid w:val="6A6F7879"/>
    <w:rsid w:val="6B691327"/>
    <w:rsid w:val="6B6F63E1"/>
    <w:rsid w:val="6CCB62F6"/>
    <w:rsid w:val="6DF97788"/>
    <w:rsid w:val="71452FE2"/>
    <w:rsid w:val="715F7A63"/>
    <w:rsid w:val="72777518"/>
    <w:rsid w:val="730E15ED"/>
    <w:rsid w:val="74AF5AA0"/>
    <w:rsid w:val="7678552D"/>
    <w:rsid w:val="77CC3146"/>
    <w:rsid w:val="77D576AF"/>
    <w:rsid w:val="790274FF"/>
    <w:rsid w:val="79F01268"/>
    <w:rsid w:val="7A7C56A9"/>
    <w:rsid w:val="7BFF53C9"/>
    <w:rsid w:val="7C264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link w:val="79"/>
    <w:qFormat/>
    <w:uiPriority w:val="9"/>
    <w:pPr>
      <w:spacing w:line="360" w:lineRule="auto"/>
      <w:outlineLvl w:val="0"/>
    </w:pPr>
    <w:rPr>
      <w:rFonts w:ascii="Times New Roman" w:hAnsi="Times New Roman" w:cs="微软雅黑"/>
      <w:b/>
      <w:sz w:val="28"/>
      <w:szCs w:val="36"/>
    </w:rPr>
  </w:style>
  <w:style w:type="paragraph" w:styleId="3">
    <w:name w:val="heading 2"/>
    <w:basedOn w:val="1"/>
    <w:next w:val="1"/>
    <w:link w:val="4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keepNext/>
      <w:keepLines/>
      <w:widowControl w:val="0"/>
      <w:suppressLineNumbers w:val="0"/>
      <w:spacing w:before="0" w:beforeAutospacing="0" w:after="0" w:afterAutospacing="0" w:line="540" w:lineRule="exact"/>
      <w:ind w:left="0" w:right="0" w:firstLine="480" w:firstLineChars="200"/>
      <w:jc w:val="left"/>
      <w:outlineLvl w:val="2"/>
    </w:pPr>
    <w:rPr>
      <w:rFonts w:hint="default" w:ascii="仿宋_GB2312" w:hAnsi="宋体" w:eastAsia="仿宋_GB2312" w:cs="仿宋_GB2312"/>
      <w:b/>
      <w:kern w:val="2"/>
      <w:sz w:val="24"/>
      <w:szCs w:val="24"/>
      <w:lang w:val="en-US" w:eastAsia="zh-CN" w:bidi="ar"/>
    </w:rPr>
  </w:style>
  <w:style w:type="paragraph" w:styleId="5">
    <w:name w:val="heading 4"/>
    <w:basedOn w:val="1"/>
    <w:next w:val="1"/>
    <w:link w:val="6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semiHidden/>
    <w:unhideWhenUsed/>
    <w:qFormat/>
    <w:uiPriority w:val="39"/>
    <w:pPr>
      <w:ind w:left="2520" w:leftChars="1200"/>
    </w:pPr>
  </w:style>
  <w:style w:type="paragraph" w:styleId="7">
    <w:name w:val="caption"/>
    <w:basedOn w:val="1"/>
    <w:next w:val="1"/>
    <w:link w:val="62"/>
    <w:qFormat/>
    <w:uiPriority w:val="0"/>
    <w:pPr>
      <w:autoSpaceDE/>
      <w:autoSpaceDN/>
      <w:spacing w:before="6" w:after="6" w:line="0" w:lineRule="atLeast"/>
      <w:jc w:val="both"/>
    </w:pPr>
    <w:rPr>
      <w:rFonts w:ascii="Arial" w:hAnsi="Arial" w:cs="Times New Roman"/>
      <w:kern w:val="24"/>
      <w:sz w:val="24"/>
      <w:szCs w:val="24"/>
      <w:lang w:eastAsia="zh-CN"/>
    </w:rPr>
  </w:style>
  <w:style w:type="paragraph" w:styleId="8">
    <w:name w:val="Document Map"/>
    <w:basedOn w:val="1"/>
    <w:link w:val="41"/>
    <w:unhideWhenUsed/>
    <w:qFormat/>
    <w:uiPriority w:val="0"/>
    <w:pPr>
      <w:autoSpaceDE/>
      <w:autoSpaceDN/>
      <w:spacing w:line="360" w:lineRule="auto"/>
      <w:ind w:firstLine="200" w:firstLineChars="200"/>
      <w:jc w:val="both"/>
    </w:pPr>
    <w:rPr>
      <w:rFonts w:cs="Times New Roman"/>
      <w:sz w:val="18"/>
      <w:szCs w:val="18"/>
      <w:lang w:val="zh-CN" w:eastAsia="zh-CN"/>
    </w:rPr>
  </w:style>
  <w:style w:type="paragraph" w:styleId="9">
    <w:name w:val="annotation text"/>
    <w:basedOn w:val="1"/>
    <w:link w:val="54"/>
    <w:autoRedefine/>
    <w:qFormat/>
    <w:uiPriority w:val="0"/>
    <w:pPr>
      <w:autoSpaceDE/>
      <w:autoSpaceDN/>
      <w:spacing w:line="300" w:lineRule="atLeast"/>
      <w:jc w:val="center"/>
    </w:pPr>
    <w:rPr>
      <w:rFonts w:ascii="Times New Roman" w:hAnsi="Times New Roman" w:cs="Times New Roman"/>
      <w:kern w:val="2"/>
      <w:sz w:val="21"/>
      <w:szCs w:val="24"/>
      <w:lang w:eastAsia="zh-CN"/>
    </w:rPr>
  </w:style>
  <w:style w:type="paragraph" w:styleId="10">
    <w:name w:val="Body Text"/>
    <w:basedOn w:val="1"/>
    <w:link w:val="52"/>
    <w:qFormat/>
    <w:uiPriority w:val="1"/>
    <w:rPr>
      <w:rFonts w:ascii="黑体" w:hAnsi="黑体" w:eastAsia="黑体" w:cs="黑体"/>
      <w:sz w:val="30"/>
      <w:szCs w:val="30"/>
    </w:rPr>
  </w:style>
  <w:style w:type="paragraph" w:styleId="11">
    <w:name w:val="Body Text Indent"/>
    <w:basedOn w:val="1"/>
    <w:link w:val="59"/>
    <w:semiHidden/>
    <w:unhideWhenUsed/>
    <w:qFormat/>
    <w:uiPriority w:val="99"/>
    <w:pPr>
      <w:spacing w:after="120"/>
      <w:ind w:left="420" w:leftChars="200"/>
    </w:pPr>
  </w:style>
  <w:style w:type="paragraph" w:styleId="12">
    <w:name w:val="toc 3"/>
    <w:basedOn w:val="1"/>
    <w:next w:val="1"/>
    <w:autoRedefine/>
    <w:unhideWhenUsed/>
    <w:qFormat/>
    <w:uiPriority w:val="39"/>
    <w:pPr>
      <w:widowControl/>
      <w:autoSpaceDE/>
      <w:autoSpaceDN/>
      <w:spacing w:after="100" w:line="259" w:lineRule="auto"/>
      <w:ind w:left="440"/>
    </w:pPr>
    <w:rPr>
      <w:rFonts w:cs="Times New Roman" w:asciiTheme="minorHAnsi" w:hAnsiTheme="minorHAnsi" w:eastAsiaTheme="minorEastAsia"/>
      <w:lang w:eastAsia="zh-CN"/>
    </w:rPr>
  </w:style>
  <w:style w:type="paragraph" w:styleId="13">
    <w:name w:val="Plain Text"/>
    <w:basedOn w:val="1"/>
    <w:link w:val="46"/>
    <w:qFormat/>
    <w:uiPriority w:val="0"/>
    <w:pPr>
      <w:autoSpaceDE/>
      <w:autoSpaceDN/>
      <w:jc w:val="both"/>
    </w:pPr>
    <w:rPr>
      <w:rFonts w:hAnsi="Courier New" w:cs="Times New Roman"/>
      <w:kern w:val="2"/>
      <w:sz w:val="21"/>
      <w:szCs w:val="20"/>
      <w:lang w:eastAsia="zh-CN"/>
    </w:rPr>
  </w:style>
  <w:style w:type="paragraph" w:styleId="14">
    <w:name w:val="Balloon Text"/>
    <w:basedOn w:val="1"/>
    <w:link w:val="42"/>
    <w:semiHidden/>
    <w:unhideWhenUsed/>
    <w:qFormat/>
    <w:uiPriority w:val="99"/>
    <w:rPr>
      <w:sz w:val="18"/>
      <w:szCs w:val="18"/>
    </w:rPr>
  </w:style>
  <w:style w:type="paragraph" w:styleId="15">
    <w:name w:val="footer"/>
    <w:basedOn w:val="1"/>
    <w:link w:val="36"/>
    <w:unhideWhenUsed/>
    <w:qFormat/>
    <w:uiPriority w:val="0"/>
    <w:pPr>
      <w:tabs>
        <w:tab w:val="center" w:pos="4153"/>
        <w:tab w:val="right" w:pos="8306"/>
      </w:tabs>
      <w:snapToGrid w:val="0"/>
    </w:pPr>
    <w:rPr>
      <w:sz w:val="18"/>
      <w:szCs w:val="18"/>
    </w:rPr>
  </w:style>
  <w:style w:type="paragraph" w:styleId="16">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widowControl/>
      <w:autoSpaceDE/>
      <w:autoSpaceDN/>
      <w:spacing w:after="100" w:line="259" w:lineRule="auto"/>
    </w:pPr>
    <w:rPr>
      <w:rFonts w:cs="Times New Roman" w:asciiTheme="minorHAnsi" w:hAnsiTheme="minorHAnsi" w:eastAsiaTheme="minorEastAsia"/>
      <w:lang w:eastAsia="zh-CN"/>
    </w:rPr>
  </w:style>
  <w:style w:type="paragraph" w:styleId="18">
    <w:name w:val="List Continue 4"/>
    <w:basedOn w:val="1"/>
    <w:next w:val="1"/>
    <w:qFormat/>
    <w:uiPriority w:val="0"/>
    <w:pPr>
      <w:spacing w:after="120"/>
      <w:ind w:left="1680" w:firstLine="480"/>
    </w:pPr>
    <w:rPr>
      <w:rFonts w:ascii="宋体"/>
      <w:sz w:val="24"/>
    </w:rPr>
  </w:style>
  <w:style w:type="paragraph" w:styleId="19">
    <w:name w:val="List"/>
    <w:basedOn w:val="1"/>
    <w:next w:val="1"/>
    <w:qFormat/>
    <w:uiPriority w:val="0"/>
    <w:pPr>
      <w:ind w:left="200" w:hanging="200" w:hangingChars="200"/>
    </w:pPr>
  </w:style>
  <w:style w:type="paragraph" w:styleId="20">
    <w:name w:val="table of figures"/>
    <w:basedOn w:val="1"/>
    <w:next w:val="1"/>
    <w:semiHidden/>
    <w:unhideWhenUsed/>
    <w:qFormat/>
    <w:uiPriority w:val="99"/>
    <w:pPr>
      <w:ind w:left="200" w:leftChars="200" w:hanging="200" w:hangingChars="200"/>
    </w:pPr>
  </w:style>
  <w:style w:type="paragraph" w:styleId="21">
    <w:name w:val="toc 2"/>
    <w:basedOn w:val="1"/>
    <w:next w:val="1"/>
    <w:autoRedefine/>
    <w:unhideWhenUsed/>
    <w:qFormat/>
    <w:uiPriority w:val="39"/>
    <w:pPr>
      <w:widowControl/>
      <w:autoSpaceDE/>
      <w:autoSpaceDN/>
      <w:spacing w:after="100" w:line="259" w:lineRule="auto"/>
      <w:ind w:left="220"/>
    </w:pPr>
    <w:rPr>
      <w:rFonts w:cs="Times New Roman" w:asciiTheme="minorHAnsi" w:hAnsiTheme="minorHAnsi" w:eastAsiaTheme="minorEastAsia"/>
      <w:lang w:eastAsia="zh-CN"/>
    </w:rPr>
  </w:style>
  <w:style w:type="paragraph" w:styleId="22">
    <w:name w:val="Body Text 2"/>
    <w:basedOn w:val="1"/>
    <w:next w:val="1"/>
    <w:link w:val="66"/>
    <w:unhideWhenUsed/>
    <w:qFormat/>
    <w:uiPriority w:val="99"/>
    <w:pPr>
      <w:autoSpaceDE/>
      <w:autoSpaceDN/>
      <w:spacing w:after="120" w:line="480" w:lineRule="auto"/>
      <w:jc w:val="both"/>
    </w:pPr>
    <w:rPr>
      <w:rFonts w:ascii="Times New Roman" w:hAnsi="Times New Roman" w:cs="Times New Roman"/>
      <w:kern w:val="2"/>
      <w:sz w:val="21"/>
      <w:szCs w:val="24"/>
      <w:lang w:eastAsia="zh-CN"/>
    </w:rPr>
  </w:style>
  <w:style w:type="paragraph" w:styleId="23">
    <w:name w:val="Normal (Web)"/>
    <w:basedOn w:val="1"/>
    <w:link w:val="74"/>
    <w:qFormat/>
    <w:uiPriority w:val="0"/>
    <w:pPr>
      <w:widowControl/>
      <w:autoSpaceDE/>
      <w:autoSpaceDN/>
      <w:spacing w:before="100" w:beforeAutospacing="1" w:after="100" w:afterAutospacing="1"/>
    </w:pPr>
    <w:rPr>
      <w:rFonts w:cs="Times New Roman"/>
      <w:sz w:val="24"/>
      <w:szCs w:val="24"/>
      <w:lang w:eastAsia="zh-CN"/>
    </w:rPr>
  </w:style>
  <w:style w:type="paragraph" w:styleId="24">
    <w:name w:val="Title"/>
    <w:basedOn w:val="1"/>
    <w:next w:val="1"/>
    <w:link w:val="51"/>
    <w:qFormat/>
    <w:uiPriority w:val="10"/>
    <w:pPr>
      <w:spacing w:before="240" w:after="60"/>
      <w:jc w:val="center"/>
      <w:outlineLvl w:val="0"/>
    </w:pPr>
    <w:rPr>
      <w:rFonts w:eastAsia="黑体" w:asciiTheme="majorHAnsi" w:hAnsiTheme="majorHAnsi" w:cstheme="majorBidi"/>
      <w:b/>
      <w:bCs/>
      <w:sz w:val="30"/>
      <w:szCs w:val="32"/>
    </w:rPr>
  </w:style>
  <w:style w:type="paragraph" w:styleId="25">
    <w:name w:val="Body Text First Indent"/>
    <w:basedOn w:val="10"/>
    <w:next w:val="26"/>
    <w:link w:val="53"/>
    <w:unhideWhenUsed/>
    <w:qFormat/>
    <w:uiPriority w:val="99"/>
    <w:pPr>
      <w:spacing w:after="120"/>
      <w:ind w:firstLine="420" w:firstLineChars="100"/>
    </w:pPr>
    <w:rPr>
      <w:rFonts w:ascii="宋体" w:hAnsi="宋体" w:eastAsia="宋体" w:cs="宋体"/>
      <w:sz w:val="22"/>
      <w:szCs w:val="22"/>
    </w:rPr>
  </w:style>
  <w:style w:type="paragraph" w:styleId="26">
    <w:name w:val="Body Text First Indent 2"/>
    <w:basedOn w:val="1"/>
    <w:next w:val="18"/>
    <w:link w:val="60"/>
    <w:unhideWhenUsed/>
    <w:qFormat/>
    <w:uiPriority w:val="99"/>
    <w:pPr>
      <w:ind w:firstLine="420" w:firstLineChars="200"/>
    </w:pPr>
  </w:style>
  <w:style w:type="table" w:styleId="28">
    <w:name w:val="Table Grid"/>
    <w:basedOn w:val="27"/>
    <w:qFormat/>
    <w:uiPriority w:val="0"/>
    <w:pPr>
      <w:spacing w:line="300" w:lineRule="exact"/>
      <w:jc w:val="center"/>
    </w:pPr>
    <w:rPr>
      <w:rFonts w:ascii="Times New Roman" w:hAnsi="Times New Roman"/>
      <w:sz w:val="21"/>
    </w:rPr>
    <w:tblPr>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rPr>
      <w:jc w:val="center"/>
    </w:trPr>
    <w:tcPr>
      <w:vAlign w:val="center"/>
    </w:tcPr>
  </w:style>
  <w:style w:type="character" w:styleId="30">
    <w:name w:val="Emphasis"/>
    <w:basedOn w:val="29"/>
    <w:qFormat/>
    <w:uiPriority w:val="20"/>
    <w:rPr>
      <w:i/>
      <w:iCs/>
    </w:rPr>
  </w:style>
  <w:style w:type="character" w:styleId="31">
    <w:name w:val="Hyperlink"/>
    <w:basedOn w:val="29"/>
    <w:semiHidden/>
    <w:unhideWhenUsed/>
    <w:qFormat/>
    <w:uiPriority w:val="99"/>
    <w:rPr>
      <w:color w:val="0000FF"/>
      <w:u w:val="single"/>
    </w:rPr>
  </w:style>
  <w:style w:type="table" w:customStyle="1" w:styleId="32">
    <w:name w:val="Table Normal"/>
    <w:semiHidden/>
    <w:unhideWhenUsed/>
    <w:qFormat/>
    <w:uiPriority w:val="2"/>
    <w:tblPr>
      <w:tblCellMar>
        <w:top w:w="0" w:type="dxa"/>
        <w:left w:w="0" w:type="dxa"/>
        <w:bottom w:w="0" w:type="dxa"/>
        <w:right w:w="0" w:type="dxa"/>
      </w:tblCellMar>
    </w:tblPr>
  </w:style>
  <w:style w:type="paragraph" w:styleId="33">
    <w:name w:val="List Paragraph"/>
    <w:basedOn w:val="1"/>
    <w:qFormat/>
    <w:uiPriority w:val="1"/>
  </w:style>
  <w:style w:type="paragraph" w:customStyle="1" w:styleId="34">
    <w:name w:val="Table Paragraph"/>
    <w:basedOn w:val="1"/>
    <w:qFormat/>
    <w:uiPriority w:val="1"/>
  </w:style>
  <w:style w:type="character" w:customStyle="1" w:styleId="35">
    <w:name w:val="页眉 字符"/>
    <w:basedOn w:val="29"/>
    <w:link w:val="16"/>
    <w:qFormat/>
    <w:uiPriority w:val="99"/>
    <w:rPr>
      <w:rFonts w:ascii="宋体" w:hAnsi="宋体" w:eastAsia="宋体" w:cs="宋体"/>
      <w:sz w:val="18"/>
      <w:szCs w:val="18"/>
    </w:rPr>
  </w:style>
  <w:style w:type="character" w:customStyle="1" w:styleId="36">
    <w:name w:val="页脚 字符"/>
    <w:basedOn w:val="29"/>
    <w:link w:val="15"/>
    <w:qFormat/>
    <w:uiPriority w:val="99"/>
    <w:rPr>
      <w:rFonts w:ascii="宋体" w:hAnsi="宋体" w:eastAsia="宋体" w:cs="宋体"/>
      <w:sz w:val="18"/>
      <w:szCs w:val="18"/>
    </w:rPr>
  </w:style>
  <w:style w:type="paragraph" w:customStyle="1" w:styleId="37">
    <w:name w:val="表格内文字"/>
    <w:basedOn w:val="1"/>
    <w:next w:val="1"/>
    <w:link w:val="38"/>
    <w:qFormat/>
    <w:uiPriority w:val="0"/>
    <w:pPr>
      <w:widowControl/>
      <w:autoSpaceDE/>
      <w:autoSpaceDN/>
      <w:jc w:val="center"/>
    </w:pPr>
    <w:rPr>
      <w:rFonts w:ascii="Times New Roman" w:hAnsi="Times New Roman" w:cs="Times New Roman"/>
      <w:sz w:val="21"/>
      <w:szCs w:val="21"/>
      <w:lang w:val="zh-CN" w:eastAsia="zh-CN"/>
    </w:rPr>
  </w:style>
  <w:style w:type="character" w:customStyle="1" w:styleId="38">
    <w:name w:val="表格内文字 字符"/>
    <w:link w:val="37"/>
    <w:qFormat/>
    <w:uiPriority w:val="0"/>
    <w:rPr>
      <w:rFonts w:ascii="Times New Roman" w:hAnsi="Times New Roman" w:eastAsia="宋体" w:cs="Times New Roman"/>
      <w:sz w:val="21"/>
      <w:szCs w:val="21"/>
      <w:lang w:val="zh-CN" w:eastAsia="zh-CN"/>
    </w:rPr>
  </w:style>
  <w:style w:type="paragraph" w:customStyle="1" w:styleId="39">
    <w:name w:val="小标题"/>
    <w:next w:val="1"/>
    <w:link w:val="40"/>
    <w:qFormat/>
    <w:uiPriority w:val="0"/>
    <w:pPr>
      <w:spacing w:line="360" w:lineRule="auto"/>
      <w:ind w:firstLine="200" w:firstLineChars="200"/>
    </w:pPr>
    <w:rPr>
      <w:rFonts w:ascii="Times New Roman" w:hAnsi="Times New Roman" w:eastAsia="宋体" w:cs="Times New Roman"/>
      <w:b/>
      <w:bCs/>
      <w:sz w:val="24"/>
      <w:szCs w:val="32"/>
      <w:lang w:val="en-US" w:eastAsia="zh-CN" w:bidi="ar-SA"/>
    </w:rPr>
  </w:style>
  <w:style w:type="character" w:customStyle="1" w:styleId="40">
    <w:name w:val="小标题 字符"/>
    <w:link w:val="39"/>
    <w:qFormat/>
    <w:uiPriority w:val="0"/>
    <w:rPr>
      <w:rFonts w:ascii="Times New Roman" w:hAnsi="Times New Roman" w:eastAsia="宋体" w:cs="Times New Roman"/>
      <w:b/>
      <w:bCs/>
      <w:sz w:val="24"/>
      <w:szCs w:val="32"/>
      <w:lang w:eastAsia="zh-CN"/>
    </w:rPr>
  </w:style>
  <w:style w:type="character" w:customStyle="1" w:styleId="41">
    <w:name w:val="文档结构图 字符"/>
    <w:basedOn w:val="29"/>
    <w:link w:val="8"/>
    <w:qFormat/>
    <w:uiPriority w:val="0"/>
    <w:rPr>
      <w:rFonts w:ascii="宋体" w:hAnsi="宋体" w:eastAsia="宋体" w:cs="Times New Roman"/>
      <w:sz w:val="18"/>
      <w:szCs w:val="18"/>
      <w:lang w:val="zh-CN" w:eastAsia="zh-CN"/>
    </w:rPr>
  </w:style>
  <w:style w:type="character" w:customStyle="1" w:styleId="42">
    <w:name w:val="批注框文本 字符"/>
    <w:basedOn w:val="29"/>
    <w:link w:val="14"/>
    <w:semiHidden/>
    <w:qFormat/>
    <w:uiPriority w:val="99"/>
    <w:rPr>
      <w:rFonts w:ascii="宋体" w:hAnsi="宋体" w:eastAsia="宋体" w:cs="宋体"/>
      <w:sz w:val="18"/>
      <w:szCs w:val="18"/>
    </w:rPr>
  </w:style>
  <w:style w:type="paragraph" w:customStyle="1" w:styleId="43">
    <w:name w:val="TOC 标题1"/>
    <w:basedOn w:val="2"/>
    <w:next w:val="1"/>
    <w:unhideWhenUsed/>
    <w:qFormat/>
    <w:uiPriority w:val="39"/>
    <w:pPr>
      <w:keepNext/>
      <w:keepLines/>
      <w:widowControl/>
      <w:autoSpaceDE/>
      <w:autoSpaceDN/>
      <w:spacing w:before="240" w:line="259" w:lineRule="auto"/>
      <w:outlineLvl w:val="9"/>
    </w:pPr>
    <w:rPr>
      <w:rFonts w:asciiTheme="majorHAnsi" w:hAnsiTheme="majorHAnsi" w:eastAsiaTheme="majorEastAsia" w:cstheme="majorBidi"/>
      <w:color w:val="366091" w:themeColor="accent1" w:themeShade="BF"/>
      <w:sz w:val="32"/>
      <w:szCs w:val="32"/>
      <w:lang w:eastAsia="zh-CN"/>
    </w:rPr>
  </w:style>
  <w:style w:type="character" w:customStyle="1" w:styleId="44">
    <w:name w:val="标题 2 字符"/>
    <w:basedOn w:val="29"/>
    <w:link w:val="3"/>
    <w:semiHidden/>
    <w:qFormat/>
    <w:uiPriority w:val="9"/>
    <w:rPr>
      <w:rFonts w:asciiTheme="majorHAnsi" w:hAnsiTheme="majorHAnsi" w:eastAsiaTheme="majorEastAsia" w:cstheme="majorBidi"/>
      <w:b/>
      <w:bCs/>
      <w:sz w:val="32"/>
      <w:szCs w:val="32"/>
    </w:rPr>
  </w:style>
  <w:style w:type="paragraph" w:customStyle="1" w:styleId="45">
    <w:name w:val="Default"/>
    <w:qFormat/>
    <w:uiPriority w:val="0"/>
    <w:pPr>
      <w:widowControl w:val="0"/>
      <w:autoSpaceDE w:val="0"/>
      <w:autoSpaceDN w:val="0"/>
      <w:adjustRightInd w:val="0"/>
    </w:pPr>
    <w:rPr>
      <w:rFonts w:ascii="宋体" w:eastAsia="宋体" w:cs="宋体" w:hAnsiTheme="minorHAnsi"/>
      <w:color w:val="000000"/>
      <w:sz w:val="24"/>
      <w:szCs w:val="24"/>
      <w:lang w:val="en-US" w:eastAsia="en-US" w:bidi="ar-SA"/>
    </w:rPr>
  </w:style>
  <w:style w:type="character" w:customStyle="1" w:styleId="46">
    <w:name w:val="纯文本 字符"/>
    <w:basedOn w:val="29"/>
    <w:link w:val="13"/>
    <w:qFormat/>
    <w:uiPriority w:val="0"/>
    <w:rPr>
      <w:rFonts w:ascii="宋体" w:hAnsi="Courier New" w:eastAsia="宋体" w:cs="Times New Roman"/>
      <w:kern w:val="2"/>
      <w:sz w:val="21"/>
      <w:szCs w:val="20"/>
      <w:lang w:eastAsia="zh-CN"/>
    </w:rPr>
  </w:style>
  <w:style w:type="table" w:customStyle="1" w:styleId="47">
    <w:name w:val="Table Normal5"/>
    <w:semiHidden/>
    <w:unhideWhenUsed/>
    <w:qFormat/>
    <w:uiPriority w:val="2"/>
    <w:rPr>
      <w:rFonts w:ascii="Times New Roman" w:hAnsi="Times New Roman" w:cs="Times New Roman"/>
    </w:rPr>
    <w:tblPr>
      <w:tblCellMar>
        <w:top w:w="0" w:type="dxa"/>
        <w:left w:w="0" w:type="dxa"/>
        <w:bottom w:w="0" w:type="dxa"/>
        <w:right w:w="0" w:type="dxa"/>
      </w:tblCellMar>
    </w:tblPr>
  </w:style>
  <w:style w:type="paragraph" w:customStyle="1" w:styleId="48">
    <w:name w:val="表格"/>
    <w:basedOn w:val="20"/>
    <w:next w:val="1"/>
    <w:link w:val="70"/>
    <w:qFormat/>
    <w:uiPriority w:val="0"/>
    <w:pPr>
      <w:autoSpaceDE/>
      <w:autoSpaceDN/>
      <w:jc w:val="center"/>
    </w:pPr>
    <w:rPr>
      <w:rFonts w:asciiTheme="minorHAnsi" w:hAnsiTheme="minorHAnsi" w:eastAsiaTheme="minorEastAsia" w:cstheme="minorBidi"/>
      <w:kern w:val="2"/>
      <w:sz w:val="24"/>
      <w:szCs w:val="24"/>
      <w:lang w:eastAsia="zh-CN"/>
    </w:rPr>
  </w:style>
  <w:style w:type="paragraph" w:customStyle="1" w:styleId="49">
    <w:name w:val="表格文字"/>
    <w:basedOn w:val="1"/>
    <w:next w:val="1"/>
    <w:link w:val="72"/>
    <w:qFormat/>
    <w:uiPriority w:val="0"/>
    <w:pPr>
      <w:autoSpaceDE/>
      <w:autoSpaceDN/>
      <w:snapToGrid w:val="0"/>
      <w:spacing w:line="360" w:lineRule="exact"/>
      <w:jc w:val="center"/>
    </w:pPr>
    <w:rPr>
      <w:rFonts w:ascii="Times New Roman" w:hAnsi="Times New Roman" w:cs="Times New Roman"/>
      <w:kern w:val="2"/>
      <w:sz w:val="24"/>
      <w:szCs w:val="20"/>
      <w:lang w:eastAsia="zh-CN"/>
    </w:rPr>
  </w:style>
  <w:style w:type="paragraph" w:customStyle="1" w:styleId="50">
    <w:name w:val="Char Char Char Char Char Char Char Char Char Char Char Char Char Char Char Char Char Char Char Char Char Char"/>
    <w:basedOn w:val="1"/>
    <w:qFormat/>
    <w:uiPriority w:val="0"/>
    <w:pPr>
      <w:autoSpaceDE/>
      <w:autoSpaceDN/>
      <w:spacing w:line="240" w:lineRule="exact"/>
      <w:ind w:firstLine="200" w:firstLineChars="200"/>
      <w:jc w:val="both"/>
    </w:pPr>
    <w:rPr>
      <w:rFonts w:ascii="Calibri" w:hAnsi="Calibri" w:cs="Calibri"/>
      <w:kern w:val="2"/>
      <w:sz w:val="21"/>
      <w:szCs w:val="20"/>
      <w:lang w:eastAsia="zh-CN"/>
    </w:rPr>
  </w:style>
  <w:style w:type="character" w:customStyle="1" w:styleId="51">
    <w:name w:val="标题 字符"/>
    <w:basedOn w:val="29"/>
    <w:link w:val="24"/>
    <w:qFormat/>
    <w:uiPriority w:val="10"/>
    <w:rPr>
      <w:rFonts w:eastAsia="黑体" w:asciiTheme="majorHAnsi" w:hAnsiTheme="majorHAnsi" w:cstheme="majorBidi"/>
      <w:b/>
      <w:bCs/>
      <w:sz w:val="30"/>
      <w:szCs w:val="32"/>
    </w:rPr>
  </w:style>
  <w:style w:type="character" w:customStyle="1" w:styleId="52">
    <w:name w:val="正文文本 字符"/>
    <w:basedOn w:val="29"/>
    <w:link w:val="10"/>
    <w:qFormat/>
    <w:uiPriority w:val="1"/>
    <w:rPr>
      <w:rFonts w:ascii="黑体" w:hAnsi="黑体" w:eastAsia="黑体" w:cs="黑体"/>
      <w:sz w:val="30"/>
      <w:szCs w:val="30"/>
    </w:rPr>
  </w:style>
  <w:style w:type="character" w:customStyle="1" w:styleId="53">
    <w:name w:val="正文文本首行缩进 字符"/>
    <w:basedOn w:val="52"/>
    <w:link w:val="25"/>
    <w:qFormat/>
    <w:uiPriority w:val="99"/>
    <w:rPr>
      <w:rFonts w:ascii="宋体" w:hAnsi="宋体" w:eastAsia="宋体" w:cs="宋体"/>
      <w:sz w:val="30"/>
      <w:szCs w:val="30"/>
    </w:rPr>
  </w:style>
  <w:style w:type="character" w:customStyle="1" w:styleId="54">
    <w:name w:val="批注文字 字符"/>
    <w:basedOn w:val="29"/>
    <w:link w:val="9"/>
    <w:qFormat/>
    <w:uiPriority w:val="0"/>
    <w:rPr>
      <w:rFonts w:ascii="Times New Roman" w:hAnsi="Times New Roman" w:cs="Times New Roman"/>
      <w:kern w:val="2"/>
      <w:sz w:val="21"/>
      <w:szCs w:val="24"/>
    </w:rPr>
  </w:style>
  <w:style w:type="table" w:customStyle="1" w:styleId="55">
    <w:name w:val="网格型11"/>
    <w:basedOn w:val="27"/>
    <w:autoRedefine/>
    <w:qFormat/>
    <w:uiPriority w:val="39"/>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
    <w:name w:val="z1"/>
    <w:basedOn w:val="1"/>
    <w:autoRedefine/>
    <w:qFormat/>
    <w:uiPriority w:val="0"/>
    <w:pPr>
      <w:autoSpaceDE/>
      <w:autoSpaceDN/>
      <w:adjustRightInd w:val="0"/>
      <w:snapToGrid w:val="0"/>
      <w:spacing w:line="520" w:lineRule="exact"/>
      <w:ind w:firstLine="560" w:firstLineChars="200"/>
      <w:jc w:val="both"/>
      <w:textAlignment w:val="bottom"/>
    </w:pPr>
    <w:rPr>
      <w:rFonts w:ascii="Times New Roman" w:cs="Times New Roman"/>
      <w:kern w:val="2"/>
      <w:sz w:val="28"/>
      <w:szCs w:val="20"/>
      <w:lang w:eastAsia="zh-CN"/>
    </w:rPr>
  </w:style>
  <w:style w:type="paragraph" w:customStyle="1" w:styleId="57">
    <w:name w:val="表格文字1"/>
    <w:basedOn w:val="1"/>
    <w:qFormat/>
    <w:uiPriority w:val="0"/>
    <w:pPr>
      <w:tabs>
        <w:tab w:val="left" w:pos="2745"/>
      </w:tabs>
      <w:autoSpaceDE/>
      <w:autoSpaceDN/>
      <w:snapToGrid w:val="0"/>
      <w:jc w:val="both"/>
    </w:pPr>
    <w:rPr>
      <w:rFonts w:ascii="Times New Roman" w:hAnsi="Times New Roman" w:cs="Times New Roman"/>
      <w:bCs/>
      <w:kern w:val="2"/>
      <w:sz w:val="21"/>
      <w:szCs w:val="24"/>
      <w:lang w:val="zh-CN" w:eastAsia="zh-CN"/>
    </w:rPr>
  </w:style>
  <w:style w:type="paragraph" w:customStyle="1" w:styleId="58">
    <w:name w:val="正文格式"/>
    <w:basedOn w:val="1"/>
    <w:qFormat/>
    <w:uiPriority w:val="0"/>
    <w:pPr>
      <w:autoSpaceDE/>
      <w:autoSpaceDN/>
      <w:spacing w:line="360" w:lineRule="auto"/>
      <w:ind w:firstLine="200" w:firstLineChars="200"/>
    </w:pPr>
    <w:rPr>
      <w:rFonts w:ascii="Times New Roman" w:hAnsi="Times New Roman" w:cs="Times New Roman"/>
      <w:kern w:val="2"/>
      <w:sz w:val="21"/>
      <w:lang w:eastAsia="zh-CN"/>
    </w:rPr>
  </w:style>
  <w:style w:type="character" w:customStyle="1" w:styleId="59">
    <w:name w:val="正文文本缩进 字符"/>
    <w:basedOn w:val="29"/>
    <w:link w:val="11"/>
    <w:semiHidden/>
    <w:qFormat/>
    <w:uiPriority w:val="99"/>
    <w:rPr>
      <w:rFonts w:ascii="宋体" w:hAnsi="宋体" w:eastAsia="宋体" w:cs="宋体"/>
    </w:rPr>
  </w:style>
  <w:style w:type="character" w:customStyle="1" w:styleId="60">
    <w:name w:val="正文文本首行缩进 2 字符"/>
    <w:basedOn w:val="59"/>
    <w:link w:val="26"/>
    <w:qFormat/>
    <w:uiPriority w:val="99"/>
    <w:rPr>
      <w:rFonts w:ascii="宋体" w:hAnsi="宋体" w:eastAsia="宋体" w:cs="宋体"/>
    </w:rPr>
  </w:style>
  <w:style w:type="paragraph" w:customStyle="1" w:styleId="61">
    <w:name w:val="特殊标题３"/>
    <w:basedOn w:val="1"/>
    <w:qFormat/>
    <w:uiPriority w:val="0"/>
    <w:pPr>
      <w:overflowPunct w:val="0"/>
      <w:spacing w:line="360" w:lineRule="auto"/>
      <w:jc w:val="both"/>
    </w:pPr>
    <w:rPr>
      <w:rFonts w:ascii="Times New Roman" w:hAnsi="Times New Roman" w:eastAsia="仿宋_GB2312" w:cs="Times New Roman"/>
      <w:kern w:val="2"/>
      <w:sz w:val="28"/>
      <w:szCs w:val="24"/>
      <w:lang w:eastAsia="zh-CN"/>
    </w:rPr>
  </w:style>
  <w:style w:type="character" w:customStyle="1" w:styleId="62">
    <w:name w:val="题注 字符"/>
    <w:link w:val="7"/>
    <w:qFormat/>
    <w:uiPriority w:val="0"/>
    <w:rPr>
      <w:rFonts w:ascii="Arial" w:hAnsi="Arial" w:eastAsia="宋体" w:cs="Times New Roman"/>
      <w:kern w:val="24"/>
      <w:sz w:val="24"/>
      <w:szCs w:val="24"/>
      <w:lang w:eastAsia="zh-CN"/>
    </w:rPr>
  </w:style>
  <w:style w:type="character" w:customStyle="1" w:styleId="63">
    <w:name w:val="正文啊 Char"/>
    <w:link w:val="64"/>
    <w:qFormat/>
    <w:uiPriority w:val="0"/>
  </w:style>
  <w:style w:type="paragraph" w:customStyle="1" w:styleId="64">
    <w:name w:val="正文啊"/>
    <w:basedOn w:val="1"/>
    <w:link w:val="63"/>
    <w:qFormat/>
    <w:uiPriority w:val="0"/>
    <w:pPr>
      <w:autoSpaceDE/>
      <w:autoSpaceDN/>
      <w:ind w:firstLine="480"/>
      <w:jc w:val="both"/>
    </w:pPr>
    <w:rPr>
      <w:rFonts w:asciiTheme="minorHAnsi" w:hAnsiTheme="minorHAnsi" w:eastAsiaTheme="minorEastAsia" w:cstheme="minorBidi"/>
    </w:rPr>
  </w:style>
  <w:style w:type="character" w:customStyle="1" w:styleId="65">
    <w:name w:val="标题 4 字符"/>
    <w:basedOn w:val="29"/>
    <w:link w:val="5"/>
    <w:semiHidden/>
    <w:qFormat/>
    <w:uiPriority w:val="9"/>
    <w:rPr>
      <w:rFonts w:asciiTheme="majorHAnsi" w:hAnsiTheme="majorHAnsi" w:eastAsiaTheme="majorEastAsia" w:cstheme="majorBidi"/>
      <w:b/>
      <w:bCs/>
      <w:sz w:val="28"/>
      <w:szCs w:val="28"/>
    </w:rPr>
  </w:style>
  <w:style w:type="character" w:customStyle="1" w:styleId="66">
    <w:name w:val="正文文本 2 字符"/>
    <w:basedOn w:val="29"/>
    <w:link w:val="22"/>
    <w:qFormat/>
    <w:uiPriority w:val="99"/>
    <w:rPr>
      <w:rFonts w:ascii="Times New Roman" w:hAnsi="Times New Roman" w:eastAsia="宋体" w:cs="Times New Roman"/>
      <w:kern w:val="2"/>
      <w:sz w:val="21"/>
      <w:szCs w:val="24"/>
      <w:lang w:eastAsia="zh-CN"/>
    </w:rPr>
  </w:style>
  <w:style w:type="paragraph" w:customStyle="1" w:styleId="67">
    <w:name w:val="环评正文"/>
    <w:basedOn w:val="1"/>
    <w:next w:val="1"/>
    <w:qFormat/>
    <w:uiPriority w:val="0"/>
    <w:pPr>
      <w:autoSpaceDE/>
      <w:autoSpaceDN/>
      <w:spacing w:line="500" w:lineRule="exact"/>
      <w:ind w:firstLine="560" w:firstLineChars="200"/>
      <w:jc w:val="both"/>
    </w:pPr>
    <w:rPr>
      <w:rFonts w:ascii="仿宋_GB2312" w:hAnsi="Calibri" w:eastAsia="仿宋_GB2312" w:cs="Times New Roman"/>
      <w:kern w:val="2"/>
      <w:sz w:val="28"/>
      <w:lang w:eastAsia="zh-CN"/>
    </w:rPr>
  </w:style>
  <w:style w:type="paragraph" w:customStyle="1" w:styleId="68">
    <w:name w:val="样式2"/>
    <w:basedOn w:val="33"/>
    <w:qFormat/>
    <w:uiPriority w:val="0"/>
    <w:pPr>
      <w:autoSpaceDE/>
      <w:autoSpaceDN/>
      <w:spacing w:line="360" w:lineRule="auto"/>
      <w:ind w:left="858"/>
      <w:jc w:val="both"/>
      <w:outlineLvl w:val="1"/>
    </w:pPr>
    <w:rPr>
      <w:b/>
      <w:kern w:val="2"/>
      <w:sz w:val="30"/>
      <w:szCs w:val="30"/>
      <w:lang w:val="zh-CN" w:eastAsia="zh-CN" w:bidi="zh-CN"/>
    </w:rPr>
  </w:style>
  <w:style w:type="paragraph" w:customStyle="1" w:styleId="69">
    <w:name w:val="表格标题"/>
    <w:autoRedefine/>
    <w:qFormat/>
    <w:uiPriority w:val="0"/>
    <w:pPr>
      <w:tabs>
        <w:tab w:val="right" w:leader="dot" w:pos="8296"/>
      </w:tabs>
      <w:jc w:val="center"/>
    </w:pPr>
    <w:rPr>
      <w:rFonts w:ascii="Times New Roman" w:hAnsi="Times New Roman" w:eastAsia="宋体" w:cs="Times New Roman"/>
      <w:b/>
      <w:kern w:val="2"/>
      <w:sz w:val="24"/>
      <w:szCs w:val="24"/>
      <w:lang w:val="en-US" w:eastAsia="zh-CN" w:bidi="ar-SA"/>
    </w:rPr>
  </w:style>
  <w:style w:type="character" w:customStyle="1" w:styleId="70">
    <w:name w:val="表格 Char"/>
    <w:link w:val="48"/>
    <w:qFormat/>
    <w:locked/>
    <w:uiPriority w:val="0"/>
    <w:rPr>
      <w:kern w:val="2"/>
      <w:sz w:val="24"/>
      <w:szCs w:val="24"/>
      <w:lang w:eastAsia="zh-CN"/>
    </w:rPr>
  </w:style>
  <w:style w:type="paragraph" w:customStyle="1" w:styleId="71">
    <w:name w:val="图表标题"/>
    <w:basedOn w:val="20"/>
    <w:next w:val="48"/>
    <w:qFormat/>
    <w:uiPriority w:val="0"/>
    <w:pPr>
      <w:autoSpaceDE/>
      <w:autoSpaceDN/>
      <w:ind w:left="0" w:leftChars="0" w:firstLine="0" w:firstLineChars="0"/>
      <w:jc w:val="center"/>
      <w:outlineLvl w:val="4"/>
    </w:pPr>
    <w:rPr>
      <w:rFonts w:ascii="Times New Roman" w:hAnsi="Times New Roman" w:cs="Times New Roman"/>
      <w:b/>
      <w:bCs/>
      <w:snapToGrid w:val="0"/>
      <w:kern w:val="2"/>
      <w:sz w:val="21"/>
      <w:szCs w:val="24"/>
      <w:lang w:eastAsia="zh-CN"/>
    </w:rPr>
  </w:style>
  <w:style w:type="character" w:customStyle="1" w:styleId="72">
    <w:name w:val="表格文字 Char"/>
    <w:link w:val="49"/>
    <w:qFormat/>
    <w:uiPriority w:val="0"/>
    <w:rPr>
      <w:rFonts w:ascii="Times New Roman" w:hAnsi="Times New Roman" w:eastAsia="宋体" w:cs="Times New Roman"/>
      <w:kern w:val="2"/>
      <w:sz w:val="24"/>
      <w:szCs w:val="20"/>
      <w:lang w:eastAsia="zh-CN"/>
    </w:rPr>
  </w:style>
  <w:style w:type="paragraph" w:customStyle="1" w:styleId="73">
    <w:name w:val="表格1"/>
    <w:basedOn w:val="1"/>
    <w:qFormat/>
    <w:uiPriority w:val="0"/>
    <w:pPr>
      <w:autoSpaceDE/>
      <w:autoSpaceDN/>
      <w:jc w:val="center"/>
    </w:pPr>
    <w:rPr>
      <w:rFonts w:ascii="Times New Roman" w:hAnsi="Times New Roman" w:cs="Times New Roman"/>
      <w:bCs/>
      <w:color w:val="000000"/>
      <w:sz w:val="21"/>
      <w:szCs w:val="19"/>
      <w:lang w:eastAsia="zh-CN"/>
    </w:rPr>
  </w:style>
  <w:style w:type="character" w:customStyle="1" w:styleId="74">
    <w:name w:val="普通(网站) 字符"/>
    <w:link w:val="23"/>
    <w:autoRedefine/>
    <w:qFormat/>
    <w:locked/>
    <w:uiPriority w:val="0"/>
    <w:rPr>
      <w:rFonts w:ascii="宋体" w:hAnsi="宋体" w:eastAsia="宋体" w:cs="Times New Roman"/>
      <w:sz w:val="24"/>
      <w:szCs w:val="24"/>
      <w:lang w:eastAsia="zh-CN"/>
    </w:rPr>
  </w:style>
  <w:style w:type="paragraph" w:customStyle="1" w:styleId="75">
    <w:name w:val="表格内容"/>
    <w:basedOn w:val="13"/>
    <w:next w:val="13"/>
    <w:link w:val="76"/>
    <w:qFormat/>
    <w:uiPriority w:val="0"/>
    <w:pPr>
      <w:jc w:val="left"/>
    </w:pPr>
    <w:rPr>
      <w:rFonts w:ascii="Times New Roman" w:hAnsi="Times New Roman" w:eastAsia="Times New Roman"/>
      <w:szCs w:val="21"/>
    </w:rPr>
  </w:style>
  <w:style w:type="character" w:customStyle="1" w:styleId="76">
    <w:name w:val="表格内容 Char"/>
    <w:link w:val="75"/>
    <w:qFormat/>
    <w:uiPriority w:val="0"/>
    <w:rPr>
      <w:rFonts w:ascii="Times New Roman" w:hAnsi="Times New Roman" w:eastAsia="Times New Roman" w:cs="Times New Roman"/>
      <w:kern w:val="2"/>
      <w:sz w:val="21"/>
      <w:szCs w:val="21"/>
      <w:lang w:eastAsia="zh-CN"/>
    </w:rPr>
  </w:style>
  <w:style w:type="paragraph" w:customStyle="1" w:styleId="77">
    <w:name w:val="Char Char"/>
    <w:basedOn w:val="1"/>
    <w:semiHidden/>
    <w:qFormat/>
    <w:uiPriority w:val="0"/>
    <w:pPr>
      <w:tabs>
        <w:tab w:val="left" w:pos="426"/>
      </w:tabs>
      <w:autoSpaceDE/>
      <w:autoSpaceDN/>
      <w:ind w:left="426" w:hanging="420"/>
      <w:jc w:val="both"/>
    </w:pPr>
    <w:rPr>
      <w:rFonts w:ascii="Times New Roman" w:hAnsi="Times New Roman" w:cs="Times New Roman"/>
      <w:kern w:val="2"/>
      <w:sz w:val="24"/>
      <w:szCs w:val="24"/>
      <w:lang w:eastAsia="zh-CN"/>
    </w:rPr>
  </w:style>
  <w:style w:type="paragraph" w:customStyle="1" w:styleId="78">
    <w:name w:val="正文首行缩进 2字符"/>
    <w:basedOn w:val="1"/>
    <w:autoRedefine/>
    <w:qFormat/>
    <w:uiPriority w:val="0"/>
    <w:pPr>
      <w:widowControl/>
      <w:autoSpaceDE/>
      <w:autoSpaceDN/>
      <w:ind w:firstLine="480"/>
    </w:pPr>
    <w:rPr>
      <w:rFonts w:ascii="Times New Roman" w:hAnsi="Times New Roman" w:cs="Times New Roman"/>
      <w:kern w:val="2"/>
      <w:sz w:val="21"/>
      <w:szCs w:val="21"/>
      <w:lang w:eastAsia="zh-CN"/>
    </w:rPr>
  </w:style>
  <w:style w:type="character" w:customStyle="1" w:styleId="79">
    <w:name w:val="标题 1 字符"/>
    <w:basedOn w:val="29"/>
    <w:link w:val="2"/>
    <w:qFormat/>
    <w:uiPriority w:val="9"/>
    <w:rPr>
      <w:rFonts w:ascii="Times New Roman" w:hAnsi="Times New Roman" w:eastAsia="宋体" w:cs="微软雅黑"/>
      <w:b/>
      <w:sz w:val="28"/>
      <w:szCs w:val="36"/>
    </w:rPr>
  </w:style>
  <w:style w:type="paragraph" w:customStyle="1" w:styleId="80">
    <w:name w:val="表头字体"/>
    <w:basedOn w:val="1"/>
    <w:link w:val="81"/>
    <w:qFormat/>
    <w:uiPriority w:val="0"/>
    <w:pPr>
      <w:autoSpaceDE/>
      <w:autoSpaceDN/>
      <w:jc w:val="center"/>
    </w:pPr>
    <w:rPr>
      <w:rFonts w:ascii="Times New Roman" w:hAnsi="Times New Roman" w:cs="Times New Roman"/>
      <w:b/>
      <w:kern w:val="2"/>
      <w:sz w:val="24"/>
      <w:szCs w:val="24"/>
      <w:lang w:eastAsia="zh-CN"/>
    </w:rPr>
  </w:style>
  <w:style w:type="character" w:customStyle="1" w:styleId="81">
    <w:name w:val="表头字体 Char"/>
    <w:link w:val="80"/>
    <w:qFormat/>
    <w:uiPriority w:val="0"/>
    <w:rPr>
      <w:rFonts w:ascii="Times New Roman" w:hAnsi="Times New Roman" w:eastAsia="宋体" w:cs="Times New Roman"/>
      <w:b/>
      <w:kern w:val="2"/>
      <w:sz w:val="24"/>
      <w:szCs w:val="24"/>
      <w:lang w:eastAsia="zh-CN"/>
    </w:rPr>
  </w:style>
  <w:style w:type="paragraph" w:customStyle="1" w:styleId="82">
    <w:name w:val="Char"/>
    <w:basedOn w:val="1"/>
    <w:qFormat/>
    <w:uiPriority w:val="0"/>
    <w:pPr>
      <w:spacing w:after="160" w:afterLines="0" w:line="240" w:lineRule="exact"/>
      <w:jc w:val="left"/>
    </w:pPr>
    <w:rPr>
      <w:rFonts w:ascii="Arial" w:hAnsi="Arial" w:eastAsia="Times New Roman" w:cs="Verdana"/>
      <w:b/>
      <w:kern w:val="0"/>
      <w:sz w:val="24"/>
      <w:szCs w:val="24"/>
      <w:lang w:eastAsia="en-US"/>
    </w:rPr>
  </w:style>
  <w:style w:type="paragraph" w:customStyle="1" w:styleId="83">
    <w:name w:val="正文邵"/>
    <w:basedOn w:val="1"/>
    <w:qFormat/>
    <w:uiPriority w:val="0"/>
    <w:pPr>
      <w:spacing w:line="360" w:lineRule="auto"/>
      <w:ind w:firstLine="200" w:firstLineChars="200"/>
    </w:pPr>
    <w:rPr>
      <w:sz w:val="24"/>
      <w:szCs w:val="24"/>
    </w:rPr>
  </w:style>
  <w:style w:type="paragraph" w:customStyle="1" w:styleId="84">
    <w:name w:val="表头1"/>
    <w:basedOn w:val="1"/>
    <w:qFormat/>
    <w:uiPriority w:val="0"/>
    <w:pPr>
      <w:adjustRightInd w:val="0"/>
      <w:snapToGrid w:val="0"/>
      <w:spacing w:line="360" w:lineRule="auto"/>
      <w:jc w:val="center"/>
    </w:pPr>
    <w:rPr>
      <w:b/>
      <w:kern w:val="36"/>
    </w:rPr>
  </w:style>
  <w:style w:type="paragraph" w:customStyle="1" w:styleId="85">
    <w:name w:val="表格内容11111"/>
    <w:basedOn w:val="1"/>
    <w:qFormat/>
    <w:uiPriority w:val="0"/>
    <w:pPr>
      <w:adjustRightInd w:val="0"/>
      <w:snapToGrid w:val="0"/>
      <w:jc w:val="center"/>
    </w:pPr>
    <w:rPr>
      <w:bCs/>
      <w:kern w:val="0"/>
      <w:sz w:val="21"/>
      <w:szCs w:val="21"/>
    </w:rPr>
  </w:style>
  <w:style w:type="paragraph" w:customStyle="1" w:styleId="86">
    <w:name w:val="BodyText1I2"/>
    <w:basedOn w:val="87"/>
    <w:semiHidden/>
    <w:qFormat/>
    <w:uiPriority w:val="0"/>
    <w:pPr>
      <w:spacing w:line="560" w:lineRule="exact"/>
      <w:ind w:left="0" w:leftChars="0" w:firstLine="420" w:firstLineChars="200"/>
    </w:pPr>
    <w:rPr>
      <w:rFonts w:eastAsia="仿宋_GB2312"/>
      <w:sz w:val="32"/>
    </w:rPr>
  </w:style>
  <w:style w:type="paragraph" w:customStyle="1" w:styleId="87">
    <w:name w:val="BodyTextIndent"/>
    <w:basedOn w:val="1"/>
    <w:semiHidden/>
    <w:qFormat/>
    <w:uiPriority w:val="0"/>
    <w:pPr>
      <w:ind w:left="420" w:leftChars="200"/>
      <w:textAlignment w:val="baseline"/>
    </w:pPr>
  </w:style>
  <w:style w:type="paragraph" w:customStyle="1" w:styleId="88">
    <w:name w:val="Body text|1"/>
    <w:basedOn w:val="1"/>
    <w:qFormat/>
    <w:uiPriority w:val="0"/>
    <w:pPr>
      <w:widowControl w:val="0"/>
      <w:shd w:val="clear" w:color="auto" w:fill="auto"/>
      <w:jc w:val="center"/>
    </w:pPr>
    <w:rPr>
      <w:rFonts w:ascii="宋体" w:hAnsi="宋体" w:eastAsia="宋体" w:cs="宋体"/>
      <w:u w:val="none"/>
      <w:shd w:val="clear" w:color="auto" w:fill="auto"/>
      <w:lang w:val="zh-TW" w:eastAsia="zh-TW" w:bidi="zh-TW"/>
    </w:rPr>
  </w:style>
  <w:style w:type="paragraph" w:customStyle="1" w:styleId="89">
    <w:name w:val="Table Text"/>
    <w:basedOn w:val="1"/>
    <w:semiHidden/>
    <w:qFormat/>
    <w:uiPriority w:val="0"/>
    <w:rPr>
      <w:rFonts w:ascii="宋体" w:hAnsi="宋体" w:eastAsia="宋体" w:cs="宋体"/>
      <w:sz w:val="24"/>
      <w:szCs w:val="24"/>
      <w:lang w:val="en-US" w:eastAsia="en-US" w:bidi="ar-SA"/>
    </w:rPr>
  </w:style>
  <w:style w:type="paragraph" w:customStyle="1" w:styleId="90">
    <w:name w:val="WPSOffice手动目录 1"/>
    <w:qFormat/>
    <w:uiPriority w:val="0"/>
    <w:pPr>
      <w:keepNext w:val="0"/>
      <w:keepLines w:val="0"/>
      <w:pageBreakBefore w:val="0"/>
      <w:widowControl/>
      <w:tabs>
        <w:tab w:val="right" w:leader="dot" w:pos="8844"/>
      </w:tabs>
      <w:kinsoku/>
      <w:wordWrap/>
      <w:overflowPunct/>
      <w:topLinePunct w:val="0"/>
      <w:autoSpaceDE/>
      <w:autoSpaceDN/>
      <w:bidi w:val="0"/>
      <w:adjustRightInd/>
      <w:snapToGrid/>
      <w:spacing w:line="480" w:lineRule="exact"/>
      <w:ind w:left="0" w:leftChars="0"/>
      <w:textAlignment w:val="auto"/>
    </w:pPr>
    <w:rPr>
      <w:rFonts w:ascii="Times New Roman" w:hAnsi="Times New Roman" w:eastAsia="宋体" w:cs="Times New Roman"/>
      <w:color w:val="auto"/>
      <w:sz w:val="24"/>
      <w:szCs w:val="24"/>
      <w:highlight w:val="none"/>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wmf"/><Relationship Id="rId21" Type="http://schemas.openxmlformats.org/officeDocument/2006/relationships/image" Target="media/image8.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4.bin"/><Relationship Id="rId17" Type="http://schemas.openxmlformats.org/officeDocument/2006/relationships/image" Target="media/image6.wmf"/><Relationship Id="rId16" Type="http://schemas.openxmlformats.org/officeDocument/2006/relationships/oleObject" Target="embeddings/oleObject3.bin"/><Relationship Id="rId15" Type="http://schemas.openxmlformats.org/officeDocument/2006/relationships/image" Target="media/image5.wmf"/><Relationship Id="rId14" Type="http://schemas.openxmlformats.org/officeDocument/2006/relationships/oleObject" Target="embeddings/oleObject2.bin"/><Relationship Id="rId13" Type="http://schemas.openxmlformats.org/officeDocument/2006/relationships/image" Target="media/image4.wmf"/><Relationship Id="rId12" Type="http://schemas.openxmlformats.org/officeDocument/2006/relationships/oleObject" Target="embeddings/oleObject1.bin"/><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24120d3c-e883-4e97-b412-c81ede2eb038</errorID>
      <errorWord>和布局</errorWord>
      <group>L1_Grammar</group>
      <groupName>语法问题</groupName>
      <ability>L2_Order</ability>
      <abilityName>语序不当</abilityName>
      <candidateList>
        <item>布局和</item>
      </candidateList>
      <explain>句子可能没有遵循时空、逻辑顺序，或者介词、关联词等位置不当。</explain>
      <paraID>59B7469C</paraID>
      <start>15</start>
      <end>18</end>
      <status>unmodified</status>
      <modifiedWord/>
      <trackRevisions>false</trackRevisions>
    </reviewItem>
    <reviewItem>
      <errorID>b432e97d-7b40-4b26-bbb6-37b7ab8a79ce</errorID>
      <errorWord>程</errorWord>
      <group>L1_Word</group>
      <groupName>字词问题</groupName>
      <ability>L2_Typo</ability>
      <abilityName>字词错误</abilityName>
      <candidateList>
        <item>程中</item>
      </candidateList>
      <explain/>
      <paraID>3D505F3A</paraID>
      <start>16</start>
      <end>17</end>
      <status>unmodified</status>
      <modifiedWord/>
      <trackRevisions>false</trackRevisions>
    </reviewItem>
    <reviewItem>
      <errorID>c2066c31-ffed-4e02-b9ca-7f6f8dc2e499</errorID>
      <errorWord>每个</errorWord>
      <group>L1_Word</group>
      <groupName>字词问题</groupName>
      <ability>L2_Typo</ability>
      <abilityName>字词错误</abilityName>
      <candidateList>
        <item>每隔</item>
      </candidateList>
      <explain>存在发音相同字词的误用。</explain>
      <paraID>1850230A</paraID>
      <start>22</start>
      <end>24</end>
      <status>unmodified</status>
      <modifiedWord/>
      <trackRevisions>false</trackRevisions>
    </reviewItem>
    <reviewItem>
      <errorID>1234c22e-db20-4608-93f5-618d93fc1625</errorID>
      <errorWord>计</errorWord>
      <group>L1_Word</group>
      <groupName>字词问题</groupName>
      <ability>L2_Typo</ability>
      <abilityName>字词错误</abilityName>
      <candidateList>
        <item>计算</item>
      </candidateList>
      <explain/>
      <paraID> 41DF01C</paraID>
      <start>148</start>
      <end>149</end>
      <status>unmodified</status>
      <modifiedWord/>
      <trackRevisions>false</trackRevisions>
    </reviewItem>
    <reviewItem>
      <errorID>9afb86b6-4740-4470-875c-a971766d0e42</errorID>
      <errorWord>粘附</errorWord>
      <group>L1_Word</group>
      <groupName>字词问题</groupName>
      <ability>L2_Alias</ability>
      <abilityName>也作/曾用词</abilityName>
      <candidateList>
        <item>黏附</item>
      </candidateList>
      <explain>词汇[粘附]为不规范表述或旧称，其规范书面表述为[黏附]。</explain>
      <paraID>374AE92C</paraID>
      <start>227</start>
      <end>229</end>
      <status>modified</status>
      <modifiedWord>黏附</modifiedWord>
      <trackRevisions>false</trackRevisions>
    </reviewItem>
    <reviewItem>
      <errorID>40328260-ab1c-4afb-9271-877065f63234</errorID>
      <errorWord>编制</errorWord>
      <group>L1_Word</group>
      <groupName>字词问题</groupName>
      <ability>L2_Typo</ability>
      <abilityName>字词错误</abilityName>
      <candidateList>
        <item>编织</item>
      </candidateList>
      <explain>存在发音相同字词的误用。</explain>
      <paraID>6B8F263E</paraID>
      <start>79</start>
      <end>81</end>
      <status>modified</status>
      <modifiedWord>编织</modifiedWord>
      <trackRevisions>false</trackRevisions>
    </reviewItem>
    <reviewItem>
      <errorID>702c602b-af1d-4ebe-9c00-2d55fd9db3a6</errorID>
      <errorWord>力</errorWord>
      <group>L1_Word</group>
      <groupName>字词问题</groupName>
      <ability>L2_Typo</ability>
      <abilityName>字词错误</abilityName>
      <candidateList>
        <item>力为</item>
      </candidateList>
      <explain/>
      <paraID>2E745615</paraID>
      <start>36</start>
      <end>38</end>
      <status>modified</status>
      <modifiedWord>力为</modifiedWord>
      <trackRevisions>false</trackRevisions>
    </reviewItem>
    <reviewItem>
      <errorID>dd463929-b53d-4428-82b3-d07ba8cb0577</errorID>
      <errorWord>及与</errorWord>
      <group>L1_Word</group>
      <groupName>字词问题</groupName>
      <ability>L2_Typo</ability>
      <abilityName>字词错误</abilityName>
      <candidateList>
        <item>及</item>
      </candidateList>
      <explain/>
      <paraID>62F9C636</paraID>
      <start>148</start>
      <end>150</end>
      <status>unmodified</status>
      <modifiedWord/>
      <trackRevisions>false</trackRevisions>
    </reviewItem>
    <reviewItem>
      <errorID>3a9b51cd-73fb-4237-bd5a-1e6a531da288</errorID>
      <errorWord>由此可见一般</errorWord>
      <group>L1_Word</group>
      <groupName>字词问题</groupName>
      <ability>L2_Typo</ability>
      <abilityName>字词错误</abilityName>
      <candidateList>
        <item>由此可见一斑</item>
      </candidateList>
      <explain/>
      <paraID> AAEBCD8</paraID>
      <start>0</start>
      <end>6</end>
      <status>unmodified</status>
      <modifiedWord/>
      <trackRevisions>false</trackRevisions>
    </reviewItem>
    <reviewItem>
      <errorID>c009add7-7b53-4082-a0dc-e9cc7d12ae37</errorID>
      <errorWord>及其</errorWord>
      <group>L1_Word</group>
      <groupName>字词问题</groupName>
      <ability>L2_Typo</ability>
      <abilityName>字词错误</abilityName>
      <candidateList>
        <item>极其</item>
      </candidateList>
      <explain/>
      <paraID>49A7ADB1</paraID>
      <start>13</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B2209E-4FFC-45DE-ACD2-BEFFBC45A944}">
  <ds:schemaRefs/>
</ds:datastoreItem>
</file>

<file path=customXml/itemProps3.xml><?xml version="1.0" encoding="utf-8"?>
<ds:datastoreItem xmlns:ds="http://schemas.openxmlformats.org/officeDocument/2006/customXml" ds:itemID="{d25adbeb-81c9-465c-a65e-286510dfadd4}">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15475</Words>
  <Characters>16588</Characters>
  <Lines>1588</Lines>
  <Paragraphs>1463</Paragraphs>
  <TotalTime>55</TotalTime>
  <ScaleCrop>false</ScaleCrop>
  <LinksUpToDate>false</LinksUpToDate>
  <CharactersWithSpaces>16711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2021-03-16T16:30:00Z</dcterms:created>
  <dc:creator>lhj</dc:creator>
  <cp:lastModifiedBy>无名之辈</cp:lastModifiedBy>
  <cp:lastPrinted>2024-07-08T05:05:00Z</cp:lastPrinted>
  <dcterms:modified xsi:type="dcterms:W3CDTF">2026-07-20T04:41:02Z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2019</vt:lpwstr>
  </property>
  <property fmtid="{D5CDD505-2E9C-101B-9397-08002B2CF9AE}" pid="4" name="LastSaved">
    <vt:filetime>2021-03-16T00:00:00Z</vt:filetime>
  </property>
  <property fmtid="{D5CDD505-2E9C-101B-9397-08002B2CF9AE}" pid="5" name="KSOTemplateDocerSaveRecord">
    <vt:lpwstr>eyJoZGlkIjoiMzc2NzdiYTYyNGEwYmNjMTY5MGNhMjliNmE1MjAyNTciLCJ1c2VySWQiOiI0MzI5NjM0NTgifQ==</vt:lpwstr>
  </property>
  <property fmtid="{D5CDD505-2E9C-101B-9397-08002B2CF9AE}" pid="6" name="KSOProductBuildVer">
    <vt:lpwstr>2052-12.1.0.26895</vt:lpwstr>
  </property>
  <property fmtid="{D5CDD505-2E9C-101B-9397-08002B2CF9AE}" pid="7" name="ICV">
    <vt:lpwstr>D93461340EDE492E869C03ACDB7A32EF_12</vt:lpwstr>
  </property>
  <property fmtid="{D5CDD505-2E9C-101B-9397-08002B2CF9AE}" pid="8" name="OfficeAIDocId">
    <vt:lpwstr>DOC_abee00edad2449198616b72b93557407</vt:lpwstr>
  </property>
</Properties>
</file>