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75BA3">
      <w:pPr>
        <w:rPr>
          <w:rFonts w:ascii="仿宋_GB2312" w:hAnsi="仿宋_GB2312" w:eastAsia="仿宋_GB2312" w:cs="仿宋_GB2312"/>
          <w:spacing w:val="0"/>
          <w:kern w:val="21"/>
          <w:sz w:val="36"/>
          <w:szCs w:val="36"/>
        </w:rPr>
      </w:pPr>
    </w:p>
    <w:p w14:paraId="48046942">
      <w:pPr>
        <w:rPr>
          <w:rFonts w:ascii="仿宋_GB2312" w:hAnsi="仿宋_GB2312" w:eastAsia="仿宋_GB2312" w:cs="仿宋_GB2312"/>
          <w:spacing w:val="0"/>
          <w:kern w:val="21"/>
          <w:sz w:val="36"/>
          <w:szCs w:val="36"/>
        </w:rPr>
      </w:pPr>
    </w:p>
    <w:p w14:paraId="37EBABC3">
      <w:pPr>
        <w:rPr>
          <w:rFonts w:ascii="仿宋_GB2312" w:hAnsi="仿宋_GB2312" w:eastAsia="仿宋_GB2312" w:cs="仿宋_GB2312"/>
          <w:color w:val="auto"/>
          <w:spacing w:val="0"/>
          <w:kern w:val="21"/>
          <w:sz w:val="36"/>
          <w:szCs w:val="36"/>
        </w:rPr>
      </w:pPr>
    </w:p>
    <w:p w14:paraId="735DD4EB">
      <w:pPr>
        <w:adjustRightInd w:val="0"/>
        <w:snapToGrid w:val="0"/>
        <w:ind w:left="0" w:leftChars="0" w:firstLine="720" w:firstLineChars="100"/>
        <w:jc w:val="both"/>
        <w:outlineLvl w:val="0"/>
        <w:rPr>
          <w:rFonts w:hint="eastAsia" w:ascii="方正小标宋_GBK" w:eastAsia="方正小标宋_GBK"/>
          <w:bCs/>
          <w:color w:val="auto"/>
          <w:spacing w:val="0"/>
          <w:kern w:val="21"/>
          <w:sz w:val="72"/>
          <w:szCs w:val="72"/>
        </w:rPr>
      </w:pPr>
      <w:bookmarkStart w:id="0" w:name="_Toc25911"/>
      <w:bookmarkStart w:id="1" w:name="_Toc32559"/>
      <w:bookmarkStart w:id="2" w:name="_Toc256"/>
      <w:bookmarkStart w:id="3" w:name="_Toc323"/>
      <w:bookmarkStart w:id="4" w:name="_Toc18187"/>
      <w:bookmarkStart w:id="5" w:name="_Toc4387"/>
      <w:r>
        <w:rPr>
          <w:rFonts w:hint="eastAsia" w:ascii="方正小标宋_GBK" w:eastAsia="方正小标宋_GBK"/>
          <w:bCs/>
          <w:color w:val="auto"/>
          <w:spacing w:val="0"/>
          <w:kern w:val="21"/>
          <w:sz w:val="72"/>
          <w:szCs w:val="72"/>
        </w:rPr>
        <w:t>建设项目环境影响报告表</w:t>
      </w:r>
      <w:bookmarkEnd w:id="0"/>
      <w:bookmarkEnd w:id="1"/>
      <w:bookmarkEnd w:id="2"/>
      <w:bookmarkEnd w:id="3"/>
      <w:bookmarkEnd w:id="4"/>
      <w:bookmarkEnd w:id="5"/>
    </w:p>
    <w:p w14:paraId="0BF623A5">
      <w:pPr>
        <w:adjustRightInd w:val="0"/>
        <w:snapToGrid w:val="0"/>
        <w:spacing w:before="192" w:beforeLines="80"/>
        <w:jc w:val="center"/>
        <w:rPr>
          <w:rFonts w:hint="eastAsia" w:ascii="楷体_GB2312" w:eastAsia="楷体_GB2312"/>
          <w:bCs/>
          <w:color w:val="auto"/>
          <w:spacing w:val="0"/>
          <w:kern w:val="21"/>
          <w:sz w:val="48"/>
          <w:szCs w:val="48"/>
        </w:rPr>
      </w:pPr>
      <w:r>
        <w:rPr>
          <w:rFonts w:hint="eastAsia" w:ascii="楷体_GB2312" w:eastAsia="楷体_GB2312"/>
          <w:bCs/>
          <w:color w:val="auto"/>
          <w:spacing w:val="0"/>
          <w:kern w:val="21"/>
          <w:sz w:val="48"/>
          <w:szCs w:val="48"/>
          <w:lang w:eastAsia="zh-CN"/>
        </w:rPr>
        <w:t>（</w:t>
      </w:r>
      <w:r>
        <w:rPr>
          <w:rFonts w:hint="eastAsia" w:ascii="楷体_GB2312" w:eastAsia="楷体_GB2312"/>
          <w:bCs/>
          <w:color w:val="auto"/>
          <w:spacing w:val="0"/>
          <w:kern w:val="21"/>
          <w:sz w:val="48"/>
          <w:szCs w:val="48"/>
        </w:rPr>
        <w:t>污染影响类）</w:t>
      </w:r>
    </w:p>
    <w:p w14:paraId="3B4E5373">
      <w:pPr>
        <w:pStyle w:val="11"/>
        <w:ind w:left="0" w:leftChars="0" w:firstLine="0" w:firstLineChars="0"/>
        <w:rPr>
          <w:rFonts w:hint="eastAsia" w:eastAsia="仿宋"/>
          <w:color w:val="auto"/>
          <w:spacing w:val="0"/>
          <w:kern w:val="21"/>
          <w:sz w:val="44"/>
          <w:szCs w:val="44"/>
          <w:lang w:eastAsia="zh-CN"/>
        </w:rPr>
      </w:pPr>
    </w:p>
    <w:p w14:paraId="56E6DDD0">
      <w:pPr>
        <w:pStyle w:val="11"/>
        <w:ind w:left="0" w:leftChars="0" w:firstLine="0" w:firstLineChars="0"/>
        <w:rPr>
          <w:rFonts w:hint="eastAsia" w:eastAsia="仿宋"/>
          <w:color w:val="auto"/>
          <w:spacing w:val="0"/>
          <w:kern w:val="21"/>
          <w:sz w:val="44"/>
          <w:szCs w:val="44"/>
          <w:lang w:eastAsia="zh-CN"/>
        </w:rPr>
      </w:pPr>
    </w:p>
    <w:p w14:paraId="37D243A4">
      <w:pPr>
        <w:pStyle w:val="11"/>
        <w:ind w:left="0" w:leftChars="0" w:firstLine="0" w:firstLineChars="0"/>
        <w:rPr>
          <w:rFonts w:hint="eastAsia" w:eastAsia="仿宋"/>
          <w:color w:val="auto"/>
          <w:spacing w:val="0"/>
          <w:kern w:val="21"/>
          <w:sz w:val="44"/>
          <w:szCs w:val="44"/>
          <w:lang w:eastAsia="zh-CN"/>
        </w:rPr>
      </w:pPr>
    </w:p>
    <w:p w14:paraId="635E73A4">
      <w:pPr>
        <w:pStyle w:val="11"/>
        <w:ind w:left="0" w:leftChars="0" w:firstLine="0" w:firstLineChars="0"/>
        <w:rPr>
          <w:rFonts w:hint="eastAsia" w:eastAsia="仿宋"/>
          <w:color w:val="auto"/>
          <w:spacing w:val="0"/>
          <w:kern w:val="21"/>
          <w:sz w:val="44"/>
          <w:szCs w:val="44"/>
          <w:lang w:eastAsia="zh-CN"/>
        </w:rPr>
      </w:pPr>
    </w:p>
    <w:p w14:paraId="3B0691C4">
      <w:pPr>
        <w:pStyle w:val="11"/>
        <w:ind w:left="0" w:leftChars="0" w:firstLine="0" w:firstLineChars="0"/>
        <w:rPr>
          <w:rFonts w:hint="eastAsia" w:eastAsia="仿宋"/>
          <w:color w:val="auto"/>
          <w:spacing w:val="0"/>
          <w:kern w:val="21"/>
          <w:sz w:val="44"/>
          <w:szCs w:val="44"/>
          <w:lang w:eastAsia="zh-CN"/>
        </w:rPr>
      </w:pPr>
    </w:p>
    <w:p w14:paraId="37DB7624">
      <w:pPr>
        <w:pStyle w:val="11"/>
        <w:ind w:left="0" w:leftChars="0" w:firstLine="0" w:firstLineChars="0"/>
        <w:rPr>
          <w:rFonts w:hint="eastAsia" w:eastAsia="仿宋"/>
          <w:color w:val="auto"/>
          <w:spacing w:val="0"/>
          <w:kern w:val="21"/>
          <w:sz w:val="44"/>
          <w:szCs w:val="44"/>
          <w:lang w:eastAsia="zh-CN"/>
        </w:rPr>
      </w:pPr>
    </w:p>
    <w:p w14:paraId="1B9C1F4F">
      <w:pPr>
        <w:pStyle w:val="11"/>
        <w:ind w:left="0" w:leftChars="0" w:firstLine="0" w:firstLineChars="0"/>
        <w:rPr>
          <w:rFonts w:hint="eastAsia" w:eastAsia="仿宋"/>
          <w:color w:val="auto"/>
          <w:spacing w:val="0"/>
          <w:kern w:val="21"/>
          <w:sz w:val="44"/>
          <w:szCs w:val="44"/>
          <w:lang w:eastAsia="zh-CN"/>
        </w:rPr>
      </w:pPr>
    </w:p>
    <w:p w14:paraId="4490B590">
      <w:pPr>
        <w:pStyle w:val="10"/>
        <w:rPr>
          <w:rFonts w:hint="eastAsia" w:eastAsia="仿宋"/>
          <w:color w:val="auto"/>
          <w:spacing w:val="0"/>
          <w:kern w:val="21"/>
          <w:sz w:val="44"/>
          <w:szCs w:val="44"/>
          <w:lang w:eastAsia="zh-CN"/>
        </w:rPr>
      </w:pPr>
    </w:p>
    <w:p w14:paraId="5E73B5DD">
      <w:pPr>
        <w:rPr>
          <w:rFonts w:hint="eastAsia"/>
          <w:color w:val="auto"/>
          <w:lang w:eastAsia="zh-CN"/>
        </w:rPr>
      </w:pPr>
    </w:p>
    <w:p w14:paraId="5F80FB93">
      <w:pPr>
        <w:keepNext w:val="0"/>
        <w:keepLines w:val="0"/>
        <w:pageBreakBefore w:val="0"/>
        <w:widowControl w:val="0"/>
        <w:kinsoku/>
        <w:wordWrap/>
        <w:overflowPunct/>
        <w:topLinePunct w:val="0"/>
        <w:autoSpaceDE/>
        <w:autoSpaceDN/>
        <w:bidi w:val="0"/>
        <w:adjustRightInd/>
        <w:snapToGrid/>
        <w:spacing w:line="600" w:lineRule="auto"/>
        <w:ind w:right="0" w:rightChars="0"/>
        <w:jc w:val="center"/>
        <w:textAlignment w:val="auto"/>
        <w:outlineLvl w:val="0"/>
        <w:rPr>
          <w:rFonts w:hint="eastAsia" w:ascii="仿宋_GB2312" w:eastAsia="仿宋_GB2312"/>
          <w:color w:val="auto"/>
          <w:spacing w:val="0"/>
          <w:kern w:val="21"/>
          <w:sz w:val="32"/>
          <w:szCs w:val="32"/>
          <w:u w:val="single"/>
          <w:lang w:val="en-US" w:eastAsia="zh-CN"/>
        </w:rPr>
      </w:pPr>
      <w:bookmarkStart w:id="6" w:name="_Toc31701"/>
      <w:bookmarkStart w:id="7" w:name="_Toc19244"/>
      <w:bookmarkStart w:id="8" w:name="_Toc12450"/>
      <w:bookmarkStart w:id="9" w:name="_Toc1308"/>
      <w:bookmarkStart w:id="10" w:name="_Toc13820"/>
      <w:bookmarkStart w:id="11" w:name="_Toc13038"/>
      <w:r>
        <w:rPr>
          <w:rFonts w:hint="eastAsia" w:ascii="仿宋_GB2312" w:eastAsia="仿宋_GB2312"/>
          <w:color w:val="auto"/>
          <w:spacing w:val="0"/>
          <w:kern w:val="21"/>
          <w:sz w:val="32"/>
          <w:szCs w:val="32"/>
        </w:rPr>
        <w:t>项目名称：</w:t>
      </w:r>
      <w:bookmarkEnd w:id="6"/>
      <w:bookmarkEnd w:id="7"/>
      <w:bookmarkEnd w:id="8"/>
      <w:bookmarkEnd w:id="9"/>
      <w:bookmarkEnd w:id="10"/>
      <w:bookmarkEnd w:id="11"/>
      <w:r>
        <w:rPr>
          <w:rFonts w:hint="eastAsia" w:ascii="仿宋_GB2312" w:hAnsi="Times New Roman" w:eastAsia="仿宋_GB2312" w:cs="Times New Roman"/>
          <w:color w:val="auto"/>
          <w:spacing w:val="0"/>
          <w:kern w:val="21"/>
          <w:sz w:val="32"/>
          <w:szCs w:val="32"/>
          <w:u w:val="single"/>
        </w:rPr>
        <w:t>裕民县江格斯乡切格尔村粮食仓储加工</w:t>
      </w:r>
      <w:r>
        <w:rPr>
          <w:rFonts w:hint="eastAsia" w:ascii="仿宋_GB2312" w:eastAsia="仿宋_GB2312" w:cs="Times New Roman"/>
          <w:color w:val="auto"/>
          <w:spacing w:val="0"/>
          <w:kern w:val="21"/>
          <w:sz w:val="32"/>
          <w:szCs w:val="32"/>
          <w:u w:val="single"/>
          <w:lang w:eastAsia="zh-CN"/>
        </w:rPr>
        <w:t>厂</w:t>
      </w:r>
    </w:p>
    <w:p w14:paraId="3B48A4F0">
      <w:pPr>
        <w:keepNext w:val="0"/>
        <w:keepLines w:val="0"/>
        <w:pageBreakBefore w:val="0"/>
        <w:widowControl w:val="0"/>
        <w:kinsoku/>
        <w:wordWrap/>
        <w:overflowPunct/>
        <w:topLinePunct w:val="0"/>
        <w:autoSpaceDE/>
        <w:autoSpaceDN/>
        <w:bidi w:val="0"/>
        <w:adjustRightInd/>
        <w:snapToGrid/>
        <w:spacing w:line="600" w:lineRule="auto"/>
        <w:ind w:right="0" w:rightChars="0"/>
        <w:jc w:val="center"/>
        <w:textAlignment w:val="auto"/>
        <w:outlineLvl w:val="0"/>
        <w:rPr>
          <w:rFonts w:hint="default" w:ascii="仿宋_GB2312" w:eastAsia="仿宋_GB2312"/>
          <w:color w:val="auto"/>
          <w:spacing w:val="0"/>
          <w:kern w:val="21"/>
          <w:sz w:val="32"/>
          <w:szCs w:val="32"/>
          <w:u w:val="single"/>
          <w:lang w:val="en-US" w:eastAsia="zh-CN"/>
        </w:rPr>
      </w:pPr>
      <w:r>
        <w:rPr>
          <w:rFonts w:hint="eastAsia" w:ascii="仿宋_GB2312" w:eastAsia="仿宋_GB2312"/>
          <w:color w:val="auto"/>
          <w:spacing w:val="0"/>
          <w:kern w:val="21"/>
          <w:sz w:val="32"/>
          <w:szCs w:val="32"/>
        </w:rPr>
        <w:t>建设单位</w:t>
      </w:r>
      <w:r>
        <w:rPr>
          <w:rFonts w:hint="eastAsia" w:ascii="仿宋_GB2312" w:eastAsia="仿宋_GB2312"/>
          <w:color w:val="auto"/>
          <w:spacing w:val="0"/>
          <w:kern w:val="21"/>
          <w:sz w:val="32"/>
          <w:szCs w:val="32"/>
          <w:lang w:eastAsia="zh-CN"/>
        </w:rPr>
        <w:t>（</w:t>
      </w:r>
      <w:r>
        <w:rPr>
          <w:rFonts w:hint="eastAsia" w:ascii="仿宋_GB2312" w:eastAsia="仿宋_GB2312"/>
          <w:color w:val="auto"/>
          <w:spacing w:val="0"/>
          <w:kern w:val="21"/>
          <w:sz w:val="32"/>
          <w:szCs w:val="32"/>
        </w:rPr>
        <w:t>盖章）：</w:t>
      </w:r>
      <w:r>
        <w:rPr>
          <w:rFonts w:hint="eastAsia" w:ascii="仿宋_GB2312" w:eastAsia="仿宋_GB2312"/>
          <w:color w:val="auto"/>
          <w:spacing w:val="0"/>
          <w:kern w:val="21"/>
          <w:sz w:val="32"/>
          <w:szCs w:val="32"/>
          <w:u w:val="single"/>
        </w:rPr>
        <w:t>裕民县江格斯乡切格尔村股份经济合作社</w:t>
      </w:r>
    </w:p>
    <w:p w14:paraId="2588E14E">
      <w:pPr>
        <w:keepNext w:val="0"/>
        <w:keepLines w:val="0"/>
        <w:pageBreakBefore w:val="0"/>
        <w:widowControl w:val="0"/>
        <w:kinsoku/>
        <w:wordWrap/>
        <w:overflowPunct/>
        <w:topLinePunct w:val="0"/>
        <w:autoSpaceDE/>
        <w:autoSpaceDN/>
        <w:bidi w:val="0"/>
        <w:adjustRightInd/>
        <w:snapToGrid/>
        <w:spacing w:line="600" w:lineRule="auto"/>
        <w:ind w:right="0" w:rightChars="0"/>
        <w:jc w:val="center"/>
        <w:textAlignment w:val="auto"/>
        <w:outlineLvl w:val="9"/>
        <w:rPr>
          <w:rFonts w:hint="eastAsia" w:ascii="仿宋_GB2312" w:eastAsia="仿宋_GB2312"/>
          <w:color w:val="auto"/>
          <w:spacing w:val="0"/>
          <w:kern w:val="21"/>
          <w:sz w:val="36"/>
          <w:szCs w:val="36"/>
          <w:u w:val="none"/>
        </w:rPr>
      </w:pPr>
      <w:r>
        <w:rPr>
          <w:rFonts w:hint="eastAsia" w:ascii="仿宋_GB2312" w:eastAsia="仿宋_GB2312"/>
          <w:color w:val="auto"/>
          <w:spacing w:val="0"/>
          <w:kern w:val="21"/>
          <w:sz w:val="36"/>
          <w:szCs w:val="36"/>
        </w:rPr>
        <w:t>编制日期：</w:t>
      </w:r>
      <w:r>
        <w:rPr>
          <w:rFonts w:hint="eastAsia" w:ascii="仿宋_GB2312" w:eastAsia="仿宋_GB2312"/>
          <w:color w:val="auto"/>
          <w:spacing w:val="0"/>
          <w:kern w:val="21"/>
          <w:sz w:val="36"/>
          <w:szCs w:val="36"/>
          <w:u w:val="none"/>
          <w:lang w:val="en-US" w:eastAsia="zh-CN"/>
        </w:rPr>
        <w:t>2026年6月</w:t>
      </w:r>
    </w:p>
    <w:p w14:paraId="193AA2D2">
      <w:pPr>
        <w:pStyle w:val="39"/>
        <w:bidi w:val="0"/>
        <w:rPr>
          <w:color w:val="auto"/>
        </w:rPr>
      </w:pPr>
      <w:bookmarkStart w:id="12" w:name="_Hlk57884087"/>
    </w:p>
    <w:p w14:paraId="6B0BC7F6">
      <w:pPr>
        <w:pStyle w:val="39"/>
        <w:bidi w:val="0"/>
        <w:rPr>
          <w:color w:val="auto"/>
        </w:rPr>
      </w:pPr>
    </w:p>
    <w:p w14:paraId="7AEAA62F">
      <w:pPr>
        <w:pStyle w:val="39"/>
        <w:bidi w:val="0"/>
        <w:ind w:left="0" w:leftChars="0" w:firstLine="0" w:firstLineChars="0"/>
        <w:rPr>
          <w:color w:val="auto"/>
        </w:rPr>
      </w:pPr>
    </w:p>
    <w:bookmarkEnd w:id="12"/>
    <w:p w14:paraId="6D4C02C2">
      <w:pPr>
        <w:rPr>
          <w:color w:val="auto"/>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50AC24B1">
      <w:pPr>
        <w:pStyle w:val="21"/>
        <w:tabs>
          <w:tab w:val="right" w:leader="dot" w:pos="8844"/>
        </w:tabs>
        <w:jc w:val="center"/>
        <w:rPr>
          <w:rFonts w:hint="eastAsia" w:eastAsia="宋体"/>
          <w:color w:val="auto"/>
          <w:kern w:val="10"/>
          <w:sz w:val="44"/>
          <w:szCs w:val="44"/>
          <w:lang w:val="en-US" w:eastAsia="zh-CN"/>
        </w:rPr>
      </w:pPr>
      <w:r>
        <w:rPr>
          <w:rFonts w:hint="eastAsia"/>
          <w:color w:val="auto"/>
        </w:rPr>
        <w:fldChar w:fldCharType="begin"/>
      </w:r>
      <w:r>
        <w:rPr>
          <w:rFonts w:hint="eastAsia"/>
          <w:color w:val="auto"/>
        </w:rPr>
        <w:instrText xml:space="preserve">TOC \o "1-2" \h \u </w:instrText>
      </w:r>
      <w:r>
        <w:rPr>
          <w:rFonts w:hint="eastAsia"/>
          <w:color w:val="auto"/>
        </w:rPr>
        <w:fldChar w:fldCharType="separate"/>
      </w:r>
      <w:r>
        <w:rPr>
          <w:rFonts w:hint="eastAsia"/>
          <w:color w:val="auto"/>
          <w:kern w:val="10"/>
          <w:sz w:val="44"/>
          <w:szCs w:val="44"/>
          <w:lang w:val="en-US" w:eastAsia="zh-CN"/>
        </w:rPr>
        <w:t>目  录</w:t>
      </w:r>
    </w:p>
    <w:p w14:paraId="12A771C1">
      <w:pPr>
        <w:pStyle w:val="21"/>
        <w:tabs>
          <w:tab w:val="right" w:leader="dot" w:pos="8844"/>
        </w:tabs>
        <w:spacing w:line="360" w:lineRule="auto"/>
        <w:jc w:val="center"/>
        <w:rPr>
          <w:color w:val="auto"/>
          <w:sz w:val="24"/>
          <w:szCs w:val="24"/>
        </w:rPr>
      </w:pPr>
      <w:r>
        <w:rPr>
          <w:rFonts w:hint="eastAsia"/>
          <w:color w:val="auto"/>
          <w:sz w:val="24"/>
          <w:szCs w:val="24"/>
        </w:rPr>
        <w:fldChar w:fldCharType="begin"/>
      </w:r>
      <w:r>
        <w:rPr>
          <w:rFonts w:hint="eastAsia"/>
          <w:color w:val="auto"/>
          <w:sz w:val="24"/>
          <w:szCs w:val="24"/>
        </w:rPr>
        <w:instrText xml:space="preserve"> HYPERLINK \l _Toc27872 </w:instrText>
      </w:r>
      <w:r>
        <w:rPr>
          <w:rFonts w:hint="eastAsia"/>
          <w:color w:val="auto"/>
          <w:sz w:val="24"/>
          <w:szCs w:val="24"/>
        </w:rPr>
        <w:fldChar w:fldCharType="separate"/>
      </w:r>
      <w:r>
        <w:rPr>
          <w:rFonts w:hint="eastAsia" w:ascii="黑体" w:hAnsi="黑体" w:eastAsia="黑体"/>
          <w:snapToGrid w:val="0"/>
          <w:color w:val="auto"/>
          <w:sz w:val="24"/>
          <w:szCs w:val="24"/>
        </w:rPr>
        <w:t>一、建设项目基本情况</w:t>
      </w:r>
      <w:r>
        <w:rPr>
          <w:color w:val="auto"/>
          <w:sz w:val="24"/>
          <w:szCs w:val="24"/>
        </w:rPr>
        <w:tab/>
      </w:r>
      <w:r>
        <w:rPr>
          <w:color w:val="auto"/>
          <w:sz w:val="24"/>
          <w:szCs w:val="24"/>
        </w:rPr>
        <w:fldChar w:fldCharType="begin"/>
      </w:r>
      <w:r>
        <w:rPr>
          <w:color w:val="auto"/>
          <w:sz w:val="24"/>
          <w:szCs w:val="24"/>
        </w:rPr>
        <w:instrText xml:space="preserve"> PAGEREF _Toc27872 \h </w:instrText>
      </w:r>
      <w:r>
        <w:rPr>
          <w:color w:val="auto"/>
          <w:sz w:val="24"/>
          <w:szCs w:val="24"/>
        </w:rPr>
        <w:fldChar w:fldCharType="separate"/>
      </w:r>
      <w:r>
        <w:rPr>
          <w:color w:val="auto"/>
          <w:sz w:val="24"/>
          <w:szCs w:val="24"/>
        </w:rPr>
        <w:t>1</w:t>
      </w:r>
      <w:r>
        <w:rPr>
          <w:color w:val="auto"/>
          <w:sz w:val="24"/>
          <w:szCs w:val="24"/>
        </w:rPr>
        <w:fldChar w:fldCharType="end"/>
      </w:r>
      <w:r>
        <w:rPr>
          <w:rFonts w:hint="eastAsia"/>
          <w:color w:val="auto"/>
          <w:sz w:val="24"/>
          <w:szCs w:val="24"/>
        </w:rPr>
        <w:fldChar w:fldCharType="end"/>
      </w:r>
    </w:p>
    <w:p w14:paraId="4C988A15">
      <w:pPr>
        <w:pStyle w:val="21"/>
        <w:tabs>
          <w:tab w:val="right" w:leader="dot" w:pos="8844"/>
        </w:tabs>
        <w:spacing w:line="360" w:lineRule="auto"/>
        <w:jc w:val="center"/>
        <w:rPr>
          <w:color w:val="auto"/>
          <w:sz w:val="24"/>
          <w:szCs w:val="24"/>
        </w:rPr>
      </w:pPr>
      <w:r>
        <w:rPr>
          <w:rFonts w:hint="eastAsia"/>
          <w:color w:val="auto"/>
          <w:sz w:val="24"/>
          <w:szCs w:val="24"/>
        </w:rPr>
        <w:fldChar w:fldCharType="begin"/>
      </w:r>
      <w:r>
        <w:rPr>
          <w:rFonts w:hint="eastAsia"/>
          <w:color w:val="auto"/>
          <w:sz w:val="24"/>
          <w:szCs w:val="24"/>
        </w:rPr>
        <w:instrText xml:space="preserve"> HYPERLINK \l _Toc24692 </w:instrText>
      </w:r>
      <w:r>
        <w:rPr>
          <w:rFonts w:hint="eastAsia"/>
          <w:color w:val="auto"/>
          <w:sz w:val="24"/>
          <w:szCs w:val="24"/>
        </w:rPr>
        <w:fldChar w:fldCharType="separate"/>
      </w:r>
      <w:r>
        <w:rPr>
          <w:rFonts w:hint="eastAsia" w:ascii="黑体" w:hAnsi="黑体" w:eastAsia="黑体"/>
          <w:snapToGrid w:val="0"/>
          <w:color w:val="auto"/>
          <w:sz w:val="24"/>
          <w:szCs w:val="24"/>
        </w:rPr>
        <w:t>二、建设项目工程分析</w:t>
      </w:r>
      <w:r>
        <w:rPr>
          <w:color w:val="auto"/>
          <w:sz w:val="24"/>
          <w:szCs w:val="24"/>
        </w:rPr>
        <w:tab/>
      </w:r>
      <w:r>
        <w:rPr>
          <w:color w:val="auto"/>
          <w:sz w:val="24"/>
          <w:szCs w:val="24"/>
        </w:rPr>
        <w:fldChar w:fldCharType="begin"/>
      </w:r>
      <w:r>
        <w:rPr>
          <w:color w:val="auto"/>
          <w:sz w:val="24"/>
          <w:szCs w:val="24"/>
        </w:rPr>
        <w:instrText xml:space="preserve"> PAGEREF _Toc24692 \h </w:instrText>
      </w:r>
      <w:r>
        <w:rPr>
          <w:color w:val="auto"/>
          <w:sz w:val="24"/>
          <w:szCs w:val="24"/>
        </w:rPr>
        <w:fldChar w:fldCharType="separate"/>
      </w:r>
      <w:r>
        <w:rPr>
          <w:color w:val="auto"/>
          <w:sz w:val="24"/>
          <w:szCs w:val="24"/>
        </w:rPr>
        <w:t>18</w:t>
      </w:r>
      <w:r>
        <w:rPr>
          <w:color w:val="auto"/>
          <w:sz w:val="24"/>
          <w:szCs w:val="24"/>
        </w:rPr>
        <w:fldChar w:fldCharType="end"/>
      </w:r>
      <w:r>
        <w:rPr>
          <w:rFonts w:hint="eastAsia"/>
          <w:color w:val="auto"/>
          <w:sz w:val="24"/>
          <w:szCs w:val="24"/>
        </w:rPr>
        <w:fldChar w:fldCharType="end"/>
      </w:r>
    </w:p>
    <w:p w14:paraId="5FE6C8E6">
      <w:pPr>
        <w:pStyle w:val="21"/>
        <w:tabs>
          <w:tab w:val="right" w:leader="dot" w:pos="8844"/>
        </w:tabs>
        <w:spacing w:line="360" w:lineRule="auto"/>
        <w:jc w:val="center"/>
        <w:rPr>
          <w:color w:val="auto"/>
          <w:sz w:val="24"/>
          <w:szCs w:val="24"/>
        </w:rPr>
      </w:pPr>
      <w:r>
        <w:rPr>
          <w:rFonts w:hint="eastAsia"/>
          <w:color w:val="auto"/>
          <w:sz w:val="24"/>
          <w:szCs w:val="24"/>
        </w:rPr>
        <w:fldChar w:fldCharType="begin"/>
      </w:r>
      <w:r>
        <w:rPr>
          <w:rFonts w:hint="eastAsia"/>
          <w:color w:val="auto"/>
          <w:sz w:val="24"/>
          <w:szCs w:val="24"/>
        </w:rPr>
        <w:instrText xml:space="preserve"> HYPERLINK \l _Toc7837 </w:instrText>
      </w:r>
      <w:r>
        <w:rPr>
          <w:rFonts w:hint="eastAsia"/>
          <w:color w:val="auto"/>
          <w:sz w:val="24"/>
          <w:szCs w:val="24"/>
        </w:rPr>
        <w:fldChar w:fldCharType="separate"/>
      </w:r>
      <w:r>
        <w:rPr>
          <w:rFonts w:hint="eastAsia" w:ascii="黑体" w:hAnsi="黑体" w:eastAsia="黑体"/>
          <w:snapToGrid w:val="0"/>
          <w:color w:val="auto"/>
          <w:sz w:val="24"/>
          <w:szCs w:val="24"/>
        </w:rPr>
        <w:t>三、区域环境质量现状、环境保护目标及评价标准</w:t>
      </w:r>
      <w:r>
        <w:rPr>
          <w:color w:val="auto"/>
          <w:sz w:val="24"/>
          <w:szCs w:val="24"/>
        </w:rPr>
        <w:tab/>
      </w:r>
      <w:r>
        <w:rPr>
          <w:color w:val="auto"/>
          <w:sz w:val="24"/>
          <w:szCs w:val="24"/>
        </w:rPr>
        <w:fldChar w:fldCharType="begin"/>
      </w:r>
      <w:r>
        <w:rPr>
          <w:color w:val="auto"/>
          <w:sz w:val="24"/>
          <w:szCs w:val="24"/>
        </w:rPr>
        <w:instrText xml:space="preserve"> PAGEREF _Toc7837 \h </w:instrText>
      </w:r>
      <w:r>
        <w:rPr>
          <w:color w:val="auto"/>
          <w:sz w:val="24"/>
          <w:szCs w:val="24"/>
        </w:rPr>
        <w:fldChar w:fldCharType="separate"/>
      </w:r>
      <w:r>
        <w:rPr>
          <w:color w:val="auto"/>
          <w:sz w:val="24"/>
          <w:szCs w:val="24"/>
        </w:rPr>
        <w:t>49</w:t>
      </w:r>
      <w:r>
        <w:rPr>
          <w:color w:val="auto"/>
          <w:sz w:val="24"/>
          <w:szCs w:val="24"/>
        </w:rPr>
        <w:fldChar w:fldCharType="end"/>
      </w:r>
      <w:r>
        <w:rPr>
          <w:rFonts w:hint="eastAsia"/>
          <w:color w:val="auto"/>
          <w:sz w:val="24"/>
          <w:szCs w:val="24"/>
        </w:rPr>
        <w:fldChar w:fldCharType="end"/>
      </w:r>
    </w:p>
    <w:p w14:paraId="73DB96C8">
      <w:pPr>
        <w:pStyle w:val="21"/>
        <w:tabs>
          <w:tab w:val="right" w:leader="dot" w:pos="8844"/>
        </w:tabs>
        <w:spacing w:line="360" w:lineRule="auto"/>
        <w:jc w:val="center"/>
        <w:rPr>
          <w:color w:val="auto"/>
          <w:sz w:val="24"/>
          <w:szCs w:val="24"/>
        </w:rPr>
      </w:pPr>
      <w:r>
        <w:rPr>
          <w:rFonts w:hint="eastAsia"/>
          <w:color w:val="auto"/>
          <w:sz w:val="24"/>
          <w:szCs w:val="24"/>
        </w:rPr>
        <w:fldChar w:fldCharType="begin"/>
      </w:r>
      <w:r>
        <w:rPr>
          <w:rFonts w:hint="eastAsia"/>
          <w:color w:val="auto"/>
          <w:sz w:val="24"/>
          <w:szCs w:val="24"/>
        </w:rPr>
        <w:instrText xml:space="preserve"> HYPERLINK \l _Toc27363 </w:instrText>
      </w:r>
      <w:r>
        <w:rPr>
          <w:rFonts w:hint="eastAsia"/>
          <w:color w:val="auto"/>
          <w:sz w:val="24"/>
          <w:szCs w:val="24"/>
        </w:rPr>
        <w:fldChar w:fldCharType="separate"/>
      </w:r>
      <w:r>
        <w:rPr>
          <w:rFonts w:hint="eastAsia" w:ascii="黑体" w:hAnsi="黑体" w:eastAsia="黑体"/>
          <w:snapToGrid w:val="0"/>
          <w:color w:val="auto"/>
          <w:sz w:val="24"/>
          <w:szCs w:val="24"/>
        </w:rPr>
        <w:t>四、主要环境影响和保护措施</w:t>
      </w:r>
      <w:r>
        <w:rPr>
          <w:color w:val="auto"/>
          <w:sz w:val="24"/>
          <w:szCs w:val="24"/>
        </w:rPr>
        <w:tab/>
      </w:r>
      <w:r>
        <w:rPr>
          <w:color w:val="auto"/>
          <w:sz w:val="24"/>
          <w:szCs w:val="24"/>
        </w:rPr>
        <w:fldChar w:fldCharType="begin"/>
      </w:r>
      <w:r>
        <w:rPr>
          <w:color w:val="auto"/>
          <w:sz w:val="24"/>
          <w:szCs w:val="24"/>
        </w:rPr>
        <w:instrText xml:space="preserve"> PAGEREF _Toc27363 \h </w:instrText>
      </w:r>
      <w:r>
        <w:rPr>
          <w:color w:val="auto"/>
          <w:sz w:val="24"/>
          <w:szCs w:val="24"/>
        </w:rPr>
        <w:fldChar w:fldCharType="separate"/>
      </w:r>
      <w:r>
        <w:rPr>
          <w:color w:val="auto"/>
          <w:sz w:val="24"/>
          <w:szCs w:val="24"/>
        </w:rPr>
        <w:t>59</w:t>
      </w:r>
      <w:r>
        <w:rPr>
          <w:color w:val="auto"/>
          <w:sz w:val="24"/>
          <w:szCs w:val="24"/>
        </w:rPr>
        <w:fldChar w:fldCharType="end"/>
      </w:r>
      <w:r>
        <w:rPr>
          <w:rFonts w:hint="eastAsia"/>
          <w:color w:val="auto"/>
          <w:sz w:val="24"/>
          <w:szCs w:val="24"/>
        </w:rPr>
        <w:fldChar w:fldCharType="end"/>
      </w:r>
    </w:p>
    <w:p w14:paraId="26B8E287">
      <w:pPr>
        <w:pStyle w:val="21"/>
        <w:tabs>
          <w:tab w:val="right" w:leader="dot" w:pos="8844"/>
        </w:tabs>
        <w:spacing w:line="360" w:lineRule="auto"/>
        <w:jc w:val="center"/>
        <w:rPr>
          <w:color w:val="auto"/>
          <w:sz w:val="24"/>
          <w:szCs w:val="24"/>
        </w:rPr>
      </w:pPr>
      <w:r>
        <w:rPr>
          <w:rFonts w:hint="eastAsia"/>
          <w:color w:val="auto"/>
          <w:sz w:val="24"/>
          <w:szCs w:val="24"/>
        </w:rPr>
        <w:fldChar w:fldCharType="begin"/>
      </w:r>
      <w:r>
        <w:rPr>
          <w:rFonts w:hint="eastAsia"/>
          <w:color w:val="auto"/>
          <w:sz w:val="24"/>
          <w:szCs w:val="24"/>
        </w:rPr>
        <w:instrText xml:space="preserve"> HYPERLINK \l _Toc15748 </w:instrText>
      </w:r>
      <w:r>
        <w:rPr>
          <w:rFonts w:hint="eastAsia"/>
          <w:color w:val="auto"/>
          <w:sz w:val="24"/>
          <w:szCs w:val="24"/>
        </w:rPr>
        <w:fldChar w:fldCharType="separate"/>
      </w:r>
      <w:r>
        <w:rPr>
          <w:rFonts w:hint="eastAsia" w:ascii="黑体" w:hAnsi="黑体" w:eastAsia="黑体"/>
          <w:snapToGrid w:val="0"/>
          <w:color w:val="auto"/>
          <w:sz w:val="24"/>
          <w:szCs w:val="24"/>
        </w:rPr>
        <w:t>五、环境保护措施监督检查清单</w:t>
      </w:r>
      <w:r>
        <w:rPr>
          <w:color w:val="auto"/>
          <w:sz w:val="24"/>
          <w:szCs w:val="24"/>
        </w:rPr>
        <w:tab/>
      </w:r>
      <w:r>
        <w:rPr>
          <w:color w:val="auto"/>
          <w:sz w:val="24"/>
          <w:szCs w:val="24"/>
        </w:rPr>
        <w:fldChar w:fldCharType="begin"/>
      </w:r>
      <w:r>
        <w:rPr>
          <w:color w:val="auto"/>
          <w:sz w:val="24"/>
          <w:szCs w:val="24"/>
        </w:rPr>
        <w:instrText xml:space="preserve"> PAGEREF _Toc15748 \h </w:instrText>
      </w:r>
      <w:r>
        <w:rPr>
          <w:color w:val="auto"/>
          <w:sz w:val="24"/>
          <w:szCs w:val="24"/>
        </w:rPr>
        <w:fldChar w:fldCharType="separate"/>
      </w:r>
      <w:r>
        <w:rPr>
          <w:color w:val="auto"/>
          <w:sz w:val="24"/>
          <w:szCs w:val="24"/>
        </w:rPr>
        <w:t>102</w:t>
      </w:r>
      <w:r>
        <w:rPr>
          <w:color w:val="auto"/>
          <w:sz w:val="24"/>
          <w:szCs w:val="24"/>
        </w:rPr>
        <w:fldChar w:fldCharType="end"/>
      </w:r>
      <w:r>
        <w:rPr>
          <w:rFonts w:hint="eastAsia"/>
          <w:color w:val="auto"/>
          <w:sz w:val="24"/>
          <w:szCs w:val="24"/>
        </w:rPr>
        <w:fldChar w:fldCharType="end"/>
      </w:r>
    </w:p>
    <w:p w14:paraId="221B40B3">
      <w:pPr>
        <w:pStyle w:val="21"/>
        <w:tabs>
          <w:tab w:val="right" w:leader="dot" w:pos="8844"/>
        </w:tabs>
        <w:spacing w:line="360" w:lineRule="auto"/>
        <w:jc w:val="center"/>
        <w:rPr>
          <w:color w:val="auto"/>
          <w:sz w:val="24"/>
          <w:szCs w:val="24"/>
        </w:rPr>
      </w:pPr>
      <w:r>
        <w:rPr>
          <w:rFonts w:hint="eastAsia"/>
          <w:color w:val="auto"/>
          <w:sz w:val="24"/>
          <w:szCs w:val="24"/>
        </w:rPr>
        <w:fldChar w:fldCharType="begin"/>
      </w:r>
      <w:r>
        <w:rPr>
          <w:rFonts w:hint="eastAsia"/>
          <w:color w:val="auto"/>
          <w:sz w:val="24"/>
          <w:szCs w:val="24"/>
        </w:rPr>
        <w:instrText xml:space="preserve"> HYPERLINK \l _Toc31802 </w:instrText>
      </w:r>
      <w:r>
        <w:rPr>
          <w:rFonts w:hint="eastAsia"/>
          <w:color w:val="auto"/>
          <w:sz w:val="24"/>
          <w:szCs w:val="24"/>
        </w:rPr>
        <w:fldChar w:fldCharType="separate"/>
      </w:r>
      <w:r>
        <w:rPr>
          <w:rFonts w:hint="eastAsia" w:ascii="黑体" w:hAnsi="黑体" w:eastAsia="黑体"/>
          <w:snapToGrid w:val="0"/>
          <w:color w:val="auto"/>
          <w:sz w:val="24"/>
          <w:szCs w:val="24"/>
        </w:rPr>
        <w:t>六、结论</w:t>
      </w:r>
      <w:r>
        <w:rPr>
          <w:color w:val="auto"/>
          <w:sz w:val="24"/>
          <w:szCs w:val="24"/>
        </w:rPr>
        <w:tab/>
      </w:r>
      <w:r>
        <w:rPr>
          <w:color w:val="auto"/>
          <w:sz w:val="24"/>
          <w:szCs w:val="24"/>
        </w:rPr>
        <w:fldChar w:fldCharType="begin"/>
      </w:r>
      <w:r>
        <w:rPr>
          <w:color w:val="auto"/>
          <w:sz w:val="24"/>
          <w:szCs w:val="24"/>
        </w:rPr>
        <w:instrText xml:space="preserve"> PAGEREF _Toc31802 \h </w:instrText>
      </w:r>
      <w:r>
        <w:rPr>
          <w:color w:val="auto"/>
          <w:sz w:val="24"/>
          <w:szCs w:val="24"/>
        </w:rPr>
        <w:fldChar w:fldCharType="separate"/>
      </w:r>
      <w:r>
        <w:rPr>
          <w:color w:val="auto"/>
          <w:sz w:val="24"/>
          <w:szCs w:val="24"/>
        </w:rPr>
        <w:t>104</w:t>
      </w:r>
      <w:r>
        <w:rPr>
          <w:color w:val="auto"/>
          <w:sz w:val="24"/>
          <w:szCs w:val="24"/>
        </w:rPr>
        <w:fldChar w:fldCharType="end"/>
      </w:r>
      <w:r>
        <w:rPr>
          <w:rFonts w:hint="eastAsia"/>
          <w:color w:val="auto"/>
          <w:sz w:val="24"/>
          <w:szCs w:val="24"/>
        </w:rPr>
        <w:fldChar w:fldCharType="end"/>
      </w:r>
    </w:p>
    <w:p w14:paraId="7FCFE8F5">
      <w:pPr>
        <w:pStyle w:val="21"/>
        <w:tabs>
          <w:tab w:val="right" w:leader="dot" w:pos="8844"/>
        </w:tabs>
        <w:spacing w:line="360" w:lineRule="auto"/>
        <w:jc w:val="center"/>
        <w:rPr>
          <w:color w:val="auto"/>
        </w:rPr>
      </w:pPr>
      <w:r>
        <w:rPr>
          <w:rFonts w:hint="eastAsia"/>
          <w:color w:val="auto"/>
          <w:sz w:val="24"/>
          <w:szCs w:val="24"/>
        </w:rPr>
        <w:fldChar w:fldCharType="begin"/>
      </w:r>
      <w:r>
        <w:rPr>
          <w:rFonts w:hint="eastAsia"/>
          <w:color w:val="auto"/>
          <w:sz w:val="24"/>
          <w:szCs w:val="24"/>
        </w:rPr>
        <w:instrText xml:space="preserve"> HYPERLINK \l _Toc17790 </w:instrText>
      </w:r>
      <w:r>
        <w:rPr>
          <w:rFonts w:hint="eastAsia"/>
          <w:color w:val="auto"/>
          <w:sz w:val="24"/>
          <w:szCs w:val="24"/>
        </w:rPr>
        <w:fldChar w:fldCharType="separate"/>
      </w:r>
      <w:r>
        <w:rPr>
          <w:rFonts w:hint="eastAsia" w:ascii="黑体" w:hAnsi="黑体" w:eastAsia="黑体"/>
          <w:snapToGrid w:val="0"/>
          <w:color w:val="auto"/>
          <w:sz w:val="24"/>
          <w:szCs w:val="24"/>
        </w:rPr>
        <w:t>附表</w:t>
      </w:r>
      <w:r>
        <w:rPr>
          <w:color w:val="auto"/>
          <w:sz w:val="24"/>
          <w:szCs w:val="24"/>
        </w:rPr>
        <w:tab/>
      </w:r>
      <w:r>
        <w:rPr>
          <w:color w:val="auto"/>
          <w:sz w:val="24"/>
          <w:szCs w:val="24"/>
        </w:rPr>
        <w:fldChar w:fldCharType="begin"/>
      </w:r>
      <w:r>
        <w:rPr>
          <w:color w:val="auto"/>
          <w:sz w:val="24"/>
          <w:szCs w:val="24"/>
        </w:rPr>
        <w:instrText xml:space="preserve"> PAGEREF _Toc17790 \h </w:instrText>
      </w:r>
      <w:r>
        <w:rPr>
          <w:color w:val="auto"/>
          <w:sz w:val="24"/>
          <w:szCs w:val="24"/>
        </w:rPr>
        <w:fldChar w:fldCharType="separate"/>
      </w:r>
      <w:r>
        <w:rPr>
          <w:color w:val="auto"/>
          <w:sz w:val="24"/>
          <w:szCs w:val="24"/>
        </w:rPr>
        <w:t>105</w:t>
      </w:r>
      <w:r>
        <w:rPr>
          <w:color w:val="auto"/>
          <w:sz w:val="24"/>
          <w:szCs w:val="24"/>
        </w:rPr>
        <w:fldChar w:fldCharType="end"/>
      </w:r>
      <w:r>
        <w:rPr>
          <w:rFonts w:hint="eastAsia"/>
          <w:color w:val="auto"/>
          <w:sz w:val="24"/>
          <w:szCs w:val="24"/>
        </w:rPr>
        <w:fldChar w:fldCharType="end"/>
      </w:r>
    </w:p>
    <w:p w14:paraId="05D950CA">
      <w:pPr>
        <w:pStyle w:val="39"/>
        <w:bidi w:val="0"/>
        <w:jc w:val="left"/>
        <w:rPr>
          <w:rFonts w:hint="eastAsia"/>
          <w:color w:val="auto"/>
        </w:rPr>
      </w:pPr>
      <w:r>
        <w:rPr>
          <w:rFonts w:hint="eastAsia"/>
          <w:color w:val="auto"/>
        </w:rPr>
        <w:fldChar w:fldCharType="end"/>
      </w:r>
    </w:p>
    <w:p w14:paraId="6D61EA37">
      <w:pPr>
        <w:pStyle w:val="39"/>
        <w:bidi w:val="0"/>
        <w:jc w:val="left"/>
        <w:rPr>
          <w:rFonts w:hint="eastAsia"/>
          <w:color w:val="auto"/>
        </w:rPr>
      </w:pPr>
    </w:p>
    <w:p w14:paraId="344D6D56">
      <w:pPr>
        <w:pStyle w:val="39"/>
        <w:bidi w:val="0"/>
        <w:jc w:val="left"/>
        <w:rPr>
          <w:rFonts w:hint="eastAsia"/>
          <w:color w:val="auto"/>
        </w:rPr>
      </w:pPr>
    </w:p>
    <w:p w14:paraId="515D9D45">
      <w:pPr>
        <w:pStyle w:val="39"/>
        <w:bidi w:val="0"/>
        <w:jc w:val="left"/>
        <w:rPr>
          <w:rFonts w:hint="eastAsia"/>
          <w:color w:val="auto"/>
        </w:rPr>
      </w:pPr>
    </w:p>
    <w:p w14:paraId="4CCBCF0E">
      <w:pPr>
        <w:pStyle w:val="39"/>
        <w:bidi w:val="0"/>
        <w:jc w:val="left"/>
        <w:rPr>
          <w:rFonts w:hint="eastAsia"/>
          <w:color w:val="auto"/>
        </w:rPr>
      </w:pPr>
    </w:p>
    <w:p w14:paraId="1DEB139D">
      <w:pPr>
        <w:pStyle w:val="39"/>
        <w:bidi w:val="0"/>
        <w:jc w:val="left"/>
        <w:rPr>
          <w:rFonts w:hint="eastAsia"/>
          <w:color w:val="auto"/>
        </w:rPr>
      </w:pPr>
    </w:p>
    <w:p w14:paraId="40CE3B76">
      <w:pPr>
        <w:pStyle w:val="39"/>
        <w:bidi w:val="0"/>
        <w:jc w:val="left"/>
        <w:rPr>
          <w:rFonts w:hint="eastAsia"/>
          <w:color w:val="auto"/>
        </w:rPr>
      </w:pPr>
    </w:p>
    <w:p w14:paraId="260D8A60">
      <w:pPr>
        <w:pStyle w:val="39"/>
        <w:bidi w:val="0"/>
        <w:jc w:val="left"/>
        <w:rPr>
          <w:rFonts w:hint="eastAsia"/>
          <w:color w:val="auto"/>
        </w:rPr>
      </w:pPr>
    </w:p>
    <w:p w14:paraId="419BACA3">
      <w:pPr>
        <w:pStyle w:val="39"/>
        <w:bidi w:val="0"/>
        <w:jc w:val="left"/>
        <w:rPr>
          <w:rFonts w:hint="eastAsia"/>
          <w:color w:val="auto"/>
        </w:rPr>
      </w:pPr>
    </w:p>
    <w:p w14:paraId="26AAD34B">
      <w:pPr>
        <w:pStyle w:val="39"/>
        <w:bidi w:val="0"/>
        <w:jc w:val="left"/>
        <w:rPr>
          <w:rFonts w:hint="eastAsia"/>
          <w:color w:val="auto"/>
        </w:rPr>
      </w:pPr>
    </w:p>
    <w:p w14:paraId="54063178">
      <w:pPr>
        <w:pStyle w:val="39"/>
        <w:bidi w:val="0"/>
        <w:jc w:val="left"/>
        <w:rPr>
          <w:rFonts w:hint="eastAsia"/>
          <w:color w:val="auto"/>
        </w:rPr>
      </w:pPr>
    </w:p>
    <w:p w14:paraId="1B8606F4">
      <w:pPr>
        <w:pStyle w:val="39"/>
        <w:bidi w:val="0"/>
        <w:jc w:val="left"/>
        <w:rPr>
          <w:rFonts w:hint="eastAsia"/>
          <w:color w:val="auto"/>
        </w:rPr>
      </w:pPr>
    </w:p>
    <w:p w14:paraId="21BF0CFB">
      <w:pPr>
        <w:pStyle w:val="39"/>
        <w:bidi w:val="0"/>
        <w:jc w:val="left"/>
        <w:rPr>
          <w:rFonts w:hint="eastAsia"/>
          <w:color w:val="auto"/>
        </w:rPr>
      </w:pPr>
    </w:p>
    <w:p w14:paraId="26B06066">
      <w:pPr>
        <w:pStyle w:val="39"/>
        <w:bidi w:val="0"/>
        <w:jc w:val="left"/>
        <w:rPr>
          <w:rFonts w:hint="eastAsia"/>
          <w:color w:val="auto"/>
        </w:rPr>
      </w:pPr>
    </w:p>
    <w:p w14:paraId="391665A9">
      <w:pPr>
        <w:pStyle w:val="39"/>
        <w:bidi w:val="0"/>
        <w:jc w:val="left"/>
        <w:rPr>
          <w:rFonts w:hint="eastAsia"/>
          <w:color w:val="auto"/>
        </w:rPr>
      </w:pPr>
    </w:p>
    <w:p w14:paraId="4BC8CECD">
      <w:pPr>
        <w:pStyle w:val="39"/>
        <w:bidi w:val="0"/>
        <w:jc w:val="left"/>
        <w:rPr>
          <w:rFonts w:hint="eastAsia"/>
          <w:color w:val="auto"/>
        </w:rPr>
      </w:pPr>
    </w:p>
    <w:p w14:paraId="6C4470F1">
      <w:pPr>
        <w:pStyle w:val="39"/>
        <w:bidi w:val="0"/>
        <w:jc w:val="left"/>
        <w:rPr>
          <w:rFonts w:hint="eastAsia"/>
          <w:color w:val="auto"/>
        </w:rPr>
      </w:pPr>
    </w:p>
    <w:p w14:paraId="1765CDF4">
      <w:pPr>
        <w:pStyle w:val="39"/>
        <w:bidi w:val="0"/>
        <w:jc w:val="left"/>
        <w:rPr>
          <w:rFonts w:hint="eastAsia"/>
          <w:color w:val="auto"/>
        </w:rPr>
      </w:pPr>
    </w:p>
    <w:p w14:paraId="785F274F">
      <w:pPr>
        <w:pStyle w:val="39"/>
        <w:bidi w:val="0"/>
        <w:jc w:val="left"/>
        <w:rPr>
          <w:rFonts w:hint="eastAsia"/>
          <w:color w:val="auto"/>
        </w:rPr>
      </w:pPr>
    </w:p>
    <w:p w14:paraId="537E89BC">
      <w:pPr>
        <w:pStyle w:val="39"/>
        <w:bidi w:val="0"/>
        <w:jc w:val="left"/>
        <w:rPr>
          <w:rFonts w:hint="eastAsia"/>
          <w:color w:val="auto"/>
        </w:rPr>
      </w:pPr>
    </w:p>
    <w:p w14:paraId="173D5545">
      <w:pPr>
        <w:pStyle w:val="39"/>
        <w:bidi w:val="0"/>
        <w:jc w:val="left"/>
        <w:rPr>
          <w:rFonts w:hint="eastAsia"/>
          <w:color w:val="auto"/>
        </w:rPr>
      </w:pPr>
    </w:p>
    <w:p w14:paraId="4C6EDBF6">
      <w:pPr>
        <w:pStyle w:val="39"/>
        <w:bidi w:val="0"/>
        <w:jc w:val="left"/>
        <w:rPr>
          <w:rFonts w:hint="eastAsia"/>
          <w:color w:val="auto"/>
        </w:rPr>
      </w:pPr>
    </w:p>
    <w:p w14:paraId="28EA5EB6">
      <w:pPr>
        <w:pStyle w:val="39"/>
        <w:bidi w:val="0"/>
        <w:jc w:val="left"/>
        <w:rPr>
          <w:rFonts w:hint="eastAsia"/>
          <w:color w:val="auto"/>
        </w:rPr>
      </w:pPr>
    </w:p>
    <w:p w14:paraId="2D2D6257">
      <w:pPr>
        <w:pStyle w:val="28"/>
        <w:jc w:val="center"/>
        <w:outlineLvl w:val="0"/>
        <w:rPr>
          <w:rFonts w:hint="eastAsia" w:ascii="黑体" w:hAnsi="黑体" w:eastAsia="黑体"/>
          <w:snapToGrid w:val="0"/>
          <w:color w:val="auto"/>
          <w:sz w:val="30"/>
          <w:szCs w:val="30"/>
        </w:rPr>
      </w:pPr>
      <w:bookmarkStart w:id="13" w:name="_Toc27872"/>
      <w:bookmarkStart w:id="14" w:name="_Toc5898"/>
      <w:r>
        <w:rPr>
          <w:rFonts w:hint="eastAsia" w:ascii="黑体" w:hAnsi="黑体" w:eastAsia="黑体"/>
          <w:snapToGrid w:val="0"/>
          <w:color w:val="auto"/>
          <w:sz w:val="30"/>
          <w:szCs w:val="30"/>
        </w:rPr>
        <w:t>一、建设项目基本情况</w:t>
      </w:r>
      <w:bookmarkEnd w:id="13"/>
      <w:bookmarkEnd w:id="14"/>
    </w:p>
    <w:tbl>
      <w:tblPr>
        <w:tblStyle w:val="31"/>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60"/>
        <w:gridCol w:w="2180"/>
        <w:gridCol w:w="1950"/>
        <w:gridCol w:w="2780"/>
      </w:tblGrid>
      <w:tr w14:paraId="1A036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51FB5CA3">
            <w:pPr>
              <w:adjustRightInd w:val="0"/>
              <w:snapToGrid w:val="0"/>
              <w:jc w:val="center"/>
              <w:rPr>
                <w:rFonts w:ascii="宋体" w:hAnsi="宋体" w:cs="宋体"/>
                <w:color w:val="auto"/>
                <w:sz w:val="24"/>
                <w:szCs w:val="24"/>
              </w:rPr>
            </w:pPr>
            <w:r>
              <w:rPr>
                <w:rFonts w:hint="eastAsia" w:ascii="宋体" w:hAnsi="宋体" w:cs="宋体"/>
                <w:color w:val="auto"/>
                <w:sz w:val="24"/>
                <w:szCs w:val="24"/>
              </w:rPr>
              <w:t>建设项目名称</w:t>
            </w:r>
          </w:p>
        </w:tc>
        <w:tc>
          <w:tcPr>
            <w:tcW w:w="6910" w:type="dxa"/>
            <w:gridSpan w:val="3"/>
            <w:vAlign w:val="center"/>
          </w:tcPr>
          <w:p w14:paraId="0D1B5ED7">
            <w:pPr>
              <w:adjustRightInd w:val="0"/>
              <w:snapToGrid w:val="0"/>
              <w:jc w:val="center"/>
              <w:rPr>
                <w:rFonts w:hint="default" w:ascii="宋体" w:hAnsi="宋体" w:cs="宋体"/>
                <w:color w:val="auto"/>
                <w:sz w:val="24"/>
                <w:szCs w:val="24"/>
                <w:lang w:val="en-US"/>
              </w:rPr>
            </w:pPr>
            <w:r>
              <w:rPr>
                <w:rFonts w:hint="default" w:ascii="宋体" w:hAnsi="宋体" w:cs="宋体"/>
                <w:color w:val="auto"/>
                <w:sz w:val="24"/>
                <w:szCs w:val="24"/>
                <w:lang w:val="en-US"/>
              </w:rPr>
              <w:t>裕民县江格斯乡切格尔村粮食仓储加工</w:t>
            </w:r>
          </w:p>
        </w:tc>
      </w:tr>
      <w:tr w14:paraId="0D970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26976F9C">
            <w:pPr>
              <w:adjustRightInd w:val="0"/>
              <w:snapToGrid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项目代码</w:t>
            </w:r>
          </w:p>
        </w:tc>
        <w:tc>
          <w:tcPr>
            <w:tcW w:w="6910" w:type="dxa"/>
            <w:gridSpan w:val="3"/>
            <w:vAlign w:val="center"/>
          </w:tcPr>
          <w:p w14:paraId="676B58D4">
            <w:pPr>
              <w:adjustRightInd w:val="0"/>
              <w:snapToGrid w:val="0"/>
              <w:jc w:val="cente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2601-654225-20-01-728627</w:t>
            </w:r>
          </w:p>
        </w:tc>
      </w:tr>
      <w:tr w14:paraId="2134A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5BBBD9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建设单位联系人</w:t>
            </w:r>
          </w:p>
        </w:tc>
        <w:tc>
          <w:tcPr>
            <w:tcW w:w="2180" w:type="dxa"/>
            <w:vAlign w:val="center"/>
          </w:tcPr>
          <w:p w14:paraId="50B57463">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highlight w:val="none"/>
                <w:lang w:val="en-US" w:eastAsia="zh-CN"/>
              </w:rPr>
              <w:t>****</w:t>
            </w:r>
          </w:p>
        </w:tc>
        <w:tc>
          <w:tcPr>
            <w:tcW w:w="1950" w:type="dxa"/>
            <w:vAlign w:val="center"/>
          </w:tcPr>
          <w:p w14:paraId="397B6CBF">
            <w:pPr>
              <w:adjustRightInd w:val="0"/>
              <w:snapToGrid w:val="0"/>
              <w:jc w:val="center"/>
              <w:rPr>
                <w:rFonts w:ascii="宋体" w:hAnsi="宋体" w:cs="宋体"/>
                <w:color w:val="auto"/>
                <w:sz w:val="24"/>
                <w:szCs w:val="24"/>
              </w:rPr>
            </w:pPr>
            <w:r>
              <w:rPr>
                <w:rFonts w:hint="eastAsia" w:ascii="宋体" w:hAnsi="宋体" w:cs="宋体"/>
                <w:color w:val="auto"/>
                <w:sz w:val="24"/>
                <w:szCs w:val="24"/>
              </w:rPr>
              <w:t>联系方式</w:t>
            </w:r>
          </w:p>
        </w:tc>
        <w:tc>
          <w:tcPr>
            <w:tcW w:w="2780" w:type="dxa"/>
            <w:vAlign w:val="center"/>
          </w:tcPr>
          <w:p w14:paraId="1E87EC09">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highlight w:val="none"/>
                <w:lang w:val="en-US" w:eastAsia="zh-CN"/>
              </w:rPr>
              <w:t>****</w:t>
            </w:r>
          </w:p>
        </w:tc>
      </w:tr>
      <w:tr w14:paraId="4F59D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616CD10C">
            <w:pPr>
              <w:adjustRightInd w:val="0"/>
              <w:snapToGrid w:val="0"/>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建设地点</w:t>
            </w:r>
          </w:p>
        </w:tc>
        <w:tc>
          <w:tcPr>
            <w:tcW w:w="6910" w:type="dxa"/>
            <w:gridSpan w:val="3"/>
            <w:vAlign w:val="center"/>
          </w:tcPr>
          <w:p w14:paraId="6177AC21">
            <w:pPr>
              <w:adjustRightInd w:val="0"/>
              <w:snapToGrid w:val="0"/>
              <w:jc w:val="center"/>
              <w:rPr>
                <w:rFonts w:hint="default" w:ascii="宋体" w:hAnsi="宋体" w:cs="宋体"/>
                <w:color w:val="auto"/>
                <w:sz w:val="24"/>
                <w:szCs w:val="24"/>
                <w:lang w:val="en-US" w:eastAsia="zh-CN"/>
              </w:rPr>
            </w:pPr>
            <w:r>
              <w:rPr>
                <w:rFonts w:hint="eastAsia" w:cs="Times New Roman"/>
                <w:color w:val="auto"/>
                <w:sz w:val="24"/>
                <w:szCs w:val="24"/>
                <w:highlight w:val="none"/>
                <w:lang w:val="en-US" w:eastAsia="zh-CN"/>
              </w:rPr>
              <w:t>****</w:t>
            </w:r>
          </w:p>
        </w:tc>
      </w:tr>
      <w:tr w14:paraId="66A29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9E5CFA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地理坐标</w:t>
            </w:r>
          </w:p>
        </w:tc>
        <w:tc>
          <w:tcPr>
            <w:tcW w:w="6910" w:type="dxa"/>
            <w:gridSpan w:val="3"/>
            <w:vAlign w:val="center"/>
          </w:tcPr>
          <w:p w14:paraId="462DFE31">
            <w:pPr>
              <w:adjustRightInd w:val="0"/>
              <w:snapToGrid w:val="0"/>
              <w:jc w:val="center"/>
              <w:rPr>
                <w:rFonts w:hint="eastAsia"/>
                <w:lang w:val="en-US" w:eastAsia="zh-CN"/>
              </w:rPr>
            </w:pPr>
            <w:r>
              <w:rPr>
                <w:rFonts w:hint="eastAsia" w:cs="Times New Roman"/>
                <w:color w:val="auto"/>
                <w:sz w:val="24"/>
                <w:szCs w:val="24"/>
                <w:highlight w:val="none"/>
                <w:lang w:val="en-US" w:eastAsia="zh-CN"/>
              </w:rPr>
              <w:t>****</w:t>
            </w:r>
          </w:p>
        </w:tc>
      </w:tr>
      <w:tr w14:paraId="64B12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60" w:type="dxa"/>
            <w:tcMar>
              <w:top w:w="16" w:type="dxa"/>
              <w:left w:w="16" w:type="dxa"/>
              <w:right w:w="16" w:type="dxa"/>
            </w:tcMar>
            <w:vAlign w:val="center"/>
          </w:tcPr>
          <w:p w14:paraId="77530606">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国民经济</w:t>
            </w:r>
          </w:p>
          <w:p w14:paraId="75B426F3">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行业类别</w:t>
            </w:r>
          </w:p>
        </w:tc>
        <w:tc>
          <w:tcPr>
            <w:tcW w:w="2180" w:type="dxa"/>
            <w:vAlign w:val="center"/>
          </w:tcPr>
          <w:p w14:paraId="584E7557">
            <w:pPr>
              <w:adjustRightInd w:val="0"/>
              <w:snapToGrid w:val="0"/>
              <w:jc w:val="center"/>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rPr>
              <w:t>A0514农产品初加工服务</w:t>
            </w:r>
            <w:r>
              <w:rPr>
                <w:rFonts w:hint="eastAsia" w:cs="Times New Roman"/>
                <w:color w:val="auto"/>
                <w:sz w:val="24"/>
                <w:szCs w:val="24"/>
                <w:lang w:val="en-US" w:eastAsia="zh-CN"/>
              </w:rPr>
              <w:t>；</w:t>
            </w:r>
          </w:p>
          <w:p w14:paraId="684CFABD">
            <w:pPr>
              <w:adjustRightInd w:val="0"/>
              <w:snapToGrid w:val="0"/>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rPr>
              <w:t>G5951谷物仓储；</w:t>
            </w:r>
          </w:p>
          <w:p w14:paraId="77896AA7">
            <w:pPr>
              <w:adjustRightInd w:val="0"/>
              <w:snapToGrid w:val="0"/>
              <w:jc w:val="center"/>
              <w:rPr>
                <w:rFonts w:hint="default" w:ascii="宋体" w:hAnsi="宋体" w:eastAsia="宋体" w:cs="宋体"/>
                <w:color w:val="auto"/>
                <w:sz w:val="24"/>
                <w:szCs w:val="24"/>
                <w:lang w:val="en-US"/>
              </w:rPr>
            </w:pPr>
            <w:r>
              <w:rPr>
                <w:rFonts w:hint="default" w:ascii="Times New Roman" w:hAnsi="Times New Roman" w:eastAsia="宋体" w:cs="Times New Roman"/>
                <w:color w:val="auto"/>
                <w:sz w:val="24"/>
                <w:szCs w:val="24"/>
                <w:lang w:val="en-US"/>
              </w:rPr>
              <w:t>D4430热力生产和供应</w:t>
            </w:r>
          </w:p>
        </w:tc>
        <w:tc>
          <w:tcPr>
            <w:tcW w:w="1950" w:type="dxa"/>
            <w:vAlign w:val="center"/>
          </w:tcPr>
          <w:p w14:paraId="4FAE66F5">
            <w:pPr>
              <w:adjustRightInd w:val="0"/>
              <w:snapToGrid w:val="0"/>
              <w:jc w:val="center"/>
              <w:rPr>
                <w:rFonts w:hint="eastAsia" w:ascii="宋体" w:hAnsi="宋体" w:eastAsia="宋体" w:cs="宋体"/>
                <w:color w:val="auto"/>
                <w:sz w:val="24"/>
                <w:szCs w:val="24"/>
              </w:rPr>
            </w:pPr>
            <w:bookmarkStart w:id="15" w:name="_Hlk49843745"/>
            <w:r>
              <w:rPr>
                <w:rFonts w:hint="eastAsia" w:ascii="宋体" w:hAnsi="宋体" w:eastAsia="宋体" w:cs="宋体"/>
                <w:color w:val="auto"/>
                <w:sz w:val="24"/>
                <w:szCs w:val="24"/>
              </w:rPr>
              <w:t>建设项目</w:t>
            </w:r>
          </w:p>
          <w:p w14:paraId="511B8510">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行业类别</w:t>
            </w:r>
            <w:bookmarkEnd w:id="15"/>
          </w:p>
        </w:tc>
        <w:tc>
          <w:tcPr>
            <w:tcW w:w="2780" w:type="dxa"/>
            <w:vAlign w:val="center"/>
          </w:tcPr>
          <w:p w14:paraId="00C30138">
            <w:pPr>
              <w:adjustRightInd w:val="0"/>
              <w:snapToGrid w:val="0"/>
              <w:jc w:val="center"/>
              <w:rPr>
                <w:rFonts w:hint="default" w:ascii="宋体" w:hAnsi="宋体" w:eastAsia="宋体" w:cs="宋体"/>
                <w:color w:val="auto"/>
                <w:sz w:val="24"/>
                <w:szCs w:val="24"/>
                <w:lang w:val="en-US"/>
              </w:rPr>
            </w:pPr>
            <w:r>
              <w:rPr>
                <w:rFonts w:hint="default" w:ascii="Times New Roman" w:hAnsi="Times New Roman" w:eastAsia="宋体" w:cs="Times New Roman"/>
                <w:color w:val="auto"/>
                <w:sz w:val="24"/>
                <w:szCs w:val="24"/>
                <w:highlight w:val="none"/>
                <w:lang w:val="en-US" w:eastAsia="zh-CN"/>
              </w:rPr>
              <w:t>五十三、装卸搬运和仓储业</w:t>
            </w:r>
            <w:r>
              <w:rPr>
                <w:rFonts w:hint="eastAsia"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四十一、电力、热力生产和供应业中的</w:t>
            </w:r>
            <w:r>
              <w:rPr>
                <w:rFonts w:hint="default" w:ascii="Times New Roman" w:hAnsi="Times New Roman" w:eastAsia="宋体" w:cs="Times New Roman"/>
                <w:color w:val="auto"/>
                <w:sz w:val="24"/>
                <w:szCs w:val="24"/>
                <w:highlight w:val="none"/>
                <w:lang w:val="en-US" w:eastAsia="zh-CN"/>
              </w:rPr>
              <w:t>91、热力生产和供应工程</w:t>
            </w:r>
          </w:p>
        </w:tc>
      </w:tr>
      <w:tr w14:paraId="14FC9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60" w:type="dxa"/>
            <w:tcMar>
              <w:top w:w="16" w:type="dxa"/>
              <w:left w:w="16" w:type="dxa"/>
              <w:right w:w="16" w:type="dxa"/>
            </w:tcMar>
            <w:vAlign w:val="center"/>
          </w:tcPr>
          <w:p w14:paraId="3D0C5D54">
            <w:pPr>
              <w:adjustRightInd w:val="0"/>
              <w:snapToGrid w:val="0"/>
              <w:jc w:val="center"/>
              <w:rPr>
                <w:rFonts w:ascii="宋体" w:hAnsi="宋体" w:cs="宋体"/>
                <w:color w:val="auto"/>
                <w:sz w:val="24"/>
                <w:szCs w:val="24"/>
              </w:rPr>
            </w:pPr>
            <w:r>
              <w:rPr>
                <w:rFonts w:hint="eastAsia" w:ascii="宋体" w:hAnsi="宋体" w:cs="宋体"/>
                <w:color w:val="auto"/>
                <w:sz w:val="24"/>
                <w:szCs w:val="24"/>
              </w:rPr>
              <w:t>建设性质</w:t>
            </w:r>
          </w:p>
        </w:tc>
        <w:tc>
          <w:tcPr>
            <w:tcW w:w="2180" w:type="dxa"/>
            <w:vAlign w:val="center"/>
          </w:tcPr>
          <w:p w14:paraId="4648CC9E">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新建</w:t>
            </w:r>
            <w:r>
              <w:rPr>
                <w:rFonts w:hint="eastAsia" w:ascii="宋体" w:hAnsi="宋体" w:cs="宋体"/>
                <w:color w:val="auto"/>
                <w:sz w:val="24"/>
                <w:szCs w:val="24"/>
                <w:lang w:eastAsia="zh-CN"/>
              </w:rPr>
              <w:t>（</w:t>
            </w:r>
            <w:r>
              <w:rPr>
                <w:rFonts w:hint="eastAsia" w:ascii="宋体" w:hAnsi="宋体" w:cs="宋体"/>
                <w:color w:val="auto"/>
                <w:sz w:val="24"/>
                <w:szCs w:val="24"/>
              </w:rPr>
              <w:t>迁建）</w:t>
            </w:r>
          </w:p>
          <w:p w14:paraId="76F282B2">
            <w:pPr>
              <w:jc w:val="left"/>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改建</w:t>
            </w:r>
          </w:p>
          <w:p w14:paraId="18C5DDB1">
            <w:pPr>
              <w:jc w:val="left"/>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扩建</w:t>
            </w:r>
          </w:p>
          <w:p w14:paraId="7B39A75D">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技术改造</w:t>
            </w:r>
          </w:p>
        </w:tc>
        <w:tc>
          <w:tcPr>
            <w:tcW w:w="1950" w:type="dxa"/>
            <w:vAlign w:val="center"/>
          </w:tcPr>
          <w:p w14:paraId="3E16017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建设项目</w:t>
            </w:r>
          </w:p>
          <w:p w14:paraId="425ADBC6">
            <w:pPr>
              <w:adjustRightInd w:val="0"/>
              <w:snapToGrid w:val="0"/>
              <w:jc w:val="center"/>
              <w:rPr>
                <w:rFonts w:ascii="宋体" w:hAnsi="宋体" w:cs="宋体"/>
                <w:color w:val="auto"/>
                <w:sz w:val="24"/>
                <w:szCs w:val="24"/>
              </w:rPr>
            </w:pPr>
            <w:r>
              <w:rPr>
                <w:rFonts w:hint="eastAsia" w:ascii="宋体" w:hAnsi="宋体" w:cs="宋体"/>
                <w:color w:val="auto"/>
                <w:sz w:val="24"/>
                <w:szCs w:val="24"/>
              </w:rPr>
              <w:t>申报情形</w:t>
            </w:r>
          </w:p>
        </w:tc>
        <w:tc>
          <w:tcPr>
            <w:tcW w:w="2780" w:type="dxa"/>
            <w:vAlign w:val="center"/>
          </w:tcPr>
          <w:p w14:paraId="3E30EC18">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首次申报项目</w:t>
            </w:r>
          </w:p>
          <w:p w14:paraId="0CDEE104">
            <w:pPr>
              <w:jc w:val="left"/>
              <w:rPr>
                <w:rFonts w:ascii="宋体" w:hAnsi="宋体" w:cs="宋体"/>
                <w:color w:val="auto"/>
                <w:sz w:val="24"/>
                <w:szCs w:val="24"/>
              </w:rPr>
            </w:pPr>
            <w:r>
              <w:rPr>
                <w:rFonts w:hint="eastAsia" w:ascii="宋体" w:hAnsi="宋体" w:cs="宋体"/>
                <w:color w:val="auto"/>
                <w:sz w:val="24"/>
                <w:szCs w:val="24"/>
              </w:rPr>
              <w:t>□不予批准后再次申报项目</w:t>
            </w:r>
          </w:p>
          <w:p w14:paraId="57858C0D">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超五年重新审核项目</w:t>
            </w:r>
          </w:p>
          <w:p w14:paraId="1416FB4C">
            <w:pPr>
              <w:jc w:val="left"/>
              <w:rPr>
                <w:rFonts w:ascii="宋体" w:hAnsi="宋体" w:cs="宋体"/>
                <w:color w:val="auto"/>
                <w:sz w:val="24"/>
                <w:szCs w:val="24"/>
              </w:rPr>
            </w:pPr>
            <w:r>
              <w:rPr>
                <w:rFonts w:hint="eastAsia" w:ascii="宋体" w:hAnsi="宋体" w:cs="宋体"/>
                <w:color w:val="auto"/>
                <w:sz w:val="24"/>
                <w:szCs w:val="24"/>
              </w:rPr>
              <w:t>□重大变动重新报批项目</w:t>
            </w:r>
          </w:p>
        </w:tc>
      </w:tr>
      <w:tr w14:paraId="35A7FC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60" w:type="dxa"/>
            <w:tcMar>
              <w:top w:w="16" w:type="dxa"/>
              <w:left w:w="16" w:type="dxa"/>
              <w:right w:w="16" w:type="dxa"/>
            </w:tcMar>
            <w:vAlign w:val="center"/>
          </w:tcPr>
          <w:p w14:paraId="4348301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项目审批</w:t>
            </w:r>
            <w:r>
              <w:rPr>
                <w:rFonts w:hint="eastAsia" w:ascii="宋体" w:hAnsi="宋体" w:cs="宋体"/>
                <w:color w:val="auto"/>
                <w:sz w:val="24"/>
                <w:szCs w:val="24"/>
                <w:lang w:eastAsia="zh-CN"/>
              </w:rPr>
              <w:t>（</w:t>
            </w:r>
            <w:r>
              <w:rPr>
                <w:rFonts w:hint="eastAsia" w:ascii="宋体" w:hAnsi="宋体" w:cs="宋体"/>
                <w:color w:val="auto"/>
                <w:sz w:val="24"/>
                <w:szCs w:val="24"/>
              </w:rPr>
              <w:t>核准</w:t>
            </w:r>
            <w:r>
              <w:rPr>
                <w:rFonts w:ascii="宋体" w:hAnsi="宋体" w:cs="宋体"/>
                <w:color w:val="auto"/>
                <w:sz w:val="24"/>
                <w:szCs w:val="24"/>
              </w:rPr>
              <w:t>/</w:t>
            </w:r>
          </w:p>
          <w:p w14:paraId="0C6954C4">
            <w:pPr>
              <w:adjustRightInd w:val="0"/>
              <w:snapToGrid w:val="0"/>
              <w:jc w:val="center"/>
              <w:rPr>
                <w:rFonts w:ascii="宋体" w:hAnsi="宋体" w:cs="宋体"/>
                <w:color w:val="auto"/>
                <w:sz w:val="24"/>
                <w:szCs w:val="24"/>
              </w:rPr>
            </w:pPr>
            <w:r>
              <w:rPr>
                <w:rFonts w:hint="eastAsia" w:ascii="宋体" w:hAnsi="宋体" w:cs="宋体"/>
                <w:color w:val="auto"/>
                <w:sz w:val="24"/>
                <w:szCs w:val="24"/>
              </w:rPr>
              <w:t>备案）部门</w:t>
            </w:r>
            <w:r>
              <w:rPr>
                <w:rFonts w:hint="eastAsia" w:ascii="宋体" w:hAnsi="宋体" w:cs="宋体"/>
                <w:color w:val="auto"/>
                <w:sz w:val="24"/>
                <w:szCs w:val="24"/>
                <w:lang w:eastAsia="zh-CN"/>
              </w:rPr>
              <w:t>（</w:t>
            </w:r>
            <w:r>
              <w:rPr>
                <w:rFonts w:hint="eastAsia" w:ascii="宋体" w:hAnsi="宋体" w:cs="宋体"/>
                <w:color w:val="auto"/>
                <w:sz w:val="24"/>
                <w:szCs w:val="24"/>
              </w:rPr>
              <w:t>选填）</w:t>
            </w:r>
          </w:p>
        </w:tc>
        <w:tc>
          <w:tcPr>
            <w:tcW w:w="2180" w:type="dxa"/>
            <w:vAlign w:val="center"/>
          </w:tcPr>
          <w:p w14:paraId="2ED11CE8">
            <w:pPr>
              <w:adjustRightInd w:val="0"/>
              <w:snapToGrid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裕民县发展和改革委员会</w:t>
            </w:r>
          </w:p>
        </w:tc>
        <w:tc>
          <w:tcPr>
            <w:tcW w:w="1950" w:type="dxa"/>
            <w:vAlign w:val="center"/>
          </w:tcPr>
          <w:p w14:paraId="77E4C93B">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项目审批</w:t>
            </w:r>
            <w:r>
              <w:rPr>
                <w:rFonts w:hint="eastAsia" w:ascii="宋体" w:hAnsi="宋体" w:cs="宋体"/>
                <w:color w:val="auto"/>
                <w:sz w:val="24"/>
                <w:szCs w:val="24"/>
                <w:lang w:eastAsia="zh-CN"/>
              </w:rPr>
              <w:t>（</w:t>
            </w:r>
            <w:r>
              <w:rPr>
                <w:rFonts w:hint="eastAsia" w:ascii="宋体" w:hAnsi="宋体" w:eastAsia="宋体" w:cs="宋体"/>
                <w:color w:val="auto"/>
                <w:sz w:val="24"/>
                <w:szCs w:val="24"/>
              </w:rPr>
              <w:t>核准/备案）文号</w:t>
            </w:r>
            <w:r>
              <w:rPr>
                <w:rFonts w:hint="eastAsia" w:ascii="宋体" w:hAnsi="宋体" w:cs="宋体"/>
                <w:color w:val="auto"/>
                <w:sz w:val="24"/>
                <w:szCs w:val="24"/>
                <w:lang w:eastAsia="zh-CN"/>
              </w:rPr>
              <w:t>（</w:t>
            </w:r>
            <w:r>
              <w:rPr>
                <w:rFonts w:hint="eastAsia" w:ascii="宋体" w:hAnsi="宋体" w:eastAsia="宋体" w:cs="宋体"/>
                <w:color w:val="auto"/>
                <w:sz w:val="24"/>
                <w:szCs w:val="24"/>
              </w:rPr>
              <w:t>选填）</w:t>
            </w:r>
          </w:p>
        </w:tc>
        <w:tc>
          <w:tcPr>
            <w:tcW w:w="2780" w:type="dxa"/>
            <w:vAlign w:val="center"/>
          </w:tcPr>
          <w:p w14:paraId="6F647D25">
            <w:pPr>
              <w:adjustRightInd w:val="0"/>
              <w:snapToGrid w:val="0"/>
              <w:jc w:val="center"/>
              <w:rPr>
                <w:rFonts w:hint="default" w:ascii="宋体" w:hAnsi="宋体" w:eastAsia="宋体" w:cs="宋体"/>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备案证号</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251105</w:t>
            </w:r>
            <w:r>
              <w:rPr>
                <w:rFonts w:hint="eastAsia" w:cs="Times New Roman"/>
                <w:color w:val="auto"/>
                <w:sz w:val="24"/>
                <w:szCs w:val="24"/>
                <w:highlight w:val="none"/>
                <w:lang w:val="en-US" w:eastAsia="zh-CN"/>
              </w:rPr>
              <w:t>31877654225000028</w:t>
            </w:r>
          </w:p>
        </w:tc>
      </w:tr>
      <w:tr w14:paraId="6ABC1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60" w:type="dxa"/>
            <w:tcMar>
              <w:top w:w="16" w:type="dxa"/>
              <w:left w:w="16" w:type="dxa"/>
              <w:right w:w="16" w:type="dxa"/>
            </w:tcMar>
            <w:vAlign w:val="center"/>
          </w:tcPr>
          <w:p w14:paraId="48BFFD6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总投资</w:t>
            </w:r>
            <w:r>
              <w:rPr>
                <w:rFonts w:hint="eastAsia" w:cs="Times New Roman"/>
                <w:color w:val="auto"/>
                <w:sz w:val="24"/>
                <w:szCs w:val="24"/>
                <w:lang w:eastAsia="zh-CN"/>
              </w:rPr>
              <w:t>（</w:t>
            </w:r>
            <w:r>
              <w:rPr>
                <w:rFonts w:hint="default" w:ascii="Times New Roman" w:hAnsi="Times New Roman" w:cs="Times New Roman"/>
                <w:color w:val="auto"/>
                <w:sz w:val="24"/>
                <w:szCs w:val="24"/>
              </w:rPr>
              <w:t>万元）</w:t>
            </w:r>
          </w:p>
        </w:tc>
        <w:tc>
          <w:tcPr>
            <w:tcW w:w="2180" w:type="dxa"/>
            <w:vAlign w:val="center"/>
          </w:tcPr>
          <w:p w14:paraId="4BC9E87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1400.00</w:t>
            </w:r>
          </w:p>
        </w:tc>
        <w:tc>
          <w:tcPr>
            <w:tcW w:w="1950" w:type="dxa"/>
            <w:tcMar>
              <w:top w:w="16" w:type="dxa"/>
              <w:left w:w="16" w:type="dxa"/>
              <w:right w:w="16" w:type="dxa"/>
            </w:tcMar>
            <w:vAlign w:val="center"/>
          </w:tcPr>
          <w:p w14:paraId="13AA33B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w:t>
            </w:r>
            <w:r>
              <w:rPr>
                <w:rFonts w:hint="eastAsia" w:cs="Times New Roman"/>
                <w:color w:val="auto"/>
                <w:sz w:val="24"/>
                <w:szCs w:val="24"/>
                <w:lang w:eastAsia="zh-CN"/>
              </w:rPr>
              <w:t>（</w:t>
            </w:r>
            <w:r>
              <w:rPr>
                <w:rFonts w:hint="default" w:ascii="Times New Roman" w:hAnsi="Times New Roman" w:cs="Times New Roman"/>
                <w:color w:val="auto"/>
                <w:sz w:val="24"/>
                <w:szCs w:val="24"/>
              </w:rPr>
              <w:t>万元）</w:t>
            </w:r>
          </w:p>
        </w:tc>
        <w:tc>
          <w:tcPr>
            <w:tcW w:w="2780" w:type="dxa"/>
            <w:vAlign w:val="center"/>
          </w:tcPr>
          <w:p w14:paraId="64FE5C4E">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116</w:t>
            </w:r>
          </w:p>
        </w:tc>
      </w:tr>
      <w:tr w14:paraId="26F06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BE6144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环保投资占比</w:t>
            </w:r>
            <w:r>
              <w:rPr>
                <w:rFonts w:hint="eastAsia" w:cs="Times New Roman"/>
                <w:color w:val="auto"/>
                <w:sz w:val="24"/>
                <w:szCs w:val="24"/>
                <w:lang w:eastAsia="zh-CN"/>
              </w:rPr>
              <w:t>（</w:t>
            </w:r>
            <w:r>
              <w:rPr>
                <w:rFonts w:hint="default" w:ascii="Times New Roman" w:hAnsi="Times New Roman" w:cs="Times New Roman"/>
                <w:color w:val="auto"/>
                <w:sz w:val="24"/>
                <w:szCs w:val="24"/>
              </w:rPr>
              <w:t>%）</w:t>
            </w:r>
          </w:p>
        </w:tc>
        <w:tc>
          <w:tcPr>
            <w:tcW w:w="2180" w:type="dxa"/>
            <w:vAlign w:val="center"/>
          </w:tcPr>
          <w:p w14:paraId="56D9D8AD">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8.28%</w:t>
            </w:r>
          </w:p>
        </w:tc>
        <w:tc>
          <w:tcPr>
            <w:tcW w:w="1950" w:type="dxa"/>
            <w:tcMar>
              <w:top w:w="16" w:type="dxa"/>
              <w:left w:w="16" w:type="dxa"/>
              <w:right w:w="16" w:type="dxa"/>
            </w:tcMar>
            <w:vAlign w:val="center"/>
          </w:tcPr>
          <w:p w14:paraId="582BF37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2780" w:type="dxa"/>
            <w:vAlign w:val="center"/>
          </w:tcPr>
          <w:p w14:paraId="123C0A9D">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3个月</w:t>
            </w:r>
          </w:p>
        </w:tc>
      </w:tr>
      <w:tr w14:paraId="2BC67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CA5F6B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180" w:type="dxa"/>
            <w:vAlign w:val="center"/>
          </w:tcPr>
          <w:p w14:paraId="634ACD2C">
            <w:pPr>
              <w:adjustRightInd w:val="0"/>
              <w:snapToGrid w:val="0"/>
              <w:rPr>
                <w:rFonts w:hint="default" w:ascii="Times New Roman" w:hAnsi="Times New Roman" w:cs="Times New Roman"/>
                <w:color w:val="auto"/>
                <w:sz w:val="24"/>
                <w:szCs w:val="24"/>
              </w:rPr>
            </w:pPr>
            <w:r>
              <w:rPr>
                <w:rFonts w:hint="eastAsia" w:ascii="宋体" w:hAnsi="宋体" w:cs="宋体"/>
                <w:color w:val="auto"/>
                <w:sz w:val="24"/>
                <w:szCs w:val="24"/>
                <w:lang w:eastAsia="zh-CN"/>
              </w:rPr>
              <w:t>☑</w:t>
            </w:r>
            <w:r>
              <w:rPr>
                <w:rFonts w:hint="default" w:ascii="Times New Roman" w:hAnsi="Times New Roman" w:cs="Times New Roman"/>
                <w:color w:val="auto"/>
                <w:sz w:val="24"/>
                <w:szCs w:val="24"/>
              </w:rPr>
              <w:t>否</w:t>
            </w:r>
          </w:p>
          <w:p w14:paraId="2B2160CA">
            <w:pPr>
              <w:adjustRightInd w:val="0"/>
              <w:snapToGrid w:val="0"/>
              <w:rPr>
                <w:rFonts w:hint="default" w:ascii="Times New Roman" w:hAnsi="Times New Roman" w:cs="Times New Roman"/>
                <w:color w:val="auto"/>
                <w:sz w:val="24"/>
                <w:szCs w:val="24"/>
              </w:rPr>
            </w:pPr>
            <w:r>
              <w:rPr>
                <w:rFonts w:hint="eastAsia" w:ascii="宋体" w:hAnsi="宋体" w:cs="宋体"/>
                <w:color w:val="auto"/>
                <w:sz w:val="24"/>
                <w:szCs w:val="24"/>
                <w:lang w:eastAsia="zh-CN"/>
              </w:rPr>
              <w:t>□</w:t>
            </w:r>
            <w:r>
              <w:rPr>
                <w:rFonts w:hint="default" w:ascii="Times New Roman" w:hAnsi="Times New Roman" w:cs="Times New Roman"/>
                <w:color w:val="auto"/>
                <w:sz w:val="24"/>
                <w:szCs w:val="24"/>
              </w:rPr>
              <w:t>是：</w:t>
            </w:r>
          </w:p>
        </w:tc>
        <w:tc>
          <w:tcPr>
            <w:tcW w:w="1950" w:type="dxa"/>
            <w:tcMar>
              <w:top w:w="16" w:type="dxa"/>
              <w:left w:w="16" w:type="dxa"/>
              <w:right w:w="16" w:type="dxa"/>
            </w:tcMar>
            <w:vAlign w:val="center"/>
          </w:tcPr>
          <w:p w14:paraId="3EBC6EDD">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w:t>
            </w:r>
            <w:r>
              <w:rPr>
                <w:rFonts w:hint="eastAsia" w:cs="Times New Roman"/>
                <w:color w:val="auto"/>
                <w:spacing w:val="-6"/>
                <w:sz w:val="24"/>
                <w:szCs w:val="24"/>
                <w:lang w:eastAsia="zh-CN"/>
              </w:rPr>
              <w:t>（</w:t>
            </w:r>
            <w:r>
              <w:rPr>
                <w:rFonts w:hint="default" w:ascii="Times New Roman" w:hAnsi="Times New Roman" w:cs="Times New Roman"/>
                <w:color w:val="auto"/>
                <w:spacing w:val="-6"/>
                <w:sz w:val="24"/>
                <w:szCs w:val="24"/>
              </w:rPr>
              <w:t>用海）</w:t>
            </w:r>
          </w:p>
          <w:p w14:paraId="2689453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w:t>
            </w:r>
            <w:r>
              <w:rPr>
                <w:rFonts w:hint="eastAsia" w:cs="Times New Roman"/>
                <w:color w:val="auto"/>
                <w:spacing w:val="-6"/>
                <w:sz w:val="24"/>
                <w:szCs w:val="24"/>
                <w:lang w:eastAsia="zh-CN"/>
              </w:rPr>
              <w:t>（</w:t>
            </w:r>
            <w:r>
              <w:rPr>
                <w:rFonts w:hint="default" w:ascii="Times New Roman" w:hAnsi="Times New Roman" w:cs="Times New Roman"/>
                <w:color w:val="auto"/>
                <w:spacing w:val="-6"/>
                <w:sz w:val="24"/>
                <w:szCs w:val="24"/>
              </w:rPr>
              <w:t>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780" w:type="dxa"/>
            <w:vAlign w:val="center"/>
          </w:tcPr>
          <w:p w14:paraId="614ABBD8">
            <w:pPr>
              <w:adjustRightInd w:val="0"/>
              <w:snapToGrid w:val="0"/>
              <w:jc w:val="center"/>
              <w:rPr>
                <w:rFonts w:hint="default" w:ascii="Times New Roman" w:hAnsi="Times New Roman" w:eastAsia="宋体" w:cs="Times New Roman"/>
                <w:color w:val="auto"/>
                <w:sz w:val="24"/>
                <w:szCs w:val="24"/>
                <w:lang w:val="en-US" w:eastAsia="zh-CN"/>
              </w:rPr>
            </w:pPr>
            <w:r>
              <w:rPr>
                <w:rStyle w:val="131"/>
                <w:rFonts w:hint="eastAsia"/>
                <w:b w:val="0"/>
                <w:i w:val="0"/>
                <w:caps w:val="0"/>
                <w:color w:val="auto"/>
                <w:spacing w:val="0"/>
                <w:w w:val="100"/>
                <w:kern w:val="2"/>
                <w:sz w:val="24"/>
                <w:lang w:val="en-US" w:eastAsia="zh-CN" w:bidi="ar-SA"/>
              </w:rPr>
              <w:t>27727.83</w:t>
            </w:r>
          </w:p>
        </w:tc>
      </w:tr>
      <w:tr w14:paraId="0AA20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960" w:type="dxa"/>
            <w:vAlign w:val="center"/>
          </w:tcPr>
          <w:p w14:paraId="4BF66D17">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专项评价设置情况</w:t>
            </w:r>
          </w:p>
        </w:tc>
        <w:tc>
          <w:tcPr>
            <w:tcW w:w="6910" w:type="dxa"/>
            <w:gridSpan w:val="3"/>
            <w:vAlign w:val="center"/>
          </w:tcPr>
          <w:p w14:paraId="267F9345">
            <w:pPr>
              <w:pStyle w:val="39"/>
              <w:bidi w:val="0"/>
              <w:rPr>
                <w:rFonts w:hint="eastAsia"/>
                <w:color w:val="auto"/>
                <w:lang w:val="en-US" w:eastAsia="zh-CN"/>
              </w:rPr>
            </w:pPr>
            <w:r>
              <w:rPr>
                <w:rFonts w:hint="eastAsia"/>
                <w:color w:val="auto"/>
                <w:lang w:val="en-US" w:eastAsia="zh-CN"/>
              </w:rPr>
              <w:t>建设项目环境影响报告表编制技术指南（污染影响类）（试行），专项评价设置原则表见表1-1。</w:t>
            </w:r>
          </w:p>
          <w:p w14:paraId="3CD9E439">
            <w:pPr>
              <w:pStyle w:val="53"/>
              <w:bidi w:val="0"/>
              <w:rPr>
                <w:color w:val="auto"/>
              </w:rPr>
            </w:pPr>
            <w:r>
              <w:rPr>
                <w:rFonts w:hint="eastAsia"/>
                <w:color w:val="auto"/>
                <w:lang w:val="en-US" w:eastAsia="zh-CN"/>
              </w:rPr>
              <w:t xml:space="preserve">表1-1   </w:t>
            </w:r>
            <w:r>
              <w:rPr>
                <w:color w:val="auto"/>
                <w:lang w:val="en-US" w:eastAsia="zh-CN"/>
              </w:rPr>
              <w:t>专项评价设置原则表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617"/>
              <w:gridCol w:w="2278"/>
              <w:gridCol w:w="718"/>
            </w:tblGrid>
            <w:tr w14:paraId="0BC7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4D803747">
                  <w:pPr>
                    <w:pStyle w:val="42"/>
                    <w:bidi w:val="0"/>
                    <w:rPr>
                      <w:rFonts w:hint="default"/>
                    </w:rPr>
                  </w:pPr>
                  <w:r>
                    <w:rPr>
                      <w:rFonts w:hint="default"/>
                    </w:rPr>
                    <w:t>专项评价的类别</w:t>
                  </w:r>
                </w:p>
              </w:tc>
              <w:tc>
                <w:tcPr>
                  <w:tcW w:w="1958" w:type="pct"/>
                  <w:tcBorders>
                    <w:tl2br w:val="nil"/>
                    <w:tr2bl w:val="nil"/>
                  </w:tcBorders>
                  <w:noWrap w:val="0"/>
                  <w:vAlign w:val="center"/>
                </w:tcPr>
                <w:p w14:paraId="5FAA71B0">
                  <w:pPr>
                    <w:pStyle w:val="42"/>
                    <w:bidi w:val="0"/>
                    <w:rPr>
                      <w:rFonts w:hint="default"/>
                    </w:rPr>
                  </w:pPr>
                  <w:r>
                    <w:rPr>
                      <w:rFonts w:hint="default"/>
                    </w:rPr>
                    <w:t>设置原则</w:t>
                  </w:r>
                </w:p>
              </w:tc>
              <w:tc>
                <w:tcPr>
                  <w:tcW w:w="1705" w:type="pct"/>
                  <w:tcBorders>
                    <w:tl2br w:val="nil"/>
                    <w:tr2bl w:val="nil"/>
                  </w:tcBorders>
                  <w:noWrap w:val="0"/>
                  <w:vAlign w:val="center"/>
                </w:tcPr>
                <w:p w14:paraId="06FF17E9">
                  <w:pPr>
                    <w:pStyle w:val="42"/>
                    <w:bidi w:val="0"/>
                    <w:rPr>
                      <w:rFonts w:hint="default"/>
                    </w:rPr>
                  </w:pPr>
                  <w:r>
                    <w:rPr>
                      <w:rFonts w:hint="default"/>
                    </w:rPr>
                    <w:t>本项目情况</w:t>
                  </w:r>
                </w:p>
              </w:tc>
              <w:tc>
                <w:tcPr>
                  <w:tcW w:w="537" w:type="pct"/>
                  <w:tcBorders>
                    <w:tl2br w:val="nil"/>
                    <w:tr2bl w:val="nil"/>
                  </w:tcBorders>
                  <w:noWrap w:val="0"/>
                  <w:vAlign w:val="center"/>
                </w:tcPr>
                <w:p w14:paraId="23B6AE1C">
                  <w:pPr>
                    <w:pStyle w:val="42"/>
                    <w:bidi w:val="0"/>
                    <w:rPr>
                      <w:rFonts w:hint="eastAsia"/>
                      <w:lang w:eastAsia="zh-CN"/>
                    </w:rPr>
                  </w:pPr>
                  <w:r>
                    <w:rPr>
                      <w:rFonts w:hint="eastAsia"/>
                      <w:lang w:eastAsia="zh-CN"/>
                    </w:rPr>
                    <w:t>设置专项</w:t>
                  </w:r>
                </w:p>
              </w:tc>
            </w:tr>
            <w:tr w14:paraId="60E6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41877081">
                  <w:pPr>
                    <w:pStyle w:val="42"/>
                    <w:bidi w:val="0"/>
                    <w:rPr>
                      <w:rFonts w:hint="default"/>
                    </w:rPr>
                  </w:pPr>
                  <w:r>
                    <w:rPr>
                      <w:rFonts w:hint="default"/>
                    </w:rPr>
                    <w:t>大气</w:t>
                  </w:r>
                </w:p>
              </w:tc>
              <w:tc>
                <w:tcPr>
                  <w:tcW w:w="1958" w:type="pct"/>
                  <w:tcBorders>
                    <w:tl2br w:val="nil"/>
                    <w:tr2bl w:val="nil"/>
                  </w:tcBorders>
                  <w:noWrap w:val="0"/>
                  <w:vAlign w:val="center"/>
                </w:tcPr>
                <w:p w14:paraId="1D66E32A">
                  <w:pPr>
                    <w:pStyle w:val="42"/>
                    <w:bidi w:val="0"/>
                    <w:rPr>
                      <w:rFonts w:hint="default"/>
                    </w:rPr>
                  </w:pPr>
                  <w:r>
                    <w:rPr>
                      <w:rFonts w:hint="default"/>
                    </w:rPr>
                    <w:t>排放废气含有有毒有害污染物1、二噁英、苯并[a]芘、氰化物、氯气且厂界外500米范围内有环境空气保护目标2的建设项目</w:t>
                  </w:r>
                </w:p>
              </w:tc>
              <w:tc>
                <w:tcPr>
                  <w:tcW w:w="1705" w:type="pct"/>
                  <w:tcBorders>
                    <w:tl2br w:val="nil"/>
                    <w:tr2bl w:val="nil"/>
                  </w:tcBorders>
                  <w:noWrap w:val="0"/>
                  <w:vAlign w:val="center"/>
                </w:tcPr>
                <w:p w14:paraId="04046B76">
                  <w:pPr>
                    <w:pStyle w:val="42"/>
                    <w:bidi w:val="0"/>
                    <w:rPr>
                      <w:rFonts w:hint="default"/>
                      <w:lang w:val="en-US" w:eastAsia="zh-CN"/>
                    </w:rPr>
                  </w:pPr>
                  <w:r>
                    <w:rPr>
                      <w:rFonts w:hint="eastAsia"/>
                      <w:lang w:val="en-US" w:eastAsia="zh-CN"/>
                    </w:rPr>
                    <w:t>本项目热风炉为燃煤锅炉，废气中含有汞及其化合物，</w:t>
                  </w:r>
                  <w:r>
                    <w:rPr>
                      <w:rFonts w:hint="eastAsia" w:asciiTheme="minorEastAsia" w:hAnsiTheme="minorEastAsia" w:eastAsiaTheme="minorEastAsia"/>
                    </w:rPr>
                    <w:t>属于《有毒有害大气污染物名录</w:t>
                  </w:r>
                  <w:r>
                    <w:rPr>
                      <w:rFonts w:hint="eastAsia" w:asciiTheme="minorEastAsia" w:hAnsiTheme="minorEastAsia" w:eastAsiaTheme="minorEastAsia"/>
                      <w:lang w:eastAsia="zh-CN"/>
                    </w:rPr>
                    <w:t>（</w:t>
                  </w:r>
                  <w:r>
                    <w:rPr>
                      <w:rFonts w:hint="eastAsia" w:asciiTheme="minorEastAsia" w:hAnsiTheme="minorEastAsia" w:eastAsiaTheme="minorEastAsia"/>
                    </w:rPr>
                    <w:t>2018年）》中有毒有害物质</w:t>
                  </w:r>
                  <w:r>
                    <w:rPr>
                      <w:rFonts w:hint="default"/>
                      <w:lang w:eastAsia="zh-CN"/>
                    </w:rPr>
                    <w:t>。</w:t>
                  </w:r>
                  <w:r>
                    <w:rPr>
                      <w:rFonts w:hint="eastAsia"/>
                      <w:lang w:val="en-US" w:eastAsia="zh-CN"/>
                    </w:rPr>
                    <w:t>500米范围内无敏感目标。</w:t>
                  </w:r>
                </w:p>
              </w:tc>
              <w:tc>
                <w:tcPr>
                  <w:tcW w:w="537" w:type="pct"/>
                  <w:tcBorders>
                    <w:tl2br w:val="nil"/>
                    <w:tr2bl w:val="nil"/>
                  </w:tcBorders>
                  <w:noWrap w:val="0"/>
                  <w:vAlign w:val="center"/>
                </w:tcPr>
                <w:p w14:paraId="2C7ED01F">
                  <w:pPr>
                    <w:pStyle w:val="42"/>
                    <w:bidi w:val="0"/>
                    <w:rPr>
                      <w:rFonts w:hint="eastAsia"/>
                      <w:lang w:eastAsia="zh-CN"/>
                    </w:rPr>
                  </w:pPr>
                  <w:r>
                    <w:rPr>
                      <w:rFonts w:hint="eastAsia"/>
                      <w:lang w:val="en-US" w:eastAsia="zh-CN"/>
                    </w:rPr>
                    <w:t>否</w:t>
                  </w:r>
                </w:p>
              </w:tc>
            </w:tr>
            <w:tr w14:paraId="217A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5BD1D36A">
                  <w:pPr>
                    <w:pStyle w:val="42"/>
                    <w:bidi w:val="0"/>
                    <w:rPr>
                      <w:rFonts w:hint="default"/>
                    </w:rPr>
                  </w:pPr>
                  <w:r>
                    <w:rPr>
                      <w:rFonts w:hint="default"/>
                    </w:rPr>
                    <w:t>地表水</w:t>
                  </w:r>
                </w:p>
              </w:tc>
              <w:tc>
                <w:tcPr>
                  <w:tcW w:w="1958" w:type="pct"/>
                  <w:tcBorders>
                    <w:tl2br w:val="nil"/>
                    <w:tr2bl w:val="nil"/>
                  </w:tcBorders>
                  <w:noWrap w:val="0"/>
                  <w:vAlign w:val="center"/>
                </w:tcPr>
                <w:p w14:paraId="7366AB38">
                  <w:pPr>
                    <w:pStyle w:val="42"/>
                    <w:bidi w:val="0"/>
                    <w:rPr>
                      <w:rFonts w:hint="default"/>
                    </w:rPr>
                  </w:pPr>
                  <w:r>
                    <w:rPr>
                      <w:rFonts w:hint="default"/>
                    </w:rPr>
                    <w:t>新增工业废水直排建设项目</w:t>
                  </w:r>
                  <w:r>
                    <w:rPr>
                      <w:rFonts w:hint="eastAsia"/>
                      <w:lang w:eastAsia="zh-CN"/>
                    </w:rPr>
                    <w:t>（</w:t>
                  </w:r>
                  <w:r>
                    <w:rPr>
                      <w:rFonts w:hint="default"/>
                    </w:rPr>
                    <w:t>槽罐车外送污水处理厂的除外）；新增废水直排的污水集中处理厂</w:t>
                  </w:r>
                </w:p>
              </w:tc>
              <w:tc>
                <w:tcPr>
                  <w:tcW w:w="1705" w:type="pct"/>
                  <w:tcBorders>
                    <w:tl2br w:val="nil"/>
                    <w:tr2bl w:val="nil"/>
                  </w:tcBorders>
                  <w:noWrap w:val="0"/>
                  <w:vAlign w:val="center"/>
                </w:tcPr>
                <w:p w14:paraId="607878F5">
                  <w:pPr>
                    <w:pStyle w:val="42"/>
                    <w:bidi w:val="0"/>
                    <w:rPr>
                      <w:rFonts w:hint="default"/>
                    </w:rPr>
                  </w:pPr>
                  <w:r>
                    <w:rPr>
                      <w:rFonts w:hint="eastAsia"/>
                      <w:lang w:val="en-US" w:eastAsia="zh-CN"/>
                    </w:rPr>
                    <w:t>本项目</w:t>
                  </w:r>
                  <w:r>
                    <w:rPr>
                      <w:rFonts w:hint="default"/>
                      <w:lang w:val="en-US" w:eastAsia="zh-CN"/>
                    </w:rPr>
                    <w:t>生活污水</w:t>
                  </w:r>
                  <w:r>
                    <w:rPr>
                      <w:rFonts w:hint="eastAsia"/>
                      <w:lang w:val="en-US" w:eastAsia="zh-CN"/>
                    </w:rPr>
                    <w:t>经化粪池处理后由环卫部门定期清运，</w:t>
                  </w:r>
                  <w:r>
                    <w:rPr>
                      <w:rFonts w:hint="default"/>
                      <w:lang w:val="en-US" w:eastAsia="zh-CN"/>
                    </w:rPr>
                    <w:t>不直接外排废水。</w:t>
                  </w:r>
                </w:p>
              </w:tc>
              <w:tc>
                <w:tcPr>
                  <w:tcW w:w="537" w:type="pct"/>
                  <w:tcBorders>
                    <w:tl2br w:val="nil"/>
                    <w:tr2bl w:val="nil"/>
                  </w:tcBorders>
                  <w:noWrap w:val="0"/>
                  <w:vAlign w:val="center"/>
                </w:tcPr>
                <w:p w14:paraId="0C605587">
                  <w:pPr>
                    <w:pStyle w:val="42"/>
                    <w:bidi w:val="0"/>
                    <w:rPr>
                      <w:rFonts w:hint="eastAsia"/>
                      <w:lang w:eastAsia="zh-CN"/>
                    </w:rPr>
                  </w:pPr>
                  <w:r>
                    <w:rPr>
                      <w:rFonts w:hint="eastAsia"/>
                      <w:lang w:eastAsia="zh-CN"/>
                    </w:rPr>
                    <w:t>否</w:t>
                  </w:r>
                </w:p>
              </w:tc>
            </w:tr>
            <w:tr w14:paraId="58F1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699D2D7D">
                  <w:pPr>
                    <w:pStyle w:val="42"/>
                    <w:bidi w:val="0"/>
                    <w:rPr>
                      <w:rFonts w:hint="default"/>
                    </w:rPr>
                  </w:pPr>
                  <w:r>
                    <w:rPr>
                      <w:rFonts w:hint="default"/>
                    </w:rPr>
                    <w:t>环境风险</w:t>
                  </w:r>
                </w:p>
              </w:tc>
              <w:tc>
                <w:tcPr>
                  <w:tcW w:w="1958" w:type="pct"/>
                  <w:tcBorders>
                    <w:tl2br w:val="nil"/>
                    <w:tr2bl w:val="nil"/>
                  </w:tcBorders>
                  <w:noWrap w:val="0"/>
                  <w:vAlign w:val="center"/>
                </w:tcPr>
                <w:p w14:paraId="19BDEFD9">
                  <w:pPr>
                    <w:pStyle w:val="42"/>
                    <w:bidi w:val="0"/>
                    <w:rPr>
                      <w:rFonts w:hint="default"/>
                    </w:rPr>
                  </w:pPr>
                  <w:r>
                    <w:rPr>
                      <w:rFonts w:hint="default"/>
                    </w:rPr>
                    <w:t>有毒有害和易燃易爆危险物质存储量超过临界量3的建设项目</w:t>
                  </w:r>
                </w:p>
              </w:tc>
              <w:tc>
                <w:tcPr>
                  <w:tcW w:w="1705" w:type="pct"/>
                  <w:tcBorders>
                    <w:tl2br w:val="nil"/>
                    <w:tr2bl w:val="nil"/>
                  </w:tcBorders>
                  <w:noWrap w:val="0"/>
                  <w:vAlign w:val="center"/>
                </w:tcPr>
                <w:p w14:paraId="0879BBBD">
                  <w:pPr>
                    <w:pStyle w:val="42"/>
                    <w:bidi w:val="0"/>
                    <w:rPr>
                      <w:rFonts w:hint="default"/>
                    </w:rPr>
                  </w:pPr>
                  <w:r>
                    <w:t>本项目危险物质储存量未超过临界量</w:t>
                  </w:r>
                  <w:r>
                    <w:rPr>
                      <w:rFonts w:hint="eastAsia"/>
                      <w:lang w:val="en-US" w:eastAsia="zh-CN"/>
                    </w:rPr>
                    <w:t>。</w:t>
                  </w:r>
                </w:p>
              </w:tc>
              <w:tc>
                <w:tcPr>
                  <w:tcW w:w="537" w:type="pct"/>
                  <w:tcBorders>
                    <w:tl2br w:val="nil"/>
                    <w:tr2bl w:val="nil"/>
                  </w:tcBorders>
                  <w:noWrap w:val="0"/>
                  <w:vAlign w:val="center"/>
                </w:tcPr>
                <w:p w14:paraId="09AE16D0">
                  <w:pPr>
                    <w:pStyle w:val="42"/>
                    <w:bidi w:val="0"/>
                    <w:rPr>
                      <w:rFonts w:hint="eastAsia"/>
                      <w:lang w:eastAsia="zh-CN"/>
                    </w:rPr>
                  </w:pPr>
                  <w:r>
                    <w:rPr>
                      <w:rFonts w:hint="eastAsia"/>
                      <w:lang w:eastAsia="zh-CN"/>
                    </w:rPr>
                    <w:t>否</w:t>
                  </w:r>
                </w:p>
              </w:tc>
            </w:tr>
            <w:tr w14:paraId="5C5A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76849DA4">
                  <w:pPr>
                    <w:pStyle w:val="42"/>
                    <w:bidi w:val="0"/>
                    <w:rPr>
                      <w:rFonts w:hint="default"/>
                    </w:rPr>
                  </w:pPr>
                  <w:r>
                    <w:rPr>
                      <w:rFonts w:hint="default"/>
                    </w:rPr>
                    <w:t>生态</w:t>
                  </w:r>
                </w:p>
              </w:tc>
              <w:tc>
                <w:tcPr>
                  <w:tcW w:w="1958" w:type="pct"/>
                  <w:tcBorders>
                    <w:tl2br w:val="nil"/>
                    <w:tr2bl w:val="nil"/>
                  </w:tcBorders>
                  <w:noWrap w:val="0"/>
                  <w:vAlign w:val="center"/>
                </w:tcPr>
                <w:p w14:paraId="208DFBB0">
                  <w:pPr>
                    <w:pStyle w:val="42"/>
                    <w:bidi w:val="0"/>
                    <w:rPr>
                      <w:rFonts w:hint="default"/>
                    </w:rPr>
                  </w:pPr>
                  <w:r>
                    <w:rPr>
                      <w:rFonts w:hint="default"/>
                    </w:rPr>
                    <w:t>取水口下游500米范围内有重要水生生物的自然产卵场、索饵场、越冬场和洄游通道的新增河道取水的污染类建设项目</w:t>
                  </w:r>
                </w:p>
              </w:tc>
              <w:tc>
                <w:tcPr>
                  <w:tcW w:w="1705" w:type="pct"/>
                  <w:tcBorders>
                    <w:tl2br w:val="nil"/>
                    <w:tr2bl w:val="nil"/>
                  </w:tcBorders>
                  <w:noWrap w:val="0"/>
                  <w:vAlign w:val="center"/>
                </w:tcPr>
                <w:p w14:paraId="5F6B27E6">
                  <w:pPr>
                    <w:pStyle w:val="42"/>
                    <w:bidi w:val="0"/>
                    <w:rPr>
                      <w:rFonts w:hint="eastAsia"/>
                      <w:lang w:eastAsia="zh-CN"/>
                    </w:rPr>
                  </w:pPr>
                  <w:r>
                    <w:rPr>
                      <w:rFonts w:hint="default"/>
                    </w:rPr>
                    <w:t>本项目不属于河道取水的污染类建设项目</w:t>
                  </w:r>
                  <w:r>
                    <w:rPr>
                      <w:rFonts w:hint="eastAsia"/>
                      <w:lang w:eastAsia="zh-CN"/>
                    </w:rPr>
                    <w:t>。</w:t>
                  </w:r>
                </w:p>
              </w:tc>
              <w:tc>
                <w:tcPr>
                  <w:tcW w:w="537" w:type="pct"/>
                  <w:tcBorders>
                    <w:tl2br w:val="nil"/>
                    <w:tr2bl w:val="nil"/>
                  </w:tcBorders>
                  <w:noWrap w:val="0"/>
                  <w:vAlign w:val="center"/>
                </w:tcPr>
                <w:p w14:paraId="76BDCCF2">
                  <w:pPr>
                    <w:pStyle w:val="42"/>
                    <w:bidi w:val="0"/>
                    <w:rPr>
                      <w:rFonts w:hint="eastAsia"/>
                      <w:lang w:eastAsia="zh-CN"/>
                    </w:rPr>
                  </w:pPr>
                  <w:r>
                    <w:rPr>
                      <w:rFonts w:hint="eastAsia"/>
                      <w:lang w:eastAsia="zh-CN"/>
                    </w:rPr>
                    <w:t>否</w:t>
                  </w:r>
                </w:p>
              </w:tc>
            </w:tr>
            <w:tr w14:paraId="3491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57616FE8">
                  <w:pPr>
                    <w:pStyle w:val="42"/>
                    <w:bidi w:val="0"/>
                    <w:rPr>
                      <w:rFonts w:hint="default"/>
                    </w:rPr>
                  </w:pPr>
                  <w:r>
                    <w:rPr>
                      <w:rFonts w:hint="default"/>
                    </w:rPr>
                    <w:t>海洋</w:t>
                  </w:r>
                </w:p>
              </w:tc>
              <w:tc>
                <w:tcPr>
                  <w:tcW w:w="1958" w:type="pct"/>
                  <w:tcBorders>
                    <w:tl2br w:val="nil"/>
                    <w:tr2bl w:val="nil"/>
                  </w:tcBorders>
                  <w:noWrap w:val="0"/>
                  <w:vAlign w:val="center"/>
                </w:tcPr>
                <w:p w14:paraId="2EB469B3">
                  <w:pPr>
                    <w:pStyle w:val="42"/>
                    <w:bidi w:val="0"/>
                    <w:rPr>
                      <w:rFonts w:hint="default"/>
                    </w:rPr>
                  </w:pPr>
                  <w:r>
                    <w:rPr>
                      <w:rFonts w:hint="default"/>
                    </w:rPr>
                    <w:t>直接向海洋排放污染物的海洋工程建设项目</w:t>
                  </w:r>
                </w:p>
              </w:tc>
              <w:tc>
                <w:tcPr>
                  <w:tcW w:w="1705" w:type="pct"/>
                  <w:tcBorders>
                    <w:tl2br w:val="nil"/>
                    <w:tr2bl w:val="nil"/>
                  </w:tcBorders>
                  <w:noWrap w:val="0"/>
                  <w:vAlign w:val="center"/>
                </w:tcPr>
                <w:p w14:paraId="448CC31D">
                  <w:pPr>
                    <w:pStyle w:val="42"/>
                    <w:bidi w:val="0"/>
                    <w:rPr>
                      <w:rFonts w:hint="eastAsia"/>
                      <w:lang w:eastAsia="zh-CN"/>
                    </w:rPr>
                  </w:pPr>
                  <w:r>
                    <w:rPr>
                      <w:rFonts w:hint="default"/>
                    </w:rPr>
                    <w:t>本项目不属于海洋工程建设项目</w:t>
                  </w:r>
                  <w:r>
                    <w:rPr>
                      <w:rFonts w:hint="eastAsia"/>
                      <w:lang w:eastAsia="zh-CN"/>
                    </w:rPr>
                    <w:t>。</w:t>
                  </w:r>
                </w:p>
              </w:tc>
              <w:tc>
                <w:tcPr>
                  <w:tcW w:w="537" w:type="pct"/>
                  <w:tcBorders>
                    <w:tl2br w:val="nil"/>
                    <w:tr2bl w:val="nil"/>
                  </w:tcBorders>
                  <w:noWrap w:val="0"/>
                  <w:vAlign w:val="center"/>
                </w:tcPr>
                <w:p w14:paraId="21E03679">
                  <w:pPr>
                    <w:pStyle w:val="42"/>
                    <w:bidi w:val="0"/>
                    <w:rPr>
                      <w:rFonts w:hint="eastAsia"/>
                      <w:lang w:eastAsia="zh-CN"/>
                    </w:rPr>
                  </w:pPr>
                  <w:r>
                    <w:rPr>
                      <w:rFonts w:hint="eastAsia"/>
                      <w:lang w:eastAsia="zh-CN"/>
                    </w:rPr>
                    <w:t>否</w:t>
                  </w:r>
                </w:p>
              </w:tc>
            </w:tr>
            <w:tr w14:paraId="1263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4151EE9C">
                  <w:pPr>
                    <w:pStyle w:val="42"/>
                    <w:bidi w:val="0"/>
                    <w:rPr>
                      <w:rFonts w:hint="default"/>
                    </w:rPr>
                  </w:pPr>
                  <w:r>
                    <w:rPr>
                      <w:rFonts w:hint="default"/>
                    </w:rPr>
                    <w:t>地下水</w:t>
                  </w:r>
                </w:p>
              </w:tc>
              <w:tc>
                <w:tcPr>
                  <w:tcW w:w="1958" w:type="pct"/>
                  <w:tcBorders>
                    <w:tl2br w:val="nil"/>
                    <w:tr2bl w:val="nil"/>
                  </w:tcBorders>
                  <w:noWrap w:val="0"/>
                  <w:vAlign w:val="center"/>
                </w:tcPr>
                <w:p w14:paraId="6B9EC3D5">
                  <w:pPr>
                    <w:pStyle w:val="42"/>
                    <w:bidi w:val="0"/>
                    <w:rPr>
                      <w:rFonts w:hint="default"/>
                    </w:rPr>
                  </w:pPr>
                  <w:r>
                    <w:rPr>
                      <w:rFonts w:hint="default"/>
                    </w:rPr>
                    <w:t>原则上不开展专项评价，涉及集中式饮用水水源和热水、矿泉水、温泉等特殊地下水资源保护区的开展地下水专项评价工作</w:t>
                  </w:r>
                </w:p>
              </w:tc>
              <w:tc>
                <w:tcPr>
                  <w:tcW w:w="1705" w:type="pct"/>
                  <w:tcBorders>
                    <w:tl2br w:val="nil"/>
                    <w:tr2bl w:val="nil"/>
                  </w:tcBorders>
                  <w:noWrap w:val="0"/>
                  <w:vAlign w:val="center"/>
                </w:tcPr>
                <w:p w14:paraId="48AB3C62">
                  <w:pPr>
                    <w:pStyle w:val="42"/>
                    <w:bidi w:val="0"/>
                    <w:rPr>
                      <w:rFonts w:hint="eastAsia"/>
                      <w:lang w:eastAsia="zh-CN"/>
                    </w:rPr>
                  </w:pPr>
                  <w:r>
                    <w:rPr>
                      <w:rFonts w:hint="default"/>
                    </w:rPr>
                    <w:t>本项目不涉及集中式饮用水水源和热水、矿泉水、温泉等特殊地下水资源保护区</w:t>
                  </w:r>
                  <w:r>
                    <w:rPr>
                      <w:rFonts w:hint="eastAsia"/>
                      <w:lang w:eastAsia="zh-CN"/>
                    </w:rPr>
                    <w:t>。</w:t>
                  </w:r>
                </w:p>
              </w:tc>
              <w:tc>
                <w:tcPr>
                  <w:tcW w:w="537" w:type="pct"/>
                  <w:tcBorders>
                    <w:tl2br w:val="nil"/>
                    <w:tr2bl w:val="nil"/>
                  </w:tcBorders>
                  <w:noWrap w:val="0"/>
                  <w:vAlign w:val="center"/>
                </w:tcPr>
                <w:p w14:paraId="31DAEE8D">
                  <w:pPr>
                    <w:pStyle w:val="42"/>
                    <w:bidi w:val="0"/>
                    <w:rPr>
                      <w:rFonts w:hint="eastAsia"/>
                      <w:lang w:eastAsia="zh-CN"/>
                    </w:rPr>
                  </w:pPr>
                  <w:r>
                    <w:rPr>
                      <w:rFonts w:hint="eastAsia"/>
                      <w:lang w:eastAsia="zh-CN"/>
                    </w:rPr>
                    <w:t>否</w:t>
                  </w:r>
                </w:p>
              </w:tc>
            </w:tr>
            <w:tr w14:paraId="273C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tcBorders>
                    <w:tl2br w:val="nil"/>
                    <w:tr2bl w:val="nil"/>
                  </w:tcBorders>
                  <w:noWrap w:val="0"/>
                  <w:vAlign w:val="center"/>
                </w:tcPr>
                <w:p w14:paraId="29A76AA1">
                  <w:pPr>
                    <w:pStyle w:val="42"/>
                    <w:bidi w:val="0"/>
                    <w:jc w:val="left"/>
                    <w:rPr>
                      <w:rFonts w:hint="default"/>
                    </w:rPr>
                  </w:pPr>
                  <w:r>
                    <w:rPr>
                      <w:rFonts w:hint="default"/>
                    </w:rPr>
                    <w:t>注：1.废气中有毒有害污染物指纳入《有毒有害大气污染物名录》的污染物</w:t>
                  </w:r>
                  <w:r>
                    <w:rPr>
                      <w:rFonts w:hint="eastAsia"/>
                      <w:lang w:eastAsia="zh-CN"/>
                    </w:rPr>
                    <w:t>（</w:t>
                  </w:r>
                  <w:r>
                    <w:rPr>
                      <w:rFonts w:hint="default"/>
                    </w:rPr>
                    <w:t>不包括无排放标准的污染物）。</w:t>
                  </w:r>
                </w:p>
                <w:p w14:paraId="438CF195">
                  <w:pPr>
                    <w:pStyle w:val="42"/>
                    <w:bidi w:val="0"/>
                    <w:jc w:val="left"/>
                    <w:rPr>
                      <w:rFonts w:hint="default"/>
                    </w:rPr>
                  </w:pPr>
                  <w:r>
                    <w:rPr>
                      <w:rFonts w:hint="default"/>
                    </w:rPr>
                    <w:t>2.环境空气保护目标指自然保护区、风景名胜区、居住区、文化区和农村地区中人群较集中的区域。</w:t>
                  </w:r>
                </w:p>
                <w:p w14:paraId="7024C7A8">
                  <w:pPr>
                    <w:pStyle w:val="42"/>
                    <w:bidi w:val="0"/>
                    <w:jc w:val="left"/>
                    <w:rPr>
                      <w:rFonts w:hint="default"/>
                    </w:rPr>
                  </w:pPr>
                  <w:r>
                    <w:rPr>
                      <w:rFonts w:hint="default"/>
                    </w:rPr>
                    <w:t>3.临界量及其计算方法可参考《建设项目环境风险评价技术导则》</w:t>
                  </w:r>
                  <w:r>
                    <w:rPr>
                      <w:rFonts w:hint="eastAsia"/>
                      <w:lang w:eastAsia="zh-CN"/>
                    </w:rPr>
                    <w:t>（</w:t>
                  </w:r>
                  <w:r>
                    <w:rPr>
                      <w:rFonts w:hint="default"/>
                    </w:rPr>
                    <w:t>HJ 169）附录B、附录C。</w:t>
                  </w:r>
                </w:p>
              </w:tc>
            </w:tr>
          </w:tbl>
          <w:p w14:paraId="1856B2A8">
            <w:pPr>
              <w:pStyle w:val="39"/>
              <w:bidi w:val="0"/>
              <w:rPr>
                <w:rFonts w:hint="eastAsia"/>
                <w:color w:val="auto"/>
                <w:szCs w:val="24"/>
                <w:lang w:val="en-US" w:eastAsia="zh-CN"/>
              </w:rPr>
            </w:pPr>
            <w:r>
              <w:rPr>
                <w:rFonts w:hint="eastAsia"/>
                <w:color w:val="auto"/>
                <w:lang w:val="en-US" w:eastAsia="zh-CN"/>
              </w:rPr>
              <w:t>由上表可知，本项目不设置大气专项评价。</w:t>
            </w:r>
          </w:p>
        </w:tc>
      </w:tr>
      <w:tr w14:paraId="54F6F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960" w:type="dxa"/>
            <w:vAlign w:val="center"/>
          </w:tcPr>
          <w:p w14:paraId="3F85AD86">
            <w:pPr>
              <w:autoSpaceDE w:val="0"/>
              <w:autoSpaceDN w:val="0"/>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规划情况</w:t>
            </w:r>
          </w:p>
        </w:tc>
        <w:tc>
          <w:tcPr>
            <w:tcW w:w="6910" w:type="dxa"/>
            <w:gridSpan w:val="3"/>
            <w:vAlign w:val="center"/>
          </w:tcPr>
          <w:p w14:paraId="58B6DB39">
            <w:pPr>
              <w:pStyle w:val="39"/>
              <w:bidi w:val="0"/>
              <w:rPr>
                <w:rFonts w:hint="eastAsia" w:eastAsia="宋体"/>
                <w:color w:val="auto"/>
                <w:lang w:val="en-US" w:eastAsia="zh-CN"/>
              </w:rPr>
            </w:pPr>
            <w:r>
              <w:rPr>
                <w:rFonts w:hint="eastAsia"/>
                <w:color w:val="auto"/>
                <w:lang w:val="en-US" w:eastAsia="zh-CN"/>
              </w:rPr>
              <w:t>无</w:t>
            </w:r>
          </w:p>
        </w:tc>
      </w:tr>
      <w:tr w14:paraId="58110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60" w:type="dxa"/>
            <w:vAlign w:val="center"/>
          </w:tcPr>
          <w:p w14:paraId="37FA9E15">
            <w:pPr>
              <w:adjustRightInd w:val="0"/>
              <w:snapToGrid w:val="0"/>
              <w:jc w:val="center"/>
              <w:rPr>
                <w:rFonts w:ascii="宋体" w:hAnsi="宋体" w:cs="宋体"/>
                <w:color w:val="auto"/>
                <w:sz w:val="24"/>
                <w:szCs w:val="24"/>
              </w:rPr>
            </w:pPr>
            <w:r>
              <w:rPr>
                <w:rFonts w:hint="eastAsia" w:ascii="宋体" w:hAnsi="宋体" w:cs="宋体"/>
                <w:color w:val="auto"/>
                <w:sz w:val="24"/>
                <w:szCs w:val="24"/>
              </w:rPr>
              <w:t>规划环境影响</w:t>
            </w:r>
          </w:p>
          <w:p w14:paraId="0CEF1C83">
            <w:pPr>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评价情况</w:t>
            </w:r>
          </w:p>
        </w:tc>
        <w:tc>
          <w:tcPr>
            <w:tcW w:w="6910" w:type="dxa"/>
            <w:gridSpan w:val="3"/>
            <w:vAlign w:val="center"/>
          </w:tcPr>
          <w:p w14:paraId="6451A53F">
            <w:pPr>
              <w:pStyle w:val="39"/>
              <w:bidi w:val="0"/>
              <w:rPr>
                <w:rFonts w:hint="eastAsia" w:eastAsia="宋体"/>
                <w:color w:val="auto"/>
                <w:lang w:val="en-US" w:eastAsia="zh-CN"/>
              </w:rPr>
            </w:pPr>
            <w:r>
              <w:rPr>
                <w:rFonts w:hint="eastAsia"/>
                <w:color w:val="auto"/>
                <w:lang w:val="en-US" w:eastAsia="zh-CN"/>
              </w:rPr>
              <w:t>无</w:t>
            </w:r>
          </w:p>
        </w:tc>
      </w:tr>
      <w:tr w14:paraId="2676E8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60" w:type="dxa"/>
            <w:vAlign w:val="center"/>
          </w:tcPr>
          <w:p w14:paraId="7A090EB1">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规划及规划环境影响评价符合性分析</w:t>
            </w:r>
          </w:p>
        </w:tc>
        <w:tc>
          <w:tcPr>
            <w:tcW w:w="6910" w:type="dxa"/>
            <w:gridSpan w:val="3"/>
            <w:vAlign w:val="center"/>
          </w:tcPr>
          <w:p w14:paraId="19D9C674">
            <w:pPr>
              <w:pStyle w:val="39"/>
              <w:bidi w:val="0"/>
              <w:rPr>
                <w:rFonts w:hint="default"/>
                <w:color w:val="auto"/>
                <w:lang w:val="en-US" w:eastAsia="zh-CN"/>
              </w:rPr>
            </w:pPr>
            <w:r>
              <w:rPr>
                <w:rFonts w:hint="eastAsia"/>
                <w:color w:val="auto"/>
                <w:lang w:val="en-US" w:eastAsia="zh-CN"/>
              </w:rPr>
              <w:t>无</w:t>
            </w:r>
          </w:p>
        </w:tc>
      </w:tr>
      <w:tr w14:paraId="1135C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960" w:type="dxa"/>
            <w:vAlign w:val="center"/>
          </w:tcPr>
          <w:p w14:paraId="1F76A02F">
            <w:pPr>
              <w:autoSpaceDE w:val="0"/>
              <w:autoSpaceDN w:val="0"/>
              <w:adjustRightInd w:val="0"/>
              <w:snapToGrid w:val="0"/>
              <w:jc w:val="center"/>
              <w:rPr>
                <w:rFonts w:hint="eastAsia" w:ascii="宋体" w:hAnsi="宋体" w:eastAsia="宋体" w:cs="宋体"/>
                <w:color w:val="auto"/>
                <w:kern w:val="0"/>
                <w:szCs w:val="21"/>
                <w:lang w:eastAsia="zh-CN"/>
              </w:rPr>
            </w:pPr>
            <w:r>
              <w:rPr>
                <w:rFonts w:hint="default" w:ascii="Times New Roman" w:hAnsi="Times New Roman" w:cs="Times New Roman"/>
                <w:color w:val="auto"/>
                <w:kern w:val="0"/>
                <w:sz w:val="24"/>
                <w:szCs w:val="24"/>
                <w:highlight w:val="none"/>
              </w:rPr>
              <w:t>其他符合性分析</w:t>
            </w:r>
          </w:p>
        </w:tc>
        <w:tc>
          <w:tcPr>
            <w:tcW w:w="6910" w:type="dxa"/>
            <w:gridSpan w:val="3"/>
            <w:vAlign w:val="center"/>
          </w:tcPr>
          <w:p w14:paraId="519E752F">
            <w:pPr>
              <w:pStyle w:val="39"/>
              <w:bidi w:val="0"/>
              <w:rPr>
                <w:rFonts w:hint="default"/>
                <w:color w:val="auto"/>
                <w:lang w:val="en-US" w:eastAsia="zh-CN"/>
              </w:rPr>
            </w:pPr>
          </w:p>
          <w:p w14:paraId="4181E44C">
            <w:pPr>
              <w:pStyle w:val="39"/>
              <w:bidi w:val="0"/>
              <w:ind w:left="0" w:leftChars="0" w:firstLine="0" w:firstLineChars="0"/>
              <w:rPr>
                <w:rFonts w:hint="eastAsia"/>
                <w:color w:val="auto"/>
                <w:lang w:val="en-US" w:eastAsia="zh-CN"/>
              </w:rPr>
            </w:pPr>
          </w:p>
        </w:tc>
      </w:tr>
    </w:tbl>
    <w:p w14:paraId="39B8C10C">
      <w:pPr>
        <w:spacing w:line="360" w:lineRule="auto"/>
        <w:outlineLvl w:val="9"/>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DFBE9B7">
      <w:pPr>
        <w:pStyle w:val="28"/>
        <w:jc w:val="center"/>
        <w:outlineLvl w:val="0"/>
        <w:rPr>
          <w:rFonts w:ascii="黑体" w:hAnsi="黑体" w:eastAsia="黑体"/>
          <w:snapToGrid w:val="0"/>
          <w:color w:val="auto"/>
          <w:sz w:val="30"/>
          <w:szCs w:val="30"/>
        </w:rPr>
      </w:pPr>
      <w:bookmarkStart w:id="16" w:name="_Toc26899"/>
      <w:bookmarkStart w:id="17" w:name="_Toc24692"/>
      <w:r>
        <w:rPr>
          <w:rFonts w:hint="eastAsia" w:ascii="黑体" w:hAnsi="黑体" w:eastAsia="黑体"/>
          <w:snapToGrid w:val="0"/>
          <w:color w:val="auto"/>
          <w:sz w:val="30"/>
          <w:szCs w:val="30"/>
        </w:rPr>
        <w:t>二、建设项目工程分析</w:t>
      </w:r>
      <w:bookmarkEnd w:id="16"/>
      <w:bookmarkEnd w:id="17"/>
    </w:p>
    <w:tbl>
      <w:tblPr>
        <w:tblStyle w:val="31"/>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8129"/>
      </w:tblGrid>
      <w:tr w14:paraId="7AF87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63" w:hRule="atLeast"/>
          <w:jc w:val="center"/>
        </w:trPr>
        <w:tc>
          <w:tcPr>
            <w:tcW w:w="658" w:type="dxa"/>
            <w:vAlign w:val="center"/>
          </w:tcPr>
          <w:p w14:paraId="5A080CC8">
            <w:pPr>
              <w:pStyle w:val="28"/>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建设内容</w:t>
            </w:r>
          </w:p>
        </w:tc>
        <w:tc>
          <w:tcPr>
            <w:tcW w:w="8129" w:type="dxa"/>
            <w:vAlign w:val="top"/>
          </w:tcPr>
          <w:p w14:paraId="569818A7">
            <w:pPr>
              <w:pStyle w:val="5"/>
              <w:bidi w:val="0"/>
              <w:rPr>
                <w:color w:val="auto"/>
              </w:rPr>
            </w:pPr>
            <w:r>
              <w:rPr>
                <w:rFonts w:hint="eastAsia"/>
                <w:color w:val="auto"/>
                <w:lang w:val="en-US" w:eastAsia="zh-CN"/>
              </w:rPr>
              <w:t>2</w:t>
            </w:r>
            <w:r>
              <w:rPr>
                <w:rFonts w:hint="eastAsia"/>
                <w:color w:val="auto"/>
              </w:rPr>
              <w:t>.</w:t>
            </w:r>
            <w:r>
              <w:rPr>
                <w:rFonts w:hint="eastAsia"/>
                <w:color w:val="auto"/>
                <w:lang w:val="en-US" w:eastAsia="zh-CN"/>
              </w:rPr>
              <w:t>1</w:t>
            </w:r>
            <w:r>
              <w:rPr>
                <w:color w:val="auto"/>
              </w:rPr>
              <w:t>项目基本情况</w:t>
            </w:r>
          </w:p>
          <w:p w14:paraId="43306D7C">
            <w:pPr>
              <w:pStyle w:val="39"/>
              <w:bidi w:val="0"/>
              <w:rPr>
                <w:color w:val="auto"/>
              </w:rPr>
            </w:pPr>
            <w:r>
              <w:rPr>
                <w:rFonts w:hint="eastAsia"/>
                <w:color w:val="auto"/>
                <w:lang w:eastAsia="zh-CN"/>
              </w:rPr>
              <w:t>（</w:t>
            </w:r>
            <w:r>
              <w:rPr>
                <w:rFonts w:hint="eastAsia"/>
                <w:color w:val="auto"/>
              </w:rPr>
              <w:t>1）</w:t>
            </w:r>
            <w:r>
              <w:rPr>
                <w:color w:val="auto"/>
              </w:rPr>
              <w:t>项目名称：</w:t>
            </w:r>
            <w:r>
              <w:rPr>
                <w:rFonts w:hint="eastAsia"/>
                <w:color w:val="auto"/>
              </w:rPr>
              <w:t>裕民县江格斯乡切格尔村粮食仓储加工建设项目</w:t>
            </w:r>
            <w:r>
              <w:rPr>
                <w:color w:val="auto"/>
              </w:rPr>
              <w:t>；</w:t>
            </w:r>
          </w:p>
          <w:p w14:paraId="5A8951B3">
            <w:pPr>
              <w:pStyle w:val="39"/>
              <w:bidi w:val="0"/>
              <w:rPr>
                <w:color w:val="auto"/>
              </w:rPr>
            </w:pPr>
            <w:r>
              <w:rPr>
                <w:rFonts w:hint="eastAsia"/>
                <w:color w:val="auto"/>
                <w:lang w:eastAsia="zh-CN"/>
              </w:rPr>
              <w:t>（</w:t>
            </w:r>
            <w:r>
              <w:rPr>
                <w:color w:val="auto"/>
              </w:rPr>
              <w:t>2）建设单位：</w:t>
            </w:r>
            <w:r>
              <w:rPr>
                <w:rFonts w:hint="eastAsia"/>
                <w:color w:val="auto"/>
              </w:rPr>
              <w:t>裕民县江格斯乡切格尔村股份经济合作社</w:t>
            </w:r>
            <w:r>
              <w:rPr>
                <w:color w:val="auto"/>
              </w:rPr>
              <w:t>；</w:t>
            </w:r>
          </w:p>
          <w:p w14:paraId="04C3FCDE">
            <w:pPr>
              <w:pStyle w:val="39"/>
              <w:bidi w:val="0"/>
              <w:rPr>
                <w:color w:val="auto"/>
              </w:rPr>
            </w:pPr>
            <w:r>
              <w:rPr>
                <w:rFonts w:hint="eastAsia"/>
                <w:color w:val="auto"/>
                <w:lang w:eastAsia="zh-CN"/>
              </w:rPr>
              <w:t>（</w:t>
            </w:r>
            <w:r>
              <w:rPr>
                <w:color w:val="auto"/>
              </w:rPr>
              <w:t>3）建设性质：</w:t>
            </w:r>
            <w:r>
              <w:rPr>
                <w:rFonts w:hint="eastAsia"/>
                <w:color w:val="auto"/>
                <w:lang w:val="en-US" w:eastAsia="zh-CN"/>
              </w:rPr>
              <w:t>新建</w:t>
            </w:r>
            <w:r>
              <w:rPr>
                <w:color w:val="auto"/>
              </w:rPr>
              <w:t>；</w:t>
            </w:r>
          </w:p>
          <w:p w14:paraId="222822E0">
            <w:pPr>
              <w:pStyle w:val="39"/>
              <w:bidi w:val="0"/>
              <w:rPr>
                <w:rFonts w:hint="eastAsia"/>
                <w:color w:val="auto"/>
                <w:lang w:val="en-US" w:eastAsia="zh-CN"/>
              </w:rPr>
            </w:pPr>
            <w:r>
              <w:rPr>
                <w:rFonts w:hint="eastAsia"/>
                <w:color w:val="auto"/>
                <w:lang w:eastAsia="zh-CN"/>
              </w:rPr>
              <w:t>（</w:t>
            </w:r>
            <w:r>
              <w:rPr>
                <w:rFonts w:hint="default"/>
                <w:color w:val="auto"/>
              </w:rPr>
              <w:t>4）建设地点：</w:t>
            </w:r>
            <w:r>
              <w:rPr>
                <w:rFonts w:hint="eastAsia" w:cs="Times New Roman"/>
                <w:color w:val="auto"/>
                <w:sz w:val="24"/>
                <w:szCs w:val="24"/>
                <w:highlight w:val="none"/>
                <w:lang w:val="en-US" w:eastAsia="zh-CN"/>
              </w:rPr>
              <w:t>****</w:t>
            </w:r>
            <w:r>
              <w:rPr>
                <w:rFonts w:hint="eastAsia"/>
                <w:color w:val="auto"/>
                <w:lang w:val="en-US" w:eastAsia="zh-CN"/>
              </w:rPr>
              <w:t>。</w:t>
            </w:r>
          </w:p>
          <w:p w14:paraId="3EC508F0">
            <w:pPr>
              <w:pStyle w:val="39"/>
              <w:bidi w:val="0"/>
              <w:rPr>
                <w:rFonts w:hint="default"/>
                <w:color w:val="auto"/>
                <w:lang w:val="en-US" w:eastAsia="zh-CN"/>
              </w:rPr>
            </w:pPr>
            <w:r>
              <w:rPr>
                <w:rFonts w:hint="eastAsia"/>
                <w:color w:val="auto"/>
                <w:lang w:val="en-US" w:eastAsia="zh-CN"/>
              </w:rPr>
              <w:t>项目地理位置图见附图2-1，项目周边卫星图见附图2-2。</w:t>
            </w:r>
          </w:p>
          <w:p w14:paraId="4398071D">
            <w:pPr>
              <w:pStyle w:val="39"/>
              <w:bidi w:val="0"/>
              <w:rPr>
                <w:rFonts w:hint="eastAsia"/>
                <w:color w:val="auto"/>
                <w:lang w:val="en-US" w:eastAsia="zh-CN"/>
              </w:rPr>
            </w:pPr>
            <w:r>
              <w:rPr>
                <w:rFonts w:hint="eastAsia"/>
                <w:color w:val="auto"/>
                <w:lang w:val="en-US" w:eastAsia="zh-CN"/>
              </w:rPr>
              <w:t>（5）项目投资：项目总投资</w:t>
            </w:r>
            <w:r>
              <w:rPr>
                <w:rFonts w:hint="eastAsia" w:cs="Times New Roman"/>
                <w:color w:val="auto"/>
                <w:sz w:val="24"/>
                <w:szCs w:val="24"/>
                <w:lang w:val="en-US" w:eastAsia="zh-CN"/>
              </w:rPr>
              <w:t>1400.00</w:t>
            </w:r>
            <w:r>
              <w:rPr>
                <w:rFonts w:hint="eastAsia"/>
                <w:color w:val="auto"/>
                <w:lang w:val="en-US" w:eastAsia="zh-CN"/>
              </w:rPr>
              <w:t>万元，其中环保投资为116万元，占比为8.28%。</w:t>
            </w:r>
          </w:p>
          <w:p w14:paraId="32E896BA">
            <w:pPr>
              <w:pStyle w:val="5"/>
              <w:bidi w:val="0"/>
              <w:rPr>
                <w:rFonts w:hint="eastAsia"/>
                <w:color w:val="auto"/>
              </w:rPr>
            </w:pPr>
            <w:r>
              <w:rPr>
                <w:rFonts w:hint="eastAsia"/>
                <w:color w:val="auto"/>
                <w:lang w:val="en-US" w:eastAsia="zh-CN"/>
              </w:rPr>
              <w:t>2</w:t>
            </w:r>
            <w:r>
              <w:rPr>
                <w:rFonts w:hint="eastAsia"/>
                <w:color w:val="auto"/>
              </w:rPr>
              <w:t>.</w:t>
            </w:r>
            <w:r>
              <w:rPr>
                <w:rFonts w:hint="eastAsia"/>
                <w:color w:val="auto"/>
                <w:lang w:val="en-US" w:eastAsia="zh-CN"/>
              </w:rPr>
              <w:t>2</w:t>
            </w:r>
            <w:r>
              <w:rPr>
                <w:color w:val="auto"/>
              </w:rPr>
              <w:t>工程</w:t>
            </w:r>
            <w:r>
              <w:rPr>
                <w:rFonts w:hint="eastAsia"/>
                <w:color w:val="auto"/>
              </w:rPr>
              <w:t>建设</w:t>
            </w:r>
            <w:r>
              <w:rPr>
                <w:color w:val="auto"/>
              </w:rPr>
              <w:t>内容</w:t>
            </w:r>
          </w:p>
          <w:p w14:paraId="4EA500E0">
            <w:pPr>
              <w:pStyle w:val="39"/>
              <w:bidi w:val="0"/>
              <w:rPr>
                <w:rFonts w:hint="eastAsia"/>
                <w:color w:val="auto"/>
                <w:lang w:val="en-US" w:eastAsia="zh-CN"/>
              </w:rPr>
            </w:pPr>
            <w:r>
              <w:rPr>
                <w:rFonts w:hint="eastAsia"/>
                <w:color w:val="auto"/>
                <w:lang w:val="en-US" w:eastAsia="zh-CN"/>
              </w:rPr>
              <w:t>项目规划用地面积</w:t>
            </w:r>
            <w:r>
              <w:rPr>
                <w:rStyle w:val="131"/>
                <w:rFonts w:hint="eastAsia"/>
                <w:b w:val="0"/>
                <w:i w:val="0"/>
                <w:caps w:val="0"/>
                <w:color w:val="auto"/>
                <w:spacing w:val="0"/>
                <w:w w:val="100"/>
                <w:kern w:val="2"/>
                <w:sz w:val="24"/>
                <w:lang w:val="en-US" w:eastAsia="zh-CN" w:bidi="ar-SA"/>
              </w:rPr>
              <w:t>27727.83</w:t>
            </w:r>
            <w:r>
              <w:rPr>
                <w:rFonts w:hint="eastAsia"/>
                <w:color w:val="auto"/>
                <w:lang w:val="en-US" w:eastAsia="zh-CN"/>
              </w:rPr>
              <w:t>m</w:t>
            </w:r>
            <w:r>
              <w:rPr>
                <w:rFonts w:hint="eastAsia"/>
                <w:color w:val="auto"/>
                <w:vertAlign w:val="superscript"/>
                <w:lang w:val="en-US" w:eastAsia="zh-CN"/>
              </w:rPr>
              <w:t>2</w:t>
            </w:r>
            <w:r>
              <w:rPr>
                <w:rFonts w:hint="eastAsia"/>
                <w:color w:val="auto"/>
                <w:lang w:val="en-US" w:eastAsia="zh-CN"/>
              </w:rPr>
              <w:t>。总建筑面积</w:t>
            </w:r>
            <w:r>
              <w:rPr>
                <w:rStyle w:val="131"/>
                <w:rFonts w:hint="eastAsia"/>
                <w:b w:val="0"/>
                <w:i w:val="0"/>
                <w:caps w:val="0"/>
                <w:color w:val="auto"/>
                <w:spacing w:val="0"/>
                <w:w w:val="100"/>
                <w:kern w:val="2"/>
                <w:sz w:val="24"/>
                <w:lang w:val="en-US" w:eastAsia="zh-CN" w:bidi="ar-SA"/>
              </w:rPr>
              <w:t>14268.71</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w:t>
            </w:r>
            <w:r>
              <w:rPr>
                <w:rFonts w:hint="eastAsia"/>
                <w:color w:val="auto"/>
                <w:lang w:val="en-US" w:eastAsia="zh-CN"/>
              </w:rPr>
              <w:t>其中拟建：一期新建1座库房，建筑面积为5600m</w:t>
            </w:r>
            <w:r>
              <w:rPr>
                <w:rFonts w:hint="eastAsia"/>
                <w:color w:val="auto"/>
                <w:vertAlign w:val="superscript"/>
                <w:lang w:val="en-US" w:eastAsia="zh-CN"/>
              </w:rPr>
              <w:t>2</w:t>
            </w:r>
            <w:r>
              <w:rPr>
                <w:rFonts w:hint="eastAsia"/>
                <w:color w:val="auto"/>
                <w:vertAlign w:val="baseline"/>
                <w:lang w:val="en-US" w:eastAsia="zh-CN"/>
              </w:rPr>
              <w:t>，2座烘前仓，每座建筑面积为132.73</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，业务用房为408</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；二期建设两座库房，其中库房2建筑面积为6545.55</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，库房3建筑面积为1449.7</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w:t>
            </w:r>
            <w:r>
              <w:rPr>
                <w:rFonts w:hint="eastAsia"/>
                <w:color w:val="auto"/>
                <w:lang w:val="en-US" w:eastAsia="zh-CN"/>
              </w:rPr>
              <w:t>并配套建设厂区内硬化道路、地磅、供电、给排水围墙等附属设施。</w:t>
            </w:r>
          </w:p>
          <w:p w14:paraId="53B9A40C">
            <w:pPr>
              <w:pStyle w:val="39"/>
              <w:bidi w:val="0"/>
              <w:rPr>
                <w:rFonts w:hint="eastAsia"/>
                <w:color w:val="auto"/>
                <w:lang w:val="en-US" w:eastAsia="zh-CN"/>
              </w:rPr>
            </w:pPr>
            <w:r>
              <w:rPr>
                <w:rFonts w:hint="eastAsia"/>
                <w:color w:val="auto"/>
              </w:rPr>
              <w:t>本项目主要建设内容</w:t>
            </w:r>
            <w:r>
              <w:rPr>
                <w:rFonts w:hint="eastAsia"/>
                <w:color w:val="auto"/>
                <w:lang w:val="en-US" w:eastAsia="zh-CN"/>
              </w:rPr>
              <w:t>见表2-1。</w:t>
            </w:r>
          </w:p>
          <w:p w14:paraId="340A6A0E">
            <w:pPr>
              <w:pStyle w:val="53"/>
              <w:bidi w:val="0"/>
              <w:rPr>
                <w:rFonts w:hint="default"/>
                <w:color w:val="auto"/>
                <w:lang w:val="en-US" w:eastAsia="zh-CN"/>
              </w:rPr>
            </w:pPr>
            <w:r>
              <w:rPr>
                <w:color w:val="auto"/>
              </w:rPr>
              <w:t>表</w:t>
            </w:r>
            <w:r>
              <w:rPr>
                <w:rFonts w:hint="eastAsia"/>
                <w:color w:val="auto"/>
                <w:lang w:val="en-US" w:eastAsia="zh-CN"/>
              </w:rPr>
              <w:t>2</w:t>
            </w:r>
            <w:r>
              <w:rPr>
                <w:color w:val="auto"/>
              </w:rPr>
              <w:t>-</w:t>
            </w:r>
            <w:r>
              <w:rPr>
                <w:rFonts w:hint="eastAsia"/>
                <w:color w:val="auto"/>
                <w:lang w:val="en-US" w:eastAsia="zh-CN"/>
              </w:rPr>
              <w:t xml:space="preserve">1 </w:t>
            </w:r>
            <w:r>
              <w:rPr>
                <w:rFonts w:hint="eastAsia"/>
                <w:color w:val="auto"/>
              </w:rPr>
              <w:t xml:space="preserve">  </w:t>
            </w:r>
            <w:r>
              <w:rPr>
                <w:rFonts w:hint="eastAsia"/>
                <w:color w:val="auto"/>
                <w:lang w:val="en-US" w:eastAsia="zh-CN"/>
              </w:rPr>
              <w:t>拟建项目工程组成一览表</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350"/>
              <w:gridCol w:w="5703"/>
            </w:tblGrid>
            <w:tr w14:paraId="0C38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84" w:type="dxa"/>
                  <w:tcBorders>
                    <w:tl2br w:val="nil"/>
                    <w:tr2bl w:val="nil"/>
                  </w:tcBorders>
                  <w:vAlign w:val="center"/>
                </w:tcPr>
                <w:p w14:paraId="21F27313">
                  <w:pPr>
                    <w:pStyle w:val="42"/>
                    <w:bidi w:val="0"/>
                    <w:rPr>
                      <w:rFonts w:hint="default"/>
                      <w:color w:val="auto"/>
                    </w:rPr>
                  </w:pPr>
                  <w:r>
                    <w:rPr>
                      <w:rFonts w:hint="eastAsia"/>
                      <w:color w:val="auto"/>
                    </w:rPr>
                    <w:t>工程类别</w:t>
                  </w:r>
                </w:p>
              </w:tc>
              <w:tc>
                <w:tcPr>
                  <w:tcW w:w="7053" w:type="dxa"/>
                  <w:gridSpan w:val="2"/>
                  <w:tcBorders>
                    <w:tl2br w:val="nil"/>
                    <w:tr2bl w:val="nil"/>
                  </w:tcBorders>
                  <w:vAlign w:val="center"/>
                </w:tcPr>
                <w:p w14:paraId="47AE63A1">
                  <w:pPr>
                    <w:pStyle w:val="42"/>
                    <w:bidi w:val="0"/>
                    <w:rPr>
                      <w:rFonts w:hint="eastAsia"/>
                      <w:color w:val="auto"/>
                    </w:rPr>
                  </w:pPr>
                  <w:r>
                    <w:rPr>
                      <w:rFonts w:hint="eastAsia"/>
                      <w:color w:val="auto"/>
                    </w:rPr>
                    <w:t>工程内容</w:t>
                  </w:r>
                </w:p>
              </w:tc>
            </w:tr>
            <w:tr w14:paraId="2D24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884" w:type="dxa"/>
                  <w:tcBorders>
                    <w:tl2br w:val="nil"/>
                    <w:tr2bl w:val="nil"/>
                  </w:tcBorders>
                  <w:vAlign w:val="center"/>
                </w:tcPr>
                <w:p w14:paraId="10EBE590">
                  <w:pPr>
                    <w:pStyle w:val="42"/>
                    <w:bidi w:val="0"/>
                    <w:rPr>
                      <w:rFonts w:hint="default"/>
                      <w:color w:val="auto"/>
                      <w:lang w:val="en-US" w:eastAsia="zh-CN"/>
                    </w:rPr>
                  </w:pPr>
                  <w:r>
                    <w:rPr>
                      <w:rFonts w:hint="eastAsia"/>
                      <w:color w:val="auto"/>
                      <w:lang w:val="en-US" w:eastAsia="zh-CN"/>
                    </w:rPr>
                    <w:t>主体工程</w:t>
                  </w:r>
                </w:p>
              </w:tc>
              <w:tc>
                <w:tcPr>
                  <w:tcW w:w="1350" w:type="dxa"/>
                  <w:tcBorders>
                    <w:tl2br w:val="nil"/>
                    <w:tr2bl w:val="nil"/>
                  </w:tcBorders>
                  <w:vAlign w:val="center"/>
                </w:tcPr>
                <w:p w14:paraId="5B8D3E93">
                  <w:pPr>
                    <w:pStyle w:val="42"/>
                    <w:bidi w:val="0"/>
                    <w:rPr>
                      <w:rFonts w:hint="default"/>
                      <w:color w:val="auto"/>
                      <w:lang w:val="en-US" w:eastAsia="zh-CN"/>
                    </w:rPr>
                  </w:pPr>
                  <w:r>
                    <w:rPr>
                      <w:rFonts w:hint="eastAsia"/>
                      <w:color w:val="auto"/>
                      <w:lang w:val="en-US" w:eastAsia="zh-CN"/>
                    </w:rPr>
                    <w:t>玉米烘干生产线</w:t>
                  </w:r>
                </w:p>
              </w:tc>
              <w:tc>
                <w:tcPr>
                  <w:tcW w:w="5703" w:type="dxa"/>
                  <w:tcBorders>
                    <w:tl2br w:val="nil"/>
                    <w:tr2bl w:val="nil"/>
                  </w:tcBorders>
                  <w:vAlign w:val="center"/>
                </w:tcPr>
                <w:p w14:paraId="0B186742">
                  <w:pPr>
                    <w:pStyle w:val="42"/>
                    <w:bidi w:val="0"/>
                    <w:rPr>
                      <w:rFonts w:hint="default" w:eastAsia="宋体"/>
                      <w:color w:val="auto"/>
                      <w:lang w:val="en-US" w:eastAsia="zh-CN"/>
                    </w:rPr>
                  </w:pPr>
                  <w:r>
                    <w:rPr>
                      <w:rFonts w:hint="eastAsia"/>
                      <w:color w:val="auto"/>
                      <w:lang w:val="en-US" w:eastAsia="zh-CN"/>
                    </w:rPr>
                    <w:t>主要为烘干1500吨玉米生产线1条，配备18吨燃煤锅炉，年消耗燃煤约为2200t/a；</w:t>
                  </w:r>
                </w:p>
              </w:tc>
            </w:tr>
            <w:tr w14:paraId="480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jc w:val="center"/>
              </w:trPr>
              <w:tc>
                <w:tcPr>
                  <w:tcW w:w="884" w:type="dxa"/>
                  <w:vMerge w:val="restart"/>
                  <w:tcBorders>
                    <w:tl2br w:val="nil"/>
                    <w:tr2bl w:val="nil"/>
                  </w:tcBorders>
                  <w:vAlign w:val="center"/>
                </w:tcPr>
                <w:p w14:paraId="29A0ABD5">
                  <w:pPr>
                    <w:pStyle w:val="42"/>
                    <w:bidi w:val="0"/>
                    <w:rPr>
                      <w:rFonts w:hint="default"/>
                      <w:color w:val="auto"/>
                      <w:lang w:val="en-US" w:eastAsia="zh-CN"/>
                    </w:rPr>
                  </w:pPr>
                  <w:r>
                    <w:rPr>
                      <w:rFonts w:hint="eastAsia"/>
                      <w:color w:val="auto"/>
                      <w:lang w:val="en-US" w:eastAsia="zh-CN"/>
                    </w:rPr>
                    <w:t>储运工程</w:t>
                  </w:r>
                </w:p>
              </w:tc>
              <w:tc>
                <w:tcPr>
                  <w:tcW w:w="1350" w:type="dxa"/>
                  <w:tcBorders>
                    <w:tl2br w:val="nil"/>
                    <w:tr2bl w:val="nil"/>
                  </w:tcBorders>
                  <w:vAlign w:val="center"/>
                </w:tcPr>
                <w:p w14:paraId="23D10DF9">
                  <w:pPr>
                    <w:pStyle w:val="42"/>
                    <w:bidi w:val="0"/>
                    <w:ind w:firstLine="0" w:firstLineChars="0"/>
                    <w:rPr>
                      <w:rFonts w:hint="default"/>
                      <w:color w:val="auto"/>
                      <w:lang w:val="en-US" w:eastAsia="zh-CN"/>
                    </w:rPr>
                  </w:pPr>
                  <w:r>
                    <w:rPr>
                      <w:rFonts w:hint="eastAsia"/>
                      <w:color w:val="auto"/>
                      <w:lang w:val="en-US" w:eastAsia="zh-CN"/>
                    </w:rPr>
                    <w:t>烘前仓</w:t>
                  </w:r>
                </w:p>
              </w:tc>
              <w:tc>
                <w:tcPr>
                  <w:tcW w:w="5703" w:type="dxa"/>
                  <w:tcBorders>
                    <w:tl2br w:val="nil"/>
                    <w:tr2bl w:val="nil"/>
                  </w:tcBorders>
                  <w:vAlign w:val="center"/>
                </w:tcPr>
                <w:p w14:paraId="02BF9C83">
                  <w:pPr>
                    <w:pStyle w:val="42"/>
                    <w:bidi w:val="0"/>
                    <w:ind w:firstLine="0" w:firstLineChars="0"/>
                    <w:rPr>
                      <w:rFonts w:hint="default"/>
                      <w:color w:val="auto"/>
                      <w:lang w:val="en-US" w:eastAsia="zh-CN"/>
                    </w:rPr>
                  </w:pPr>
                  <w:r>
                    <w:rPr>
                      <w:rFonts w:hint="eastAsia"/>
                      <w:color w:val="auto"/>
                      <w:lang w:val="en-US" w:eastAsia="zh-CN"/>
                    </w:rPr>
                    <w:t>共设置2座烘前仓，建筑面积为132.73m</w:t>
                  </w:r>
                  <w:r>
                    <w:rPr>
                      <w:rFonts w:hint="eastAsia"/>
                      <w:color w:val="auto"/>
                      <w:vertAlign w:val="superscript"/>
                      <w:lang w:val="en-US" w:eastAsia="zh-CN"/>
                    </w:rPr>
                    <w:t>2</w:t>
                  </w:r>
                  <w:r>
                    <w:rPr>
                      <w:rFonts w:hint="eastAsia"/>
                      <w:color w:val="auto"/>
                      <w:vertAlign w:val="baseline"/>
                      <w:lang w:val="en-US" w:eastAsia="zh-CN"/>
                    </w:rPr>
                    <w:t>；</w:t>
                  </w:r>
                </w:p>
              </w:tc>
            </w:tr>
            <w:tr w14:paraId="77ED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jc w:val="center"/>
              </w:trPr>
              <w:tc>
                <w:tcPr>
                  <w:tcW w:w="884" w:type="dxa"/>
                  <w:vMerge w:val="continue"/>
                  <w:tcBorders>
                    <w:tl2br w:val="nil"/>
                    <w:tr2bl w:val="nil"/>
                  </w:tcBorders>
                  <w:vAlign w:val="center"/>
                </w:tcPr>
                <w:p w14:paraId="654F9B03">
                  <w:pPr>
                    <w:pStyle w:val="42"/>
                    <w:bidi w:val="0"/>
                    <w:ind w:firstLine="0" w:firstLineChars="0"/>
                    <w:rPr>
                      <w:rFonts w:hint="default"/>
                      <w:color w:val="auto"/>
                      <w:lang w:val="en-US" w:eastAsia="zh-CN"/>
                    </w:rPr>
                  </w:pPr>
                </w:p>
              </w:tc>
              <w:tc>
                <w:tcPr>
                  <w:tcW w:w="1350" w:type="dxa"/>
                  <w:tcBorders>
                    <w:tl2br w:val="nil"/>
                    <w:tr2bl w:val="nil"/>
                  </w:tcBorders>
                  <w:vAlign w:val="center"/>
                </w:tcPr>
                <w:p w14:paraId="2CAC5289">
                  <w:pPr>
                    <w:pStyle w:val="42"/>
                    <w:bidi w:val="0"/>
                    <w:ind w:firstLine="0" w:firstLineChars="0"/>
                    <w:rPr>
                      <w:rFonts w:hint="default"/>
                      <w:color w:val="auto"/>
                      <w:lang w:val="en-US" w:eastAsia="zh-CN"/>
                    </w:rPr>
                  </w:pPr>
                  <w:r>
                    <w:rPr>
                      <w:rFonts w:hint="eastAsia"/>
                      <w:color w:val="auto"/>
                      <w:lang w:val="en-US" w:eastAsia="zh-CN"/>
                    </w:rPr>
                    <w:t>库房</w:t>
                  </w:r>
                </w:p>
              </w:tc>
              <w:tc>
                <w:tcPr>
                  <w:tcW w:w="5703" w:type="dxa"/>
                  <w:tcBorders>
                    <w:tl2br w:val="nil"/>
                    <w:tr2bl w:val="nil"/>
                  </w:tcBorders>
                  <w:vAlign w:val="center"/>
                </w:tcPr>
                <w:p w14:paraId="67B91550">
                  <w:pPr>
                    <w:pStyle w:val="42"/>
                    <w:bidi w:val="0"/>
                    <w:ind w:firstLine="0" w:firstLineChars="0"/>
                    <w:rPr>
                      <w:rFonts w:hint="default"/>
                      <w:color w:val="auto"/>
                      <w:lang w:val="en-US" w:eastAsia="zh-CN"/>
                    </w:rPr>
                  </w:pPr>
                  <w:r>
                    <w:rPr>
                      <w:rFonts w:hint="eastAsia"/>
                      <w:color w:val="auto"/>
                      <w:lang w:val="en-US" w:eastAsia="zh-CN"/>
                    </w:rPr>
                    <w:t>一期：1#库房面积为5600m</w:t>
                  </w:r>
                  <w:r>
                    <w:rPr>
                      <w:rFonts w:hint="eastAsia"/>
                      <w:color w:val="auto"/>
                      <w:vertAlign w:val="superscript"/>
                      <w:lang w:val="en-US" w:eastAsia="zh-CN"/>
                    </w:rPr>
                    <w:t>2</w:t>
                  </w:r>
                  <w:r>
                    <w:rPr>
                      <w:rFonts w:hint="eastAsia"/>
                      <w:color w:val="auto"/>
                      <w:vertAlign w:val="baseline"/>
                      <w:lang w:val="en-US" w:eastAsia="zh-CN"/>
                    </w:rPr>
                    <w:t>；二期2#库房面积为6545.55</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，3#库房面积为1449.7</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；总储存量约为15000t/a。</w:t>
                  </w:r>
                </w:p>
              </w:tc>
            </w:tr>
            <w:tr w14:paraId="7723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jc w:val="center"/>
              </w:trPr>
              <w:tc>
                <w:tcPr>
                  <w:tcW w:w="884" w:type="dxa"/>
                  <w:vMerge w:val="restart"/>
                  <w:tcBorders>
                    <w:tl2br w:val="nil"/>
                    <w:tr2bl w:val="nil"/>
                  </w:tcBorders>
                  <w:vAlign w:val="center"/>
                </w:tcPr>
                <w:p w14:paraId="6E1BBE4F">
                  <w:pPr>
                    <w:pStyle w:val="42"/>
                    <w:bidi w:val="0"/>
                    <w:rPr>
                      <w:rFonts w:hint="default"/>
                      <w:color w:val="auto"/>
                      <w:lang w:val="en-US" w:eastAsia="zh-CN"/>
                    </w:rPr>
                  </w:pPr>
                  <w:r>
                    <w:rPr>
                      <w:rFonts w:hint="eastAsia"/>
                      <w:color w:val="auto"/>
                      <w:lang w:val="en-US" w:eastAsia="zh-CN"/>
                    </w:rPr>
                    <w:t>辅助工程</w:t>
                  </w:r>
                </w:p>
              </w:tc>
              <w:tc>
                <w:tcPr>
                  <w:tcW w:w="1350" w:type="dxa"/>
                  <w:tcBorders>
                    <w:tl2br w:val="nil"/>
                    <w:tr2bl w:val="nil"/>
                  </w:tcBorders>
                  <w:vAlign w:val="center"/>
                </w:tcPr>
                <w:p w14:paraId="5E2DD465">
                  <w:pPr>
                    <w:pStyle w:val="42"/>
                    <w:bidi w:val="0"/>
                    <w:rPr>
                      <w:rFonts w:hint="default" w:eastAsia="宋体"/>
                      <w:color w:val="auto"/>
                      <w:lang w:val="en-US" w:eastAsia="zh-CN"/>
                    </w:rPr>
                  </w:pPr>
                  <w:r>
                    <w:rPr>
                      <w:rFonts w:hint="eastAsia"/>
                      <w:color w:val="auto"/>
                      <w:lang w:val="en-US" w:eastAsia="zh-CN"/>
                    </w:rPr>
                    <w:t>地磅</w:t>
                  </w:r>
                </w:p>
              </w:tc>
              <w:tc>
                <w:tcPr>
                  <w:tcW w:w="5703" w:type="dxa"/>
                  <w:tcBorders>
                    <w:tl2br w:val="nil"/>
                    <w:tr2bl w:val="nil"/>
                  </w:tcBorders>
                  <w:vAlign w:val="center"/>
                </w:tcPr>
                <w:p w14:paraId="6A2A933E">
                  <w:pPr>
                    <w:pStyle w:val="42"/>
                    <w:bidi w:val="0"/>
                    <w:rPr>
                      <w:rFonts w:hint="default"/>
                      <w:color w:val="auto"/>
                      <w:lang w:val="en-US" w:eastAsia="zh-CN"/>
                    </w:rPr>
                  </w:pPr>
                  <w:r>
                    <w:rPr>
                      <w:rFonts w:hint="eastAsia"/>
                      <w:color w:val="auto"/>
                      <w:lang w:val="en-US" w:eastAsia="zh-CN"/>
                    </w:rPr>
                    <w:t>新建地磅1座，主要用于产品与原料的称重；</w:t>
                  </w:r>
                </w:p>
              </w:tc>
            </w:tr>
            <w:tr w14:paraId="5A83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884" w:type="dxa"/>
                  <w:vMerge w:val="continue"/>
                  <w:tcBorders>
                    <w:tl2br w:val="nil"/>
                    <w:tr2bl w:val="nil"/>
                  </w:tcBorders>
                  <w:vAlign w:val="center"/>
                </w:tcPr>
                <w:p w14:paraId="5218DBF2">
                  <w:pPr>
                    <w:pStyle w:val="42"/>
                    <w:bidi w:val="0"/>
                    <w:rPr>
                      <w:color w:val="auto"/>
                    </w:rPr>
                  </w:pPr>
                </w:p>
              </w:tc>
              <w:tc>
                <w:tcPr>
                  <w:tcW w:w="1350" w:type="dxa"/>
                  <w:tcBorders>
                    <w:tl2br w:val="nil"/>
                    <w:tr2bl w:val="nil"/>
                  </w:tcBorders>
                  <w:vAlign w:val="center"/>
                </w:tcPr>
                <w:p w14:paraId="4E4680BB">
                  <w:pPr>
                    <w:pStyle w:val="42"/>
                    <w:bidi w:val="0"/>
                    <w:rPr>
                      <w:rFonts w:hint="default"/>
                      <w:color w:val="auto"/>
                      <w:lang w:val="en-US" w:eastAsia="zh-CN"/>
                    </w:rPr>
                  </w:pPr>
                  <w:r>
                    <w:rPr>
                      <w:rFonts w:hint="eastAsia"/>
                      <w:color w:val="auto"/>
                      <w:lang w:val="en-US" w:eastAsia="zh-CN"/>
                    </w:rPr>
                    <w:t>业务用房</w:t>
                  </w:r>
                </w:p>
              </w:tc>
              <w:tc>
                <w:tcPr>
                  <w:tcW w:w="5703" w:type="dxa"/>
                  <w:tcBorders>
                    <w:tl2br w:val="nil"/>
                    <w:tr2bl w:val="nil"/>
                  </w:tcBorders>
                  <w:vAlign w:val="center"/>
                </w:tcPr>
                <w:p w14:paraId="71426BAD">
                  <w:pPr>
                    <w:pStyle w:val="42"/>
                    <w:bidi w:val="0"/>
                    <w:rPr>
                      <w:rFonts w:hint="default"/>
                      <w:color w:val="auto"/>
                      <w:lang w:val="en-US" w:eastAsia="zh-CN"/>
                    </w:rPr>
                  </w:pPr>
                  <w:r>
                    <w:rPr>
                      <w:rFonts w:hint="eastAsia"/>
                      <w:color w:val="auto"/>
                      <w:lang w:val="en-US" w:eastAsia="zh-CN"/>
                    </w:rPr>
                    <w:t>1F，建筑面积为408m</w:t>
                  </w:r>
                  <w:r>
                    <w:rPr>
                      <w:rFonts w:hint="eastAsia"/>
                      <w:color w:val="auto"/>
                      <w:vertAlign w:val="superscript"/>
                      <w:lang w:val="en-US" w:eastAsia="zh-CN"/>
                    </w:rPr>
                    <w:t>2</w:t>
                  </w:r>
                  <w:r>
                    <w:rPr>
                      <w:rFonts w:hint="eastAsia"/>
                      <w:color w:val="auto"/>
                      <w:lang w:val="en-US" w:eastAsia="zh-CN"/>
                    </w:rPr>
                    <w:t>；</w:t>
                  </w:r>
                </w:p>
              </w:tc>
            </w:tr>
            <w:tr w14:paraId="2995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84" w:type="dxa"/>
                  <w:vMerge w:val="restart"/>
                  <w:tcBorders>
                    <w:tl2br w:val="nil"/>
                    <w:tr2bl w:val="nil"/>
                  </w:tcBorders>
                  <w:vAlign w:val="center"/>
                </w:tcPr>
                <w:p w14:paraId="490DEB44">
                  <w:pPr>
                    <w:pStyle w:val="42"/>
                    <w:bidi w:val="0"/>
                    <w:rPr>
                      <w:rFonts w:hint="default"/>
                      <w:color w:val="auto"/>
                    </w:rPr>
                  </w:pPr>
                  <w:r>
                    <w:rPr>
                      <w:rFonts w:hint="default"/>
                      <w:color w:val="auto"/>
                    </w:rPr>
                    <w:t>公用工程</w:t>
                  </w:r>
                </w:p>
              </w:tc>
              <w:tc>
                <w:tcPr>
                  <w:tcW w:w="1350" w:type="dxa"/>
                  <w:tcBorders>
                    <w:tl2br w:val="nil"/>
                    <w:tr2bl w:val="nil"/>
                  </w:tcBorders>
                  <w:vAlign w:val="center"/>
                </w:tcPr>
                <w:p w14:paraId="2A9BFF9B">
                  <w:pPr>
                    <w:pStyle w:val="42"/>
                    <w:bidi w:val="0"/>
                    <w:rPr>
                      <w:rFonts w:hint="default" w:eastAsia="宋体"/>
                      <w:color w:val="auto"/>
                      <w:lang w:val="en-US" w:eastAsia="zh-CN"/>
                    </w:rPr>
                  </w:pPr>
                  <w:r>
                    <w:rPr>
                      <w:rFonts w:hint="eastAsia"/>
                      <w:color w:val="auto"/>
                      <w:lang w:val="en-US" w:eastAsia="zh-CN"/>
                    </w:rPr>
                    <w:t>供电系统</w:t>
                  </w:r>
                </w:p>
              </w:tc>
              <w:tc>
                <w:tcPr>
                  <w:tcW w:w="5703" w:type="dxa"/>
                  <w:tcBorders>
                    <w:tl2br w:val="nil"/>
                    <w:tr2bl w:val="nil"/>
                  </w:tcBorders>
                  <w:vAlign w:val="center"/>
                </w:tcPr>
                <w:p w14:paraId="453FD71B">
                  <w:pPr>
                    <w:pStyle w:val="42"/>
                    <w:bidi w:val="0"/>
                    <w:rPr>
                      <w:rFonts w:hint="default"/>
                      <w:color w:val="auto"/>
                      <w:lang w:val="en-US" w:eastAsia="zh-CN"/>
                    </w:rPr>
                  </w:pPr>
                  <w:r>
                    <w:rPr>
                      <w:rFonts w:hint="eastAsia"/>
                      <w:color w:val="auto"/>
                      <w:lang w:val="en-US" w:eastAsia="zh-CN"/>
                    </w:rPr>
                    <w:t>由市政电网供给；</w:t>
                  </w:r>
                </w:p>
              </w:tc>
            </w:tr>
            <w:tr w14:paraId="0BC3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84" w:type="dxa"/>
                  <w:vMerge w:val="continue"/>
                  <w:tcBorders>
                    <w:tl2br w:val="nil"/>
                    <w:tr2bl w:val="nil"/>
                  </w:tcBorders>
                  <w:vAlign w:val="center"/>
                </w:tcPr>
                <w:p w14:paraId="55BE8390">
                  <w:pPr>
                    <w:pStyle w:val="42"/>
                    <w:bidi w:val="0"/>
                    <w:rPr>
                      <w:rFonts w:hint="default"/>
                      <w:color w:val="auto"/>
                    </w:rPr>
                  </w:pPr>
                </w:p>
              </w:tc>
              <w:tc>
                <w:tcPr>
                  <w:tcW w:w="1350" w:type="dxa"/>
                  <w:tcBorders>
                    <w:tl2br w:val="nil"/>
                    <w:tr2bl w:val="nil"/>
                  </w:tcBorders>
                  <w:vAlign w:val="center"/>
                </w:tcPr>
                <w:p w14:paraId="00C3852D">
                  <w:pPr>
                    <w:pStyle w:val="42"/>
                    <w:bidi w:val="0"/>
                    <w:rPr>
                      <w:rFonts w:hint="default" w:eastAsia="宋体"/>
                      <w:color w:val="auto"/>
                      <w:lang w:val="en-US" w:eastAsia="zh-CN"/>
                    </w:rPr>
                  </w:pPr>
                  <w:r>
                    <w:rPr>
                      <w:rFonts w:hint="eastAsia"/>
                      <w:color w:val="auto"/>
                      <w:lang w:val="en-US" w:eastAsia="zh-CN"/>
                    </w:rPr>
                    <w:t>供水系统</w:t>
                  </w:r>
                </w:p>
              </w:tc>
              <w:tc>
                <w:tcPr>
                  <w:tcW w:w="5703" w:type="dxa"/>
                  <w:tcBorders>
                    <w:tl2br w:val="nil"/>
                    <w:tr2bl w:val="nil"/>
                  </w:tcBorders>
                  <w:vAlign w:val="center"/>
                </w:tcPr>
                <w:p w14:paraId="478C5DE2">
                  <w:pPr>
                    <w:pStyle w:val="42"/>
                    <w:bidi w:val="0"/>
                    <w:rPr>
                      <w:rFonts w:hint="default"/>
                      <w:color w:val="auto"/>
                      <w:lang w:val="en-US" w:eastAsia="zh-CN"/>
                    </w:rPr>
                  </w:pPr>
                  <w:r>
                    <w:rPr>
                      <w:rFonts w:hint="eastAsia"/>
                      <w:color w:val="auto"/>
                      <w:lang w:val="en-US" w:eastAsia="zh-CN"/>
                    </w:rPr>
                    <w:t>由附近村庄供水管网提供；</w:t>
                  </w:r>
                </w:p>
              </w:tc>
            </w:tr>
            <w:tr w14:paraId="0101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884" w:type="dxa"/>
                  <w:vMerge w:val="continue"/>
                  <w:tcBorders>
                    <w:tl2br w:val="nil"/>
                    <w:tr2bl w:val="nil"/>
                  </w:tcBorders>
                  <w:vAlign w:val="center"/>
                </w:tcPr>
                <w:p w14:paraId="575BADD2">
                  <w:pPr>
                    <w:pStyle w:val="42"/>
                    <w:bidi w:val="0"/>
                    <w:rPr>
                      <w:rFonts w:hint="default"/>
                      <w:color w:val="auto"/>
                    </w:rPr>
                  </w:pPr>
                </w:p>
              </w:tc>
              <w:tc>
                <w:tcPr>
                  <w:tcW w:w="1350" w:type="dxa"/>
                  <w:tcBorders>
                    <w:tl2br w:val="nil"/>
                    <w:tr2bl w:val="nil"/>
                  </w:tcBorders>
                  <w:vAlign w:val="center"/>
                </w:tcPr>
                <w:p w14:paraId="3E18266B">
                  <w:pPr>
                    <w:pStyle w:val="42"/>
                    <w:bidi w:val="0"/>
                    <w:rPr>
                      <w:rFonts w:hint="default"/>
                      <w:color w:val="auto"/>
                      <w:lang w:val="en-US" w:eastAsia="zh-CN"/>
                    </w:rPr>
                  </w:pPr>
                  <w:r>
                    <w:rPr>
                      <w:rFonts w:hint="eastAsia"/>
                      <w:color w:val="auto"/>
                      <w:lang w:val="en-US" w:eastAsia="zh-CN"/>
                    </w:rPr>
                    <w:t>排水系统</w:t>
                  </w:r>
                </w:p>
              </w:tc>
              <w:tc>
                <w:tcPr>
                  <w:tcW w:w="5703" w:type="dxa"/>
                  <w:tcBorders>
                    <w:tl2br w:val="nil"/>
                    <w:tr2bl w:val="nil"/>
                  </w:tcBorders>
                  <w:vAlign w:val="center"/>
                </w:tcPr>
                <w:p w14:paraId="5A5607E7">
                  <w:pPr>
                    <w:pStyle w:val="42"/>
                    <w:bidi w:val="0"/>
                    <w:rPr>
                      <w:rFonts w:hint="default" w:eastAsia="宋体"/>
                      <w:color w:val="auto"/>
                      <w:lang w:val="en-US" w:eastAsia="zh-CN"/>
                    </w:rPr>
                  </w:pPr>
                  <w:r>
                    <w:rPr>
                      <w:rFonts w:hint="eastAsia"/>
                      <w:color w:val="auto"/>
                      <w:lang w:val="en-US" w:eastAsia="zh-CN"/>
                    </w:rPr>
                    <w:t>项目生活污水排入化粪池，定期拉运污水处理厂处置；</w:t>
                  </w:r>
                </w:p>
              </w:tc>
            </w:tr>
            <w:tr w14:paraId="6B9C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884" w:type="dxa"/>
                  <w:vMerge w:val="continue"/>
                  <w:tcBorders>
                    <w:tl2br w:val="nil"/>
                    <w:tr2bl w:val="nil"/>
                  </w:tcBorders>
                  <w:vAlign w:val="center"/>
                </w:tcPr>
                <w:p w14:paraId="557B716D">
                  <w:pPr>
                    <w:pStyle w:val="42"/>
                    <w:bidi w:val="0"/>
                    <w:rPr>
                      <w:color w:val="auto"/>
                    </w:rPr>
                  </w:pPr>
                </w:p>
              </w:tc>
              <w:tc>
                <w:tcPr>
                  <w:tcW w:w="1350" w:type="dxa"/>
                  <w:tcBorders>
                    <w:tl2br w:val="nil"/>
                    <w:tr2bl w:val="nil"/>
                  </w:tcBorders>
                  <w:vAlign w:val="center"/>
                </w:tcPr>
                <w:p w14:paraId="71B1DF0F">
                  <w:pPr>
                    <w:pStyle w:val="42"/>
                    <w:bidi w:val="0"/>
                    <w:rPr>
                      <w:rFonts w:hint="default" w:eastAsia="宋体"/>
                      <w:color w:val="auto"/>
                      <w:lang w:val="en-US" w:eastAsia="zh-CN"/>
                    </w:rPr>
                  </w:pPr>
                  <w:r>
                    <w:rPr>
                      <w:rFonts w:hint="eastAsia"/>
                      <w:color w:val="auto"/>
                      <w:lang w:val="en-US" w:eastAsia="zh-CN"/>
                    </w:rPr>
                    <w:t>供暖系统</w:t>
                  </w:r>
                </w:p>
              </w:tc>
              <w:tc>
                <w:tcPr>
                  <w:tcW w:w="5703" w:type="dxa"/>
                  <w:tcBorders>
                    <w:tl2br w:val="nil"/>
                    <w:tr2bl w:val="nil"/>
                  </w:tcBorders>
                  <w:vAlign w:val="center"/>
                </w:tcPr>
                <w:p w14:paraId="1BE65299">
                  <w:pPr>
                    <w:pStyle w:val="42"/>
                    <w:bidi w:val="0"/>
                    <w:rPr>
                      <w:rFonts w:hint="default" w:eastAsia="宋体"/>
                      <w:color w:val="auto"/>
                      <w:lang w:val="en-US" w:eastAsia="zh-CN"/>
                    </w:rPr>
                  </w:pPr>
                  <w:r>
                    <w:rPr>
                      <w:rFonts w:hint="eastAsia"/>
                      <w:color w:val="auto"/>
                      <w:lang w:val="en-US" w:eastAsia="zh-CN"/>
                    </w:rPr>
                    <w:t>冬季不进行生产，办公区域采用电采暖；</w:t>
                  </w:r>
                </w:p>
              </w:tc>
            </w:tr>
            <w:tr w14:paraId="31D8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884" w:type="dxa"/>
                  <w:vMerge w:val="restart"/>
                  <w:tcBorders>
                    <w:tl2br w:val="nil"/>
                    <w:tr2bl w:val="nil"/>
                  </w:tcBorders>
                  <w:vAlign w:val="center"/>
                </w:tcPr>
                <w:p w14:paraId="70AA740D">
                  <w:pPr>
                    <w:pStyle w:val="42"/>
                    <w:bidi w:val="0"/>
                    <w:rPr>
                      <w:rFonts w:hint="default"/>
                      <w:color w:val="auto"/>
                      <w:lang w:val="en-US" w:eastAsia="zh-CN"/>
                    </w:rPr>
                  </w:pPr>
                  <w:r>
                    <w:rPr>
                      <w:rFonts w:hint="eastAsia"/>
                      <w:color w:val="auto"/>
                      <w:lang w:val="en-US" w:eastAsia="zh-CN"/>
                    </w:rPr>
                    <w:t>环保工程</w:t>
                  </w:r>
                </w:p>
              </w:tc>
              <w:tc>
                <w:tcPr>
                  <w:tcW w:w="1350" w:type="dxa"/>
                  <w:tcBorders>
                    <w:tl2br w:val="nil"/>
                    <w:tr2bl w:val="nil"/>
                  </w:tcBorders>
                  <w:vAlign w:val="center"/>
                </w:tcPr>
                <w:p w14:paraId="7831F77F">
                  <w:pPr>
                    <w:pStyle w:val="42"/>
                    <w:bidi w:val="0"/>
                    <w:rPr>
                      <w:rFonts w:hint="default" w:eastAsia="宋体"/>
                      <w:color w:val="auto"/>
                      <w:lang w:val="en-US" w:eastAsia="zh-CN"/>
                    </w:rPr>
                  </w:pPr>
                  <w:r>
                    <w:rPr>
                      <w:rFonts w:hint="eastAsia"/>
                      <w:color w:val="auto"/>
                      <w:lang w:val="en-US" w:eastAsia="zh-CN"/>
                    </w:rPr>
                    <w:t>废气</w:t>
                  </w:r>
                </w:p>
              </w:tc>
              <w:tc>
                <w:tcPr>
                  <w:tcW w:w="5703" w:type="dxa"/>
                  <w:tcBorders>
                    <w:tl2br w:val="nil"/>
                    <w:tr2bl w:val="nil"/>
                  </w:tcBorders>
                  <w:vAlign w:val="center"/>
                </w:tcPr>
                <w:p w14:paraId="1160E714">
                  <w:pPr>
                    <w:pStyle w:val="42"/>
                    <w:bidi w:val="0"/>
                    <w:rPr>
                      <w:rFonts w:hint="default"/>
                      <w:color w:val="auto"/>
                      <w:lang w:val="en-US" w:eastAsia="zh-CN"/>
                    </w:rPr>
                  </w:pPr>
                  <w:r>
                    <w:rPr>
                      <w:rFonts w:hint="eastAsia"/>
                      <w:color w:val="auto"/>
                      <w:lang w:val="en-US" w:eastAsia="zh-CN"/>
                    </w:rPr>
                    <w:t>热风炉废气采用低氮燃烧+SNCR-SCR联合+石灰石-石膏法脱硫</w:t>
                  </w:r>
                  <w:r>
                    <w:rPr>
                      <w:rFonts w:hint="eastAsia"/>
                      <w:color w:val="auto"/>
                    </w:rPr>
                    <w:t>+袋式除尘+</w:t>
                  </w:r>
                  <w:r>
                    <w:rPr>
                      <w:rFonts w:hint="eastAsia"/>
                      <w:color w:val="auto"/>
                      <w:lang w:val="en-US" w:eastAsia="zh-CN"/>
                    </w:rPr>
                    <w:t>20</w:t>
                  </w:r>
                  <w:r>
                    <w:rPr>
                      <w:rFonts w:hint="eastAsia"/>
                      <w:color w:val="auto"/>
                    </w:rPr>
                    <w:t>m高排气筒</w:t>
                  </w:r>
                  <w:r>
                    <w:rPr>
                      <w:rFonts w:hint="eastAsia"/>
                      <w:color w:val="auto"/>
                      <w:lang w:val="en-US" w:eastAsia="zh-CN"/>
                    </w:rPr>
                    <w:t>；无组织颗粒物主要采用封闭式厂房降尘。</w:t>
                  </w:r>
                </w:p>
              </w:tc>
            </w:tr>
            <w:tr w14:paraId="7699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884" w:type="dxa"/>
                  <w:vMerge w:val="continue"/>
                  <w:tcBorders>
                    <w:tl2br w:val="nil"/>
                    <w:tr2bl w:val="nil"/>
                  </w:tcBorders>
                  <w:vAlign w:val="center"/>
                </w:tcPr>
                <w:p w14:paraId="3802A7FF">
                  <w:pPr>
                    <w:pStyle w:val="42"/>
                    <w:bidi w:val="0"/>
                    <w:rPr>
                      <w:color w:val="auto"/>
                    </w:rPr>
                  </w:pPr>
                </w:p>
              </w:tc>
              <w:tc>
                <w:tcPr>
                  <w:tcW w:w="1350" w:type="dxa"/>
                  <w:tcBorders>
                    <w:tl2br w:val="nil"/>
                    <w:tr2bl w:val="nil"/>
                  </w:tcBorders>
                  <w:vAlign w:val="center"/>
                </w:tcPr>
                <w:p w14:paraId="1B155B36">
                  <w:pPr>
                    <w:pStyle w:val="42"/>
                    <w:bidi w:val="0"/>
                    <w:rPr>
                      <w:rFonts w:hint="default"/>
                      <w:color w:val="auto"/>
                      <w:lang w:val="en-US" w:eastAsia="zh-CN"/>
                    </w:rPr>
                  </w:pPr>
                  <w:r>
                    <w:rPr>
                      <w:rFonts w:hint="eastAsia"/>
                      <w:color w:val="auto"/>
                      <w:lang w:val="en-US" w:eastAsia="zh-CN"/>
                    </w:rPr>
                    <w:t>废水</w:t>
                  </w:r>
                </w:p>
              </w:tc>
              <w:tc>
                <w:tcPr>
                  <w:tcW w:w="5703" w:type="dxa"/>
                  <w:tcBorders>
                    <w:tl2br w:val="nil"/>
                    <w:tr2bl w:val="nil"/>
                  </w:tcBorders>
                  <w:vAlign w:val="center"/>
                </w:tcPr>
                <w:p w14:paraId="5E103C98">
                  <w:pPr>
                    <w:pStyle w:val="42"/>
                    <w:bidi w:val="0"/>
                    <w:rPr>
                      <w:rFonts w:hint="default"/>
                      <w:color w:val="auto"/>
                      <w:lang w:val="en-US" w:eastAsia="zh-CN"/>
                    </w:rPr>
                  </w:pPr>
                  <w:r>
                    <w:rPr>
                      <w:rFonts w:hint="eastAsia"/>
                      <w:color w:val="auto"/>
                      <w:lang w:val="en-US" w:eastAsia="zh-CN"/>
                    </w:rPr>
                    <w:t>生活污水排入化粪池，定期拉运至污水处理厂处置；</w:t>
                  </w:r>
                </w:p>
              </w:tc>
            </w:tr>
            <w:tr w14:paraId="5043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 w:hRule="atLeast"/>
                <w:jc w:val="center"/>
              </w:trPr>
              <w:tc>
                <w:tcPr>
                  <w:tcW w:w="884" w:type="dxa"/>
                  <w:vMerge w:val="continue"/>
                  <w:tcBorders>
                    <w:tl2br w:val="nil"/>
                    <w:tr2bl w:val="nil"/>
                  </w:tcBorders>
                  <w:vAlign w:val="center"/>
                </w:tcPr>
                <w:p w14:paraId="71720DAF">
                  <w:pPr>
                    <w:pStyle w:val="42"/>
                    <w:bidi w:val="0"/>
                    <w:rPr>
                      <w:color w:val="auto"/>
                    </w:rPr>
                  </w:pPr>
                </w:p>
              </w:tc>
              <w:tc>
                <w:tcPr>
                  <w:tcW w:w="1350" w:type="dxa"/>
                  <w:tcBorders>
                    <w:tl2br w:val="nil"/>
                    <w:tr2bl w:val="nil"/>
                  </w:tcBorders>
                  <w:vAlign w:val="center"/>
                </w:tcPr>
                <w:p w14:paraId="4D7411CD">
                  <w:pPr>
                    <w:pStyle w:val="42"/>
                    <w:bidi w:val="0"/>
                    <w:rPr>
                      <w:rFonts w:hint="default" w:eastAsia="宋体"/>
                      <w:color w:val="auto"/>
                      <w:lang w:val="en-US" w:eastAsia="zh-CN"/>
                    </w:rPr>
                  </w:pPr>
                  <w:r>
                    <w:rPr>
                      <w:rFonts w:hint="eastAsia"/>
                      <w:color w:val="auto"/>
                      <w:lang w:val="en-US" w:eastAsia="zh-CN"/>
                    </w:rPr>
                    <w:t>固废</w:t>
                  </w:r>
                </w:p>
              </w:tc>
              <w:tc>
                <w:tcPr>
                  <w:tcW w:w="5703" w:type="dxa"/>
                  <w:tcBorders>
                    <w:tl2br w:val="nil"/>
                    <w:tr2bl w:val="nil"/>
                  </w:tcBorders>
                  <w:vAlign w:val="center"/>
                </w:tcPr>
                <w:p w14:paraId="7BA326D5">
                  <w:pPr>
                    <w:pStyle w:val="42"/>
                    <w:bidi w:val="0"/>
                    <w:rPr>
                      <w:rFonts w:hint="default"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生活垃圾集中收集后，统一由环卫部门清运；</w:t>
                  </w:r>
                </w:p>
                <w:p w14:paraId="6E0D765C">
                  <w:pPr>
                    <w:pStyle w:val="42"/>
                    <w:bidi w:val="0"/>
                    <w:rPr>
                      <w:rFonts w:hint="eastAsia" w:asciiTheme="minorEastAsia" w:hAnsiTheme="minorEastAsia" w:eastAsiaTheme="minorEastAsia"/>
                      <w:color w:val="auto"/>
                      <w:lang w:eastAsia="zh-CN"/>
                    </w:rPr>
                  </w:pPr>
                  <w:r>
                    <w:rPr>
                      <w:rFonts w:hint="eastAsia" w:asciiTheme="minorEastAsia" w:hAnsiTheme="minorEastAsia" w:eastAsiaTheme="minorEastAsia"/>
                      <w:color w:val="auto"/>
                      <w:lang w:val="en-US" w:eastAsia="zh-CN"/>
                    </w:rPr>
                    <w:t>项目产生的固废主要为收尘器收集的灰尘以及燃烧后的灰渣，</w:t>
                  </w:r>
                  <w:r>
                    <w:rPr>
                      <w:rFonts w:hint="eastAsia" w:asciiTheme="minorEastAsia" w:hAnsiTheme="minorEastAsia" w:eastAsiaTheme="minorEastAsia"/>
                      <w:color w:val="auto"/>
                    </w:rPr>
                    <w:t>集中收集后综合利用，作为建材外售</w:t>
                  </w:r>
                  <w:r>
                    <w:rPr>
                      <w:rFonts w:hint="eastAsia" w:asciiTheme="minorEastAsia" w:hAnsiTheme="minorEastAsia" w:eastAsiaTheme="minorEastAsia"/>
                      <w:color w:val="auto"/>
                      <w:lang w:eastAsia="zh-CN"/>
                    </w:rPr>
                    <w:t>；</w:t>
                  </w:r>
                </w:p>
                <w:p w14:paraId="3756DF15">
                  <w:pPr>
                    <w:pStyle w:val="42"/>
                    <w:bidi w:val="0"/>
                    <w:rPr>
                      <w:rFonts w:hint="default"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机械设备维修保养产生的废机油、废润滑油等集中收集后，委托有资质的单位处置；</w:t>
                  </w:r>
                </w:p>
              </w:tc>
            </w:tr>
            <w:tr w14:paraId="7F05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 w:hRule="atLeast"/>
                <w:jc w:val="center"/>
              </w:trPr>
              <w:tc>
                <w:tcPr>
                  <w:tcW w:w="884" w:type="dxa"/>
                  <w:vMerge w:val="continue"/>
                  <w:tcBorders>
                    <w:tl2br w:val="nil"/>
                    <w:tr2bl w:val="nil"/>
                  </w:tcBorders>
                  <w:vAlign w:val="center"/>
                </w:tcPr>
                <w:p w14:paraId="181CE4FA">
                  <w:pPr>
                    <w:pStyle w:val="42"/>
                    <w:bidi w:val="0"/>
                    <w:rPr>
                      <w:color w:val="auto"/>
                    </w:rPr>
                  </w:pPr>
                </w:p>
              </w:tc>
              <w:tc>
                <w:tcPr>
                  <w:tcW w:w="1350" w:type="dxa"/>
                  <w:tcBorders>
                    <w:tl2br w:val="nil"/>
                    <w:tr2bl w:val="nil"/>
                  </w:tcBorders>
                  <w:vAlign w:val="center"/>
                </w:tcPr>
                <w:p w14:paraId="308640FC">
                  <w:pPr>
                    <w:pStyle w:val="42"/>
                    <w:bidi w:val="0"/>
                    <w:rPr>
                      <w:rFonts w:hint="default" w:ascii="Times New Roman" w:hAnsi="Times New Roman" w:eastAsia="宋体" w:cs="Times New Roman"/>
                      <w:color w:val="auto"/>
                      <w:lang w:val="en-US" w:eastAsia="zh-CN"/>
                    </w:rPr>
                  </w:pPr>
                  <w:r>
                    <w:rPr>
                      <w:rFonts w:hint="eastAsia" w:cs="Times New Roman"/>
                      <w:color w:val="auto"/>
                      <w:lang w:val="en-US" w:eastAsia="zh-CN"/>
                    </w:rPr>
                    <w:t>噪声</w:t>
                  </w:r>
                </w:p>
              </w:tc>
              <w:tc>
                <w:tcPr>
                  <w:tcW w:w="5703" w:type="dxa"/>
                  <w:tcBorders>
                    <w:tl2br w:val="nil"/>
                    <w:tr2bl w:val="nil"/>
                  </w:tcBorders>
                  <w:vAlign w:val="center"/>
                </w:tcPr>
                <w:p w14:paraId="25D5854D">
                  <w:pPr>
                    <w:pStyle w:val="42"/>
                    <w:bidi w:val="0"/>
                    <w:rPr>
                      <w:rFonts w:hint="default" w:ascii="Times New Roman" w:hAnsi="Times New Roman" w:eastAsia="宋体" w:cs="Times New Roman"/>
                      <w:color w:val="auto"/>
                      <w:lang w:val="en-US" w:eastAsia="zh-CN"/>
                    </w:rPr>
                  </w:pPr>
                  <w:r>
                    <w:rPr>
                      <w:rFonts w:hint="eastAsia" w:cs="Times New Roman"/>
                      <w:color w:val="auto"/>
                      <w:lang w:val="en-US" w:eastAsia="zh-CN"/>
                    </w:rPr>
                    <w:t>减震、厂房隔声、距离衰减</w:t>
                  </w:r>
                </w:p>
              </w:tc>
            </w:tr>
            <w:tr w14:paraId="5F57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884" w:type="dxa"/>
                  <w:vMerge w:val="continue"/>
                  <w:tcBorders>
                    <w:tl2br w:val="nil"/>
                    <w:tr2bl w:val="nil"/>
                  </w:tcBorders>
                  <w:vAlign w:val="center"/>
                </w:tcPr>
                <w:p w14:paraId="712E9A4F">
                  <w:pPr>
                    <w:pStyle w:val="42"/>
                    <w:bidi w:val="0"/>
                    <w:rPr>
                      <w:rFonts w:hint="default"/>
                      <w:color w:val="auto"/>
                    </w:rPr>
                  </w:pPr>
                </w:p>
              </w:tc>
              <w:tc>
                <w:tcPr>
                  <w:tcW w:w="1350" w:type="dxa"/>
                  <w:tcBorders>
                    <w:tl2br w:val="nil"/>
                    <w:tr2bl w:val="nil"/>
                  </w:tcBorders>
                  <w:vAlign w:val="center"/>
                </w:tcPr>
                <w:p w14:paraId="1FA1F1AE">
                  <w:pPr>
                    <w:pStyle w:val="42"/>
                    <w:bidi w:val="0"/>
                    <w:rPr>
                      <w:rFonts w:hint="default" w:eastAsia="宋体"/>
                      <w:color w:val="auto"/>
                      <w:lang w:val="en-US" w:eastAsia="zh-CN"/>
                    </w:rPr>
                  </w:pPr>
                  <w:r>
                    <w:rPr>
                      <w:rFonts w:hint="eastAsia"/>
                      <w:color w:val="auto"/>
                      <w:lang w:val="en-US" w:eastAsia="zh-CN"/>
                    </w:rPr>
                    <w:t>风险</w:t>
                  </w:r>
                </w:p>
              </w:tc>
              <w:tc>
                <w:tcPr>
                  <w:tcW w:w="5703" w:type="dxa"/>
                  <w:tcBorders>
                    <w:tl2br w:val="nil"/>
                    <w:tr2bl w:val="nil"/>
                  </w:tcBorders>
                  <w:vAlign w:val="center"/>
                </w:tcPr>
                <w:p w14:paraId="52D9884B">
                  <w:pPr>
                    <w:pStyle w:val="42"/>
                    <w:bidi w:val="0"/>
                    <w:rPr>
                      <w:rFonts w:hint="eastAsia" w:eastAsia="宋体"/>
                      <w:color w:val="auto"/>
                      <w:lang w:val="en-US" w:eastAsia="zh-CN"/>
                    </w:rPr>
                  </w:pPr>
                  <w:r>
                    <w:rPr>
                      <w:rFonts w:hint="eastAsia"/>
                      <w:color w:val="auto"/>
                      <w:lang w:val="en-US" w:eastAsia="zh-CN"/>
                    </w:rPr>
                    <w:t>设置消防水池1座，建筑面积478.56m</w:t>
                  </w:r>
                  <w:r>
                    <w:rPr>
                      <w:rFonts w:hint="eastAsia"/>
                      <w:color w:val="auto"/>
                      <w:vertAlign w:val="superscript"/>
                      <w:lang w:val="en-US" w:eastAsia="zh-CN"/>
                    </w:rPr>
                    <w:t>2</w:t>
                  </w:r>
                  <w:r>
                    <w:rPr>
                      <w:rFonts w:hint="eastAsia"/>
                      <w:color w:val="auto"/>
                      <w:vertAlign w:val="baseline"/>
                      <w:lang w:val="en-US" w:eastAsia="zh-CN"/>
                    </w:rPr>
                    <w:t>；</w:t>
                  </w:r>
                </w:p>
              </w:tc>
            </w:tr>
          </w:tbl>
          <w:p w14:paraId="1DA5109B">
            <w:pPr>
              <w:pStyle w:val="5"/>
              <w:bidi w:val="0"/>
              <w:rPr>
                <w:rFonts w:hint="default"/>
                <w:color w:val="auto"/>
                <w:lang w:val="en-US" w:eastAsia="zh-CN"/>
              </w:rPr>
            </w:pPr>
            <w:r>
              <w:rPr>
                <w:rFonts w:hint="eastAsia"/>
                <w:color w:val="auto"/>
                <w:lang w:val="en-US" w:eastAsia="zh-CN"/>
              </w:rPr>
              <w:t>2.3主要生产设备</w:t>
            </w:r>
          </w:p>
          <w:p w14:paraId="67BFB859">
            <w:pPr>
              <w:pStyle w:val="41"/>
              <w:bidi w:val="0"/>
              <w:rPr>
                <w:rFonts w:hint="eastAsia"/>
                <w:color w:val="auto"/>
                <w:lang w:val="en-US" w:eastAsia="zh-CN"/>
              </w:rPr>
            </w:pPr>
            <w:r>
              <w:rPr>
                <w:rFonts w:hint="eastAsia"/>
                <w:color w:val="auto"/>
                <w:lang w:val="en-US" w:eastAsia="zh-CN"/>
              </w:rPr>
              <w:t>项目设备一览表如下：</w:t>
            </w:r>
          </w:p>
          <w:p w14:paraId="29711EAB">
            <w:pPr>
              <w:pStyle w:val="53"/>
              <w:bidi w:val="0"/>
              <w:rPr>
                <w:rFonts w:hint="eastAsia"/>
                <w:lang w:val="en-US" w:eastAsia="zh-CN"/>
              </w:rPr>
            </w:pPr>
            <w:r>
              <w:rPr>
                <w:rFonts w:hint="eastAsia"/>
                <w:lang w:val="en-US" w:eastAsia="zh-CN"/>
              </w:rPr>
              <w:t>表2-3   项目设备一览表</w:t>
            </w:r>
          </w:p>
          <w:tbl>
            <w:tblPr>
              <w:tblStyle w:val="32"/>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530"/>
              <w:gridCol w:w="3976"/>
              <w:gridCol w:w="680"/>
              <w:gridCol w:w="964"/>
            </w:tblGrid>
            <w:tr w14:paraId="5F85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05A0813">
                  <w:pPr>
                    <w:pStyle w:val="42"/>
                    <w:bidi w:val="0"/>
                    <w:rPr>
                      <w:rFonts w:hint="default"/>
                      <w:lang w:val="en-US" w:eastAsia="zh-CN"/>
                    </w:rPr>
                  </w:pPr>
                  <w:r>
                    <w:rPr>
                      <w:rFonts w:hint="eastAsia"/>
                      <w:lang w:val="en-US" w:eastAsia="zh-CN"/>
                    </w:rPr>
                    <w:t>序号</w:t>
                  </w:r>
                </w:p>
              </w:tc>
              <w:tc>
                <w:tcPr>
                  <w:tcW w:w="1530" w:type="dxa"/>
                </w:tcPr>
                <w:p w14:paraId="1F2AFBFE">
                  <w:pPr>
                    <w:pStyle w:val="42"/>
                    <w:bidi w:val="0"/>
                    <w:rPr>
                      <w:rFonts w:hint="default"/>
                      <w:lang w:val="en-US" w:eastAsia="zh-CN"/>
                    </w:rPr>
                  </w:pPr>
                  <w:r>
                    <w:rPr>
                      <w:rFonts w:hint="eastAsia"/>
                      <w:lang w:val="en-US" w:eastAsia="zh-CN"/>
                    </w:rPr>
                    <w:t>名称</w:t>
                  </w:r>
                </w:p>
              </w:tc>
              <w:tc>
                <w:tcPr>
                  <w:tcW w:w="3976" w:type="dxa"/>
                </w:tcPr>
                <w:p w14:paraId="04B56F32">
                  <w:pPr>
                    <w:pStyle w:val="42"/>
                    <w:bidi w:val="0"/>
                    <w:rPr>
                      <w:rFonts w:hint="default"/>
                      <w:lang w:val="en-US" w:eastAsia="zh-CN"/>
                    </w:rPr>
                  </w:pPr>
                  <w:r>
                    <w:rPr>
                      <w:rFonts w:hint="eastAsia"/>
                      <w:lang w:val="en-US" w:eastAsia="zh-CN"/>
                    </w:rPr>
                    <w:t>型号</w:t>
                  </w:r>
                </w:p>
              </w:tc>
              <w:tc>
                <w:tcPr>
                  <w:tcW w:w="680" w:type="dxa"/>
                </w:tcPr>
                <w:p w14:paraId="50A1ED9E">
                  <w:pPr>
                    <w:pStyle w:val="42"/>
                    <w:bidi w:val="0"/>
                    <w:rPr>
                      <w:rFonts w:hint="default"/>
                      <w:lang w:val="en-US" w:eastAsia="zh-CN"/>
                    </w:rPr>
                  </w:pPr>
                  <w:r>
                    <w:rPr>
                      <w:rFonts w:hint="eastAsia"/>
                      <w:lang w:val="en-US" w:eastAsia="zh-CN"/>
                    </w:rPr>
                    <w:t>数量</w:t>
                  </w:r>
                </w:p>
              </w:tc>
              <w:tc>
                <w:tcPr>
                  <w:tcW w:w="964" w:type="dxa"/>
                </w:tcPr>
                <w:p w14:paraId="132B452F">
                  <w:pPr>
                    <w:pStyle w:val="42"/>
                    <w:bidi w:val="0"/>
                    <w:rPr>
                      <w:rFonts w:hint="default"/>
                      <w:lang w:val="en-US" w:eastAsia="zh-CN"/>
                    </w:rPr>
                  </w:pPr>
                  <w:r>
                    <w:rPr>
                      <w:rFonts w:hint="eastAsia"/>
                      <w:lang w:val="en-US" w:eastAsia="zh-CN"/>
                    </w:rPr>
                    <w:t>单位</w:t>
                  </w:r>
                </w:p>
              </w:tc>
            </w:tr>
            <w:tr w14:paraId="5AD8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08CB8A4F">
                  <w:pPr>
                    <w:pStyle w:val="42"/>
                    <w:bidi w:val="0"/>
                    <w:rPr>
                      <w:rFonts w:hint="default"/>
                      <w:lang w:val="en-US" w:eastAsia="zh-CN"/>
                    </w:rPr>
                  </w:pPr>
                  <w:r>
                    <w:rPr>
                      <w:rFonts w:hint="eastAsia"/>
                      <w:lang w:val="en-US" w:eastAsia="zh-CN"/>
                    </w:rPr>
                    <w:t>1</w:t>
                  </w:r>
                </w:p>
              </w:tc>
              <w:tc>
                <w:tcPr>
                  <w:tcW w:w="1530" w:type="dxa"/>
                </w:tcPr>
                <w:p w14:paraId="072AFD7D">
                  <w:pPr>
                    <w:pStyle w:val="42"/>
                    <w:bidi w:val="0"/>
                    <w:rPr>
                      <w:rFonts w:hint="default"/>
                      <w:lang w:val="en-US" w:eastAsia="zh-CN"/>
                    </w:rPr>
                  </w:pPr>
                  <w:r>
                    <w:rPr>
                      <w:rFonts w:hint="eastAsia"/>
                      <w:lang w:val="en-US" w:eastAsia="zh-CN"/>
                    </w:rPr>
                    <w:t>提升机</w:t>
                  </w:r>
                </w:p>
              </w:tc>
              <w:tc>
                <w:tcPr>
                  <w:tcW w:w="3976" w:type="dxa"/>
                </w:tcPr>
                <w:p w14:paraId="206192D3">
                  <w:pPr>
                    <w:pStyle w:val="42"/>
                    <w:bidi w:val="0"/>
                    <w:rPr>
                      <w:rFonts w:hint="default"/>
                      <w:lang w:val="en-US" w:eastAsia="zh-CN"/>
                    </w:rPr>
                  </w:pPr>
                </w:p>
              </w:tc>
              <w:tc>
                <w:tcPr>
                  <w:tcW w:w="680" w:type="dxa"/>
                </w:tcPr>
                <w:p w14:paraId="5C5887CE">
                  <w:pPr>
                    <w:pStyle w:val="42"/>
                    <w:bidi w:val="0"/>
                    <w:rPr>
                      <w:rFonts w:hint="default"/>
                      <w:lang w:val="en-US" w:eastAsia="zh-CN"/>
                    </w:rPr>
                  </w:pPr>
                </w:p>
              </w:tc>
              <w:tc>
                <w:tcPr>
                  <w:tcW w:w="964" w:type="dxa"/>
                </w:tcPr>
                <w:p w14:paraId="45B79B5F">
                  <w:pPr>
                    <w:pStyle w:val="42"/>
                    <w:bidi w:val="0"/>
                    <w:rPr>
                      <w:rFonts w:hint="default"/>
                      <w:lang w:val="en-US" w:eastAsia="zh-CN"/>
                    </w:rPr>
                  </w:pPr>
                </w:p>
              </w:tc>
            </w:tr>
            <w:tr w14:paraId="18DA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1DBEF93">
                  <w:pPr>
                    <w:pStyle w:val="42"/>
                    <w:bidi w:val="0"/>
                    <w:rPr>
                      <w:rFonts w:hint="default"/>
                      <w:lang w:val="en-US" w:eastAsia="zh-CN"/>
                    </w:rPr>
                  </w:pPr>
                  <w:r>
                    <w:rPr>
                      <w:rFonts w:hint="eastAsia"/>
                      <w:lang w:val="en-US" w:eastAsia="zh-CN"/>
                    </w:rPr>
                    <w:t>2</w:t>
                  </w:r>
                </w:p>
              </w:tc>
              <w:tc>
                <w:tcPr>
                  <w:tcW w:w="1530" w:type="dxa"/>
                </w:tcPr>
                <w:p w14:paraId="218AA836">
                  <w:pPr>
                    <w:pStyle w:val="42"/>
                    <w:bidi w:val="0"/>
                    <w:rPr>
                      <w:rFonts w:hint="default"/>
                      <w:lang w:val="en-US" w:eastAsia="zh-CN"/>
                    </w:rPr>
                  </w:pPr>
                  <w:r>
                    <w:rPr>
                      <w:rFonts w:hint="eastAsia"/>
                      <w:lang w:val="en-US" w:eastAsia="zh-CN"/>
                    </w:rPr>
                    <w:t>清理筛</w:t>
                  </w:r>
                </w:p>
              </w:tc>
              <w:tc>
                <w:tcPr>
                  <w:tcW w:w="3976" w:type="dxa"/>
                </w:tcPr>
                <w:p w14:paraId="1246AD9F">
                  <w:pPr>
                    <w:pStyle w:val="42"/>
                    <w:bidi w:val="0"/>
                    <w:rPr>
                      <w:rFonts w:hint="default"/>
                      <w:lang w:val="en-US" w:eastAsia="zh-CN"/>
                    </w:rPr>
                  </w:pPr>
                </w:p>
              </w:tc>
              <w:tc>
                <w:tcPr>
                  <w:tcW w:w="680" w:type="dxa"/>
                </w:tcPr>
                <w:p w14:paraId="3E41DD49">
                  <w:pPr>
                    <w:pStyle w:val="42"/>
                    <w:bidi w:val="0"/>
                    <w:rPr>
                      <w:rFonts w:hint="default"/>
                      <w:lang w:val="en-US" w:eastAsia="zh-CN"/>
                    </w:rPr>
                  </w:pPr>
                </w:p>
              </w:tc>
              <w:tc>
                <w:tcPr>
                  <w:tcW w:w="964" w:type="dxa"/>
                </w:tcPr>
                <w:p w14:paraId="5FCF86D5">
                  <w:pPr>
                    <w:pStyle w:val="42"/>
                    <w:bidi w:val="0"/>
                    <w:rPr>
                      <w:rFonts w:hint="default"/>
                      <w:lang w:val="en-US" w:eastAsia="zh-CN"/>
                    </w:rPr>
                  </w:pPr>
                </w:p>
              </w:tc>
            </w:tr>
            <w:tr w14:paraId="08FA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672E5ECE">
                  <w:pPr>
                    <w:pStyle w:val="42"/>
                    <w:bidi w:val="0"/>
                    <w:rPr>
                      <w:rFonts w:hint="default"/>
                      <w:lang w:val="en-US" w:eastAsia="zh-CN"/>
                    </w:rPr>
                  </w:pPr>
                  <w:r>
                    <w:rPr>
                      <w:rFonts w:hint="eastAsia"/>
                      <w:lang w:val="en-US" w:eastAsia="zh-CN"/>
                    </w:rPr>
                    <w:t>3</w:t>
                  </w:r>
                </w:p>
              </w:tc>
              <w:tc>
                <w:tcPr>
                  <w:tcW w:w="1530" w:type="dxa"/>
                </w:tcPr>
                <w:p w14:paraId="21071120">
                  <w:pPr>
                    <w:pStyle w:val="42"/>
                    <w:bidi w:val="0"/>
                    <w:rPr>
                      <w:rFonts w:hint="default"/>
                      <w:lang w:val="en-US" w:eastAsia="zh-CN"/>
                    </w:rPr>
                  </w:pPr>
                  <w:r>
                    <w:rPr>
                      <w:rFonts w:hint="eastAsia"/>
                      <w:lang w:val="en-US" w:eastAsia="zh-CN"/>
                    </w:rPr>
                    <w:t>塔前提升机</w:t>
                  </w:r>
                </w:p>
              </w:tc>
              <w:tc>
                <w:tcPr>
                  <w:tcW w:w="3976" w:type="dxa"/>
                </w:tcPr>
                <w:p w14:paraId="07C82424">
                  <w:pPr>
                    <w:pStyle w:val="42"/>
                    <w:bidi w:val="0"/>
                    <w:rPr>
                      <w:rFonts w:hint="default"/>
                      <w:lang w:val="en-US" w:eastAsia="zh-CN"/>
                    </w:rPr>
                  </w:pPr>
                </w:p>
              </w:tc>
              <w:tc>
                <w:tcPr>
                  <w:tcW w:w="680" w:type="dxa"/>
                </w:tcPr>
                <w:p w14:paraId="433EC4AB">
                  <w:pPr>
                    <w:pStyle w:val="42"/>
                    <w:bidi w:val="0"/>
                    <w:rPr>
                      <w:rFonts w:hint="default"/>
                      <w:lang w:val="en-US" w:eastAsia="zh-CN"/>
                    </w:rPr>
                  </w:pPr>
                </w:p>
              </w:tc>
              <w:tc>
                <w:tcPr>
                  <w:tcW w:w="964" w:type="dxa"/>
                </w:tcPr>
                <w:p w14:paraId="3A89A415">
                  <w:pPr>
                    <w:pStyle w:val="42"/>
                    <w:bidi w:val="0"/>
                    <w:rPr>
                      <w:rFonts w:hint="default"/>
                      <w:lang w:val="en-US" w:eastAsia="zh-CN"/>
                    </w:rPr>
                  </w:pPr>
                </w:p>
              </w:tc>
            </w:tr>
            <w:tr w14:paraId="15AD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00BAF5E">
                  <w:pPr>
                    <w:pStyle w:val="42"/>
                    <w:bidi w:val="0"/>
                    <w:rPr>
                      <w:rFonts w:hint="default"/>
                      <w:lang w:val="en-US" w:eastAsia="zh-CN"/>
                    </w:rPr>
                  </w:pPr>
                  <w:r>
                    <w:rPr>
                      <w:rFonts w:hint="eastAsia"/>
                      <w:lang w:val="en-US" w:eastAsia="zh-CN"/>
                    </w:rPr>
                    <w:t>4</w:t>
                  </w:r>
                </w:p>
              </w:tc>
              <w:tc>
                <w:tcPr>
                  <w:tcW w:w="1530" w:type="dxa"/>
                </w:tcPr>
                <w:p w14:paraId="599EC17C">
                  <w:pPr>
                    <w:pStyle w:val="42"/>
                    <w:bidi w:val="0"/>
                    <w:rPr>
                      <w:rFonts w:hint="default"/>
                      <w:lang w:val="en-US" w:eastAsia="zh-CN"/>
                    </w:rPr>
                  </w:pPr>
                  <w:r>
                    <w:rPr>
                      <w:rFonts w:hint="eastAsia"/>
                      <w:lang w:val="en-US" w:eastAsia="zh-CN"/>
                    </w:rPr>
                    <w:t>烘干机</w:t>
                  </w:r>
                </w:p>
              </w:tc>
              <w:tc>
                <w:tcPr>
                  <w:tcW w:w="3976" w:type="dxa"/>
                </w:tcPr>
                <w:p w14:paraId="2583F4B5">
                  <w:pPr>
                    <w:pStyle w:val="42"/>
                    <w:bidi w:val="0"/>
                    <w:rPr>
                      <w:rFonts w:hint="default"/>
                      <w:lang w:val="en-US" w:eastAsia="zh-CN"/>
                    </w:rPr>
                  </w:pPr>
                </w:p>
              </w:tc>
              <w:tc>
                <w:tcPr>
                  <w:tcW w:w="680" w:type="dxa"/>
                </w:tcPr>
                <w:p w14:paraId="53DB758C">
                  <w:pPr>
                    <w:pStyle w:val="42"/>
                    <w:bidi w:val="0"/>
                    <w:rPr>
                      <w:rFonts w:hint="default"/>
                      <w:lang w:val="en-US" w:eastAsia="zh-CN"/>
                    </w:rPr>
                  </w:pPr>
                </w:p>
              </w:tc>
              <w:tc>
                <w:tcPr>
                  <w:tcW w:w="964" w:type="dxa"/>
                </w:tcPr>
                <w:p w14:paraId="0935422E">
                  <w:pPr>
                    <w:pStyle w:val="42"/>
                    <w:bidi w:val="0"/>
                    <w:rPr>
                      <w:rFonts w:hint="default"/>
                      <w:lang w:val="en-US" w:eastAsia="zh-CN"/>
                    </w:rPr>
                  </w:pPr>
                </w:p>
              </w:tc>
            </w:tr>
            <w:tr w14:paraId="1171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3E4ABAB">
                  <w:pPr>
                    <w:pStyle w:val="42"/>
                    <w:bidi w:val="0"/>
                    <w:rPr>
                      <w:rFonts w:hint="default"/>
                      <w:lang w:val="en-US" w:eastAsia="zh-CN"/>
                    </w:rPr>
                  </w:pPr>
                  <w:r>
                    <w:rPr>
                      <w:rFonts w:hint="eastAsia"/>
                      <w:lang w:val="en-US" w:eastAsia="zh-CN"/>
                    </w:rPr>
                    <w:t>5</w:t>
                  </w:r>
                </w:p>
              </w:tc>
              <w:tc>
                <w:tcPr>
                  <w:tcW w:w="1530" w:type="dxa"/>
                </w:tcPr>
                <w:p w14:paraId="2D9AA94A">
                  <w:pPr>
                    <w:pStyle w:val="42"/>
                    <w:bidi w:val="0"/>
                    <w:rPr>
                      <w:rFonts w:hint="default"/>
                      <w:lang w:val="en-US" w:eastAsia="zh-CN"/>
                    </w:rPr>
                  </w:pPr>
                  <w:r>
                    <w:rPr>
                      <w:rFonts w:hint="eastAsia"/>
                      <w:lang w:val="en-US" w:eastAsia="zh-CN"/>
                    </w:rPr>
                    <w:t>热风炉</w:t>
                  </w:r>
                </w:p>
              </w:tc>
              <w:tc>
                <w:tcPr>
                  <w:tcW w:w="3976" w:type="dxa"/>
                </w:tcPr>
                <w:p w14:paraId="07DE041E">
                  <w:pPr>
                    <w:pStyle w:val="42"/>
                    <w:bidi w:val="0"/>
                    <w:rPr>
                      <w:rFonts w:hint="default"/>
                      <w:lang w:val="en-US" w:eastAsia="zh-CN"/>
                    </w:rPr>
                  </w:pPr>
                </w:p>
              </w:tc>
              <w:tc>
                <w:tcPr>
                  <w:tcW w:w="680" w:type="dxa"/>
                </w:tcPr>
                <w:p w14:paraId="608C71C1">
                  <w:pPr>
                    <w:pStyle w:val="42"/>
                    <w:bidi w:val="0"/>
                    <w:rPr>
                      <w:rFonts w:hint="default"/>
                      <w:lang w:val="en-US" w:eastAsia="zh-CN"/>
                    </w:rPr>
                  </w:pPr>
                </w:p>
              </w:tc>
              <w:tc>
                <w:tcPr>
                  <w:tcW w:w="964" w:type="dxa"/>
                </w:tcPr>
                <w:p w14:paraId="01ACD8AB">
                  <w:pPr>
                    <w:pStyle w:val="42"/>
                    <w:bidi w:val="0"/>
                    <w:rPr>
                      <w:rFonts w:hint="default"/>
                      <w:lang w:val="en-US" w:eastAsia="zh-CN"/>
                    </w:rPr>
                  </w:pPr>
                </w:p>
              </w:tc>
            </w:tr>
            <w:tr w14:paraId="1F64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3FA1FE0">
                  <w:pPr>
                    <w:pStyle w:val="42"/>
                    <w:bidi w:val="0"/>
                    <w:rPr>
                      <w:rFonts w:hint="default"/>
                      <w:lang w:val="en-US" w:eastAsia="zh-CN"/>
                    </w:rPr>
                  </w:pPr>
                  <w:r>
                    <w:rPr>
                      <w:rFonts w:hint="eastAsia"/>
                      <w:lang w:val="en-US" w:eastAsia="zh-CN"/>
                    </w:rPr>
                    <w:t>6</w:t>
                  </w:r>
                </w:p>
              </w:tc>
              <w:tc>
                <w:tcPr>
                  <w:tcW w:w="1530" w:type="dxa"/>
                </w:tcPr>
                <w:p w14:paraId="4777C4E3">
                  <w:pPr>
                    <w:pStyle w:val="42"/>
                    <w:bidi w:val="0"/>
                    <w:rPr>
                      <w:rFonts w:hint="default"/>
                      <w:lang w:val="en-US" w:eastAsia="zh-CN"/>
                    </w:rPr>
                  </w:pPr>
                  <w:r>
                    <w:rPr>
                      <w:rFonts w:hint="eastAsia"/>
                      <w:lang w:val="en-US" w:eastAsia="zh-CN"/>
                    </w:rPr>
                    <w:t>料位器</w:t>
                  </w:r>
                </w:p>
              </w:tc>
              <w:tc>
                <w:tcPr>
                  <w:tcW w:w="3976" w:type="dxa"/>
                </w:tcPr>
                <w:p w14:paraId="7E5E0350">
                  <w:pPr>
                    <w:pStyle w:val="42"/>
                    <w:bidi w:val="0"/>
                    <w:rPr>
                      <w:rFonts w:hint="default"/>
                      <w:lang w:val="en-US" w:eastAsia="zh-CN"/>
                    </w:rPr>
                  </w:pPr>
                </w:p>
              </w:tc>
              <w:tc>
                <w:tcPr>
                  <w:tcW w:w="680" w:type="dxa"/>
                </w:tcPr>
                <w:p w14:paraId="193BAD5E">
                  <w:pPr>
                    <w:pStyle w:val="42"/>
                    <w:bidi w:val="0"/>
                    <w:rPr>
                      <w:rFonts w:hint="default"/>
                      <w:lang w:val="en-US" w:eastAsia="zh-CN"/>
                    </w:rPr>
                  </w:pPr>
                </w:p>
              </w:tc>
              <w:tc>
                <w:tcPr>
                  <w:tcW w:w="964" w:type="dxa"/>
                </w:tcPr>
                <w:p w14:paraId="76826C06">
                  <w:pPr>
                    <w:pStyle w:val="42"/>
                    <w:bidi w:val="0"/>
                    <w:rPr>
                      <w:rFonts w:hint="eastAsia"/>
                      <w:lang w:val="en-US" w:eastAsia="zh-CN"/>
                    </w:rPr>
                  </w:pPr>
                </w:p>
              </w:tc>
            </w:tr>
            <w:tr w14:paraId="7871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3B7B551E">
                  <w:pPr>
                    <w:pStyle w:val="42"/>
                    <w:bidi w:val="0"/>
                    <w:rPr>
                      <w:rFonts w:hint="default"/>
                      <w:lang w:val="en-US" w:eastAsia="zh-CN"/>
                    </w:rPr>
                  </w:pPr>
                  <w:r>
                    <w:rPr>
                      <w:rFonts w:hint="eastAsia"/>
                      <w:lang w:val="en-US" w:eastAsia="zh-CN"/>
                    </w:rPr>
                    <w:t>7</w:t>
                  </w:r>
                </w:p>
              </w:tc>
              <w:tc>
                <w:tcPr>
                  <w:tcW w:w="1530" w:type="dxa"/>
                </w:tcPr>
                <w:p w14:paraId="6DB15BFB">
                  <w:pPr>
                    <w:pStyle w:val="42"/>
                    <w:bidi w:val="0"/>
                    <w:rPr>
                      <w:rFonts w:hint="default"/>
                      <w:lang w:val="en-US" w:eastAsia="zh-CN"/>
                    </w:rPr>
                  </w:pPr>
                  <w:r>
                    <w:rPr>
                      <w:rFonts w:hint="eastAsia"/>
                      <w:lang w:val="en-US" w:eastAsia="zh-CN"/>
                    </w:rPr>
                    <w:t>温度传感器</w:t>
                  </w:r>
                </w:p>
              </w:tc>
              <w:tc>
                <w:tcPr>
                  <w:tcW w:w="3976" w:type="dxa"/>
                </w:tcPr>
                <w:p w14:paraId="36EBFCC6">
                  <w:pPr>
                    <w:pStyle w:val="42"/>
                    <w:bidi w:val="0"/>
                    <w:rPr>
                      <w:rFonts w:hint="default"/>
                      <w:lang w:val="en-US" w:eastAsia="zh-CN"/>
                    </w:rPr>
                  </w:pPr>
                </w:p>
              </w:tc>
              <w:tc>
                <w:tcPr>
                  <w:tcW w:w="680" w:type="dxa"/>
                </w:tcPr>
                <w:p w14:paraId="03ACAA0D">
                  <w:pPr>
                    <w:pStyle w:val="42"/>
                    <w:bidi w:val="0"/>
                    <w:rPr>
                      <w:rFonts w:hint="default"/>
                      <w:lang w:val="en-US" w:eastAsia="zh-CN"/>
                    </w:rPr>
                  </w:pPr>
                </w:p>
              </w:tc>
              <w:tc>
                <w:tcPr>
                  <w:tcW w:w="964" w:type="dxa"/>
                </w:tcPr>
                <w:p w14:paraId="0F1C7BFC">
                  <w:pPr>
                    <w:pStyle w:val="42"/>
                    <w:bidi w:val="0"/>
                    <w:rPr>
                      <w:rFonts w:hint="default"/>
                      <w:lang w:val="en-US" w:eastAsia="zh-CN"/>
                    </w:rPr>
                  </w:pPr>
                </w:p>
              </w:tc>
            </w:tr>
            <w:tr w14:paraId="5963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EA9B13E">
                  <w:pPr>
                    <w:pStyle w:val="42"/>
                    <w:bidi w:val="0"/>
                    <w:rPr>
                      <w:rFonts w:hint="default"/>
                      <w:lang w:val="en-US" w:eastAsia="zh-CN"/>
                    </w:rPr>
                  </w:pPr>
                  <w:r>
                    <w:rPr>
                      <w:rFonts w:hint="eastAsia"/>
                      <w:lang w:val="en-US" w:eastAsia="zh-CN"/>
                    </w:rPr>
                    <w:t>8</w:t>
                  </w:r>
                </w:p>
              </w:tc>
              <w:tc>
                <w:tcPr>
                  <w:tcW w:w="1530" w:type="dxa"/>
                </w:tcPr>
                <w:p w14:paraId="359812EA">
                  <w:pPr>
                    <w:pStyle w:val="42"/>
                    <w:bidi w:val="0"/>
                    <w:rPr>
                      <w:rFonts w:hint="default"/>
                      <w:lang w:val="en-US" w:eastAsia="zh-CN"/>
                    </w:rPr>
                  </w:pPr>
                  <w:r>
                    <w:rPr>
                      <w:rFonts w:hint="eastAsia"/>
                      <w:lang w:val="en-US" w:eastAsia="zh-CN"/>
                    </w:rPr>
                    <w:t>清粮机</w:t>
                  </w:r>
                </w:p>
              </w:tc>
              <w:tc>
                <w:tcPr>
                  <w:tcW w:w="3976" w:type="dxa"/>
                </w:tcPr>
                <w:p w14:paraId="006EC75A">
                  <w:pPr>
                    <w:pStyle w:val="42"/>
                    <w:bidi w:val="0"/>
                    <w:rPr>
                      <w:rFonts w:hint="default"/>
                      <w:lang w:val="en-US" w:eastAsia="zh-CN"/>
                    </w:rPr>
                  </w:pPr>
                </w:p>
              </w:tc>
              <w:tc>
                <w:tcPr>
                  <w:tcW w:w="680" w:type="dxa"/>
                </w:tcPr>
                <w:p w14:paraId="18C51CAF">
                  <w:pPr>
                    <w:pStyle w:val="42"/>
                    <w:bidi w:val="0"/>
                    <w:rPr>
                      <w:rFonts w:hint="default"/>
                      <w:lang w:val="en-US" w:eastAsia="zh-CN"/>
                    </w:rPr>
                  </w:pPr>
                </w:p>
              </w:tc>
              <w:tc>
                <w:tcPr>
                  <w:tcW w:w="964" w:type="dxa"/>
                </w:tcPr>
                <w:p w14:paraId="0D79A69C">
                  <w:pPr>
                    <w:pStyle w:val="42"/>
                    <w:bidi w:val="0"/>
                    <w:rPr>
                      <w:rFonts w:hint="default"/>
                      <w:lang w:val="en-US" w:eastAsia="zh-CN"/>
                    </w:rPr>
                  </w:pPr>
                </w:p>
              </w:tc>
            </w:tr>
            <w:tr w14:paraId="37A7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06F4AE0">
                  <w:pPr>
                    <w:pStyle w:val="42"/>
                    <w:bidi w:val="0"/>
                    <w:rPr>
                      <w:rFonts w:hint="default"/>
                      <w:lang w:val="en-US" w:eastAsia="zh-CN"/>
                    </w:rPr>
                  </w:pPr>
                  <w:r>
                    <w:rPr>
                      <w:rFonts w:hint="eastAsia"/>
                      <w:lang w:val="en-US" w:eastAsia="zh-CN"/>
                    </w:rPr>
                    <w:t>9</w:t>
                  </w:r>
                </w:p>
              </w:tc>
              <w:tc>
                <w:tcPr>
                  <w:tcW w:w="1530" w:type="dxa"/>
                </w:tcPr>
                <w:p w14:paraId="1D5BA12D">
                  <w:pPr>
                    <w:pStyle w:val="42"/>
                    <w:bidi w:val="0"/>
                    <w:rPr>
                      <w:rFonts w:hint="default"/>
                      <w:lang w:val="en-US" w:eastAsia="zh-CN"/>
                    </w:rPr>
                  </w:pPr>
                  <w:r>
                    <w:rPr>
                      <w:rFonts w:hint="eastAsia"/>
                      <w:lang w:val="en-US" w:eastAsia="zh-CN"/>
                    </w:rPr>
                    <w:t>通风系统</w:t>
                  </w:r>
                </w:p>
              </w:tc>
              <w:tc>
                <w:tcPr>
                  <w:tcW w:w="3976" w:type="dxa"/>
                </w:tcPr>
                <w:p w14:paraId="4916997F">
                  <w:pPr>
                    <w:pStyle w:val="42"/>
                    <w:bidi w:val="0"/>
                    <w:rPr>
                      <w:rFonts w:hint="default"/>
                      <w:lang w:val="en-US" w:eastAsia="zh-CN"/>
                    </w:rPr>
                  </w:pPr>
                </w:p>
              </w:tc>
              <w:tc>
                <w:tcPr>
                  <w:tcW w:w="680" w:type="dxa"/>
                </w:tcPr>
                <w:p w14:paraId="6AEF6EBB">
                  <w:pPr>
                    <w:pStyle w:val="42"/>
                    <w:bidi w:val="0"/>
                    <w:rPr>
                      <w:rFonts w:hint="default"/>
                      <w:lang w:val="en-US" w:eastAsia="zh-CN"/>
                    </w:rPr>
                  </w:pPr>
                </w:p>
              </w:tc>
              <w:tc>
                <w:tcPr>
                  <w:tcW w:w="964" w:type="dxa"/>
                </w:tcPr>
                <w:p w14:paraId="473C8D58">
                  <w:pPr>
                    <w:pStyle w:val="42"/>
                    <w:bidi w:val="0"/>
                    <w:rPr>
                      <w:rFonts w:hint="default"/>
                      <w:lang w:val="en-US" w:eastAsia="zh-CN"/>
                    </w:rPr>
                  </w:pPr>
                </w:p>
              </w:tc>
            </w:tr>
            <w:tr w14:paraId="2F69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082EA89A">
                  <w:pPr>
                    <w:pStyle w:val="42"/>
                    <w:bidi w:val="0"/>
                    <w:rPr>
                      <w:rFonts w:hint="default"/>
                      <w:lang w:val="en-US" w:eastAsia="zh-CN"/>
                    </w:rPr>
                  </w:pPr>
                  <w:r>
                    <w:rPr>
                      <w:rFonts w:hint="eastAsia"/>
                      <w:lang w:val="en-US" w:eastAsia="zh-CN"/>
                    </w:rPr>
                    <w:t>10</w:t>
                  </w:r>
                </w:p>
              </w:tc>
              <w:tc>
                <w:tcPr>
                  <w:tcW w:w="1530" w:type="dxa"/>
                </w:tcPr>
                <w:p w14:paraId="3E258FA4">
                  <w:pPr>
                    <w:pStyle w:val="42"/>
                    <w:bidi w:val="0"/>
                    <w:rPr>
                      <w:rFonts w:hint="eastAsia"/>
                      <w:lang w:val="en-US" w:eastAsia="zh-CN"/>
                    </w:rPr>
                  </w:pPr>
                  <w:r>
                    <w:rPr>
                      <w:rFonts w:hint="eastAsia"/>
                      <w:lang w:val="en-US" w:eastAsia="zh-CN"/>
                    </w:rPr>
                    <w:t>扦样设备</w:t>
                  </w:r>
                </w:p>
              </w:tc>
              <w:tc>
                <w:tcPr>
                  <w:tcW w:w="3976" w:type="dxa"/>
                </w:tcPr>
                <w:p w14:paraId="3C6976B6">
                  <w:pPr>
                    <w:pStyle w:val="42"/>
                    <w:bidi w:val="0"/>
                    <w:rPr>
                      <w:rFonts w:hint="default"/>
                      <w:lang w:val="en-US" w:eastAsia="zh-CN"/>
                    </w:rPr>
                  </w:pPr>
                </w:p>
              </w:tc>
              <w:tc>
                <w:tcPr>
                  <w:tcW w:w="680" w:type="dxa"/>
                </w:tcPr>
                <w:p w14:paraId="17D053DF">
                  <w:pPr>
                    <w:pStyle w:val="42"/>
                    <w:bidi w:val="0"/>
                    <w:rPr>
                      <w:rFonts w:hint="default"/>
                      <w:lang w:val="en-US" w:eastAsia="zh-CN"/>
                    </w:rPr>
                  </w:pPr>
                </w:p>
              </w:tc>
              <w:tc>
                <w:tcPr>
                  <w:tcW w:w="964" w:type="dxa"/>
                </w:tcPr>
                <w:p w14:paraId="1F2B26F6">
                  <w:pPr>
                    <w:pStyle w:val="42"/>
                    <w:bidi w:val="0"/>
                    <w:rPr>
                      <w:rFonts w:hint="default"/>
                      <w:lang w:val="en-US" w:eastAsia="zh-CN"/>
                    </w:rPr>
                  </w:pPr>
                </w:p>
              </w:tc>
            </w:tr>
          </w:tbl>
          <w:p w14:paraId="57C0EDE1">
            <w:pPr>
              <w:pStyle w:val="5"/>
              <w:bidi w:val="0"/>
              <w:rPr>
                <w:rFonts w:hint="default"/>
                <w:color w:val="auto"/>
                <w:lang w:val="en-US" w:eastAsia="zh-CN"/>
              </w:rPr>
            </w:pPr>
            <w:r>
              <w:rPr>
                <w:rFonts w:hint="eastAsia"/>
                <w:color w:val="auto"/>
                <w:lang w:val="en-US" w:eastAsia="zh-CN"/>
              </w:rPr>
              <w:t>2.4原辅料消耗</w:t>
            </w:r>
          </w:p>
          <w:p w14:paraId="5506E85A">
            <w:pPr>
              <w:pStyle w:val="41"/>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color w:val="auto"/>
              </w:rPr>
              <w:t>原辅材料消耗</w:t>
            </w:r>
          </w:p>
          <w:p w14:paraId="24DFDD98">
            <w:pPr>
              <w:pStyle w:val="41"/>
              <w:bidi w:val="0"/>
              <w:rPr>
                <w:rFonts w:hint="eastAsia"/>
                <w:color w:val="auto"/>
                <w:lang w:val="en-US" w:eastAsia="zh-CN"/>
              </w:rPr>
            </w:pPr>
            <w:r>
              <w:rPr>
                <w:rFonts w:hint="eastAsia"/>
                <w:color w:val="auto"/>
                <w:lang w:val="en-US" w:eastAsia="zh-CN"/>
              </w:rPr>
              <w:t>本项目为玉米烘干仓储，根据建设单位所提供的产品方案，原料主要为收购的玉米，辅料主要包括木质无烟煤、二氧化碳、尿素等，项目使用原辅料及能源消耗量情况见下表。</w:t>
            </w:r>
          </w:p>
          <w:p w14:paraId="7E3E0E93">
            <w:pPr>
              <w:pStyle w:val="53"/>
              <w:bidi w:val="0"/>
              <w:rPr>
                <w:rFonts w:hint="eastAsia"/>
                <w:color w:val="auto"/>
                <w:lang w:val="en-US" w:eastAsia="zh-CN"/>
              </w:rPr>
            </w:pPr>
            <w:r>
              <w:rPr>
                <w:rFonts w:hint="eastAsia"/>
                <w:color w:val="auto"/>
                <w:lang w:val="en-US" w:eastAsia="zh-CN"/>
              </w:rPr>
              <w:t>表2-4   原辅料及能耗一览表</w:t>
            </w:r>
          </w:p>
          <w:tbl>
            <w:tblPr>
              <w:tblStyle w:val="32"/>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495"/>
              <w:gridCol w:w="991"/>
              <w:gridCol w:w="1225"/>
              <w:gridCol w:w="1308"/>
              <w:gridCol w:w="1203"/>
            </w:tblGrid>
            <w:tr w14:paraId="71E5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322BA680">
                  <w:pPr>
                    <w:pStyle w:val="42"/>
                    <w:bidi w:val="0"/>
                    <w:rPr>
                      <w:rFonts w:hint="default"/>
                      <w:color w:val="auto"/>
                      <w:lang w:val="en-US" w:eastAsia="zh-CN"/>
                    </w:rPr>
                  </w:pPr>
                  <w:r>
                    <w:rPr>
                      <w:rFonts w:hint="eastAsia"/>
                      <w:color w:val="auto"/>
                      <w:lang w:val="en-US" w:eastAsia="zh-CN"/>
                    </w:rPr>
                    <w:t>序号</w:t>
                  </w:r>
                </w:p>
              </w:tc>
              <w:tc>
                <w:tcPr>
                  <w:tcW w:w="2495" w:type="dxa"/>
                </w:tcPr>
                <w:p w14:paraId="5366037B">
                  <w:pPr>
                    <w:pStyle w:val="42"/>
                    <w:bidi w:val="0"/>
                    <w:rPr>
                      <w:rFonts w:hint="default"/>
                      <w:color w:val="auto"/>
                      <w:lang w:val="en-US" w:eastAsia="zh-CN"/>
                    </w:rPr>
                  </w:pPr>
                  <w:r>
                    <w:rPr>
                      <w:rFonts w:hint="eastAsia"/>
                      <w:color w:val="auto"/>
                      <w:lang w:val="en-US" w:eastAsia="zh-CN"/>
                    </w:rPr>
                    <w:t>原辅料</w:t>
                  </w:r>
                </w:p>
              </w:tc>
              <w:tc>
                <w:tcPr>
                  <w:tcW w:w="991" w:type="dxa"/>
                </w:tcPr>
                <w:p w14:paraId="125D3554">
                  <w:pPr>
                    <w:pStyle w:val="42"/>
                    <w:bidi w:val="0"/>
                    <w:rPr>
                      <w:rFonts w:hint="default"/>
                      <w:color w:val="auto"/>
                      <w:lang w:val="en-US" w:eastAsia="zh-CN"/>
                    </w:rPr>
                  </w:pPr>
                  <w:r>
                    <w:rPr>
                      <w:rFonts w:hint="eastAsia"/>
                      <w:color w:val="auto"/>
                      <w:lang w:val="en-US" w:eastAsia="zh-CN"/>
                    </w:rPr>
                    <w:t>用量</w:t>
                  </w:r>
                </w:p>
              </w:tc>
              <w:tc>
                <w:tcPr>
                  <w:tcW w:w="1225" w:type="dxa"/>
                </w:tcPr>
                <w:p w14:paraId="3B6D2ADA">
                  <w:pPr>
                    <w:pStyle w:val="42"/>
                    <w:bidi w:val="0"/>
                    <w:rPr>
                      <w:rFonts w:hint="default"/>
                      <w:color w:val="auto"/>
                      <w:lang w:val="en-US" w:eastAsia="zh-CN"/>
                    </w:rPr>
                  </w:pPr>
                  <w:r>
                    <w:rPr>
                      <w:rFonts w:hint="eastAsia"/>
                      <w:color w:val="auto"/>
                      <w:lang w:val="en-US" w:eastAsia="zh-CN"/>
                    </w:rPr>
                    <w:t>单位</w:t>
                  </w:r>
                </w:p>
              </w:tc>
              <w:tc>
                <w:tcPr>
                  <w:tcW w:w="1308" w:type="dxa"/>
                </w:tcPr>
                <w:p w14:paraId="1E07FB25">
                  <w:pPr>
                    <w:pStyle w:val="42"/>
                    <w:bidi w:val="0"/>
                    <w:rPr>
                      <w:rFonts w:hint="default"/>
                      <w:color w:val="auto"/>
                      <w:lang w:val="en-US" w:eastAsia="zh-CN"/>
                    </w:rPr>
                  </w:pPr>
                  <w:r>
                    <w:rPr>
                      <w:rFonts w:hint="eastAsia"/>
                      <w:color w:val="auto"/>
                      <w:lang w:val="en-US" w:eastAsia="zh-CN"/>
                    </w:rPr>
                    <w:t>最大储存量</w:t>
                  </w:r>
                </w:p>
              </w:tc>
              <w:tc>
                <w:tcPr>
                  <w:tcW w:w="1203" w:type="dxa"/>
                </w:tcPr>
                <w:p w14:paraId="6CEECEFB">
                  <w:pPr>
                    <w:pStyle w:val="42"/>
                    <w:bidi w:val="0"/>
                    <w:rPr>
                      <w:rFonts w:hint="default"/>
                      <w:color w:val="auto"/>
                      <w:lang w:val="en-US" w:eastAsia="zh-CN"/>
                    </w:rPr>
                  </w:pPr>
                  <w:r>
                    <w:rPr>
                      <w:rFonts w:hint="eastAsia"/>
                      <w:color w:val="auto"/>
                      <w:lang w:val="en-US" w:eastAsia="zh-CN"/>
                    </w:rPr>
                    <w:t>储存方式</w:t>
                  </w:r>
                </w:p>
              </w:tc>
            </w:tr>
            <w:tr w14:paraId="5059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3" w:type="dxa"/>
                  <w:gridSpan w:val="6"/>
                </w:tcPr>
                <w:p w14:paraId="3D838681">
                  <w:pPr>
                    <w:pStyle w:val="42"/>
                    <w:bidi w:val="0"/>
                    <w:rPr>
                      <w:rFonts w:hint="eastAsia"/>
                      <w:color w:val="auto"/>
                      <w:lang w:val="en-US" w:eastAsia="zh-CN"/>
                    </w:rPr>
                  </w:pPr>
                  <w:r>
                    <w:rPr>
                      <w:rFonts w:hint="eastAsia"/>
                      <w:color w:val="auto"/>
                      <w:lang w:val="en-US" w:eastAsia="zh-CN"/>
                    </w:rPr>
                    <w:t>一、原料</w:t>
                  </w:r>
                </w:p>
              </w:tc>
            </w:tr>
            <w:tr w14:paraId="2D9F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19F4855E">
                  <w:pPr>
                    <w:pStyle w:val="42"/>
                    <w:bidi w:val="0"/>
                    <w:rPr>
                      <w:rFonts w:hint="default"/>
                      <w:color w:val="auto"/>
                      <w:lang w:val="en-US" w:eastAsia="zh-CN"/>
                    </w:rPr>
                  </w:pPr>
                  <w:r>
                    <w:rPr>
                      <w:rFonts w:hint="eastAsia"/>
                      <w:color w:val="auto"/>
                      <w:lang w:val="en-US" w:eastAsia="zh-CN"/>
                    </w:rPr>
                    <w:t>1</w:t>
                  </w:r>
                </w:p>
              </w:tc>
              <w:tc>
                <w:tcPr>
                  <w:tcW w:w="2495" w:type="dxa"/>
                </w:tcPr>
                <w:p w14:paraId="328E4344">
                  <w:pPr>
                    <w:pStyle w:val="42"/>
                    <w:bidi w:val="0"/>
                    <w:rPr>
                      <w:rFonts w:hint="default"/>
                      <w:color w:val="auto"/>
                      <w:lang w:val="en-US" w:eastAsia="zh-CN"/>
                    </w:rPr>
                  </w:pPr>
                  <w:r>
                    <w:rPr>
                      <w:rFonts w:hint="eastAsia"/>
                      <w:color w:val="auto"/>
                      <w:lang w:val="en-US" w:eastAsia="zh-CN"/>
                    </w:rPr>
                    <w:t>玉米粒</w:t>
                  </w:r>
                </w:p>
              </w:tc>
              <w:tc>
                <w:tcPr>
                  <w:tcW w:w="991" w:type="dxa"/>
                </w:tcPr>
                <w:p w14:paraId="3D0E8DCF">
                  <w:pPr>
                    <w:pStyle w:val="42"/>
                    <w:bidi w:val="0"/>
                    <w:rPr>
                      <w:rFonts w:hint="default"/>
                      <w:color w:val="auto"/>
                      <w:lang w:val="en-US" w:eastAsia="zh-CN"/>
                    </w:rPr>
                  </w:pPr>
                </w:p>
              </w:tc>
              <w:tc>
                <w:tcPr>
                  <w:tcW w:w="1225" w:type="dxa"/>
                </w:tcPr>
                <w:p w14:paraId="6272BDFC">
                  <w:pPr>
                    <w:pStyle w:val="42"/>
                    <w:bidi w:val="0"/>
                    <w:rPr>
                      <w:rFonts w:hint="default"/>
                      <w:color w:val="auto"/>
                      <w:lang w:val="en-US" w:eastAsia="zh-CN"/>
                    </w:rPr>
                  </w:pPr>
                </w:p>
              </w:tc>
              <w:tc>
                <w:tcPr>
                  <w:tcW w:w="1308" w:type="dxa"/>
                </w:tcPr>
                <w:p w14:paraId="436CFDFF">
                  <w:pPr>
                    <w:pStyle w:val="42"/>
                    <w:bidi w:val="0"/>
                    <w:rPr>
                      <w:rFonts w:hint="default"/>
                      <w:color w:val="auto"/>
                      <w:lang w:val="en-US" w:eastAsia="zh-CN"/>
                    </w:rPr>
                  </w:pPr>
                </w:p>
              </w:tc>
              <w:tc>
                <w:tcPr>
                  <w:tcW w:w="1203" w:type="dxa"/>
                </w:tcPr>
                <w:p w14:paraId="3F2D34B0">
                  <w:pPr>
                    <w:pStyle w:val="42"/>
                    <w:bidi w:val="0"/>
                    <w:rPr>
                      <w:rFonts w:hint="default"/>
                      <w:color w:val="auto"/>
                      <w:lang w:val="en-US" w:eastAsia="zh-CN"/>
                    </w:rPr>
                  </w:pPr>
                </w:p>
              </w:tc>
            </w:tr>
            <w:tr w14:paraId="1C76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3" w:type="dxa"/>
                  <w:gridSpan w:val="6"/>
                </w:tcPr>
                <w:p w14:paraId="094E6592">
                  <w:pPr>
                    <w:pStyle w:val="42"/>
                    <w:bidi w:val="0"/>
                    <w:rPr>
                      <w:rFonts w:hint="eastAsia"/>
                      <w:color w:val="auto"/>
                      <w:lang w:val="en-US" w:eastAsia="zh-CN"/>
                    </w:rPr>
                  </w:pPr>
                </w:p>
              </w:tc>
            </w:tr>
            <w:tr w14:paraId="126E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1F746AA1">
                  <w:pPr>
                    <w:pStyle w:val="42"/>
                    <w:bidi w:val="0"/>
                    <w:rPr>
                      <w:rFonts w:hint="default"/>
                      <w:color w:val="auto"/>
                      <w:lang w:val="en-US" w:eastAsia="zh-CN"/>
                    </w:rPr>
                  </w:pPr>
                  <w:r>
                    <w:rPr>
                      <w:rFonts w:hint="eastAsia"/>
                      <w:color w:val="auto"/>
                      <w:lang w:val="en-US" w:eastAsia="zh-CN"/>
                    </w:rPr>
                    <w:t>2</w:t>
                  </w:r>
                </w:p>
              </w:tc>
              <w:tc>
                <w:tcPr>
                  <w:tcW w:w="2495" w:type="dxa"/>
                </w:tcPr>
                <w:p w14:paraId="78EF38B9">
                  <w:pPr>
                    <w:pStyle w:val="42"/>
                    <w:bidi w:val="0"/>
                    <w:rPr>
                      <w:rFonts w:hint="eastAsia"/>
                      <w:color w:val="auto"/>
                      <w:lang w:val="en-US" w:eastAsia="zh-CN"/>
                    </w:rPr>
                  </w:pPr>
                  <w:r>
                    <w:rPr>
                      <w:rFonts w:hint="eastAsia"/>
                      <w:color w:val="auto"/>
                      <w:lang w:eastAsia="zh-CN"/>
                    </w:rPr>
                    <w:t>石灰石</w:t>
                  </w:r>
                </w:p>
              </w:tc>
              <w:tc>
                <w:tcPr>
                  <w:tcW w:w="991" w:type="dxa"/>
                </w:tcPr>
                <w:p w14:paraId="2FC0C962">
                  <w:pPr>
                    <w:pStyle w:val="42"/>
                    <w:bidi w:val="0"/>
                    <w:rPr>
                      <w:rFonts w:hint="default"/>
                      <w:color w:val="auto"/>
                      <w:lang w:val="en-US" w:eastAsia="zh-CN"/>
                    </w:rPr>
                  </w:pPr>
                </w:p>
              </w:tc>
              <w:tc>
                <w:tcPr>
                  <w:tcW w:w="1225" w:type="dxa"/>
                </w:tcPr>
                <w:p w14:paraId="6491999C">
                  <w:pPr>
                    <w:pStyle w:val="42"/>
                    <w:bidi w:val="0"/>
                    <w:rPr>
                      <w:rFonts w:hint="eastAsia"/>
                      <w:color w:val="auto"/>
                      <w:lang w:val="en-US" w:eastAsia="zh-CN"/>
                    </w:rPr>
                  </w:pPr>
                </w:p>
              </w:tc>
              <w:tc>
                <w:tcPr>
                  <w:tcW w:w="1308" w:type="dxa"/>
                </w:tcPr>
                <w:p w14:paraId="05EA6912">
                  <w:pPr>
                    <w:pStyle w:val="42"/>
                    <w:bidi w:val="0"/>
                    <w:rPr>
                      <w:rFonts w:hint="default"/>
                      <w:color w:val="auto"/>
                      <w:lang w:val="en-US" w:eastAsia="zh-CN"/>
                    </w:rPr>
                  </w:pPr>
                </w:p>
              </w:tc>
              <w:tc>
                <w:tcPr>
                  <w:tcW w:w="1203" w:type="dxa"/>
                </w:tcPr>
                <w:p w14:paraId="3A3A43BC">
                  <w:pPr>
                    <w:pStyle w:val="42"/>
                    <w:bidi w:val="0"/>
                    <w:rPr>
                      <w:rFonts w:hint="default"/>
                      <w:color w:val="auto"/>
                      <w:lang w:val="en-US" w:eastAsia="zh-CN"/>
                    </w:rPr>
                  </w:pPr>
                </w:p>
              </w:tc>
            </w:tr>
            <w:tr w14:paraId="32E1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3" w:type="dxa"/>
                  <w:gridSpan w:val="6"/>
                </w:tcPr>
                <w:p w14:paraId="7D17EF81">
                  <w:pPr>
                    <w:pStyle w:val="42"/>
                    <w:bidi w:val="0"/>
                    <w:rPr>
                      <w:rFonts w:hint="eastAsia"/>
                      <w:color w:val="auto"/>
                      <w:lang w:val="en-US" w:eastAsia="zh-CN"/>
                    </w:rPr>
                  </w:pPr>
                </w:p>
              </w:tc>
            </w:tr>
            <w:tr w14:paraId="509A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7F397398">
                  <w:pPr>
                    <w:pStyle w:val="42"/>
                    <w:bidi w:val="0"/>
                    <w:rPr>
                      <w:rFonts w:hint="default"/>
                      <w:color w:val="auto"/>
                      <w:lang w:val="en-US" w:eastAsia="zh-CN"/>
                    </w:rPr>
                  </w:pPr>
                  <w:r>
                    <w:rPr>
                      <w:rFonts w:hint="eastAsia"/>
                      <w:color w:val="auto"/>
                      <w:lang w:val="en-US" w:eastAsia="zh-CN"/>
                    </w:rPr>
                    <w:t>3</w:t>
                  </w:r>
                </w:p>
              </w:tc>
              <w:tc>
                <w:tcPr>
                  <w:tcW w:w="2495" w:type="dxa"/>
                </w:tcPr>
                <w:p w14:paraId="4B8BDD0F">
                  <w:pPr>
                    <w:pStyle w:val="42"/>
                    <w:bidi w:val="0"/>
                    <w:rPr>
                      <w:rFonts w:hint="default"/>
                      <w:color w:val="auto"/>
                      <w:lang w:val="en-US" w:eastAsia="zh-CN"/>
                    </w:rPr>
                  </w:pPr>
                  <w:r>
                    <w:rPr>
                      <w:rFonts w:hint="eastAsia"/>
                      <w:color w:val="auto"/>
                      <w:lang w:val="en-US" w:eastAsia="zh-CN"/>
                    </w:rPr>
                    <w:t>电</w:t>
                  </w:r>
                </w:p>
              </w:tc>
              <w:tc>
                <w:tcPr>
                  <w:tcW w:w="991" w:type="dxa"/>
                </w:tcPr>
                <w:p w14:paraId="3F213A80">
                  <w:pPr>
                    <w:pStyle w:val="42"/>
                    <w:bidi w:val="0"/>
                    <w:rPr>
                      <w:rFonts w:hint="eastAsia"/>
                      <w:color w:val="auto"/>
                      <w:lang w:val="en-US" w:eastAsia="zh-CN"/>
                    </w:rPr>
                  </w:pPr>
                </w:p>
              </w:tc>
              <w:tc>
                <w:tcPr>
                  <w:tcW w:w="1225" w:type="dxa"/>
                </w:tcPr>
                <w:p w14:paraId="378726D8">
                  <w:pPr>
                    <w:pStyle w:val="42"/>
                    <w:bidi w:val="0"/>
                    <w:rPr>
                      <w:rFonts w:hint="eastAsia"/>
                      <w:color w:val="auto"/>
                      <w:lang w:val="en-US" w:eastAsia="zh-CN"/>
                    </w:rPr>
                  </w:pPr>
                </w:p>
              </w:tc>
              <w:tc>
                <w:tcPr>
                  <w:tcW w:w="1308" w:type="dxa"/>
                </w:tcPr>
                <w:p w14:paraId="5009BFD8">
                  <w:pPr>
                    <w:pStyle w:val="42"/>
                    <w:bidi w:val="0"/>
                    <w:rPr>
                      <w:rFonts w:hint="eastAsia" w:eastAsia="宋体"/>
                      <w:color w:val="auto"/>
                      <w:szCs w:val="21"/>
                      <w:lang w:val="en-US" w:eastAsia="zh-CN"/>
                    </w:rPr>
                  </w:pPr>
                </w:p>
              </w:tc>
              <w:tc>
                <w:tcPr>
                  <w:tcW w:w="1203" w:type="dxa"/>
                </w:tcPr>
                <w:p w14:paraId="2815343B">
                  <w:pPr>
                    <w:pStyle w:val="42"/>
                    <w:bidi w:val="0"/>
                    <w:rPr>
                      <w:rFonts w:hint="eastAsia" w:eastAsia="宋体"/>
                      <w:color w:val="auto"/>
                      <w:szCs w:val="21"/>
                      <w:lang w:val="en-US" w:eastAsia="zh-CN"/>
                    </w:rPr>
                  </w:pPr>
                </w:p>
              </w:tc>
            </w:tr>
            <w:tr w14:paraId="78FE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131BA6DB">
                  <w:pPr>
                    <w:pStyle w:val="42"/>
                    <w:bidi w:val="0"/>
                    <w:rPr>
                      <w:rFonts w:hint="default"/>
                      <w:color w:val="auto"/>
                      <w:lang w:val="en-US" w:eastAsia="zh-CN"/>
                    </w:rPr>
                  </w:pPr>
                  <w:r>
                    <w:rPr>
                      <w:rFonts w:hint="eastAsia"/>
                      <w:color w:val="auto"/>
                      <w:lang w:val="en-US" w:eastAsia="zh-CN"/>
                    </w:rPr>
                    <w:t>4</w:t>
                  </w:r>
                </w:p>
              </w:tc>
              <w:tc>
                <w:tcPr>
                  <w:tcW w:w="2495" w:type="dxa"/>
                </w:tcPr>
                <w:p w14:paraId="2DB59730">
                  <w:pPr>
                    <w:pStyle w:val="42"/>
                    <w:bidi w:val="0"/>
                    <w:rPr>
                      <w:rFonts w:hint="default"/>
                      <w:color w:val="auto"/>
                      <w:lang w:val="en-US" w:eastAsia="zh-CN"/>
                    </w:rPr>
                  </w:pPr>
                  <w:r>
                    <w:rPr>
                      <w:rFonts w:hint="eastAsia"/>
                      <w:color w:val="auto"/>
                      <w:lang w:val="en-US" w:eastAsia="zh-CN"/>
                    </w:rPr>
                    <w:t>无烟煤</w:t>
                  </w:r>
                </w:p>
              </w:tc>
              <w:tc>
                <w:tcPr>
                  <w:tcW w:w="991" w:type="dxa"/>
                </w:tcPr>
                <w:p w14:paraId="34BC280E">
                  <w:pPr>
                    <w:pStyle w:val="42"/>
                    <w:bidi w:val="0"/>
                    <w:rPr>
                      <w:rFonts w:hint="default" w:ascii="Times New Roman" w:hAnsi="Times New Roman" w:eastAsia="宋体" w:cs="Times New Roman"/>
                      <w:color w:val="auto"/>
                      <w:szCs w:val="21"/>
                      <w:lang w:val="en-US" w:eastAsia="zh-CN"/>
                    </w:rPr>
                  </w:pPr>
                </w:p>
              </w:tc>
              <w:tc>
                <w:tcPr>
                  <w:tcW w:w="1225" w:type="dxa"/>
                </w:tcPr>
                <w:p w14:paraId="05CEDF5E">
                  <w:pPr>
                    <w:pStyle w:val="42"/>
                    <w:bidi w:val="0"/>
                    <w:rPr>
                      <w:rFonts w:hint="eastAsia" w:eastAsia="宋体"/>
                      <w:color w:val="auto"/>
                      <w:szCs w:val="21"/>
                      <w:lang w:val="en-US" w:eastAsia="zh-CN"/>
                    </w:rPr>
                  </w:pPr>
                </w:p>
              </w:tc>
              <w:tc>
                <w:tcPr>
                  <w:tcW w:w="1308" w:type="dxa"/>
                </w:tcPr>
                <w:p w14:paraId="47F85182">
                  <w:pPr>
                    <w:pStyle w:val="42"/>
                    <w:bidi w:val="0"/>
                    <w:rPr>
                      <w:rFonts w:hint="default"/>
                      <w:color w:val="auto"/>
                      <w:szCs w:val="21"/>
                      <w:lang w:val="en-US" w:eastAsia="zh-CN"/>
                    </w:rPr>
                  </w:pPr>
                </w:p>
              </w:tc>
              <w:tc>
                <w:tcPr>
                  <w:tcW w:w="1203" w:type="dxa"/>
                </w:tcPr>
                <w:p w14:paraId="51D5841A">
                  <w:pPr>
                    <w:pStyle w:val="42"/>
                    <w:bidi w:val="0"/>
                    <w:rPr>
                      <w:rFonts w:hint="default"/>
                      <w:color w:val="auto"/>
                      <w:szCs w:val="21"/>
                      <w:lang w:val="en-US" w:eastAsia="zh-CN"/>
                    </w:rPr>
                  </w:pPr>
                </w:p>
              </w:tc>
            </w:tr>
            <w:tr w14:paraId="5CE7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3C00A4E8">
                  <w:pPr>
                    <w:pStyle w:val="42"/>
                    <w:bidi w:val="0"/>
                    <w:rPr>
                      <w:rFonts w:hint="default"/>
                      <w:color w:val="auto"/>
                      <w:lang w:val="en-US" w:eastAsia="zh-CN"/>
                    </w:rPr>
                  </w:pPr>
                  <w:r>
                    <w:rPr>
                      <w:rFonts w:hint="eastAsia"/>
                      <w:color w:val="auto"/>
                      <w:lang w:val="en-US" w:eastAsia="zh-CN"/>
                    </w:rPr>
                    <w:t>5</w:t>
                  </w:r>
                </w:p>
              </w:tc>
              <w:tc>
                <w:tcPr>
                  <w:tcW w:w="2495" w:type="dxa"/>
                </w:tcPr>
                <w:p w14:paraId="5D1C7EF4">
                  <w:pPr>
                    <w:pStyle w:val="42"/>
                    <w:bidi w:val="0"/>
                    <w:rPr>
                      <w:rFonts w:hint="default"/>
                      <w:color w:val="auto"/>
                      <w:lang w:val="en-US" w:eastAsia="zh-CN"/>
                    </w:rPr>
                  </w:pPr>
                  <w:r>
                    <w:rPr>
                      <w:rFonts w:hint="eastAsia"/>
                      <w:color w:val="auto"/>
                      <w:lang w:val="en-US" w:eastAsia="zh-CN"/>
                    </w:rPr>
                    <w:t>水</w:t>
                  </w:r>
                </w:p>
              </w:tc>
              <w:tc>
                <w:tcPr>
                  <w:tcW w:w="991" w:type="dxa"/>
                </w:tcPr>
                <w:p w14:paraId="0D370ABC">
                  <w:pPr>
                    <w:pStyle w:val="42"/>
                    <w:bidi w:val="0"/>
                    <w:rPr>
                      <w:rFonts w:hint="default" w:ascii="Times New Roman" w:hAnsi="Times New Roman" w:eastAsia="宋体" w:cs="Times New Roman"/>
                      <w:color w:val="auto"/>
                      <w:szCs w:val="21"/>
                      <w:lang w:val="en-US" w:eastAsia="zh-CN"/>
                    </w:rPr>
                  </w:pPr>
                </w:p>
              </w:tc>
              <w:tc>
                <w:tcPr>
                  <w:tcW w:w="1225" w:type="dxa"/>
                </w:tcPr>
                <w:p w14:paraId="3EDD2CCB">
                  <w:pPr>
                    <w:pStyle w:val="42"/>
                    <w:bidi w:val="0"/>
                    <w:rPr>
                      <w:rFonts w:hint="default"/>
                      <w:color w:val="auto"/>
                      <w:szCs w:val="21"/>
                      <w:lang w:val="en-US" w:eastAsia="zh-CN"/>
                    </w:rPr>
                  </w:pPr>
                </w:p>
              </w:tc>
              <w:tc>
                <w:tcPr>
                  <w:tcW w:w="1308" w:type="dxa"/>
                </w:tcPr>
                <w:p w14:paraId="015A5631">
                  <w:pPr>
                    <w:pStyle w:val="42"/>
                    <w:bidi w:val="0"/>
                    <w:rPr>
                      <w:rFonts w:hint="default"/>
                      <w:color w:val="auto"/>
                      <w:szCs w:val="21"/>
                      <w:lang w:val="en-US" w:eastAsia="zh-CN"/>
                    </w:rPr>
                  </w:pPr>
                </w:p>
              </w:tc>
              <w:tc>
                <w:tcPr>
                  <w:tcW w:w="1203" w:type="dxa"/>
                </w:tcPr>
                <w:p w14:paraId="6C81B67D">
                  <w:pPr>
                    <w:pStyle w:val="42"/>
                    <w:bidi w:val="0"/>
                    <w:rPr>
                      <w:rFonts w:hint="default"/>
                      <w:color w:val="auto"/>
                      <w:szCs w:val="21"/>
                      <w:lang w:val="en-US" w:eastAsia="zh-CN"/>
                    </w:rPr>
                  </w:pPr>
                </w:p>
              </w:tc>
            </w:tr>
          </w:tbl>
          <w:p w14:paraId="44CC4024">
            <w:pPr>
              <w:pStyle w:val="39"/>
              <w:bidi w:val="0"/>
              <w:rPr>
                <w:rFonts w:hint="default"/>
                <w:color w:val="auto"/>
                <w:lang w:val="en-US" w:eastAsia="zh-CN"/>
              </w:rPr>
            </w:pPr>
            <w:r>
              <w:rPr>
                <w:rFonts w:hint="eastAsia"/>
                <w:color w:val="auto"/>
                <w:lang w:val="en-US" w:eastAsia="zh-CN"/>
              </w:rPr>
              <w:t>（2）原辅料理化性质</w:t>
            </w:r>
          </w:p>
          <w:p w14:paraId="360D6EF5">
            <w:pPr>
              <w:pStyle w:val="53"/>
              <w:bidi w:val="0"/>
              <w:rPr>
                <w:rFonts w:hint="eastAsia"/>
                <w:color w:val="auto"/>
              </w:rPr>
            </w:pPr>
            <w:r>
              <w:rPr>
                <w:rFonts w:hint="eastAsia"/>
                <w:color w:val="auto"/>
              </w:rPr>
              <w:t>表2-</w:t>
            </w:r>
            <w:r>
              <w:rPr>
                <w:rFonts w:hint="eastAsia"/>
                <w:color w:val="auto"/>
                <w:lang w:val="en-US" w:eastAsia="zh-CN"/>
              </w:rPr>
              <w:t>5</w:t>
            </w:r>
            <w:r>
              <w:rPr>
                <w:rFonts w:hint="eastAsia"/>
                <w:color w:val="auto"/>
              </w:rPr>
              <w:t xml:space="preserve">   燃料成分分析报告</w:t>
            </w:r>
          </w:p>
          <w:tbl>
            <w:tblPr>
              <w:tblStyle w:val="31"/>
              <w:tblW w:w="7937"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146"/>
              <w:gridCol w:w="860"/>
              <w:gridCol w:w="860"/>
              <w:gridCol w:w="937"/>
              <w:gridCol w:w="938"/>
              <w:gridCol w:w="799"/>
              <w:gridCol w:w="799"/>
              <w:gridCol w:w="799"/>
              <w:gridCol w:w="799"/>
            </w:tblGrid>
            <w:tr w14:paraId="7DC4D03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623" w:hRule="atLeast"/>
                <w:jc w:val="center"/>
              </w:trPr>
              <w:tc>
                <w:tcPr>
                  <w:tcW w:w="1199" w:type="dxa"/>
                  <w:tcBorders>
                    <w:top w:val="single" w:color="000000" w:sz="4" w:space="0"/>
                    <w:left w:val="single" w:color="auto" w:sz="0" w:space="0"/>
                    <w:bottom w:val="single" w:color="000000" w:sz="4" w:space="0"/>
                    <w:right w:val="single" w:color="000000" w:sz="4" w:space="0"/>
                  </w:tcBorders>
                  <w:vAlign w:val="center"/>
                </w:tcPr>
                <w:p w14:paraId="17D253D5">
                  <w:pPr>
                    <w:pStyle w:val="133"/>
                    <w:snapToGrid w:val="0"/>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灰份</w:t>
                  </w:r>
                </w:p>
                <w:p w14:paraId="7A5F8CDE">
                  <w:pPr>
                    <w:pStyle w:val="133"/>
                    <w:snapToGrid w:val="0"/>
                    <w:spacing w:before="0" w:beforeAutospacing="0" w:after="0" w:afterAutospacing="0" w:line="240" w:lineRule="auto"/>
                    <w:jc w:val="center"/>
                    <w:textAlignment w:val="baseline"/>
                    <w:rPr>
                      <w:rStyle w:val="131"/>
                      <w:rFonts w:hint="default"/>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w:t>
                  </w:r>
                </w:p>
              </w:tc>
              <w:tc>
                <w:tcPr>
                  <w:tcW w:w="900" w:type="dxa"/>
                  <w:tcBorders>
                    <w:top w:val="single" w:color="000000" w:sz="4" w:space="0"/>
                    <w:left w:val="single" w:color="000000" w:sz="4" w:space="0"/>
                    <w:bottom w:val="single" w:color="000000" w:sz="4" w:space="0"/>
                    <w:right w:val="single" w:color="000000" w:sz="4" w:space="0"/>
                  </w:tcBorders>
                  <w:vAlign w:val="center"/>
                </w:tcPr>
                <w:p w14:paraId="03EC2BC4">
                  <w:pPr>
                    <w:pStyle w:val="133"/>
                    <w:snapToGrid w:val="0"/>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S</w:t>
                  </w:r>
                </w:p>
                <w:p w14:paraId="5CB360B4">
                  <w:pPr>
                    <w:pStyle w:val="133"/>
                    <w:snapToGrid w:val="0"/>
                    <w:spacing w:before="0" w:beforeAutospacing="0" w:after="0" w:afterAutospacing="0" w:line="240" w:lineRule="auto"/>
                    <w:jc w:val="center"/>
                    <w:textAlignment w:val="baseline"/>
                    <w:rPr>
                      <w:rStyle w:val="131"/>
                      <w:rFonts w:hint="default"/>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w:t>
                  </w:r>
                </w:p>
              </w:tc>
              <w:tc>
                <w:tcPr>
                  <w:tcW w:w="900" w:type="dxa"/>
                  <w:tcBorders>
                    <w:top w:val="single" w:color="000000" w:sz="4" w:space="0"/>
                    <w:left w:val="single" w:color="000000" w:sz="4" w:space="0"/>
                    <w:bottom w:val="single" w:color="000000" w:sz="4" w:space="0"/>
                    <w:right w:val="single" w:color="000000" w:sz="4" w:space="0"/>
                  </w:tcBorders>
                  <w:vAlign w:val="center"/>
                </w:tcPr>
                <w:p w14:paraId="3AE28C19">
                  <w:pPr>
                    <w:pStyle w:val="133"/>
                    <w:snapToGrid w:val="0"/>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挥发份</w:t>
                  </w:r>
                </w:p>
                <w:p w14:paraId="703DC1B4">
                  <w:pPr>
                    <w:pStyle w:val="133"/>
                    <w:snapToGrid w:val="0"/>
                    <w:spacing w:before="0" w:beforeAutospacing="0" w:after="0" w:afterAutospacing="0" w:line="240" w:lineRule="auto"/>
                    <w:jc w:val="center"/>
                    <w:textAlignment w:val="baseline"/>
                    <w:rPr>
                      <w:rStyle w:val="131"/>
                      <w:rFonts w:hint="default"/>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w:t>
                  </w:r>
                </w:p>
              </w:tc>
              <w:tc>
                <w:tcPr>
                  <w:tcW w:w="981" w:type="dxa"/>
                  <w:tcBorders>
                    <w:top w:val="single" w:color="000000" w:sz="4" w:space="0"/>
                    <w:left w:val="single" w:color="000000" w:sz="4" w:space="0"/>
                    <w:bottom w:val="single" w:color="000000" w:sz="4" w:space="0"/>
                    <w:right w:val="single" w:color="000000" w:sz="4" w:space="0"/>
                  </w:tcBorders>
                  <w:vAlign w:val="center"/>
                </w:tcPr>
                <w:p w14:paraId="71450DD7">
                  <w:pPr>
                    <w:pStyle w:val="133"/>
                    <w:snapToGrid w:val="0"/>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水分</w:t>
                  </w:r>
                </w:p>
                <w:p w14:paraId="6988371F">
                  <w:pPr>
                    <w:pStyle w:val="133"/>
                    <w:snapToGrid w:val="0"/>
                    <w:spacing w:before="0" w:beforeAutospacing="0" w:after="0" w:afterAutospacing="0" w:line="240" w:lineRule="auto"/>
                    <w:jc w:val="center"/>
                    <w:textAlignment w:val="baseline"/>
                    <w:rPr>
                      <w:rStyle w:val="131"/>
                      <w:rFonts w:hint="default"/>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w:t>
                  </w:r>
                </w:p>
              </w:tc>
              <w:tc>
                <w:tcPr>
                  <w:tcW w:w="982" w:type="dxa"/>
                  <w:tcBorders>
                    <w:top w:val="single" w:color="000000" w:sz="4" w:space="0"/>
                    <w:left w:val="single" w:color="000000" w:sz="4" w:space="0"/>
                    <w:bottom w:val="single" w:color="000000" w:sz="4" w:space="0"/>
                    <w:right w:val="single" w:color="000000" w:sz="4" w:space="0"/>
                  </w:tcBorders>
                  <w:vAlign w:val="center"/>
                </w:tcPr>
                <w:p w14:paraId="66BEEFC4">
                  <w:pPr>
                    <w:pStyle w:val="133"/>
                    <w:snapToGrid w:val="0"/>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全水分</w:t>
                  </w:r>
                </w:p>
                <w:p w14:paraId="078F8A11">
                  <w:pPr>
                    <w:pStyle w:val="133"/>
                    <w:snapToGrid w:val="0"/>
                    <w:spacing w:before="0" w:beforeAutospacing="0" w:after="0" w:afterAutospacing="0" w:line="240" w:lineRule="auto"/>
                    <w:jc w:val="center"/>
                    <w:textAlignment w:val="baseline"/>
                    <w:rPr>
                      <w:rStyle w:val="131"/>
                      <w:rFonts w:hint="default"/>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w:t>
                  </w:r>
                </w:p>
              </w:tc>
              <w:tc>
                <w:tcPr>
                  <w:tcW w:w="836" w:type="dxa"/>
                  <w:tcBorders>
                    <w:top w:val="single" w:color="000000" w:sz="4" w:space="0"/>
                    <w:left w:val="single" w:color="000000" w:sz="4" w:space="0"/>
                    <w:bottom w:val="single" w:color="000000" w:sz="4" w:space="0"/>
                    <w:right w:val="single" w:color="000000" w:sz="4" w:space="0"/>
                  </w:tcBorders>
                  <w:vAlign w:val="center"/>
                </w:tcPr>
                <w:p w14:paraId="3729CAE7">
                  <w:pPr>
                    <w:snapToGrid/>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固定碳</w:t>
                  </w:r>
                </w:p>
                <w:p w14:paraId="54AA5012">
                  <w:pPr>
                    <w:pStyle w:val="132"/>
                    <w:ind w:left="0" w:leftChars="0" w:firstLine="0" w:firstLineChars="0"/>
                    <w:jc w:val="center"/>
                    <w:rPr>
                      <w:rFonts w:hint="default"/>
                      <w:color w:val="auto"/>
                      <w:lang w:val="en-US" w:eastAsia="zh-CN"/>
                    </w:rPr>
                  </w:pPr>
                  <w:r>
                    <w:rPr>
                      <w:rStyle w:val="131"/>
                      <w:rFonts w:hint="eastAsia"/>
                      <w:b w:val="0"/>
                      <w:i w:val="0"/>
                      <w:caps w:val="0"/>
                      <w:color w:val="auto"/>
                      <w:spacing w:val="0"/>
                      <w:w w:val="100"/>
                      <w:kern w:val="2"/>
                      <w:sz w:val="21"/>
                      <w:szCs w:val="21"/>
                      <w:lang w:val="en-US" w:eastAsia="zh-CN" w:bidi="ar-SA"/>
                    </w:rPr>
                    <w:t>（%）</w:t>
                  </w:r>
                </w:p>
              </w:tc>
              <w:tc>
                <w:tcPr>
                  <w:tcW w:w="836" w:type="dxa"/>
                  <w:tcBorders>
                    <w:top w:val="single" w:color="000000" w:sz="4" w:space="0"/>
                    <w:left w:val="single" w:color="000000" w:sz="4" w:space="0"/>
                    <w:bottom w:val="single" w:color="000000" w:sz="4" w:space="0"/>
                    <w:right w:val="single" w:color="000000" w:sz="4" w:space="0"/>
                  </w:tcBorders>
                  <w:vAlign w:val="center"/>
                </w:tcPr>
                <w:p w14:paraId="132BB1D7">
                  <w:pPr>
                    <w:snapToGrid/>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氢</w:t>
                  </w:r>
                </w:p>
                <w:p w14:paraId="1F40A962">
                  <w:pPr>
                    <w:pStyle w:val="132"/>
                    <w:ind w:left="0" w:leftChars="0" w:firstLine="0" w:firstLineChars="0"/>
                    <w:jc w:val="center"/>
                    <w:rPr>
                      <w:rFonts w:hint="default"/>
                      <w:color w:val="auto"/>
                      <w:lang w:val="en-US" w:eastAsia="zh-CN"/>
                    </w:rPr>
                  </w:pPr>
                  <w:r>
                    <w:rPr>
                      <w:rStyle w:val="131"/>
                      <w:rFonts w:hint="eastAsia"/>
                      <w:b w:val="0"/>
                      <w:i w:val="0"/>
                      <w:caps w:val="0"/>
                      <w:color w:val="auto"/>
                      <w:spacing w:val="0"/>
                      <w:w w:val="100"/>
                      <w:kern w:val="2"/>
                      <w:sz w:val="21"/>
                      <w:szCs w:val="21"/>
                      <w:lang w:val="en-US" w:eastAsia="zh-CN" w:bidi="ar-SA"/>
                    </w:rPr>
                    <w:t>（%）</w:t>
                  </w:r>
                </w:p>
              </w:tc>
              <w:tc>
                <w:tcPr>
                  <w:tcW w:w="1672" w:type="dxa"/>
                  <w:gridSpan w:val="2"/>
                  <w:tcBorders>
                    <w:top w:val="single" w:color="000000" w:sz="4" w:space="0"/>
                    <w:left w:val="single" w:color="000000" w:sz="4" w:space="0"/>
                    <w:bottom w:val="single" w:color="000000" w:sz="4" w:space="0"/>
                    <w:right w:val="single" w:color="000000" w:sz="4" w:space="0"/>
                  </w:tcBorders>
                  <w:vAlign w:val="center"/>
                </w:tcPr>
                <w:p w14:paraId="21F917AA">
                  <w:pPr>
                    <w:pStyle w:val="133"/>
                    <w:snapToGrid w:val="0"/>
                    <w:spacing w:before="0" w:beforeAutospacing="0" w:after="0" w:afterAutospacing="0" w:line="240" w:lineRule="auto"/>
                    <w:jc w:val="center"/>
                    <w:textAlignment w:val="baseline"/>
                    <w:rPr>
                      <w:rStyle w:val="131"/>
                      <w:rFonts w:hint="eastAsia"/>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发热量</w:t>
                  </w:r>
                </w:p>
                <w:p w14:paraId="57E4CBA2">
                  <w:pPr>
                    <w:pStyle w:val="133"/>
                    <w:snapToGrid w:val="0"/>
                    <w:spacing w:before="0" w:beforeAutospacing="0" w:after="0" w:afterAutospacing="0" w:line="240" w:lineRule="auto"/>
                    <w:jc w:val="center"/>
                    <w:textAlignment w:val="baseline"/>
                    <w:rPr>
                      <w:rStyle w:val="131"/>
                      <w:rFonts w:hint="default"/>
                      <w:b w:val="0"/>
                      <w:i w:val="0"/>
                      <w:caps w:val="0"/>
                      <w:color w:val="auto"/>
                      <w:spacing w:val="0"/>
                      <w:w w:val="100"/>
                      <w:kern w:val="2"/>
                      <w:sz w:val="21"/>
                      <w:szCs w:val="21"/>
                      <w:lang w:val="en-US" w:eastAsia="zh-CN" w:bidi="ar-SA"/>
                    </w:rPr>
                  </w:pPr>
                  <w:r>
                    <w:rPr>
                      <w:rStyle w:val="131"/>
                      <w:rFonts w:hint="eastAsia"/>
                      <w:b w:val="0"/>
                      <w:i w:val="0"/>
                      <w:caps w:val="0"/>
                      <w:color w:val="auto"/>
                      <w:spacing w:val="0"/>
                      <w:w w:val="100"/>
                      <w:kern w:val="2"/>
                      <w:sz w:val="21"/>
                      <w:szCs w:val="21"/>
                      <w:lang w:val="en-US" w:eastAsia="zh-CN" w:bidi="ar-SA"/>
                    </w:rPr>
                    <w:t>（MJ/kg）</w:t>
                  </w:r>
                </w:p>
              </w:tc>
            </w:tr>
            <w:tr w14:paraId="05F1A6D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56" w:hRule="atLeast"/>
                <w:jc w:val="center"/>
              </w:trPr>
              <w:tc>
                <w:tcPr>
                  <w:tcW w:w="1199" w:type="dxa"/>
                  <w:vMerge w:val="restart"/>
                  <w:tcBorders>
                    <w:top w:val="single" w:color="000000" w:sz="4" w:space="0"/>
                    <w:left w:val="single" w:color="000000" w:sz="4" w:space="0"/>
                    <w:bottom w:val="single" w:color="000000" w:sz="4" w:space="0"/>
                    <w:right w:val="single" w:color="000000" w:sz="4" w:space="0"/>
                  </w:tcBorders>
                  <w:vAlign w:val="center"/>
                </w:tcPr>
                <w:p w14:paraId="0C0BB962">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14:paraId="18D42DD6">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14:paraId="49145F6B">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981" w:type="dxa"/>
                  <w:vMerge w:val="restart"/>
                  <w:tcBorders>
                    <w:top w:val="single" w:color="000000" w:sz="4" w:space="0"/>
                    <w:left w:val="single" w:color="000000" w:sz="4" w:space="0"/>
                    <w:bottom w:val="single" w:color="000000" w:sz="4" w:space="0"/>
                    <w:right w:val="single" w:color="000000" w:sz="4" w:space="0"/>
                  </w:tcBorders>
                  <w:vAlign w:val="center"/>
                </w:tcPr>
                <w:p w14:paraId="1A1E9F86">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982" w:type="dxa"/>
                  <w:vMerge w:val="restart"/>
                  <w:tcBorders>
                    <w:top w:val="single" w:color="000000" w:sz="4" w:space="0"/>
                    <w:left w:val="single" w:color="000000" w:sz="4" w:space="0"/>
                    <w:bottom w:val="single" w:color="000000" w:sz="4" w:space="0"/>
                    <w:right w:val="single" w:color="000000" w:sz="4" w:space="0"/>
                  </w:tcBorders>
                  <w:vAlign w:val="center"/>
                </w:tcPr>
                <w:p w14:paraId="659C8E18">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836" w:type="dxa"/>
                  <w:vMerge w:val="restart"/>
                  <w:tcBorders>
                    <w:top w:val="single" w:color="000000" w:sz="4" w:space="0"/>
                    <w:left w:val="single" w:color="000000" w:sz="4" w:space="0"/>
                    <w:bottom w:val="single" w:color="000000" w:sz="4" w:space="0"/>
                    <w:right w:val="single" w:color="000000" w:sz="4" w:space="0"/>
                  </w:tcBorders>
                  <w:vAlign w:val="center"/>
                </w:tcPr>
                <w:p w14:paraId="7A1C8F59">
                  <w:pPr>
                    <w:snapToGrid/>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836" w:type="dxa"/>
                  <w:vMerge w:val="restart"/>
                  <w:tcBorders>
                    <w:top w:val="single" w:color="000000" w:sz="4" w:space="0"/>
                    <w:left w:val="single" w:color="000000" w:sz="4" w:space="0"/>
                    <w:bottom w:val="single" w:color="000000" w:sz="4" w:space="0"/>
                    <w:right w:val="single" w:color="000000" w:sz="4" w:space="0"/>
                  </w:tcBorders>
                  <w:vAlign w:val="center"/>
                </w:tcPr>
                <w:p w14:paraId="19B80BB4">
                  <w:pPr>
                    <w:snapToGrid/>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vAlign w:val="center"/>
                </w:tcPr>
                <w:p w14:paraId="400013B3">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vAlign w:val="center"/>
                </w:tcPr>
                <w:p w14:paraId="42F453C9">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r>
            <w:tr w14:paraId="61DD6A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56" w:hRule="atLeast"/>
                <w:jc w:val="center"/>
              </w:trPr>
              <w:tc>
                <w:tcPr>
                  <w:tcW w:w="1199" w:type="dxa"/>
                  <w:vMerge w:val="continue"/>
                  <w:tcBorders>
                    <w:top w:val="single" w:color="000000" w:sz="4" w:space="0"/>
                    <w:left w:val="single" w:color="000000" w:sz="4" w:space="0"/>
                    <w:bottom w:val="single" w:color="000000" w:sz="4" w:space="0"/>
                    <w:right w:val="single" w:color="000000" w:sz="4" w:space="0"/>
                  </w:tcBorders>
                  <w:vAlign w:val="center"/>
                </w:tcPr>
                <w:p w14:paraId="555B6104">
                  <w:pPr>
                    <w:pStyle w:val="133"/>
                    <w:snapToGrid w:val="0"/>
                    <w:spacing w:before="0" w:beforeAutospacing="0" w:after="0" w:afterAutospacing="0" w:line="240" w:lineRule="auto"/>
                    <w:jc w:val="center"/>
                    <w:textAlignment w:val="baseline"/>
                    <w:rPr>
                      <w:color w:val="auto"/>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14:paraId="1BCB62A6">
                  <w:pPr>
                    <w:pStyle w:val="133"/>
                    <w:snapToGrid w:val="0"/>
                    <w:spacing w:before="0" w:beforeAutospacing="0" w:after="0" w:afterAutospacing="0" w:line="240" w:lineRule="auto"/>
                    <w:jc w:val="center"/>
                    <w:textAlignment w:val="baseline"/>
                    <w:rPr>
                      <w:color w:val="auto"/>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14:paraId="6B86E75F">
                  <w:pPr>
                    <w:pStyle w:val="133"/>
                    <w:snapToGrid w:val="0"/>
                    <w:spacing w:before="0" w:beforeAutospacing="0" w:after="0" w:afterAutospacing="0" w:line="240" w:lineRule="auto"/>
                    <w:jc w:val="center"/>
                    <w:textAlignment w:val="baseline"/>
                    <w:rPr>
                      <w:color w:val="auto"/>
                    </w:rPr>
                  </w:pPr>
                </w:p>
              </w:tc>
              <w:tc>
                <w:tcPr>
                  <w:tcW w:w="981" w:type="dxa"/>
                  <w:vMerge w:val="continue"/>
                  <w:tcBorders>
                    <w:top w:val="single" w:color="000000" w:sz="4" w:space="0"/>
                    <w:left w:val="single" w:color="000000" w:sz="4" w:space="0"/>
                    <w:bottom w:val="single" w:color="000000" w:sz="4" w:space="0"/>
                    <w:right w:val="single" w:color="000000" w:sz="4" w:space="0"/>
                  </w:tcBorders>
                  <w:vAlign w:val="center"/>
                </w:tcPr>
                <w:p w14:paraId="720C0162">
                  <w:pPr>
                    <w:pStyle w:val="133"/>
                    <w:snapToGrid w:val="0"/>
                    <w:spacing w:before="0" w:beforeAutospacing="0" w:after="0" w:afterAutospacing="0" w:line="240" w:lineRule="auto"/>
                    <w:jc w:val="center"/>
                    <w:textAlignment w:val="baseline"/>
                    <w:rPr>
                      <w:color w:val="auto"/>
                    </w:rPr>
                  </w:pPr>
                </w:p>
              </w:tc>
              <w:tc>
                <w:tcPr>
                  <w:tcW w:w="982" w:type="dxa"/>
                  <w:vMerge w:val="continue"/>
                  <w:tcBorders>
                    <w:top w:val="single" w:color="000000" w:sz="4" w:space="0"/>
                    <w:left w:val="single" w:color="000000" w:sz="4" w:space="0"/>
                    <w:bottom w:val="single" w:color="000000" w:sz="4" w:space="0"/>
                    <w:right w:val="single" w:color="000000" w:sz="4" w:space="0"/>
                  </w:tcBorders>
                  <w:vAlign w:val="center"/>
                </w:tcPr>
                <w:p w14:paraId="2CA5A430">
                  <w:pPr>
                    <w:pStyle w:val="133"/>
                    <w:snapToGrid w:val="0"/>
                    <w:spacing w:before="0" w:beforeAutospacing="0" w:after="0" w:afterAutospacing="0" w:line="240" w:lineRule="auto"/>
                    <w:jc w:val="center"/>
                    <w:textAlignment w:val="baseline"/>
                    <w:rPr>
                      <w:color w:val="auto"/>
                    </w:rPr>
                  </w:pPr>
                </w:p>
              </w:tc>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0D35B899">
                  <w:pPr>
                    <w:pStyle w:val="133"/>
                    <w:snapToGrid w:val="0"/>
                    <w:spacing w:before="0" w:beforeAutospacing="0" w:after="0" w:afterAutospacing="0" w:line="240" w:lineRule="auto"/>
                    <w:jc w:val="center"/>
                    <w:textAlignment w:val="baseline"/>
                    <w:rPr>
                      <w:color w:val="auto"/>
                    </w:rPr>
                  </w:pPr>
                </w:p>
              </w:tc>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7F6FDD73">
                  <w:pPr>
                    <w:pStyle w:val="133"/>
                    <w:snapToGrid w:val="0"/>
                    <w:spacing w:before="0" w:beforeAutospacing="0" w:after="0" w:afterAutospacing="0" w:line="240" w:lineRule="auto"/>
                    <w:jc w:val="center"/>
                    <w:textAlignment w:val="baseline"/>
                    <w:rPr>
                      <w:color w:val="auto"/>
                    </w:rPr>
                  </w:pPr>
                </w:p>
              </w:tc>
              <w:tc>
                <w:tcPr>
                  <w:tcW w:w="836" w:type="dxa"/>
                  <w:tcBorders>
                    <w:top w:val="single" w:color="000000" w:sz="4" w:space="0"/>
                    <w:left w:val="single" w:color="000000" w:sz="4" w:space="0"/>
                    <w:bottom w:val="single" w:color="000000" w:sz="4" w:space="0"/>
                    <w:right w:val="single" w:color="000000" w:sz="4" w:space="0"/>
                  </w:tcBorders>
                  <w:vAlign w:val="center"/>
                </w:tcPr>
                <w:p w14:paraId="68E4C1E1">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vAlign w:val="center"/>
                </w:tcPr>
                <w:p w14:paraId="40B54630">
                  <w:pPr>
                    <w:pStyle w:val="133"/>
                    <w:snapToGrid w:val="0"/>
                    <w:spacing w:before="0" w:beforeAutospacing="0" w:after="0" w:afterAutospacing="0" w:line="240" w:lineRule="auto"/>
                    <w:jc w:val="center"/>
                    <w:textAlignment w:val="baseline"/>
                    <w:rPr>
                      <w:rStyle w:val="131"/>
                      <w:rFonts w:hint="default" w:ascii="Times New Roman" w:hAnsi="Times New Roman" w:eastAsia="宋体"/>
                      <w:b w:val="0"/>
                      <w:i w:val="0"/>
                      <w:caps w:val="0"/>
                      <w:color w:val="auto"/>
                      <w:spacing w:val="0"/>
                      <w:w w:val="100"/>
                      <w:kern w:val="2"/>
                      <w:sz w:val="21"/>
                      <w:szCs w:val="21"/>
                      <w:lang w:val="en-US" w:eastAsia="zh-CN" w:bidi="ar-SA"/>
                    </w:rPr>
                  </w:pPr>
                </w:p>
              </w:tc>
            </w:tr>
          </w:tbl>
          <w:p w14:paraId="4CFC58F8">
            <w:pPr>
              <w:pStyle w:val="39"/>
              <w:bidi w:val="0"/>
              <w:rPr>
                <w:rFonts w:hint="eastAsia"/>
                <w:color w:val="auto"/>
                <w:lang w:val="en-US" w:eastAsia="zh-CN"/>
              </w:rPr>
            </w:pPr>
            <w:r>
              <w:rPr>
                <w:rFonts w:hint="eastAsia"/>
                <w:color w:val="auto"/>
              </w:rPr>
              <w:t>尿素：化学式CO</w:t>
            </w:r>
            <w:r>
              <w:rPr>
                <w:rFonts w:hint="eastAsia"/>
                <w:color w:val="auto"/>
                <w:lang w:eastAsia="zh-CN"/>
              </w:rPr>
              <w:t>（</w:t>
            </w:r>
            <w:r>
              <w:rPr>
                <w:rFonts w:hint="eastAsia"/>
                <w:color w:val="auto"/>
              </w:rPr>
              <w:t>NH</w:t>
            </w:r>
            <w:r>
              <w:rPr>
                <w:rFonts w:hint="eastAsia"/>
                <w:color w:val="auto"/>
                <w:vertAlign w:val="subscript"/>
              </w:rPr>
              <w:t>2</w:t>
            </w:r>
            <w:r>
              <w:rPr>
                <w:rFonts w:hint="eastAsia"/>
                <w:color w:val="auto"/>
                <w:lang w:eastAsia="zh-CN"/>
              </w:rPr>
              <w:t>）</w:t>
            </w:r>
            <w:r>
              <w:rPr>
                <w:rFonts w:hint="eastAsia"/>
                <w:color w:val="auto"/>
                <w:vertAlign w:val="subscript"/>
              </w:rPr>
              <w:t>2</w:t>
            </w:r>
            <w:r>
              <w:rPr>
                <w:rFonts w:hint="eastAsia"/>
                <w:color w:val="auto"/>
              </w:rPr>
              <w:t>，分子质量60.06，无色或白色针状或棒状结晶体，工业或农业品为白色略带微红色固体颗粒，无臭无味。含氮量约为46.67%。密度1.335g/cm</w:t>
            </w:r>
            <w:r>
              <w:rPr>
                <w:rFonts w:hint="eastAsia"/>
                <w:color w:val="auto"/>
                <w:vertAlign w:val="superscript"/>
              </w:rPr>
              <w:t>3</w:t>
            </w:r>
            <w:r>
              <w:rPr>
                <w:rFonts w:hint="eastAsia"/>
                <w:color w:val="auto"/>
              </w:rPr>
              <w:t>。熔点132.7℃。溶于水、醇，难溶于乙醚、氯仿。呈弱碱性。</w:t>
            </w:r>
            <w:r>
              <w:rPr>
                <w:rFonts w:hint="eastAsia"/>
                <w:color w:val="auto"/>
                <w:lang w:val="en-US" w:eastAsia="zh-CN"/>
              </w:rPr>
              <w:t>主要用于热风炉脱硝工序。</w:t>
            </w:r>
          </w:p>
          <w:p w14:paraId="2D5E8DBD">
            <w:pPr>
              <w:pStyle w:val="5"/>
              <w:bidi w:val="0"/>
              <w:rPr>
                <w:rFonts w:hint="default"/>
                <w:color w:val="auto"/>
                <w:lang w:val="en-US" w:eastAsia="zh-CN"/>
              </w:rPr>
            </w:pPr>
            <w:r>
              <w:rPr>
                <w:rFonts w:hint="eastAsia"/>
                <w:color w:val="auto"/>
                <w:lang w:val="en-US" w:eastAsia="zh-CN"/>
              </w:rPr>
              <w:t>2.5产品方案及产品规模</w:t>
            </w:r>
          </w:p>
          <w:p w14:paraId="16E9ACBE">
            <w:pPr>
              <w:pStyle w:val="39"/>
              <w:bidi w:val="0"/>
              <w:rPr>
                <w:rFonts w:hint="eastAsia"/>
                <w:color w:val="auto"/>
                <w:lang w:val="en-US" w:eastAsia="zh-CN"/>
              </w:rPr>
            </w:pPr>
            <w:r>
              <w:rPr>
                <w:rFonts w:hint="eastAsia"/>
                <w:color w:val="auto"/>
                <w:lang w:val="en-US" w:eastAsia="zh-CN"/>
              </w:rPr>
              <w:t>本项目玉米储存量为40000t/a。</w:t>
            </w:r>
          </w:p>
          <w:p w14:paraId="04790489">
            <w:pPr>
              <w:pStyle w:val="53"/>
              <w:bidi w:val="0"/>
              <w:rPr>
                <w:rFonts w:hint="default"/>
                <w:color w:val="auto"/>
                <w:lang w:val="en-US" w:eastAsia="zh-CN"/>
              </w:rPr>
            </w:pPr>
            <w:r>
              <w:rPr>
                <w:rFonts w:hint="eastAsia"/>
                <w:color w:val="auto"/>
                <w:lang w:val="en-US" w:eastAsia="zh-CN"/>
              </w:rPr>
              <w:t>表2-6   项目主要原材料、产品一览表</w:t>
            </w:r>
          </w:p>
          <w:tbl>
            <w:tblPr>
              <w:tblStyle w:val="32"/>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067"/>
              <w:gridCol w:w="835"/>
              <w:gridCol w:w="1383"/>
              <w:gridCol w:w="867"/>
              <w:gridCol w:w="1140"/>
              <w:gridCol w:w="1698"/>
            </w:tblGrid>
            <w:tr w14:paraId="46EF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3D6C7569">
                  <w:pPr>
                    <w:pStyle w:val="42"/>
                    <w:bidi w:val="0"/>
                    <w:rPr>
                      <w:rFonts w:hint="default"/>
                      <w:color w:val="auto"/>
                      <w:lang w:val="en-US" w:eastAsia="zh-CN"/>
                    </w:rPr>
                  </w:pPr>
                  <w:r>
                    <w:rPr>
                      <w:rFonts w:hint="eastAsia"/>
                      <w:color w:val="auto"/>
                      <w:lang w:val="en-US" w:eastAsia="zh-CN"/>
                    </w:rPr>
                    <w:t>原料</w:t>
                  </w:r>
                </w:p>
              </w:tc>
              <w:tc>
                <w:tcPr>
                  <w:tcW w:w="1067" w:type="dxa"/>
                </w:tcPr>
                <w:p w14:paraId="04A8AEA3">
                  <w:pPr>
                    <w:pStyle w:val="42"/>
                    <w:bidi w:val="0"/>
                    <w:rPr>
                      <w:rFonts w:hint="default"/>
                      <w:color w:val="auto"/>
                      <w:lang w:val="en-US" w:eastAsia="zh-CN"/>
                    </w:rPr>
                  </w:pPr>
                  <w:r>
                    <w:rPr>
                      <w:rFonts w:hint="eastAsia"/>
                      <w:color w:val="auto"/>
                      <w:lang w:val="en-US" w:eastAsia="zh-CN"/>
                    </w:rPr>
                    <w:t>用量t/a</w:t>
                  </w:r>
                </w:p>
              </w:tc>
              <w:tc>
                <w:tcPr>
                  <w:tcW w:w="835" w:type="dxa"/>
                </w:tcPr>
                <w:p w14:paraId="1EAA7C86">
                  <w:pPr>
                    <w:pStyle w:val="42"/>
                    <w:bidi w:val="0"/>
                    <w:rPr>
                      <w:rFonts w:hint="default"/>
                      <w:color w:val="auto"/>
                      <w:lang w:val="en-US" w:eastAsia="zh-CN"/>
                    </w:rPr>
                  </w:pPr>
                  <w:r>
                    <w:rPr>
                      <w:rFonts w:hint="eastAsia"/>
                      <w:color w:val="auto"/>
                      <w:lang w:val="en-US" w:eastAsia="zh-CN"/>
                    </w:rPr>
                    <w:t>来源</w:t>
                  </w:r>
                </w:p>
              </w:tc>
              <w:tc>
                <w:tcPr>
                  <w:tcW w:w="1383" w:type="dxa"/>
                </w:tcPr>
                <w:p w14:paraId="78C6D79F">
                  <w:pPr>
                    <w:pStyle w:val="42"/>
                    <w:bidi w:val="0"/>
                    <w:rPr>
                      <w:rFonts w:hint="default"/>
                      <w:color w:val="auto"/>
                      <w:lang w:val="en-US" w:eastAsia="zh-CN"/>
                    </w:rPr>
                  </w:pPr>
                  <w:r>
                    <w:rPr>
                      <w:rFonts w:hint="eastAsia"/>
                      <w:color w:val="auto"/>
                      <w:lang w:val="en-US" w:eastAsia="zh-CN"/>
                    </w:rPr>
                    <w:t>收购含水率</w:t>
                  </w:r>
                </w:p>
              </w:tc>
              <w:tc>
                <w:tcPr>
                  <w:tcW w:w="867" w:type="dxa"/>
                </w:tcPr>
                <w:p w14:paraId="51431A0D">
                  <w:pPr>
                    <w:pStyle w:val="42"/>
                    <w:bidi w:val="0"/>
                    <w:rPr>
                      <w:rFonts w:hint="default"/>
                      <w:color w:val="auto"/>
                      <w:lang w:val="en-US" w:eastAsia="zh-CN"/>
                    </w:rPr>
                  </w:pPr>
                  <w:r>
                    <w:rPr>
                      <w:rFonts w:hint="eastAsia"/>
                      <w:color w:val="auto"/>
                      <w:lang w:val="en-US" w:eastAsia="zh-CN"/>
                    </w:rPr>
                    <w:t>产品</w:t>
                  </w:r>
                </w:p>
              </w:tc>
              <w:tc>
                <w:tcPr>
                  <w:tcW w:w="1140" w:type="dxa"/>
                </w:tcPr>
                <w:p w14:paraId="5215E425">
                  <w:pPr>
                    <w:pStyle w:val="42"/>
                    <w:bidi w:val="0"/>
                    <w:rPr>
                      <w:rFonts w:hint="default"/>
                      <w:color w:val="auto"/>
                      <w:lang w:val="en-US" w:eastAsia="zh-CN"/>
                    </w:rPr>
                  </w:pPr>
                  <w:r>
                    <w:rPr>
                      <w:rFonts w:hint="eastAsia"/>
                      <w:color w:val="auto"/>
                      <w:lang w:val="en-US" w:eastAsia="zh-CN"/>
                    </w:rPr>
                    <w:t>产品量t/a</w:t>
                  </w:r>
                </w:p>
              </w:tc>
              <w:tc>
                <w:tcPr>
                  <w:tcW w:w="1698" w:type="dxa"/>
                </w:tcPr>
                <w:p w14:paraId="6D542D75">
                  <w:pPr>
                    <w:pStyle w:val="42"/>
                    <w:bidi w:val="0"/>
                    <w:rPr>
                      <w:rFonts w:hint="default"/>
                      <w:color w:val="auto"/>
                      <w:lang w:val="en-US" w:eastAsia="zh-CN"/>
                    </w:rPr>
                  </w:pPr>
                  <w:r>
                    <w:rPr>
                      <w:rFonts w:hint="eastAsia"/>
                      <w:color w:val="auto"/>
                      <w:lang w:val="en-US" w:eastAsia="zh-CN"/>
                    </w:rPr>
                    <w:t>标准/规格</w:t>
                  </w:r>
                </w:p>
              </w:tc>
            </w:tr>
            <w:tr w14:paraId="2B71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11A2DC20">
                  <w:pPr>
                    <w:pStyle w:val="42"/>
                    <w:bidi w:val="0"/>
                    <w:rPr>
                      <w:rFonts w:hint="default"/>
                      <w:color w:val="auto"/>
                      <w:lang w:val="en-US" w:eastAsia="zh-CN"/>
                    </w:rPr>
                  </w:pPr>
                </w:p>
              </w:tc>
              <w:tc>
                <w:tcPr>
                  <w:tcW w:w="1067" w:type="dxa"/>
                </w:tcPr>
                <w:p w14:paraId="04E136FD">
                  <w:pPr>
                    <w:pStyle w:val="42"/>
                    <w:bidi w:val="0"/>
                    <w:rPr>
                      <w:rFonts w:hint="default"/>
                      <w:color w:val="auto"/>
                      <w:lang w:val="en-US" w:eastAsia="zh-CN"/>
                    </w:rPr>
                  </w:pPr>
                </w:p>
              </w:tc>
              <w:tc>
                <w:tcPr>
                  <w:tcW w:w="835" w:type="dxa"/>
                </w:tcPr>
                <w:p w14:paraId="09540B6F">
                  <w:pPr>
                    <w:pStyle w:val="42"/>
                    <w:bidi w:val="0"/>
                    <w:rPr>
                      <w:rFonts w:hint="default"/>
                      <w:color w:val="auto"/>
                      <w:lang w:val="en-US" w:eastAsia="zh-CN"/>
                    </w:rPr>
                  </w:pPr>
                </w:p>
              </w:tc>
              <w:tc>
                <w:tcPr>
                  <w:tcW w:w="1383" w:type="dxa"/>
                </w:tcPr>
                <w:p w14:paraId="20627AE1">
                  <w:pPr>
                    <w:pStyle w:val="42"/>
                    <w:bidi w:val="0"/>
                    <w:rPr>
                      <w:rFonts w:hint="default"/>
                      <w:color w:val="auto"/>
                      <w:lang w:val="en-US" w:eastAsia="zh-CN"/>
                    </w:rPr>
                  </w:pPr>
                </w:p>
              </w:tc>
              <w:tc>
                <w:tcPr>
                  <w:tcW w:w="867" w:type="dxa"/>
                </w:tcPr>
                <w:p w14:paraId="4F32661A">
                  <w:pPr>
                    <w:pStyle w:val="42"/>
                    <w:bidi w:val="0"/>
                    <w:rPr>
                      <w:rFonts w:hint="default"/>
                      <w:color w:val="auto"/>
                      <w:lang w:val="en-US" w:eastAsia="zh-CN"/>
                    </w:rPr>
                  </w:pPr>
                </w:p>
              </w:tc>
              <w:tc>
                <w:tcPr>
                  <w:tcW w:w="1140" w:type="dxa"/>
                </w:tcPr>
                <w:p w14:paraId="7FF1FA41">
                  <w:pPr>
                    <w:pStyle w:val="42"/>
                    <w:bidi w:val="0"/>
                    <w:rPr>
                      <w:rFonts w:hint="default"/>
                      <w:color w:val="auto"/>
                      <w:lang w:val="en-US" w:eastAsia="zh-CN"/>
                    </w:rPr>
                  </w:pPr>
                </w:p>
              </w:tc>
              <w:tc>
                <w:tcPr>
                  <w:tcW w:w="1698" w:type="dxa"/>
                </w:tcPr>
                <w:p w14:paraId="566B635D">
                  <w:pPr>
                    <w:pStyle w:val="42"/>
                    <w:bidi w:val="0"/>
                    <w:rPr>
                      <w:rFonts w:hint="default"/>
                      <w:color w:val="auto"/>
                      <w:lang w:val="en-US" w:eastAsia="zh-CN"/>
                    </w:rPr>
                  </w:pPr>
                </w:p>
              </w:tc>
            </w:tr>
          </w:tbl>
          <w:p w14:paraId="1372880E">
            <w:pPr>
              <w:pStyle w:val="5"/>
              <w:bidi w:val="0"/>
              <w:rPr>
                <w:rFonts w:hint="default"/>
                <w:color w:val="auto"/>
                <w:lang w:val="en-US" w:eastAsia="zh-CN"/>
              </w:rPr>
            </w:pPr>
            <w:r>
              <w:rPr>
                <w:rFonts w:hint="eastAsia"/>
                <w:color w:val="auto"/>
                <w:lang w:val="en-US" w:eastAsia="zh-CN"/>
              </w:rPr>
              <w:t>2.6依托工程、公用工程</w:t>
            </w:r>
          </w:p>
          <w:p w14:paraId="06144CE1">
            <w:pPr>
              <w:pStyle w:val="39"/>
              <w:bidi w:val="0"/>
              <w:rPr>
                <w:rFonts w:hint="default"/>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公用工程</w:t>
            </w:r>
          </w:p>
          <w:p w14:paraId="0ED458C2">
            <w:pPr>
              <w:pStyle w:val="39"/>
              <w:bidi w:val="0"/>
              <w:rPr>
                <w:color w:val="auto"/>
              </w:rPr>
            </w:pPr>
            <w:r>
              <w:rPr>
                <w:rFonts w:hint="eastAsia"/>
                <w:color w:val="auto"/>
              </w:rPr>
              <w:t>①供水</w:t>
            </w:r>
          </w:p>
          <w:p w14:paraId="3391B5C6">
            <w:pPr>
              <w:pStyle w:val="39"/>
              <w:bidi w:val="0"/>
              <w:rPr>
                <w:color w:val="auto"/>
              </w:rPr>
            </w:pPr>
            <w:r>
              <w:rPr>
                <w:color w:val="auto"/>
              </w:rPr>
              <w:t>本项目生活给水系统、消防给水</w:t>
            </w:r>
            <w:r>
              <w:rPr>
                <w:rFonts w:hint="eastAsia"/>
                <w:color w:val="auto"/>
                <w:lang w:val="en-US" w:eastAsia="zh-CN"/>
              </w:rPr>
              <w:t>系统由附近村庄供水管网提供</w:t>
            </w:r>
            <w:r>
              <w:rPr>
                <w:color w:val="auto"/>
              </w:rPr>
              <w:t>。</w:t>
            </w:r>
          </w:p>
          <w:p w14:paraId="1132541A">
            <w:pPr>
              <w:pStyle w:val="39"/>
              <w:bidi w:val="0"/>
              <w:rPr>
                <w:rFonts w:hint="default"/>
                <w:color w:val="auto"/>
                <w:lang w:val="en-US" w:eastAsia="zh-CN"/>
              </w:rPr>
            </w:pPr>
            <w:r>
              <w:rPr>
                <w:rFonts w:hint="eastAsia"/>
                <w:color w:val="auto"/>
                <w:lang w:val="en-US" w:eastAsia="zh-CN"/>
              </w:rPr>
              <w:t>本项目工作人员按20人计，季节性工人按35人计，根据《新疆维吾尔自治区生活用水定额》规定，北疆天山北坡区农村居民住宅取50-70L/人·日，此处取60L/人·d，固定管理人员按全年工作330天满负荷计算，季节性工人按30天计，则本项目工作人员用水量为1.4m</w:t>
            </w:r>
            <w:r>
              <w:rPr>
                <w:rFonts w:hint="eastAsia"/>
                <w:color w:val="auto"/>
                <w:vertAlign w:val="superscript"/>
                <w:lang w:val="en-US" w:eastAsia="zh-CN"/>
              </w:rPr>
              <w:t>3</w:t>
            </w:r>
            <w:r>
              <w:rPr>
                <w:rFonts w:hint="eastAsia"/>
                <w:color w:val="auto"/>
                <w:lang w:val="en-US" w:eastAsia="zh-CN"/>
              </w:rPr>
              <w:t>/d（459m</w:t>
            </w:r>
            <w:r>
              <w:rPr>
                <w:rFonts w:hint="eastAsia"/>
                <w:color w:val="auto"/>
                <w:vertAlign w:val="superscript"/>
                <w:lang w:val="en-US" w:eastAsia="zh-CN"/>
              </w:rPr>
              <w:t>3</w:t>
            </w:r>
            <w:r>
              <w:rPr>
                <w:rFonts w:hint="eastAsia"/>
                <w:color w:val="auto"/>
                <w:lang w:val="en-US" w:eastAsia="zh-CN"/>
              </w:rPr>
              <w:t>/a）。</w:t>
            </w:r>
          </w:p>
          <w:p w14:paraId="77193B04">
            <w:pPr>
              <w:pStyle w:val="39"/>
              <w:bidi w:val="0"/>
              <w:rPr>
                <w:rFonts w:hint="eastAsia"/>
                <w:color w:val="auto"/>
                <w:lang w:val="en-US" w:eastAsia="zh-CN"/>
              </w:rPr>
            </w:pPr>
            <w:r>
              <w:rPr>
                <w:rFonts w:hint="eastAsia"/>
                <w:color w:val="auto"/>
                <w:lang w:val="en-US" w:eastAsia="zh-CN"/>
              </w:rPr>
              <w:t>（2）排水</w:t>
            </w:r>
          </w:p>
          <w:p w14:paraId="16B83633">
            <w:pPr>
              <w:pStyle w:val="39"/>
              <w:bidi w:val="0"/>
              <w:rPr>
                <w:rFonts w:hint="eastAsia"/>
                <w:color w:val="auto"/>
                <w:lang w:val="en-US" w:eastAsia="zh-CN"/>
              </w:rPr>
            </w:pPr>
            <w:r>
              <w:rPr>
                <w:rFonts w:hint="eastAsia"/>
                <w:color w:val="auto"/>
                <w:lang w:val="en-US" w:eastAsia="zh-CN"/>
              </w:rPr>
              <w:t>本项目废水主要为生活污水，按生活用水量的80%计，则生活污水排放量为1.11m</w:t>
            </w:r>
            <w:r>
              <w:rPr>
                <w:rFonts w:hint="eastAsia"/>
                <w:color w:val="auto"/>
                <w:vertAlign w:val="superscript"/>
                <w:lang w:val="en-US" w:eastAsia="zh-CN"/>
              </w:rPr>
              <w:t>3</w:t>
            </w:r>
            <w:r>
              <w:rPr>
                <w:rFonts w:hint="eastAsia"/>
                <w:color w:val="auto"/>
                <w:lang w:val="en-US" w:eastAsia="zh-CN"/>
              </w:rPr>
              <w:t>/d（367.2m</w:t>
            </w:r>
            <w:r>
              <w:rPr>
                <w:rFonts w:hint="eastAsia"/>
                <w:color w:val="auto"/>
                <w:vertAlign w:val="superscript"/>
                <w:lang w:val="en-US" w:eastAsia="zh-CN"/>
              </w:rPr>
              <w:t>3</w:t>
            </w:r>
            <w:r>
              <w:rPr>
                <w:rFonts w:hint="eastAsia"/>
                <w:color w:val="auto"/>
                <w:lang w:val="en-US" w:eastAsia="zh-CN"/>
              </w:rPr>
              <w:t>/a），生活污水排入防渗化粪池，定期拉运至污水处理厂处置。</w:t>
            </w:r>
          </w:p>
          <w:p w14:paraId="6F1DA871">
            <w:pPr>
              <w:pStyle w:val="53"/>
              <w:bidi w:val="0"/>
              <w:rPr>
                <w:rFonts w:hint="default"/>
                <w:lang w:val="en-US" w:eastAsia="zh-CN"/>
              </w:rPr>
            </w:pPr>
            <w:r>
              <w:rPr>
                <w:rFonts w:hint="eastAsia"/>
                <w:lang w:val="en-US" w:eastAsia="zh-CN"/>
              </w:rPr>
              <w:t>图2-1   水平衡示意图  单位：m³/a</w:t>
            </w:r>
          </w:p>
          <w:p w14:paraId="1BBC0ECB">
            <w:pPr>
              <w:pStyle w:val="39"/>
              <w:bidi w:val="0"/>
              <w:rPr>
                <w:rFonts w:hint="eastAsia"/>
                <w:color w:val="auto"/>
                <w:lang w:val="en-US" w:eastAsia="zh-CN"/>
              </w:rPr>
            </w:pPr>
            <w:r>
              <w:rPr>
                <w:rFonts w:hint="eastAsia"/>
                <w:color w:val="auto"/>
                <w:lang w:val="en-US" w:eastAsia="zh-CN"/>
              </w:rPr>
              <w:t>（3）供电：外接附近供电电网，变电设施，接自用电线和变配电设施。</w:t>
            </w:r>
          </w:p>
          <w:p w14:paraId="396CDFB0">
            <w:pPr>
              <w:pStyle w:val="39"/>
              <w:bidi w:val="0"/>
              <w:rPr>
                <w:rFonts w:hint="eastAsia"/>
                <w:color w:val="auto"/>
                <w:lang w:val="en-US" w:eastAsia="zh-CN"/>
              </w:rPr>
            </w:pPr>
            <w:r>
              <w:rPr>
                <w:rFonts w:hint="eastAsia"/>
                <w:color w:val="auto"/>
                <w:lang w:val="en-US" w:eastAsia="zh-CN"/>
              </w:rPr>
              <w:t>（4）供暖：本项目不设置办公室生活区，粮仓无需供暖，玉米烘干生产线露天设置，季节性生产30天，无需供暖。</w:t>
            </w:r>
          </w:p>
          <w:p w14:paraId="5EE420AF">
            <w:pPr>
              <w:pStyle w:val="39"/>
              <w:bidi w:val="0"/>
              <w:rPr>
                <w:rFonts w:hint="default"/>
                <w:color w:val="auto"/>
                <w:lang w:val="en-US" w:eastAsia="zh-CN"/>
              </w:rPr>
            </w:pPr>
            <w:r>
              <w:rPr>
                <w:rFonts w:hint="eastAsia"/>
                <w:color w:val="auto"/>
                <w:lang w:val="en-US" w:eastAsia="zh-CN"/>
              </w:rPr>
              <w:t>（5）燃料：根据设计资料，本项目玉米烘干生产热源来自燃煤热风炉，用量为2200t/a，来自和丰煤矿为无烟煤。</w:t>
            </w:r>
          </w:p>
          <w:p w14:paraId="4BDBD13B">
            <w:pPr>
              <w:pStyle w:val="5"/>
              <w:bidi w:val="0"/>
              <w:rPr>
                <w:rFonts w:hint="default"/>
                <w:color w:val="auto"/>
                <w:lang w:val="en-US" w:eastAsia="zh-CN"/>
              </w:rPr>
            </w:pPr>
            <w:r>
              <w:rPr>
                <w:rFonts w:hint="eastAsia"/>
                <w:color w:val="auto"/>
                <w:lang w:val="en-US" w:eastAsia="zh-CN"/>
              </w:rPr>
              <w:t>2.7平面布置</w:t>
            </w:r>
          </w:p>
          <w:p w14:paraId="6AC6EDD8">
            <w:pPr>
              <w:pStyle w:val="39"/>
              <w:bidi w:val="0"/>
              <w:rPr>
                <w:rFonts w:hint="default"/>
                <w:color w:val="auto"/>
                <w:lang w:val="en-US" w:eastAsia="zh-CN"/>
              </w:rPr>
            </w:pPr>
            <w:r>
              <w:rPr>
                <w:rFonts w:hint="eastAsia"/>
                <w:color w:val="auto"/>
                <w:lang w:val="en-US" w:eastAsia="zh-CN"/>
              </w:rPr>
              <w:t>厂区总占地面积为</w:t>
            </w:r>
            <w:r>
              <w:rPr>
                <w:rStyle w:val="131"/>
                <w:rFonts w:hint="eastAsia"/>
                <w:b w:val="0"/>
                <w:i w:val="0"/>
                <w:caps w:val="0"/>
                <w:color w:val="auto"/>
                <w:spacing w:val="0"/>
                <w:w w:val="100"/>
                <w:kern w:val="2"/>
                <w:sz w:val="24"/>
                <w:lang w:val="en-US" w:eastAsia="zh-CN" w:bidi="ar-SA"/>
              </w:rPr>
              <w:t>27727.83</w:t>
            </w:r>
            <w:r>
              <w:rPr>
                <w:rFonts w:hint="eastAsia"/>
                <w:color w:val="auto"/>
                <w:lang w:val="en-US" w:eastAsia="zh-CN"/>
              </w:rPr>
              <w:t>m</w:t>
            </w:r>
            <w:r>
              <w:rPr>
                <w:rFonts w:hint="eastAsia"/>
                <w:color w:val="auto"/>
                <w:vertAlign w:val="superscript"/>
                <w:lang w:val="en-US" w:eastAsia="zh-CN"/>
              </w:rPr>
              <w:t>2</w:t>
            </w:r>
            <w:r>
              <w:rPr>
                <w:rFonts w:hint="eastAsia"/>
                <w:color w:val="auto"/>
                <w:lang w:val="en-US" w:eastAsia="zh-CN"/>
              </w:rPr>
              <w:t>，厂区整体布局呈矩形，其中库房位于厂区西侧，紧邻烘干塔，圆筒仓及烘前仓位于厂区东侧，办公区及出入口位于厂区北侧。</w:t>
            </w:r>
            <w:r>
              <w:rPr>
                <w:rFonts w:hint="eastAsia"/>
                <w:bCs/>
                <w:sz w:val="24"/>
                <w:lang w:val="en-US" w:eastAsia="zh-CN"/>
              </w:rPr>
              <w:t>出入口</w:t>
            </w:r>
            <w:r>
              <w:rPr>
                <w:rFonts w:hint="eastAsia"/>
                <w:bCs/>
                <w:sz w:val="24"/>
                <w:lang w:eastAsia="zh-CN"/>
              </w:rPr>
              <w:t>紧邻道路，交通便利，</w:t>
            </w:r>
            <w:r>
              <w:rPr>
                <w:bCs/>
                <w:sz w:val="24"/>
              </w:rPr>
              <w:t>通过平面布置可以看出，项目运行过程中人流物流分开、生产区及办公区有效分割，有效的避免了对办公区的影响</w:t>
            </w:r>
            <w:r>
              <w:rPr>
                <w:kern w:val="0"/>
                <w:sz w:val="24"/>
              </w:rPr>
              <w:t>。</w:t>
            </w:r>
            <w:r>
              <w:rPr>
                <w:rFonts w:hint="default" w:ascii="Times New Roman" w:hAnsi="Times New Roman" w:cs="Times New Roman"/>
                <w:color w:val="auto"/>
                <w:kern w:val="0"/>
                <w:sz w:val="24"/>
                <w:szCs w:val="24"/>
                <w:highlight w:val="none"/>
              </w:rPr>
              <w:t>本项目</w:t>
            </w:r>
            <w:r>
              <w:rPr>
                <w:rFonts w:hint="default" w:ascii="Times New Roman" w:hAnsi="Times New Roman" w:cs="Times New Roman"/>
                <w:color w:val="auto"/>
                <w:sz w:val="24"/>
                <w:szCs w:val="24"/>
                <w:highlight w:val="none"/>
              </w:rPr>
              <w:t>厂区总平面布置</w:t>
            </w:r>
            <w:r>
              <w:rPr>
                <w:rFonts w:hint="default" w:ascii="Times New Roman" w:hAnsi="Times New Roman" w:cs="Times New Roman"/>
                <w:color w:val="auto"/>
                <w:kern w:val="0"/>
                <w:sz w:val="24"/>
                <w:szCs w:val="24"/>
                <w:highlight w:val="none"/>
              </w:rPr>
              <w:t>见附图</w:t>
            </w:r>
            <w:r>
              <w:rPr>
                <w:rFonts w:hint="eastAsia" w:cs="Times New Roman"/>
                <w:color w:val="auto"/>
                <w:kern w:val="0"/>
                <w:sz w:val="24"/>
                <w:szCs w:val="24"/>
                <w:highlight w:val="none"/>
                <w:lang w:val="en-US" w:eastAsia="zh-CN"/>
              </w:rPr>
              <w:t>2-3</w:t>
            </w:r>
            <w:r>
              <w:rPr>
                <w:rFonts w:hint="eastAsia" w:ascii="Times New Roman" w:hAnsi="Times New Roman" w:cs="Times New Roman"/>
                <w:color w:val="auto"/>
                <w:kern w:val="0"/>
                <w:sz w:val="24"/>
                <w:szCs w:val="24"/>
                <w:highlight w:val="none"/>
                <w:lang w:eastAsia="zh-CN"/>
              </w:rPr>
              <w:t>。</w:t>
            </w:r>
          </w:p>
          <w:p w14:paraId="423109AA">
            <w:pPr>
              <w:pStyle w:val="5"/>
              <w:bidi w:val="0"/>
              <w:rPr>
                <w:rFonts w:hint="eastAsia"/>
                <w:color w:val="auto"/>
                <w:lang w:val="en-US" w:eastAsia="zh-CN"/>
              </w:rPr>
            </w:pPr>
            <w:r>
              <w:rPr>
                <w:rFonts w:hint="eastAsia"/>
                <w:color w:val="auto"/>
                <w:lang w:val="en-US" w:eastAsia="zh-CN"/>
              </w:rPr>
              <w:t>2.8劳动定员</w:t>
            </w:r>
          </w:p>
          <w:p w14:paraId="4F146AC8">
            <w:pPr>
              <w:pStyle w:val="39"/>
              <w:bidi w:val="0"/>
              <w:rPr>
                <w:rFonts w:hint="default"/>
                <w:color w:val="auto"/>
                <w:lang w:val="en-US" w:eastAsia="zh-CN"/>
              </w:rPr>
            </w:pPr>
            <w:r>
              <w:rPr>
                <w:color w:val="auto"/>
              </w:rPr>
              <w:t>劳动定员及工作制度：</w:t>
            </w:r>
            <w:r>
              <w:rPr>
                <w:rFonts w:hint="eastAsia"/>
                <w:color w:val="auto"/>
                <w:lang w:val="en-US" w:eastAsia="zh-CN"/>
              </w:rPr>
              <w:t>项目固定劳动定员为20人，季节性生产时间为30d，固定管理人员按全年工作330天。</w:t>
            </w:r>
          </w:p>
        </w:tc>
      </w:tr>
      <w:tr w14:paraId="261CA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07" w:hRule="atLeast"/>
          <w:jc w:val="center"/>
        </w:trPr>
        <w:tc>
          <w:tcPr>
            <w:tcW w:w="658" w:type="dxa"/>
            <w:vAlign w:val="center"/>
          </w:tcPr>
          <w:p w14:paraId="1F548532">
            <w:pPr>
              <w:pStyle w:val="28"/>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工艺流程和产排污环节</w:t>
            </w:r>
          </w:p>
        </w:tc>
        <w:tc>
          <w:tcPr>
            <w:tcW w:w="8129" w:type="dxa"/>
            <w:vAlign w:val="top"/>
          </w:tcPr>
          <w:p w14:paraId="0F808FD5">
            <w:pPr>
              <w:pStyle w:val="5"/>
              <w:bidi w:val="0"/>
              <w:rPr>
                <w:rFonts w:hint="eastAsia"/>
                <w:color w:val="auto"/>
              </w:rPr>
            </w:pPr>
            <w:r>
              <w:rPr>
                <w:rFonts w:hint="eastAsia"/>
                <w:color w:val="auto"/>
              </w:rPr>
              <w:t>2.</w:t>
            </w:r>
            <w:r>
              <w:rPr>
                <w:rFonts w:hint="eastAsia"/>
                <w:color w:val="auto"/>
                <w:lang w:val="en-US" w:eastAsia="zh-CN"/>
              </w:rPr>
              <w:t>9</w:t>
            </w:r>
            <w:r>
              <w:rPr>
                <w:rFonts w:hint="eastAsia"/>
                <w:color w:val="auto"/>
              </w:rPr>
              <w:t>工艺流程及简述：</w:t>
            </w:r>
          </w:p>
          <w:p w14:paraId="2F9AB8A0">
            <w:pPr>
              <w:pStyle w:val="5"/>
              <w:bidi w:val="0"/>
              <w:rPr>
                <w:rFonts w:hint="eastAsia"/>
                <w:color w:val="auto"/>
                <w:lang w:val="en-US" w:eastAsia="zh-CN"/>
              </w:rPr>
            </w:pPr>
            <w:r>
              <w:rPr>
                <w:rFonts w:hint="eastAsia"/>
                <w:color w:val="auto"/>
                <w:lang w:val="en-US" w:eastAsia="zh-CN"/>
              </w:rPr>
              <w:t>2.9.1施工期工艺流程</w:t>
            </w:r>
          </w:p>
          <w:p w14:paraId="32F1CE34">
            <w:pPr>
              <w:pStyle w:val="39"/>
              <w:rPr>
                <w:rFonts w:hint="default"/>
                <w:color w:val="auto"/>
                <w:lang w:val="en-US" w:eastAsia="zh-CN"/>
              </w:rPr>
            </w:pPr>
            <w:r>
              <w:rPr>
                <w:rFonts w:hint="eastAsia"/>
                <w:color w:val="auto"/>
                <w:lang w:val="en-US" w:eastAsia="zh-CN"/>
              </w:rPr>
              <w:t>施工期工艺流程如下：</w:t>
            </w:r>
          </w:p>
          <w:p w14:paraId="0380104D">
            <w:pPr>
              <w:pStyle w:val="41"/>
              <w:bidi w:val="0"/>
              <w:ind w:left="0" w:leftChars="0" w:firstLine="0" w:firstLineChars="0"/>
              <w:rPr>
                <w:color w:val="auto"/>
              </w:rPr>
            </w:pPr>
            <w:r>
              <w:rPr>
                <w:color w:val="auto"/>
                <w:sz w:val="30"/>
                <w:szCs w:val="20"/>
              </w:rPr>
              <w:drawing>
                <wp:inline distT="0" distB="0" distL="114300" distR="114300">
                  <wp:extent cx="4957445" cy="1776730"/>
                  <wp:effectExtent l="0" t="0" r="14605" b="1397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
                          <a:stretch>
                            <a:fillRect/>
                          </a:stretch>
                        </pic:blipFill>
                        <pic:spPr>
                          <a:xfrm>
                            <a:off x="0" y="0"/>
                            <a:ext cx="4957445" cy="1776730"/>
                          </a:xfrm>
                          <a:prstGeom prst="rect">
                            <a:avLst/>
                          </a:prstGeom>
                          <a:noFill/>
                          <a:ln>
                            <a:noFill/>
                          </a:ln>
                        </pic:spPr>
                      </pic:pic>
                    </a:graphicData>
                  </a:graphic>
                </wp:inline>
              </w:drawing>
            </w:r>
          </w:p>
          <w:p w14:paraId="1784DE8B">
            <w:pPr>
              <w:pStyle w:val="53"/>
              <w:bidi w:val="0"/>
              <w:rPr>
                <w:color w:val="auto"/>
              </w:rPr>
            </w:pPr>
            <w:r>
              <w:rPr>
                <w:color w:val="auto"/>
              </w:rPr>
              <w:t>图2-2</w:t>
            </w:r>
            <w:r>
              <w:rPr>
                <w:rFonts w:hint="eastAsia"/>
                <w:color w:val="auto"/>
                <w:lang w:val="en-US" w:eastAsia="zh-CN"/>
              </w:rPr>
              <w:t xml:space="preserve">  </w:t>
            </w:r>
            <w:r>
              <w:rPr>
                <w:color w:val="auto"/>
              </w:rPr>
              <w:t xml:space="preserve"> 施工期工艺流程及产污环节</w:t>
            </w:r>
          </w:p>
          <w:p w14:paraId="71D116A8">
            <w:pPr>
              <w:pStyle w:val="39"/>
              <w:bidi w:val="0"/>
              <w:rPr>
                <w:color w:val="auto"/>
              </w:rPr>
            </w:pPr>
            <w:r>
              <w:rPr>
                <w:color w:val="auto"/>
              </w:rPr>
              <w:t>项目建设工期为</w:t>
            </w:r>
            <w:r>
              <w:rPr>
                <w:rFonts w:hint="eastAsia"/>
                <w:color w:val="auto"/>
                <w:lang w:val="en-US" w:eastAsia="zh-CN"/>
              </w:rPr>
              <w:t>3</w:t>
            </w:r>
            <w:r>
              <w:rPr>
                <w:color w:val="auto"/>
              </w:rPr>
              <w:t>个月，项目主体工程及配套设施同步施工建设施工内容主要包括地面硬化、修建</w:t>
            </w:r>
            <w:r>
              <w:rPr>
                <w:rFonts w:hint="eastAsia"/>
                <w:color w:val="auto"/>
                <w:lang w:val="en-US" w:eastAsia="zh-CN"/>
              </w:rPr>
              <w:t>车间</w:t>
            </w:r>
            <w:r>
              <w:rPr>
                <w:color w:val="auto"/>
              </w:rPr>
              <w:t>等。施工人员大多来自附近居民，不设施工营地。施工采用商品混凝土，因此施工期环境影响主要有施工机械噪声、扬尘、施工废水、建筑垃圾，以及施工人员产生的生活垃圾和生活污水等。</w:t>
            </w:r>
          </w:p>
          <w:p w14:paraId="332E76CC">
            <w:pPr>
              <w:pStyle w:val="5"/>
              <w:bidi w:val="0"/>
              <w:rPr>
                <w:color w:val="auto"/>
              </w:rPr>
            </w:pPr>
            <w:r>
              <w:rPr>
                <w:rFonts w:hint="eastAsia"/>
                <w:color w:val="auto"/>
                <w:lang w:val="en-US" w:eastAsia="zh-CN"/>
              </w:rPr>
              <w:t>2.9.2</w:t>
            </w:r>
            <w:r>
              <w:rPr>
                <w:color w:val="auto"/>
              </w:rPr>
              <w:t>营运期工艺流程及产污环节图</w:t>
            </w:r>
          </w:p>
          <w:p w14:paraId="4914F216">
            <w:pPr>
              <w:pStyle w:val="39"/>
              <w:bidi w:val="0"/>
              <w:rPr>
                <w:rFonts w:hint="default" w:eastAsia="宋体"/>
                <w:color w:val="auto"/>
                <w:lang w:val="en-US" w:eastAsia="zh-CN"/>
              </w:rPr>
            </w:pPr>
            <w:r>
              <w:rPr>
                <w:rFonts w:hint="eastAsia"/>
                <w:color w:val="auto"/>
                <w:lang w:val="en-US" w:eastAsia="zh-CN"/>
              </w:rPr>
              <w:t>项目主要储存玉米，玉米主要采用烘干处理。</w:t>
            </w:r>
          </w:p>
          <w:p w14:paraId="03ECCB26">
            <w:pPr>
              <w:pStyle w:val="39"/>
              <w:bidi w:val="0"/>
              <w:rPr>
                <w:rFonts w:hint="eastAsia" w:eastAsia="宋体"/>
                <w:color w:val="auto"/>
                <w:lang w:val="en-US" w:eastAsia="zh-CN"/>
              </w:rPr>
            </w:pPr>
            <w:r>
              <w:rPr>
                <w:rFonts w:hint="eastAsia"/>
                <w:color w:val="auto"/>
                <w:lang w:val="en-US" w:eastAsia="zh-CN"/>
              </w:rPr>
              <w:t>项目玉米加工</w:t>
            </w:r>
            <w:r>
              <w:rPr>
                <w:color w:val="auto"/>
              </w:rPr>
              <w:t>工艺流程如图2-</w:t>
            </w:r>
            <w:r>
              <w:rPr>
                <w:rFonts w:hint="eastAsia"/>
                <w:color w:val="auto"/>
                <w:lang w:val="en-US" w:eastAsia="zh-CN"/>
              </w:rPr>
              <w:t>4</w:t>
            </w:r>
            <w:r>
              <w:rPr>
                <w:color w:val="auto"/>
              </w:rPr>
              <w:t>所示</w:t>
            </w:r>
            <w:r>
              <w:rPr>
                <w:rFonts w:hint="eastAsia"/>
                <w:color w:val="auto"/>
                <w:lang w:val="en-US" w:eastAsia="zh-CN"/>
              </w:rPr>
              <w:t>.</w:t>
            </w:r>
          </w:p>
          <w:p w14:paraId="7140B497">
            <w:pPr>
              <w:pStyle w:val="53"/>
              <w:bidi w:val="0"/>
              <w:rPr>
                <w:rFonts w:hint="default"/>
                <w:color w:val="auto"/>
                <w:lang w:val="en-US" w:eastAsia="zh-CN"/>
              </w:rPr>
            </w:pPr>
            <w:r>
              <w:rPr>
                <w:rFonts w:hint="eastAsia"/>
                <w:color w:val="auto"/>
                <w:lang w:val="en-US" w:eastAsia="zh-CN"/>
              </w:rPr>
              <w:t>图2-4   玉米储存工艺流程及产物环节图</w:t>
            </w:r>
          </w:p>
          <w:p w14:paraId="6AD75B7B">
            <w:pPr>
              <w:pStyle w:val="39"/>
              <w:bidi w:val="0"/>
              <w:rPr>
                <w:rFonts w:hint="eastAsia"/>
                <w:color w:val="auto"/>
              </w:rPr>
            </w:pPr>
            <w:r>
              <w:rPr>
                <w:rFonts w:hint="eastAsia"/>
                <w:color w:val="auto"/>
              </w:rPr>
              <w:t>湿玉米由地坑提升机提升进入圆筒清理筛，经过清理设备的初清，除去原料中的玉米糠麸、土砂石等杂质，清理过后的粮食经提升机进入烘干机进行烘干处理。</w:t>
            </w:r>
          </w:p>
          <w:p w14:paraId="4EDD6CD7">
            <w:pPr>
              <w:pStyle w:val="39"/>
              <w:bidi w:val="0"/>
              <w:rPr>
                <w:rFonts w:hint="eastAsia"/>
                <w:color w:val="auto"/>
              </w:rPr>
            </w:pPr>
            <w:r>
              <w:rPr>
                <w:rFonts w:hint="eastAsia"/>
                <w:color w:val="auto"/>
              </w:rPr>
              <w:t>玉米在烘干机内依靠自重从上向下流动，同时由热风机以不同的热风温度向烘干机内送入热风，热风以顺流和逆流的形式分别穿过粮层并带走玉米中的水分，使玉米水分降至1</w:t>
            </w:r>
            <w:r>
              <w:rPr>
                <w:rFonts w:hint="eastAsia"/>
                <w:color w:val="auto"/>
                <w:lang w:val="en-US" w:eastAsia="zh-CN"/>
              </w:rPr>
              <w:t>5</w:t>
            </w:r>
            <w:r>
              <w:rPr>
                <w:rFonts w:hint="eastAsia"/>
                <w:color w:val="auto"/>
              </w:rPr>
              <w:t>%</w:t>
            </w:r>
            <w:r>
              <w:rPr>
                <w:rFonts w:hint="eastAsia"/>
                <w:color w:val="auto"/>
                <w:lang w:val="en-US" w:eastAsia="zh-CN"/>
              </w:rPr>
              <w:t>以下</w:t>
            </w:r>
            <w:r>
              <w:rPr>
                <w:rFonts w:hint="eastAsia"/>
                <w:color w:val="auto"/>
              </w:rPr>
              <w:t>。在每一干燥段后设置有足够长的缓苏段，使粮粒内外的温度和湿度梯度达到平衡一致，确保粮食烘后品质。经烘干、缓苏后的粮食在烘干机底部被冷风机送入的冷风冷却，确保出机玉米温度在安全范围内。冷却后的玉米由烘干机的排粮机构排出，经过输送机等设备输送后入库暂存。</w:t>
            </w:r>
          </w:p>
          <w:p w14:paraId="7A3076F3">
            <w:pPr>
              <w:pStyle w:val="39"/>
              <w:bidi w:val="0"/>
              <w:rPr>
                <w:rFonts w:hint="eastAsia"/>
                <w:color w:val="auto"/>
                <w:lang w:val="en-US" w:eastAsia="zh-CN"/>
              </w:rPr>
            </w:pPr>
            <w:r>
              <w:rPr>
                <w:rFonts w:hint="eastAsia"/>
                <w:color w:val="auto"/>
                <w:lang w:val="en-US" w:eastAsia="zh-CN"/>
              </w:rPr>
              <w:t>项目主要产物环节如下：</w:t>
            </w:r>
          </w:p>
          <w:p w14:paraId="078ED2C1">
            <w:pPr>
              <w:pStyle w:val="53"/>
              <w:bidi w:val="0"/>
              <w:rPr>
                <w:rFonts w:hint="eastAsia"/>
                <w:color w:val="auto"/>
                <w:lang w:val="en-US" w:eastAsia="zh-CN"/>
              </w:rPr>
            </w:pPr>
            <w:r>
              <w:rPr>
                <w:color w:val="auto"/>
              </w:rPr>
              <w:t>表</w:t>
            </w:r>
            <w:r>
              <w:rPr>
                <w:rFonts w:hint="eastAsia"/>
                <w:color w:val="auto"/>
                <w:lang w:val="en-US" w:eastAsia="zh-CN"/>
              </w:rPr>
              <w:t>2-7</w:t>
            </w:r>
            <w:r>
              <w:rPr>
                <w:color w:val="auto"/>
              </w:rPr>
              <w:t xml:space="preserve">   </w:t>
            </w:r>
            <w:r>
              <w:rPr>
                <w:rFonts w:hint="eastAsia"/>
                <w:color w:val="auto"/>
                <w:lang w:val="en-US" w:eastAsia="zh-CN"/>
              </w:rPr>
              <w:t>玉米加工</w:t>
            </w:r>
            <w:r>
              <w:rPr>
                <w:color w:val="auto"/>
              </w:rPr>
              <w:t>产污点分析一览表</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292"/>
              <w:gridCol w:w="1737"/>
              <w:gridCol w:w="1352"/>
              <w:gridCol w:w="2252"/>
            </w:tblGrid>
            <w:tr w14:paraId="14B4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Align w:val="top"/>
                </w:tcPr>
                <w:p w14:paraId="2AD78297">
                  <w:pPr>
                    <w:pStyle w:val="42"/>
                    <w:bidi w:val="0"/>
                    <w:rPr>
                      <w:rFonts w:hint="default"/>
                      <w:color w:val="auto"/>
                      <w:lang w:val="en-US" w:eastAsia="zh-CN"/>
                    </w:rPr>
                  </w:pPr>
                  <w:r>
                    <w:rPr>
                      <w:rFonts w:hint="eastAsia"/>
                      <w:color w:val="auto"/>
                      <w:lang w:val="en-US" w:eastAsia="zh-CN"/>
                    </w:rPr>
                    <w:t>项目</w:t>
                  </w:r>
                </w:p>
              </w:tc>
              <w:tc>
                <w:tcPr>
                  <w:tcW w:w="1292" w:type="dxa"/>
                  <w:vAlign w:val="top"/>
                </w:tcPr>
                <w:p w14:paraId="48DB4EFC">
                  <w:pPr>
                    <w:pStyle w:val="42"/>
                    <w:bidi w:val="0"/>
                    <w:rPr>
                      <w:rFonts w:hint="default"/>
                      <w:color w:val="auto"/>
                      <w:lang w:val="en-US" w:eastAsia="zh-CN"/>
                    </w:rPr>
                  </w:pPr>
                  <w:r>
                    <w:rPr>
                      <w:rFonts w:hint="eastAsia"/>
                      <w:color w:val="auto"/>
                      <w:lang w:val="en-US" w:eastAsia="zh-CN"/>
                    </w:rPr>
                    <w:t>产污工序</w:t>
                  </w:r>
                </w:p>
              </w:tc>
              <w:tc>
                <w:tcPr>
                  <w:tcW w:w="1737" w:type="dxa"/>
                  <w:vAlign w:val="top"/>
                </w:tcPr>
                <w:p w14:paraId="1619DE47">
                  <w:pPr>
                    <w:pStyle w:val="42"/>
                    <w:bidi w:val="0"/>
                    <w:rPr>
                      <w:rFonts w:hint="default"/>
                      <w:color w:val="auto"/>
                      <w:lang w:val="en-US" w:eastAsia="zh-CN"/>
                    </w:rPr>
                  </w:pPr>
                  <w:r>
                    <w:rPr>
                      <w:rFonts w:hint="eastAsia"/>
                      <w:color w:val="auto"/>
                      <w:lang w:val="en-US" w:eastAsia="zh-CN"/>
                    </w:rPr>
                    <w:t>污染物</w:t>
                  </w:r>
                </w:p>
              </w:tc>
              <w:tc>
                <w:tcPr>
                  <w:tcW w:w="1352" w:type="dxa"/>
                  <w:vAlign w:val="top"/>
                </w:tcPr>
                <w:p w14:paraId="624F36ED">
                  <w:pPr>
                    <w:pStyle w:val="42"/>
                    <w:bidi w:val="0"/>
                    <w:rPr>
                      <w:rFonts w:hint="default"/>
                      <w:color w:val="auto"/>
                      <w:lang w:val="en-US" w:eastAsia="zh-CN"/>
                    </w:rPr>
                  </w:pPr>
                  <w:r>
                    <w:rPr>
                      <w:rFonts w:hint="eastAsia"/>
                      <w:color w:val="auto"/>
                      <w:lang w:val="en-US" w:eastAsia="zh-CN"/>
                    </w:rPr>
                    <w:t>排放形式</w:t>
                  </w:r>
                </w:p>
              </w:tc>
              <w:tc>
                <w:tcPr>
                  <w:tcW w:w="2252" w:type="dxa"/>
                  <w:vAlign w:val="top"/>
                </w:tcPr>
                <w:p w14:paraId="0D0EF2C6">
                  <w:pPr>
                    <w:pStyle w:val="42"/>
                    <w:bidi w:val="0"/>
                    <w:rPr>
                      <w:rFonts w:hint="default"/>
                      <w:color w:val="auto"/>
                      <w:lang w:val="en-US" w:eastAsia="zh-CN"/>
                    </w:rPr>
                  </w:pPr>
                  <w:r>
                    <w:rPr>
                      <w:rFonts w:hint="eastAsia"/>
                      <w:color w:val="auto"/>
                      <w:lang w:val="en-US" w:eastAsia="zh-CN"/>
                    </w:rPr>
                    <w:t>主要污染因子</w:t>
                  </w:r>
                </w:p>
              </w:tc>
            </w:tr>
            <w:tr w14:paraId="6390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restart"/>
                  <w:vAlign w:val="top"/>
                </w:tcPr>
                <w:p w14:paraId="3ED15D76">
                  <w:pPr>
                    <w:pStyle w:val="42"/>
                    <w:bidi w:val="0"/>
                    <w:rPr>
                      <w:rFonts w:hint="default"/>
                      <w:color w:val="auto"/>
                      <w:lang w:val="en-US" w:eastAsia="zh-CN"/>
                    </w:rPr>
                  </w:pPr>
                  <w:r>
                    <w:rPr>
                      <w:rFonts w:hint="eastAsia"/>
                      <w:color w:val="auto"/>
                      <w:lang w:val="en-US" w:eastAsia="zh-CN"/>
                    </w:rPr>
                    <w:t>废气</w:t>
                  </w:r>
                </w:p>
              </w:tc>
              <w:tc>
                <w:tcPr>
                  <w:tcW w:w="1292" w:type="dxa"/>
                  <w:vAlign w:val="top"/>
                </w:tcPr>
                <w:p w14:paraId="2C338202">
                  <w:pPr>
                    <w:pStyle w:val="42"/>
                    <w:bidi w:val="0"/>
                    <w:rPr>
                      <w:rFonts w:hint="default"/>
                      <w:color w:val="auto"/>
                      <w:lang w:val="en-US" w:eastAsia="zh-CN"/>
                    </w:rPr>
                  </w:pPr>
                  <w:r>
                    <w:rPr>
                      <w:rFonts w:hint="eastAsia"/>
                      <w:color w:val="auto"/>
                      <w:lang w:val="en-US" w:eastAsia="zh-CN"/>
                    </w:rPr>
                    <w:t>堆场</w:t>
                  </w:r>
                </w:p>
              </w:tc>
              <w:tc>
                <w:tcPr>
                  <w:tcW w:w="1737" w:type="dxa"/>
                  <w:vAlign w:val="top"/>
                </w:tcPr>
                <w:p w14:paraId="4143BD75">
                  <w:pPr>
                    <w:pStyle w:val="42"/>
                    <w:bidi w:val="0"/>
                    <w:rPr>
                      <w:rFonts w:hint="default"/>
                      <w:color w:val="auto"/>
                      <w:lang w:val="en-US" w:eastAsia="zh-CN"/>
                    </w:rPr>
                  </w:pPr>
                  <w:r>
                    <w:rPr>
                      <w:rFonts w:hint="eastAsia"/>
                      <w:color w:val="auto"/>
                      <w:lang w:val="en-US" w:eastAsia="zh-CN"/>
                    </w:rPr>
                    <w:t>装卸粉尘</w:t>
                  </w:r>
                </w:p>
              </w:tc>
              <w:tc>
                <w:tcPr>
                  <w:tcW w:w="1352" w:type="dxa"/>
                  <w:vAlign w:val="top"/>
                </w:tcPr>
                <w:p w14:paraId="0DAEF883">
                  <w:pPr>
                    <w:pStyle w:val="42"/>
                    <w:bidi w:val="0"/>
                    <w:rPr>
                      <w:rFonts w:hint="default"/>
                      <w:color w:val="auto"/>
                      <w:lang w:val="en-US" w:eastAsia="zh-CN"/>
                    </w:rPr>
                  </w:pPr>
                  <w:r>
                    <w:rPr>
                      <w:rFonts w:hint="eastAsia"/>
                      <w:color w:val="auto"/>
                      <w:lang w:val="en-US" w:eastAsia="zh-CN"/>
                    </w:rPr>
                    <w:t>无组织</w:t>
                  </w:r>
                </w:p>
              </w:tc>
              <w:tc>
                <w:tcPr>
                  <w:tcW w:w="2252" w:type="dxa"/>
                  <w:vAlign w:val="top"/>
                </w:tcPr>
                <w:p w14:paraId="73BB9498">
                  <w:pPr>
                    <w:pStyle w:val="42"/>
                    <w:bidi w:val="0"/>
                    <w:rPr>
                      <w:rFonts w:hint="default"/>
                      <w:color w:val="auto"/>
                      <w:lang w:val="en-US" w:eastAsia="zh-CN"/>
                    </w:rPr>
                  </w:pPr>
                  <w:r>
                    <w:rPr>
                      <w:rFonts w:hint="eastAsia"/>
                      <w:color w:val="auto"/>
                      <w:lang w:val="en-US" w:eastAsia="zh-CN"/>
                    </w:rPr>
                    <w:t>颗粒物</w:t>
                  </w:r>
                </w:p>
              </w:tc>
            </w:tr>
            <w:tr w14:paraId="0B35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vAlign w:val="top"/>
                </w:tcPr>
                <w:p w14:paraId="7ED2FEB9">
                  <w:pPr>
                    <w:pStyle w:val="42"/>
                    <w:bidi w:val="0"/>
                    <w:rPr>
                      <w:rFonts w:hint="eastAsia"/>
                      <w:color w:val="auto"/>
                      <w:lang w:val="en-US" w:eastAsia="zh-CN"/>
                    </w:rPr>
                  </w:pPr>
                </w:p>
              </w:tc>
              <w:tc>
                <w:tcPr>
                  <w:tcW w:w="1292" w:type="dxa"/>
                  <w:vAlign w:val="top"/>
                </w:tcPr>
                <w:p w14:paraId="7420E03F">
                  <w:pPr>
                    <w:pStyle w:val="42"/>
                    <w:bidi w:val="0"/>
                    <w:rPr>
                      <w:rFonts w:hint="default"/>
                      <w:color w:val="auto"/>
                      <w:lang w:val="en-US" w:eastAsia="zh-CN"/>
                    </w:rPr>
                  </w:pPr>
                  <w:r>
                    <w:rPr>
                      <w:rFonts w:hint="eastAsia"/>
                      <w:color w:val="auto"/>
                      <w:lang w:val="en-US" w:eastAsia="zh-CN"/>
                    </w:rPr>
                    <w:t>烘干</w:t>
                  </w:r>
                </w:p>
              </w:tc>
              <w:tc>
                <w:tcPr>
                  <w:tcW w:w="1737" w:type="dxa"/>
                  <w:vAlign w:val="top"/>
                </w:tcPr>
                <w:p w14:paraId="32D84978">
                  <w:pPr>
                    <w:pStyle w:val="42"/>
                    <w:bidi w:val="0"/>
                    <w:rPr>
                      <w:rFonts w:hint="default"/>
                      <w:color w:val="auto"/>
                      <w:lang w:val="en-US" w:eastAsia="zh-CN"/>
                    </w:rPr>
                  </w:pPr>
                  <w:r>
                    <w:rPr>
                      <w:rFonts w:hint="eastAsia"/>
                      <w:color w:val="auto"/>
                      <w:lang w:val="en-US" w:eastAsia="zh-CN"/>
                    </w:rPr>
                    <w:t>烘干废气</w:t>
                  </w:r>
                </w:p>
              </w:tc>
              <w:tc>
                <w:tcPr>
                  <w:tcW w:w="1352" w:type="dxa"/>
                  <w:vAlign w:val="top"/>
                </w:tcPr>
                <w:p w14:paraId="2046A21F">
                  <w:pPr>
                    <w:pStyle w:val="42"/>
                    <w:bidi w:val="0"/>
                    <w:rPr>
                      <w:rFonts w:hint="default"/>
                      <w:color w:val="auto"/>
                      <w:lang w:val="en-US" w:eastAsia="zh-CN"/>
                    </w:rPr>
                  </w:pPr>
                  <w:r>
                    <w:rPr>
                      <w:rFonts w:hint="eastAsia"/>
                      <w:color w:val="auto"/>
                      <w:lang w:val="en-US" w:eastAsia="zh-CN"/>
                    </w:rPr>
                    <w:t>有组织</w:t>
                  </w:r>
                </w:p>
              </w:tc>
              <w:tc>
                <w:tcPr>
                  <w:tcW w:w="2252" w:type="dxa"/>
                  <w:vAlign w:val="top"/>
                </w:tcPr>
                <w:p w14:paraId="2F231699">
                  <w:pPr>
                    <w:pStyle w:val="42"/>
                    <w:bidi w:val="0"/>
                    <w:rPr>
                      <w:rFonts w:hint="default"/>
                      <w:color w:val="auto"/>
                      <w:lang w:val="en-US" w:eastAsia="zh-CN"/>
                    </w:rPr>
                  </w:pPr>
                  <w:r>
                    <w:rPr>
                      <w:rFonts w:hint="eastAsia"/>
                      <w:color w:val="auto"/>
                      <w:lang w:val="en-US" w:eastAsia="zh-CN"/>
                    </w:rPr>
                    <w:t>氮氧化物、二氧化硫、颗粒物、汞及其化合物</w:t>
                  </w:r>
                </w:p>
              </w:tc>
            </w:tr>
            <w:tr w14:paraId="7F64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Align w:val="top"/>
                </w:tcPr>
                <w:p w14:paraId="2DB53C25">
                  <w:pPr>
                    <w:pStyle w:val="42"/>
                    <w:bidi w:val="0"/>
                    <w:ind w:firstLine="0" w:firstLineChars="0"/>
                    <w:rPr>
                      <w:rFonts w:hint="default"/>
                      <w:color w:val="auto"/>
                      <w:lang w:val="en-US" w:eastAsia="zh-CN"/>
                    </w:rPr>
                  </w:pPr>
                  <w:r>
                    <w:rPr>
                      <w:rFonts w:hint="eastAsia"/>
                      <w:color w:val="auto"/>
                      <w:lang w:val="en-US" w:eastAsia="zh-CN"/>
                    </w:rPr>
                    <w:t>固废</w:t>
                  </w:r>
                </w:p>
              </w:tc>
              <w:tc>
                <w:tcPr>
                  <w:tcW w:w="1292" w:type="dxa"/>
                  <w:vAlign w:val="top"/>
                </w:tcPr>
                <w:p w14:paraId="0961DD0E">
                  <w:pPr>
                    <w:pStyle w:val="42"/>
                    <w:bidi w:val="0"/>
                    <w:ind w:firstLine="0" w:firstLineChars="0"/>
                    <w:rPr>
                      <w:rFonts w:hint="default"/>
                      <w:color w:val="auto"/>
                      <w:lang w:val="en-US" w:eastAsia="zh-CN"/>
                    </w:rPr>
                  </w:pPr>
                  <w:r>
                    <w:rPr>
                      <w:rFonts w:hint="eastAsia"/>
                      <w:color w:val="auto"/>
                      <w:lang w:val="en-US" w:eastAsia="zh-CN"/>
                    </w:rPr>
                    <w:t>筛分</w:t>
                  </w:r>
                </w:p>
              </w:tc>
              <w:tc>
                <w:tcPr>
                  <w:tcW w:w="1737" w:type="dxa"/>
                  <w:vAlign w:val="top"/>
                </w:tcPr>
                <w:p w14:paraId="23E18FEF">
                  <w:pPr>
                    <w:pStyle w:val="42"/>
                    <w:bidi w:val="0"/>
                    <w:ind w:firstLine="0" w:firstLineChars="0"/>
                    <w:rPr>
                      <w:rFonts w:hint="default"/>
                      <w:color w:val="auto"/>
                      <w:lang w:val="en-US" w:eastAsia="zh-CN"/>
                    </w:rPr>
                  </w:pPr>
                  <w:r>
                    <w:rPr>
                      <w:rFonts w:hint="eastAsia"/>
                      <w:color w:val="auto"/>
                      <w:lang w:val="en-US" w:eastAsia="zh-CN"/>
                    </w:rPr>
                    <w:t>杂质</w:t>
                  </w:r>
                </w:p>
              </w:tc>
              <w:tc>
                <w:tcPr>
                  <w:tcW w:w="1352" w:type="dxa"/>
                  <w:vAlign w:val="top"/>
                </w:tcPr>
                <w:p w14:paraId="372983C8">
                  <w:pPr>
                    <w:pStyle w:val="42"/>
                    <w:bidi w:val="0"/>
                    <w:ind w:firstLine="0" w:firstLineChars="0"/>
                    <w:rPr>
                      <w:rFonts w:hint="default"/>
                      <w:color w:val="auto"/>
                      <w:lang w:val="en-US" w:eastAsia="zh-CN"/>
                    </w:rPr>
                  </w:pPr>
                  <w:r>
                    <w:rPr>
                      <w:rFonts w:hint="eastAsia"/>
                      <w:color w:val="auto"/>
                      <w:lang w:val="en-US" w:eastAsia="zh-CN"/>
                    </w:rPr>
                    <w:t>/</w:t>
                  </w:r>
                </w:p>
              </w:tc>
              <w:tc>
                <w:tcPr>
                  <w:tcW w:w="2252" w:type="dxa"/>
                  <w:vAlign w:val="top"/>
                </w:tcPr>
                <w:p w14:paraId="122FB9DD">
                  <w:pPr>
                    <w:pStyle w:val="42"/>
                    <w:bidi w:val="0"/>
                    <w:ind w:firstLine="0" w:firstLineChars="0"/>
                    <w:rPr>
                      <w:rFonts w:hint="eastAsia"/>
                      <w:color w:val="auto"/>
                      <w:lang w:val="en-US" w:eastAsia="zh-CN"/>
                    </w:rPr>
                  </w:pPr>
                  <w:r>
                    <w:rPr>
                      <w:rFonts w:hint="eastAsia"/>
                      <w:color w:val="auto"/>
                      <w:lang w:val="en-US" w:eastAsia="zh-CN"/>
                    </w:rPr>
                    <w:t>砂石、玉米糠麸</w:t>
                  </w:r>
                </w:p>
              </w:tc>
            </w:tr>
            <w:tr w14:paraId="13A1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Align w:val="top"/>
                </w:tcPr>
                <w:p w14:paraId="28799BAC">
                  <w:pPr>
                    <w:pStyle w:val="42"/>
                    <w:bidi w:val="0"/>
                    <w:ind w:firstLine="0" w:firstLineChars="0"/>
                    <w:rPr>
                      <w:rFonts w:hint="eastAsia"/>
                      <w:color w:val="auto"/>
                      <w:lang w:val="en-US" w:eastAsia="zh-CN"/>
                    </w:rPr>
                  </w:pPr>
                  <w:r>
                    <w:rPr>
                      <w:rFonts w:hint="eastAsia"/>
                      <w:color w:val="auto"/>
                      <w:lang w:val="en-US" w:eastAsia="zh-CN"/>
                    </w:rPr>
                    <w:t>噪声</w:t>
                  </w:r>
                </w:p>
              </w:tc>
              <w:tc>
                <w:tcPr>
                  <w:tcW w:w="1292" w:type="dxa"/>
                  <w:vAlign w:val="top"/>
                </w:tcPr>
                <w:p w14:paraId="71E19577">
                  <w:pPr>
                    <w:pStyle w:val="42"/>
                    <w:bidi w:val="0"/>
                    <w:ind w:firstLine="0" w:firstLineChars="0"/>
                    <w:rPr>
                      <w:rFonts w:hint="eastAsia"/>
                      <w:color w:val="auto"/>
                      <w:lang w:val="en-US" w:eastAsia="zh-CN"/>
                    </w:rPr>
                  </w:pPr>
                  <w:r>
                    <w:rPr>
                      <w:rFonts w:hint="eastAsia"/>
                      <w:color w:val="auto"/>
                      <w:lang w:val="en-US" w:eastAsia="zh-CN"/>
                    </w:rPr>
                    <w:t>筛分等</w:t>
                  </w:r>
                </w:p>
              </w:tc>
              <w:tc>
                <w:tcPr>
                  <w:tcW w:w="1737" w:type="dxa"/>
                  <w:vAlign w:val="top"/>
                </w:tcPr>
                <w:p w14:paraId="677BFCCD">
                  <w:pPr>
                    <w:pStyle w:val="42"/>
                    <w:bidi w:val="0"/>
                    <w:ind w:firstLine="0" w:firstLineChars="0"/>
                    <w:rPr>
                      <w:rFonts w:hint="eastAsia"/>
                      <w:color w:val="auto"/>
                      <w:lang w:val="en-US" w:eastAsia="zh-CN"/>
                    </w:rPr>
                  </w:pPr>
                  <w:r>
                    <w:rPr>
                      <w:rFonts w:hint="eastAsia"/>
                      <w:color w:val="auto"/>
                      <w:lang w:val="en-US" w:eastAsia="zh-CN"/>
                    </w:rPr>
                    <w:t>噪声</w:t>
                  </w:r>
                </w:p>
              </w:tc>
              <w:tc>
                <w:tcPr>
                  <w:tcW w:w="1352" w:type="dxa"/>
                  <w:vAlign w:val="top"/>
                </w:tcPr>
                <w:p w14:paraId="095BB263">
                  <w:pPr>
                    <w:pStyle w:val="42"/>
                    <w:bidi w:val="0"/>
                    <w:ind w:firstLine="0" w:firstLineChars="0"/>
                    <w:rPr>
                      <w:rFonts w:hint="eastAsia"/>
                      <w:color w:val="auto"/>
                      <w:lang w:val="en-US" w:eastAsia="zh-CN"/>
                    </w:rPr>
                  </w:pPr>
                  <w:r>
                    <w:rPr>
                      <w:rFonts w:hint="eastAsia"/>
                      <w:color w:val="auto"/>
                      <w:lang w:val="en-US" w:eastAsia="zh-CN"/>
                    </w:rPr>
                    <w:t>/</w:t>
                  </w:r>
                </w:p>
              </w:tc>
              <w:tc>
                <w:tcPr>
                  <w:tcW w:w="2252" w:type="dxa"/>
                  <w:vAlign w:val="top"/>
                </w:tcPr>
                <w:p w14:paraId="13F9B5D5">
                  <w:pPr>
                    <w:pStyle w:val="42"/>
                    <w:bidi w:val="0"/>
                    <w:ind w:firstLine="0" w:firstLineChars="0"/>
                    <w:rPr>
                      <w:rFonts w:hint="eastAsia"/>
                      <w:color w:val="auto"/>
                      <w:lang w:val="en-US" w:eastAsia="zh-CN"/>
                    </w:rPr>
                  </w:pPr>
                  <w:r>
                    <w:rPr>
                      <w:rFonts w:hint="eastAsia"/>
                      <w:color w:val="auto"/>
                      <w:lang w:val="en-US" w:eastAsia="zh-CN"/>
                    </w:rPr>
                    <w:t>等效连续A声级</w:t>
                  </w:r>
                </w:p>
              </w:tc>
            </w:tr>
          </w:tbl>
          <w:p w14:paraId="58252432">
            <w:pPr>
              <w:pStyle w:val="5"/>
              <w:bidi w:val="0"/>
              <w:rPr>
                <w:rFonts w:hint="eastAsia"/>
                <w:color w:val="auto"/>
                <w:lang w:val="en-US" w:eastAsia="zh-CN"/>
              </w:rPr>
            </w:pPr>
            <w:r>
              <w:rPr>
                <w:rFonts w:hint="eastAsia"/>
                <w:color w:val="auto"/>
                <w:lang w:val="en-US" w:eastAsia="zh-CN"/>
              </w:rPr>
              <w:t>2.9.3物料平衡</w:t>
            </w:r>
          </w:p>
          <w:p w14:paraId="6E3275B0">
            <w:pPr>
              <w:pStyle w:val="39"/>
              <w:bidi w:val="0"/>
              <w:rPr>
                <w:rFonts w:hint="eastAsia"/>
                <w:color w:val="auto"/>
                <w:lang w:val="en-US" w:eastAsia="zh-CN"/>
              </w:rPr>
            </w:pPr>
            <w:r>
              <w:rPr>
                <w:rFonts w:hint="eastAsia"/>
                <w:color w:val="auto"/>
                <w:lang w:val="en-US" w:eastAsia="zh-CN"/>
              </w:rPr>
              <w:t>（1）物料平衡</w:t>
            </w:r>
          </w:p>
          <w:p w14:paraId="68D39483">
            <w:pPr>
              <w:pStyle w:val="39"/>
              <w:bidi w:val="0"/>
              <w:rPr>
                <w:rFonts w:hint="eastAsia"/>
                <w:color w:val="auto"/>
                <w:lang w:val="en-US" w:eastAsia="zh-CN"/>
              </w:rPr>
            </w:pPr>
            <w:r>
              <w:rPr>
                <w:rFonts w:hint="eastAsia"/>
                <w:color w:val="auto"/>
                <w:lang w:val="en-US" w:eastAsia="zh-CN"/>
              </w:rPr>
              <w:t>项目物料平衡一览表如下：</w:t>
            </w:r>
          </w:p>
          <w:p w14:paraId="7F1D902F">
            <w:pPr>
              <w:pStyle w:val="53"/>
              <w:bidi w:val="0"/>
              <w:rPr>
                <w:rFonts w:hint="default"/>
                <w:color w:val="auto"/>
                <w:lang w:val="en-US" w:eastAsia="zh-CN"/>
              </w:rPr>
            </w:pPr>
            <w:r>
              <w:rPr>
                <w:rFonts w:hint="eastAsia"/>
                <w:color w:val="auto"/>
                <w:lang w:val="en-US" w:eastAsia="zh-CN"/>
              </w:rPr>
              <w:t>表2-8   项目物料平衡一览表</w:t>
            </w:r>
          </w:p>
          <w:tbl>
            <w:tblPr>
              <w:tblStyle w:val="31"/>
              <w:tblW w:w="76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5"/>
              <w:gridCol w:w="1195"/>
              <w:gridCol w:w="1056"/>
              <w:gridCol w:w="2110"/>
              <w:gridCol w:w="2097"/>
            </w:tblGrid>
            <w:tr w14:paraId="1338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4285">
                  <w:pPr>
                    <w:pStyle w:val="42"/>
                    <w:bidi w:val="0"/>
                    <w:rPr>
                      <w:rFonts w:hint="eastAsia"/>
                      <w:color w:val="auto"/>
                    </w:rPr>
                  </w:pPr>
                  <w:r>
                    <w:rPr>
                      <w:rFonts w:hint="eastAsia"/>
                      <w:color w:val="auto"/>
                      <w:lang w:val="en-US" w:eastAsia="zh-CN"/>
                    </w:rPr>
                    <w:t>工序</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B20E">
                  <w:pPr>
                    <w:pStyle w:val="42"/>
                    <w:bidi w:val="0"/>
                    <w:rPr>
                      <w:rFonts w:hint="eastAsia"/>
                      <w:color w:val="auto"/>
                    </w:rPr>
                  </w:pPr>
                  <w:r>
                    <w:rPr>
                      <w:rFonts w:hint="eastAsia"/>
                      <w:color w:val="auto"/>
                      <w:lang w:val="en-US" w:eastAsia="zh-CN"/>
                    </w:rPr>
                    <w:t>进料</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1A60">
                  <w:pPr>
                    <w:pStyle w:val="42"/>
                    <w:bidi w:val="0"/>
                    <w:rPr>
                      <w:rFonts w:hint="eastAsia"/>
                      <w:color w:val="auto"/>
                    </w:rPr>
                  </w:pPr>
                  <w:r>
                    <w:rPr>
                      <w:rFonts w:hint="eastAsia"/>
                      <w:color w:val="auto"/>
                      <w:lang w:val="en-US" w:eastAsia="zh-CN"/>
                    </w:rPr>
                    <w:t>t/a</w:t>
                  </w: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EDCF">
                  <w:pPr>
                    <w:pStyle w:val="42"/>
                    <w:bidi w:val="0"/>
                    <w:rPr>
                      <w:rFonts w:hint="eastAsia"/>
                      <w:color w:val="auto"/>
                    </w:rPr>
                  </w:pPr>
                  <w:r>
                    <w:rPr>
                      <w:rFonts w:hint="eastAsia"/>
                      <w:color w:val="auto"/>
                      <w:lang w:val="en-US" w:eastAsia="zh-CN"/>
                    </w:rPr>
                    <w:t>出料</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CD22">
                  <w:pPr>
                    <w:pStyle w:val="42"/>
                    <w:bidi w:val="0"/>
                    <w:rPr>
                      <w:rFonts w:hint="eastAsia"/>
                      <w:color w:val="auto"/>
                    </w:rPr>
                  </w:pPr>
                  <w:r>
                    <w:rPr>
                      <w:rFonts w:hint="eastAsia"/>
                      <w:color w:val="auto"/>
                      <w:lang w:val="en-US" w:eastAsia="zh-CN"/>
                    </w:rPr>
                    <w:t>t/a</w:t>
                  </w:r>
                </w:p>
              </w:tc>
            </w:tr>
            <w:tr w14:paraId="5400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95" w:type="dxa"/>
                  <w:vMerge w:val="restart"/>
                  <w:tcBorders>
                    <w:top w:val="single" w:color="000000" w:sz="4" w:space="0"/>
                    <w:left w:val="single" w:color="000000" w:sz="4" w:space="0"/>
                    <w:right w:val="single" w:color="000000" w:sz="4" w:space="0"/>
                  </w:tcBorders>
                  <w:shd w:val="clear" w:color="auto" w:fill="auto"/>
                  <w:vAlign w:val="center"/>
                </w:tcPr>
                <w:p w14:paraId="432D62A8">
                  <w:pPr>
                    <w:pStyle w:val="42"/>
                    <w:bidi w:val="0"/>
                    <w:rPr>
                      <w:rFonts w:hint="eastAsia"/>
                      <w:color w:val="auto"/>
                    </w:rPr>
                  </w:pPr>
                  <w:r>
                    <w:rPr>
                      <w:rFonts w:hint="eastAsia"/>
                      <w:color w:val="auto"/>
                      <w:lang w:val="en-US" w:eastAsia="zh-CN"/>
                    </w:rPr>
                    <w:t>玉米</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3E0B">
                  <w:pPr>
                    <w:pStyle w:val="42"/>
                    <w:bidi w:val="0"/>
                    <w:rPr>
                      <w:rFonts w:hint="default" w:eastAsia="宋体"/>
                      <w:color w:val="auto"/>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747C">
                  <w:pPr>
                    <w:pStyle w:val="42"/>
                    <w:bidi w:val="0"/>
                    <w:rPr>
                      <w:rFonts w:hint="default" w:eastAsia="宋体"/>
                      <w:color w:val="auto"/>
                      <w:lang w:val="en-US" w:eastAsia="zh-CN"/>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FBAF">
                  <w:pPr>
                    <w:pStyle w:val="42"/>
                    <w:bidi w:val="0"/>
                    <w:rPr>
                      <w:rFonts w:hint="default" w:eastAsia="宋体"/>
                      <w:color w:val="auto"/>
                      <w:lang w:val="en-US" w:eastAsia="zh-CN"/>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B3E7">
                  <w:pPr>
                    <w:keepNext w:val="0"/>
                    <w:keepLines w:val="0"/>
                    <w:widowControl/>
                    <w:suppressLineNumbers w:val="0"/>
                    <w:jc w:val="center"/>
                    <w:textAlignment w:val="center"/>
                    <w:rPr>
                      <w:rFonts w:hint="default"/>
                      <w:lang w:val="en-US" w:eastAsia="zh-CN"/>
                    </w:rPr>
                  </w:pPr>
                </w:p>
              </w:tc>
            </w:tr>
            <w:tr w14:paraId="7899B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95" w:type="dxa"/>
                  <w:vMerge w:val="continue"/>
                  <w:tcBorders>
                    <w:left w:val="single" w:color="000000" w:sz="4" w:space="0"/>
                    <w:right w:val="single" w:color="000000" w:sz="4" w:space="0"/>
                  </w:tcBorders>
                  <w:shd w:val="clear" w:color="auto" w:fill="auto"/>
                  <w:vAlign w:val="center"/>
                </w:tcPr>
                <w:p w14:paraId="235E441E">
                  <w:pPr>
                    <w:pStyle w:val="42"/>
                    <w:bidi w:val="0"/>
                    <w:rPr>
                      <w:rFonts w:hint="eastAsia"/>
                      <w:color w:val="auto"/>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6E87">
                  <w:pPr>
                    <w:pStyle w:val="42"/>
                    <w:bidi w:val="0"/>
                    <w:rPr>
                      <w:rFonts w:hint="eastAsia"/>
                      <w:color w:val="auto"/>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FB2">
                  <w:pPr>
                    <w:pStyle w:val="42"/>
                    <w:bidi w:val="0"/>
                    <w:rPr>
                      <w:rFonts w:hint="eastAsia"/>
                      <w:color w:val="auto"/>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22E5">
                  <w:pPr>
                    <w:pStyle w:val="42"/>
                    <w:bidi w:val="0"/>
                    <w:rPr>
                      <w:rFonts w:hint="default" w:eastAsia="宋体"/>
                      <w:color w:val="0000FF"/>
                      <w:lang w:val="en-US" w:eastAsia="zh-CN"/>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5397">
                  <w:pPr>
                    <w:keepNext w:val="0"/>
                    <w:keepLines w:val="0"/>
                    <w:widowControl/>
                    <w:suppressLineNumbers w:val="0"/>
                    <w:jc w:val="center"/>
                    <w:textAlignment w:val="center"/>
                    <w:rPr>
                      <w:rFonts w:hint="default"/>
                      <w:lang w:val="en-US"/>
                    </w:rPr>
                  </w:pPr>
                </w:p>
              </w:tc>
            </w:tr>
            <w:tr w14:paraId="0B40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95" w:type="dxa"/>
                  <w:vMerge w:val="continue"/>
                  <w:tcBorders>
                    <w:left w:val="single" w:color="000000" w:sz="4" w:space="0"/>
                    <w:right w:val="single" w:color="000000" w:sz="4" w:space="0"/>
                  </w:tcBorders>
                  <w:shd w:val="clear" w:color="auto" w:fill="auto"/>
                  <w:vAlign w:val="center"/>
                </w:tcPr>
                <w:p w14:paraId="4B58A9AC">
                  <w:pPr>
                    <w:pStyle w:val="42"/>
                    <w:bidi w:val="0"/>
                    <w:rPr>
                      <w:rFonts w:hint="eastAsia"/>
                      <w:color w:val="auto"/>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C1DE">
                  <w:pPr>
                    <w:pStyle w:val="42"/>
                    <w:bidi w:val="0"/>
                    <w:rPr>
                      <w:rFonts w:hint="eastAsia"/>
                      <w:color w:val="auto"/>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D812">
                  <w:pPr>
                    <w:pStyle w:val="42"/>
                    <w:bidi w:val="0"/>
                    <w:rPr>
                      <w:rFonts w:hint="eastAsia"/>
                      <w:color w:val="auto"/>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77F6">
                  <w:pPr>
                    <w:pStyle w:val="42"/>
                    <w:bidi w:val="0"/>
                    <w:rPr>
                      <w:rFonts w:hint="eastAsia" w:eastAsia="宋体"/>
                      <w:color w:val="0000FF"/>
                      <w:lang w:val="en-US" w:eastAsia="zh-CN"/>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3AA6">
                  <w:pPr>
                    <w:keepNext w:val="0"/>
                    <w:keepLines w:val="0"/>
                    <w:widowControl/>
                    <w:suppressLineNumbers w:val="0"/>
                    <w:jc w:val="center"/>
                    <w:textAlignment w:val="center"/>
                    <w:rPr>
                      <w:rFonts w:hint="default"/>
                      <w:lang w:val="en-US" w:eastAsia="zh-CN"/>
                    </w:rPr>
                  </w:pPr>
                </w:p>
              </w:tc>
            </w:tr>
            <w:tr w14:paraId="0AC2F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95" w:type="dxa"/>
                  <w:vMerge w:val="continue"/>
                  <w:tcBorders>
                    <w:left w:val="single" w:color="000000" w:sz="4" w:space="0"/>
                    <w:right w:val="single" w:color="000000" w:sz="4" w:space="0"/>
                  </w:tcBorders>
                  <w:shd w:val="clear" w:color="auto" w:fill="auto"/>
                  <w:vAlign w:val="center"/>
                </w:tcPr>
                <w:p w14:paraId="789C060D">
                  <w:pPr>
                    <w:pStyle w:val="42"/>
                    <w:bidi w:val="0"/>
                    <w:rPr>
                      <w:rFonts w:hint="eastAsia"/>
                      <w:color w:val="auto"/>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85FD">
                  <w:pPr>
                    <w:pStyle w:val="42"/>
                    <w:bidi w:val="0"/>
                    <w:rPr>
                      <w:rFonts w:hint="eastAsia"/>
                      <w:color w:val="auto"/>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9D3E">
                  <w:pPr>
                    <w:pStyle w:val="42"/>
                    <w:bidi w:val="0"/>
                    <w:rPr>
                      <w:rFonts w:hint="eastAsia"/>
                      <w:color w:val="auto"/>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0A78">
                  <w:pPr>
                    <w:pStyle w:val="42"/>
                    <w:bidi w:val="0"/>
                    <w:rPr>
                      <w:rFonts w:hint="eastAsia" w:eastAsia="宋体"/>
                      <w:color w:val="0000FF"/>
                      <w:lang w:val="en-US" w:eastAsia="zh-CN"/>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12D2">
                  <w:pPr>
                    <w:keepNext w:val="0"/>
                    <w:keepLines w:val="0"/>
                    <w:widowControl/>
                    <w:suppressLineNumbers w:val="0"/>
                    <w:jc w:val="center"/>
                    <w:textAlignment w:val="center"/>
                    <w:rPr>
                      <w:rFonts w:hint="default"/>
                      <w:lang w:val="en-US" w:eastAsia="zh-CN"/>
                    </w:rPr>
                  </w:pPr>
                </w:p>
              </w:tc>
            </w:tr>
            <w:tr w14:paraId="2874B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95" w:type="dxa"/>
                  <w:vMerge w:val="continue"/>
                  <w:tcBorders>
                    <w:left w:val="single" w:color="000000" w:sz="4" w:space="0"/>
                    <w:bottom w:val="single" w:color="000000" w:sz="4" w:space="0"/>
                    <w:right w:val="single" w:color="000000" w:sz="4" w:space="0"/>
                  </w:tcBorders>
                  <w:shd w:val="clear" w:color="auto" w:fill="auto"/>
                  <w:vAlign w:val="center"/>
                </w:tcPr>
                <w:p w14:paraId="6A966EC4">
                  <w:pPr>
                    <w:pStyle w:val="42"/>
                    <w:bidi w:val="0"/>
                    <w:rPr>
                      <w:rFonts w:hint="eastAsia"/>
                      <w:color w:val="auto"/>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62A9">
                  <w:pPr>
                    <w:pStyle w:val="42"/>
                    <w:bidi w:val="0"/>
                    <w:rPr>
                      <w:rFonts w:hint="eastAsia"/>
                      <w:color w:val="auto"/>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1E8">
                  <w:pPr>
                    <w:pStyle w:val="42"/>
                    <w:bidi w:val="0"/>
                    <w:rPr>
                      <w:rFonts w:hint="default" w:eastAsia="宋体"/>
                      <w:color w:val="auto"/>
                      <w:lang w:val="en-US" w:eastAsia="zh-CN"/>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751D">
                  <w:pPr>
                    <w:pStyle w:val="42"/>
                    <w:bidi w:val="0"/>
                    <w:rPr>
                      <w:rFonts w:hint="eastAsia"/>
                      <w:color w:val="auto"/>
                      <w:lang w:val="en-US" w:eastAsia="zh-CN"/>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24C5">
                  <w:pPr>
                    <w:keepNext w:val="0"/>
                    <w:keepLines w:val="0"/>
                    <w:widowControl/>
                    <w:suppressLineNumbers w:val="0"/>
                    <w:jc w:val="center"/>
                    <w:textAlignment w:val="center"/>
                    <w:rPr>
                      <w:rFonts w:hint="default"/>
                      <w:lang w:val="en-US" w:eastAsia="zh-CN"/>
                    </w:rPr>
                  </w:pPr>
                </w:p>
              </w:tc>
            </w:tr>
          </w:tbl>
          <w:p w14:paraId="18B831F5">
            <w:pPr>
              <w:pStyle w:val="39"/>
              <w:ind w:left="0" w:leftChars="0" w:firstLine="0" w:firstLineChars="0"/>
              <w:rPr>
                <w:rFonts w:hint="default"/>
                <w:color w:val="auto"/>
                <w:lang w:val="en-US" w:eastAsia="zh-CN"/>
              </w:rPr>
            </w:pPr>
          </w:p>
        </w:tc>
      </w:tr>
      <w:tr w14:paraId="0F1FA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658" w:type="dxa"/>
            <w:vAlign w:val="center"/>
          </w:tcPr>
          <w:p w14:paraId="7B185B61">
            <w:pPr>
              <w:pStyle w:val="28"/>
              <w:adjustRightInd w:val="0"/>
              <w:snapToGrid w:val="0"/>
              <w:spacing w:before="0" w:beforeAutospacing="0" w:after="0" w:afterAutospacing="0"/>
              <w:jc w:val="center"/>
              <w:rPr>
                <w:rFonts w:cs="宋体"/>
                <w:color w:val="auto"/>
                <w:sz w:val="21"/>
                <w:szCs w:val="21"/>
              </w:rPr>
            </w:pPr>
            <w:r>
              <w:rPr>
                <w:rFonts w:hint="eastAsia" w:cs="宋体"/>
                <w:bCs/>
                <w:color w:val="auto"/>
                <w:kern w:val="2"/>
                <w:sz w:val="21"/>
                <w:szCs w:val="21"/>
              </w:rPr>
              <w:t>与项目有关的原有环境污染问题</w:t>
            </w:r>
          </w:p>
        </w:tc>
        <w:tc>
          <w:tcPr>
            <w:tcW w:w="8129" w:type="dxa"/>
            <w:vAlign w:val="top"/>
          </w:tcPr>
          <w:p w14:paraId="26517F3E">
            <w:pPr>
              <w:pStyle w:val="45"/>
              <w:bidi w:val="0"/>
              <w:ind w:left="0" w:leftChars="0" w:firstLine="0" w:firstLineChars="0"/>
              <w:rPr>
                <w:rFonts w:hint="default"/>
                <w:color w:val="auto"/>
                <w:lang w:val="en-US" w:eastAsia="zh-CN"/>
              </w:rPr>
            </w:pPr>
            <w:r>
              <w:rPr>
                <w:rFonts w:hint="eastAsia"/>
                <w:color w:val="auto"/>
                <w:lang w:val="en-US" w:eastAsia="zh-CN"/>
              </w:rPr>
              <w:t>无</w:t>
            </w:r>
          </w:p>
          <w:p w14:paraId="49FE2C78">
            <w:pPr>
              <w:pStyle w:val="45"/>
              <w:bidi w:val="0"/>
              <w:ind w:left="0" w:leftChars="0" w:firstLine="0" w:firstLineChars="0"/>
              <w:rPr>
                <w:rFonts w:hint="eastAsia"/>
                <w:color w:val="auto"/>
                <w:lang w:val="en-US" w:eastAsia="zh-CN"/>
              </w:rPr>
            </w:pPr>
          </w:p>
          <w:p w14:paraId="407A1530">
            <w:pPr>
              <w:pStyle w:val="45"/>
              <w:bidi w:val="0"/>
              <w:ind w:left="0" w:leftChars="0" w:firstLine="0" w:firstLineChars="0"/>
              <w:rPr>
                <w:rFonts w:hint="eastAsia"/>
                <w:color w:val="auto"/>
                <w:lang w:val="en-US" w:eastAsia="zh-CN"/>
              </w:rPr>
            </w:pPr>
          </w:p>
          <w:p w14:paraId="2575E00A">
            <w:pPr>
              <w:pStyle w:val="45"/>
              <w:bidi w:val="0"/>
              <w:ind w:left="0" w:leftChars="0" w:firstLine="0" w:firstLineChars="0"/>
              <w:rPr>
                <w:rFonts w:hint="eastAsia"/>
                <w:color w:val="auto"/>
                <w:lang w:val="en-US" w:eastAsia="zh-CN"/>
              </w:rPr>
            </w:pPr>
          </w:p>
        </w:tc>
      </w:tr>
    </w:tbl>
    <w:p w14:paraId="146FF0D1">
      <w:pPr>
        <w:pStyle w:val="28"/>
        <w:jc w:val="center"/>
        <w:outlineLvl w:val="0"/>
        <w:rPr>
          <w:rFonts w:ascii="黑体" w:hAnsi="黑体" w:eastAsia="黑体"/>
          <w:snapToGrid w:val="0"/>
          <w:color w:val="auto"/>
          <w:sz w:val="30"/>
          <w:szCs w:val="30"/>
        </w:rPr>
      </w:pPr>
      <w:bookmarkStart w:id="18" w:name="_Toc31157"/>
      <w:bookmarkStart w:id="19" w:name="_Toc7837"/>
      <w:r>
        <w:rPr>
          <w:rFonts w:hint="eastAsia" w:ascii="黑体" w:hAnsi="黑体" w:eastAsia="黑体"/>
          <w:snapToGrid w:val="0"/>
          <w:color w:val="auto"/>
          <w:sz w:val="30"/>
          <w:szCs w:val="30"/>
        </w:rPr>
        <w:t>三、区域环境质量现状、环境保护目标及评价标准</w:t>
      </w:r>
      <w:bookmarkEnd w:id="18"/>
      <w:bookmarkEnd w:id="19"/>
    </w:p>
    <w:tbl>
      <w:tblPr>
        <w:tblStyle w:val="31"/>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001"/>
      </w:tblGrid>
      <w:tr w14:paraId="22CD2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800" w:type="dxa"/>
            <w:vAlign w:val="center"/>
          </w:tcPr>
          <w:p w14:paraId="5C837D3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区域</w:t>
            </w:r>
          </w:p>
          <w:p w14:paraId="48B18536">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72341C6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质量</w:t>
            </w:r>
          </w:p>
          <w:p w14:paraId="21FC3DFF">
            <w:pPr>
              <w:adjustRightInd w:val="0"/>
              <w:snapToGrid w:val="0"/>
              <w:jc w:val="center"/>
              <w:rPr>
                <w:rFonts w:ascii="宋体" w:hAnsi="宋体" w:cs="宋体"/>
                <w:color w:val="auto"/>
                <w:kern w:val="0"/>
                <w:szCs w:val="21"/>
              </w:rPr>
            </w:pPr>
            <w:r>
              <w:rPr>
                <w:rFonts w:hint="eastAsia" w:ascii="宋体" w:hAnsi="宋体" w:cs="宋体"/>
                <w:color w:val="auto"/>
                <w:kern w:val="0"/>
                <w:szCs w:val="21"/>
              </w:rPr>
              <w:t>现状</w:t>
            </w:r>
          </w:p>
        </w:tc>
        <w:tc>
          <w:tcPr>
            <w:tcW w:w="8190" w:type="dxa"/>
            <w:vAlign w:val="center"/>
          </w:tcPr>
          <w:p w14:paraId="52BCAA08">
            <w:pPr>
              <w:pStyle w:val="5"/>
              <w:bidi w:val="0"/>
              <w:rPr>
                <w:color w:val="auto"/>
              </w:rPr>
            </w:pPr>
            <w:r>
              <w:rPr>
                <w:rFonts w:hint="eastAsia"/>
                <w:color w:val="auto"/>
              </w:rPr>
              <w:t>3.1、大气环境质量现状调查与评价</w:t>
            </w:r>
          </w:p>
          <w:p w14:paraId="37C127E6">
            <w:pPr>
              <w:pStyle w:val="41"/>
              <w:bidi w:val="0"/>
              <w:rPr>
                <w:rFonts w:hint="default"/>
                <w:color w:val="auto"/>
                <w:lang w:val="en-US" w:eastAsia="zh-CN"/>
              </w:rPr>
            </w:pPr>
            <w:r>
              <w:rPr>
                <w:rFonts w:hint="eastAsia"/>
                <w:color w:val="auto"/>
                <w:lang w:val="en-US" w:eastAsia="zh-CN"/>
              </w:rPr>
              <w:t>（1）基本污染物调查与评价</w:t>
            </w:r>
          </w:p>
          <w:p w14:paraId="742255FD">
            <w:pPr>
              <w:pStyle w:val="41"/>
              <w:bidi w:val="0"/>
              <w:rPr>
                <w:rFonts w:hint="default"/>
                <w:color w:val="auto"/>
              </w:rPr>
            </w:pPr>
            <w:r>
              <w:rPr>
                <w:rFonts w:hint="eastAsia"/>
                <w:color w:val="auto"/>
                <w:lang w:val="en-US" w:eastAsia="zh-CN"/>
              </w:rPr>
              <w:t>①</w:t>
            </w:r>
            <w:r>
              <w:rPr>
                <w:rFonts w:hint="default"/>
                <w:color w:val="auto"/>
              </w:rPr>
              <w:t>数据来源</w:t>
            </w:r>
          </w:p>
          <w:p w14:paraId="4F8818BD">
            <w:pPr>
              <w:pStyle w:val="41"/>
              <w:bidi w:val="0"/>
              <w:rPr>
                <w:rFonts w:hint="default"/>
                <w:color w:val="auto"/>
                <w:lang w:eastAsia="zh-CN"/>
              </w:rPr>
            </w:pPr>
            <w:r>
              <w:rPr>
                <w:rFonts w:hint="default"/>
                <w:color w:val="auto"/>
                <w:lang w:eastAsia="zh-CN"/>
              </w:rPr>
              <w:t>根据《建设项目环境影响报告表编制技术指南</w:t>
            </w:r>
            <w:r>
              <w:rPr>
                <w:rFonts w:hint="eastAsia"/>
                <w:color w:val="auto"/>
                <w:lang w:eastAsia="zh-CN"/>
              </w:rPr>
              <w:t>（</w:t>
            </w:r>
            <w:r>
              <w:rPr>
                <w:rFonts w:hint="default"/>
                <w:color w:val="auto"/>
                <w:lang w:eastAsia="zh-CN"/>
              </w:rPr>
              <w:t>污染影响类）</w:t>
            </w:r>
            <w:r>
              <w:rPr>
                <w:rFonts w:hint="eastAsia"/>
                <w:color w:val="auto"/>
                <w:lang w:eastAsia="zh-CN"/>
              </w:rPr>
              <w:t>（</w:t>
            </w:r>
            <w:r>
              <w:rPr>
                <w:rFonts w:hint="default"/>
                <w:color w:val="auto"/>
                <w:lang w:eastAsia="zh-CN"/>
              </w:rPr>
              <w:t>试行）》，本次评价选择环境空气质量模型技术支持服务系统</w:t>
            </w:r>
            <w:r>
              <w:rPr>
                <w:rFonts w:hint="eastAsia"/>
                <w:color w:val="auto"/>
                <w:lang w:eastAsia="zh-CN"/>
              </w:rPr>
              <w:t>（</w:t>
            </w:r>
            <w:r>
              <w:rPr>
                <w:rFonts w:hint="default"/>
                <w:color w:val="auto"/>
                <w:lang w:eastAsia="zh-CN"/>
              </w:rPr>
              <w:t>http://data.lem.org.cn/eamds/apply/tostepone.html）中生态环境部环境工程评估中心国家环境保护环境影响评价数值模拟重点实验室发布的202</w:t>
            </w:r>
            <w:r>
              <w:rPr>
                <w:rFonts w:hint="eastAsia"/>
                <w:color w:val="auto"/>
                <w:lang w:val="en-US" w:eastAsia="zh-CN"/>
              </w:rPr>
              <w:t>4</w:t>
            </w:r>
            <w:r>
              <w:rPr>
                <w:rFonts w:hint="default"/>
                <w:color w:val="auto"/>
                <w:lang w:eastAsia="zh-CN"/>
              </w:rPr>
              <w:t>年</w:t>
            </w:r>
            <w:r>
              <w:rPr>
                <w:color w:val="auto"/>
              </w:rPr>
              <w:t>塔城地区城市空气质量数据</w:t>
            </w:r>
            <w:r>
              <w:rPr>
                <w:rFonts w:hint="default"/>
                <w:color w:val="auto"/>
                <w:lang w:eastAsia="zh-CN"/>
              </w:rPr>
              <w:t>，作为本项目环境空气现状评价基本污染物SO</w:t>
            </w:r>
            <w:r>
              <w:rPr>
                <w:rFonts w:hint="default"/>
                <w:color w:val="auto"/>
                <w:vertAlign w:val="subscript"/>
                <w:lang w:eastAsia="zh-CN"/>
              </w:rPr>
              <w:t>2</w:t>
            </w:r>
            <w:r>
              <w:rPr>
                <w:rFonts w:hint="default"/>
                <w:color w:val="auto"/>
                <w:lang w:eastAsia="zh-CN"/>
              </w:rPr>
              <w:t>、NO</w:t>
            </w:r>
            <w:r>
              <w:rPr>
                <w:rFonts w:hint="default"/>
                <w:color w:val="auto"/>
                <w:vertAlign w:val="subscript"/>
                <w:lang w:eastAsia="zh-CN"/>
              </w:rPr>
              <w:t>2</w:t>
            </w:r>
            <w:r>
              <w:rPr>
                <w:rFonts w:hint="default"/>
                <w:color w:val="auto"/>
                <w:lang w:eastAsia="zh-CN"/>
              </w:rPr>
              <w:t>、PM</w:t>
            </w:r>
            <w:r>
              <w:rPr>
                <w:rFonts w:hint="default"/>
                <w:color w:val="auto"/>
                <w:vertAlign w:val="subscript"/>
                <w:lang w:eastAsia="zh-CN"/>
              </w:rPr>
              <w:t>10</w:t>
            </w:r>
            <w:r>
              <w:rPr>
                <w:rFonts w:hint="default"/>
                <w:color w:val="auto"/>
                <w:lang w:eastAsia="zh-CN"/>
              </w:rPr>
              <w:t>、PM</w:t>
            </w:r>
            <w:r>
              <w:rPr>
                <w:rFonts w:hint="default"/>
                <w:color w:val="auto"/>
                <w:vertAlign w:val="subscript"/>
                <w:lang w:eastAsia="zh-CN"/>
              </w:rPr>
              <w:t>2.5</w:t>
            </w:r>
            <w:r>
              <w:rPr>
                <w:rFonts w:hint="default"/>
                <w:color w:val="auto"/>
                <w:lang w:eastAsia="zh-CN"/>
              </w:rPr>
              <w:t>、CO和O</w:t>
            </w:r>
            <w:r>
              <w:rPr>
                <w:rFonts w:hint="default"/>
                <w:color w:val="auto"/>
                <w:vertAlign w:val="subscript"/>
                <w:lang w:eastAsia="zh-CN"/>
              </w:rPr>
              <w:t>3</w:t>
            </w:r>
            <w:r>
              <w:rPr>
                <w:rFonts w:hint="default"/>
                <w:color w:val="auto"/>
                <w:lang w:eastAsia="zh-CN"/>
              </w:rPr>
              <w:t>的数据来源。</w:t>
            </w:r>
          </w:p>
          <w:p w14:paraId="16B97717">
            <w:pPr>
              <w:pStyle w:val="45"/>
              <w:bidi w:val="0"/>
              <w:rPr>
                <w:rFonts w:hint="default"/>
                <w:color w:val="auto"/>
                <w:lang w:eastAsia="zh-CN"/>
              </w:rPr>
            </w:pPr>
            <w:r>
              <w:rPr>
                <w:rFonts w:hint="eastAsia"/>
                <w:color w:val="auto"/>
                <w:lang w:val="en-US" w:eastAsia="zh-CN"/>
              </w:rPr>
              <w:t>②</w:t>
            </w:r>
            <w:r>
              <w:rPr>
                <w:rFonts w:hint="default"/>
                <w:color w:val="auto"/>
                <w:lang w:eastAsia="zh-CN"/>
              </w:rPr>
              <w:t>评价标准</w:t>
            </w:r>
          </w:p>
          <w:p w14:paraId="3EA37827">
            <w:pPr>
              <w:pStyle w:val="45"/>
              <w:bidi w:val="0"/>
              <w:rPr>
                <w:rFonts w:hint="default"/>
                <w:color w:val="auto"/>
                <w:lang w:eastAsia="zh-CN"/>
              </w:rPr>
            </w:pPr>
            <w:r>
              <w:rPr>
                <w:rFonts w:hint="default"/>
                <w:color w:val="auto"/>
                <w:lang w:eastAsia="zh-CN"/>
              </w:rPr>
              <w:t>常规污染物</w:t>
            </w:r>
            <w:r>
              <w:rPr>
                <w:rFonts w:hint="default"/>
                <w:color w:val="auto"/>
              </w:rPr>
              <w:t>SO</w:t>
            </w:r>
            <w:r>
              <w:rPr>
                <w:rFonts w:hint="default"/>
                <w:color w:val="auto"/>
                <w:vertAlign w:val="subscript"/>
              </w:rPr>
              <w:t>2</w:t>
            </w:r>
            <w:r>
              <w:rPr>
                <w:rFonts w:hint="default"/>
                <w:color w:val="auto"/>
              </w:rPr>
              <w:t>、NO</w:t>
            </w:r>
            <w:r>
              <w:rPr>
                <w:rFonts w:hint="default"/>
                <w:color w:val="auto"/>
                <w:vertAlign w:val="subscript"/>
              </w:rPr>
              <w:t>2</w:t>
            </w:r>
            <w:r>
              <w:rPr>
                <w:rFonts w:hint="default"/>
                <w:color w:val="auto"/>
              </w:rPr>
              <w:t>、PM</w:t>
            </w:r>
            <w:r>
              <w:rPr>
                <w:rFonts w:hint="default"/>
                <w:color w:val="auto"/>
                <w:vertAlign w:val="subscript"/>
              </w:rPr>
              <w:t>10</w:t>
            </w:r>
            <w:r>
              <w:rPr>
                <w:rFonts w:hint="default"/>
                <w:color w:val="auto"/>
              </w:rPr>
              <w:t>、PM</w:t>
            </w:r>
            <w:r>
              <w:rPr>
                <w:rFonts w:hint="default"/>
                <w:color w:val="auto"/>
                <w:vertAlign w:val="subscript"/>
              </w:rPr>
              <w:t>2.5</w:t>
            </w:r>
            <w:r>
              <w:rPr>
                <w:rFonts w:hint="default"/>
                <w:color w:val="auto"/>
              </w:rPr>
              <w:t>、CO、O</w:t>
            </w:r>
            <w:r>
              <w:rPr>
                <w:rFonts w:hint="default"/>
                <w:color w:val="auto"/>
                <w:vertAlign w:val="subscript"/>
              </w:rPr>
              <w:t>3</w:t>
            </w:r>
            <w:r>
              <w:rPr>
                <w:rFonts w:hint="default"/>
                <w:color w:val="auto"/>
                <w:lang w:eastAsia="zh-CN"/>
              </w:rPr>
              <w:t>执行《环境空气质量标准》</w:t>
            </w:r>
            <w:r>
              <w:rPr>
                <w:rFonts w:hint="eastAsia"/>
                <w:color w:val="auto"/>
                <w:lang w:eastAsia="zh-CN"/>
              </w:rPr>
              <w:t>（</w:t>
            </w:r>
            <w:r>
              <w:rPr>
                <w:rFonts w:hint="default"/>
                <w:color w:val="auto"/>
                <w:lang w:eastAsia="zh-CN"/>
              </w:rPr>
              <w:t>GB3095-20</w:t>
            </w:r>
            <w:r>
              <w:rPr>
                <w:rFonts w:hint="eastAsia"/>
                <w:color w:val="auto"/>
                <w:lang w:val="en-US" w:eastAsia="zh-CN"/>
              </w:rPr>
              <w:t>26</w:t>
            </w:r>
            <w:r>
              <w:rPr>
                <w:rFonts w:hint="default"/>
                <w:color w:val="auto"/>
                <w:lang w:eastAsia="zh-CN"/>
              </w:rPr>
              <w:t>）</w:t>
            </w:r>
            <w:r>
              <w:rPr>
                <w:rFonts w:hint="eastAsia"/>
                <w:color w:val="auto"/>
                <w:lang w:val="en-US" w:eastAsia="zh-CN"/>
              </w:rPr>
              <w:t>中过渡阶段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r>
              <w:rPr>
                <w:rFonts w:hint="default"/>
                <w:color w:val="auto"/>
                <w:lang w:eastAsia="zh-CN"/>
              </w:rPr>
              <w:t>。</w:t>
            </w:r>
          </w:p>
          <w:p w14:paraId="3002810E">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 xml:space="preserve">3-1    </w:t>
            </w:r>
            <w:r>
              <w:rPr>
                <w:rFonts w:hint="default" w:ascii="Times New Roman" w:hAnsi="Times New Roman" w:eastAsia="宋体" w:cs="Times New Roman"/>
                <w:b/>
                <w:bCs/>
                <w:color w:val="auto"/>
                <w:sz w:val="21"/>
                <w:szCs w:val="21"/>
                <w:highlight w:val="none"/>
              </w:rPr>
              <w:t xml:space="preserve"> 环境空气质量标准     单位：ug/m</w:t>
            </w:r>
            <w:r>
              <w:rPr>
                <w:rFonts w:hint="default" w:ascii="Times New Roman" w:hAnsi="Times New Roman" w:eastAsia="宋体" w:cs="Times New Roman"/>
                <w:b/>
                <w:bCs/>
                <w:color w:val="auto"/>
                <w:sz w:val="21"/>
                <w:szCs w:val="21"/>
                <w:highlight w:val="none"/>
                <w:vertAlign w:val="superscript"/>
              </w:rPr>
              <w:t>3</w:t>
            </w:r>
          </w:p>
          <w:tbl>
            <w:tblPr>
              <w:tblStyle w:val="31"/>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2970"/>
              <w:gridCol w:w="2979"/>
            </w:tblGrid>
            <w:tr w14:paraId="4791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tcBorders>
                    <w:tl2br w:val="nil"/>
                    <w:tr2bl w:val="nil"/>
                  </w:tcBorders>
                  <w:noWrap w:val="0"/>
                  <w:vAlign w:val="center"/>
                </w:tcPr>
                <w:p w14:paraId="57A094F1">
                  <w:pPr>
                    <w:pStyle w:val="42"/>
                    <w:bidi w:val="0"/>
                    <w:rPr>
                      <w:rFonts w:hint="default"/>
                      <w:color w:val="auto"/>
                    </w:rPr>
                  </w:pPr>
                  <w:r>
                    <w:rPr>
                      <w:rFonts w:hint="default"/>
                      <w:color w:val="auto"/>
                    </w:rPr>
                    <w:t>污染物名称</w:t>
                  </w:r>
                </w:p>
              </w:tc>
              <w:tc>
                <w:tcPr>
                  <w:tcW w:w="1870" w:type="pct"/>
                  <w:tcBorders>
                    <w:tl2br w:val="nil"/>
                    <w:tr2bl w:val="nil"/>
                  </w:tcBorders>
                  <w:noWrap w:val="0"/>
                  <w:vAlign w:val="center"/>
                </w:tcPr>
                <w:p w14:paraId="54BE1AAE">
                  <w:pPr>
                    <w:pStyle w:val="42"/>
                    <w:bidi w:val="0"/>
                    <w:rPr>
                      <w:rFonts w:hint="default"/>
                      <w:color w:val="auto"/>
                    </w:rPr>
                  </w:pPr>
                  <w:r>
                    <w:rPr>
                      <w:rFonts w:hint="default"/>
                      <w:color w:val="auto"/>
                    </w:rPr>
                    <w:t>取值时间</w:t>
                  </w:r>
                </w:p>
              </w:tc>
              <w:tc>
                <w:tcPr>
                  <w:tcW w:w="1876" w:type="pct"/>
                  <w:tcBorders>
                    <w:tl2br w:val="nil"/>
                    <w:tr2bl w:val="nil"/>
                  </w:tcBorders>
                  <w:noWrap w:val="0"/>
                  <w:vAlign w:val="center"/>
                </w:tcPr>
                <w:p w14:paraId="79624FF6">
                  <w:pPr>
                    <w:pStyle w:val="42"/>
                    <w:bidi w:val="0"/>
                    <w:rPr>
                      <w:rFonts w:hint="default"/>
                      <w:color w:val="auto"/>
                    </w:rPr>
                  </w:pPr>
                  <w:r>
                    <w:rPr>
                      <w:rFonts w:hint="default"/>
                      <w:color w:val="auto"/>
                    </w:rPr>
                    <w:t>二级标准浓度限值</w:t>
                  </w:r>
                </w:p>
              </w:tc>
            </w:tr>
            <w:tr w14:paraId="495B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restart"/>
                  <w:tcBorders>
                    <w:tl2br w:val="nil"/>
                    <w:tr2bl w:val="nil"/>
                  </w:tcBorders>
                  <w:noWrap w:val="0"/>
                  <w:vAlign w:val="center"/>
                </w:tcPr>
                <w:p w14:paraId="10157103">
                  <w:pPr>
                    <w:pStyle w:val="42"/>
                    <w:bidi w:val="0"/>
                    <w:rPr>
                      <w:rFonts w:hint="default"/>
                      <w:color w:val="auto"/>
                    </w:rPr>
                  </w:pPr>
                  <w:r>
                    <w:rPr>
                      <w:rFonts w:hint="default"/>
                      <w:color w:val="auto"/>
                    </w:rPr>
                    <w:t>SO</w:t>
                  </w:r>
                  <w:r>
                    <w:rPr>
                      <w:rFonts w:hint="default"/>
                      <w:color w:val="auto"/>
                      <w:vertAlign w:val="subscript"/>
                    </w:rPr>
                    <w:t>2</w:t>
                  </w:r>
                </w:p>
              </w:tc>
              <w:tc>
                <w:tcPr>
                  <w:tcW w:w="1870" w:type="pct"/>
                  <w:tcBorders>
                    <w:tl2br w:val="nil"/>
                    <w:tr2bl w:val="nil"/>
                  </w:tcBorders>
                  <w:noWrap w:val="0"/>
                  <w:vAlign w:val="center"/>
                </w:tcPr>
                <w:p w14:paraId="4003BFC4">
                  <w:pPr>
                    <w:pStyle w:val="42"/>
                    <w:bidi w:val="0"/>
                    <w:rPr>
                      <w:rFonts w:hint="default"/>
                      <w:color w:val="auto"/>
                      <w:lang w:eastAsia="zh-CN"/>
                    </w:rPr>
                  </w:pPr>
                  <w:r>
                    <w:rPr>
                      <w:rFonts w:hint="default"/>
                      <w:color w:val="auto"/>
                      <w:lang w:eastAsia="zh-CN"/>
                    </w:rPr>
                    <w:t>年均值</w:t>
                  </w:r>
                </w:p>
              </w:tc>
              <w:tc>
                <w:tcPr>
                  <w:tcW w:w="1876" w:type="pct"/>
                  <w:tcBorders>
                    <w:tl2br w:val="nil"/>
                    <w:tr2bl w:val="nil"/>
                  </w:tcBorders>
                  <w:noWrap w:val="0"/>
                  <w:vAlign w:val="center"/>
                </w:tcPr>
                <w:p w14:paraId="2206A955">
                  <w:pPr>
                    <w:pStyle w:val="42"/>
                    <w:bidi w:val="0"/>
                    <w:rPr>
                      <w:rFonts w:hint="default"/>
                      <w:color w:val="auto"/>
                      <w:lang w:val="en-US" w:eastAsia="zh-CN"/>
                    </w:rPr>
                  </w:pPr>
                  <w:r>
                    <w:rPr>
                      <w:rFonts w:hint="default"/>
                      <w:color w:val="auto"/>
                      <w:lang w:val="en-US" w:eastAsia="zh-CN"/>
                    </w:rPr>
                    <w:t>60</w:t>
                  </w:r>
                </w:p>
              </w:tc>
            </w:tr>
            <w:tr w14:paraId="72AB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619280CC">
                  <w:pPr>
                    <w:pStyle w:val="42"/>
                    <w:bidi w:val="0"/>
                    <w:rPr>
                      <w:rFonts w:hint="default"/>
                      <w:color w:val="auto"/>
                    </w:rPr>
                  </w:pPr>
                </w:p>
              </w:tc>
              <w:tc>
                <w:tcPr>
                  <w:tcW w:w="1870" w:type="pct"/>
                  <w:tcBorders>
                    <w:tl2br w:val="nil"/>
                    <w:tr2bl w:val="nil"/>
                  </w:tcBorders>
                  <w:noWrap w:val="0"/>
                  <w:vAlign w:val="center"/>
                </w:tcPr>
                <w:p w14:paraId="2285FAC6">
                  <w:pPr>
                    <w:pStyle w:val="42"/>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609F3E34">
                  <w:pPr>
                    <w:pStyle w:val="42"/>
                    <w:bidi w:val="0"/>
                    <w:rPr>
                      <w:rFonts w:hint="default"/>
                      <w:color w:val="auto"/>
                      <w:lang w:val="en-US" w:eastAsia="zh-CN"/>
                    </w:rPr>
                  </w:pPr>
                  <w:r>
                    <w:rPr>
                      <w:rFonts w:hint="default"/>
                      <w:color w:val="auto"/>
                    </w:rPr>
                    <w:t>150</w:t>
                  </w:r>
                </w:p>
              </w:tc>
            </w:tr>
            <w:tr w14:paraId="42E9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62A31209">
                  <w:pPr>
                    <w:pStyle w:val="42"/>
                    <w:bidi w:val="0"/>
                    <w:rPr>
                      <w:color w:val="auto"/>
                    </w:rPr>
                  </w:pPr>
                </w:p>
              </w:tc>
              <w:tc>
                <w:tcPr>
                  <w:tcW w:w="1870" w:type="pct"/>
                  <w:tcBorders>
                    <w:tl2br w:val="nil"/>
                    <w:tr2bl w:val="nil"/>
                  </w:tcBorders>
                  <w:noWrap w:val="0"/>
                  <w:vAlign w:val="center"/>
                </w:tcPr>
                <w:p w14:paraId="6FAAA7F8">
                  <w:pPr>
                    <w:pStyle w:val="42"/>
                    <w:bidi w:val="0"/>
                    <w:rPr>
                      <w:rFonts w:hint="default" w:eastAsia="宋体"/>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180471AA">
                  <w:pPr>
                    <w:pStyle w:val="42"/>
                    <w:bidi w:val="0"/>
                    <w:rPr>
                      <w:rFonts w:hint="default" w:eastAsia="宋体"/>
                      <w:color w:val="auto"/>
                      <w:lang w:val="en-US" w:eastAsia="zh-CN"/>
                    </w:rPr>
                  </w:pPr>
                  <w:r>
                    <w:rPr>
                      <w:rFonts w:hint="eastAsia"/>
                      <w:color w:val="auto"/>
                      <w:lang w:val="en-US" w:eastAsia="zh-CN"/>
                    </w:rPr>
                    <w:t>500</w:t>
                  </w:r>
                </w:p>
              </w:tc>
            </w:tr>
            <w:tr w14:paraId="35E7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restart"/>
                  <w:tcBorders>
                    <w:tl2br w:val="nil"/>
                    <w:tr2bl w:val="nil"/>
                  </w:tcBorders>
                  <w:noWrap w:val="0"/>
                  <w:vAlign w:val="center"/>
                </w:tcPr>
                <w:p w14:paraId="06A66BA0">
                  <w:pPr>
                    <w:pStyle w:val="42"/>
                    <w:bidi w:val="0"/>
                    <w:rPr>
                      <w:rFonts w:hint="default"/>
                      <w:color w:val="auto"/>
                    </w:rPr>
                  </w:pPr>
                  <w:r>
                    <w:rPr>
                      <w:rFonts w:hint="default"/>
                      <w:color w:val="auto"/>
                    </w:rPr>
                    <w:t>NO</w:t>
                  </w:r>
                  <w:r>
                    <w:rPr>
                      <w:rFonts w:hint="default"/>
                      <w:color w:val="auto"/>
                      <w:vertAlign w:val="subscript"/>
                    </w:rPr>
                    <w:t>2</w:t>
                  </w:r>
                </w:p>
              </w:tc>
              <w:tc>
                <w:tcPr>
                  <w:tcW w:w="1870" w:type="pct"/>
                  <w:tcBorders>
                    <w:tl2br w:val="nil"/>
                    <w:tr2bl w:val="nil"/>
                  </w:tcBorders>
                  <w:noWrap w:val="0"/>
                  <w:vAlign w:val="center"/>
                </w:tcPr>
                <w:p w14:paraId="223F8443">
                  <w:pPr>
                    <w:pStyle w:val="42"/>
                    <w:bidi w:val="0"/>
                    <w:rPr>
                      <w:rFonts w:hint="default"/>
                      <w:color w:val="auto"/>
                    </w:rPr>
                  </w:pPr>
                  <w:r>
                    <w:rPr>
                      <w:rFonts w:hint="default"/>
                      <w:color w:val="auto"/>
                      <w:lang w:eastAsia="zh-CN"/>
                    </w:rPr>
                    <w:t>年均值</w:t>
                  </w:r>
                </w:p>
              </w:tc>
              <w:tc>
                <w:tcPr>
                  <w:tcW w:w="1876" w:type="pct"/>
                  <w:tcBorders>
                    <w:tl2br w:val="nil"/>
                    <w:tr2bl w:val="nil"/>
                  </w:tcBorders>
                  <w:noWrap w:val="0"/>
                  <w:vAlign w:val="center"/>
                </w:tcPr>
                <w:p w14:paraId="5AC856DB">
                  <w:pPr>
                    <w:pStyle w:val="42"/>
                    <w:bidi w:val="0"/>
                    <w:rPr>
                      <w:rFonts w:hint="default"/>
                      <w:color w:val="auto"/>
                      <w:lang w:val="en-US" w:eastAsia="zh-CN"/>
                    </w:rPr>
                  </w:pPr>
                  <w:r>
                    <w:rPr>
                      <w:rFonts w:hint="default"/>
                      <w:color w:val="auto"/>
                      <w:lang w:val="en-US" w:eastAsia="zh-CN"/>
                    </w:rPr>
                    <w:t>40</w:t>
                  </w:r>
                </w:p>
              </w:tc>
            </w:tr>
            <w:tr w14:paraId="5653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6BB976EF">
                  <w:pPr>
                    <w:pStyle w:val="42"/>
                    <w:bidi w:val="0"/>
                    <w:rPr>
                      <w:rFonts w:hint="default"/>
                      <w:color w:val="auto"/>
                    </w:rPr>
                  </w:pPr>
                </w:p>
              </w:tc>
              <w:tc>
                <w:tcPr>
                  <w:tcW w:w="1870" w:type="pct"/>
                  <w:tcBorders>
                    <w:tl2br w:val="nil"/>
                    <w:tr2bl w:val="nil"/>
                  </w:tcBorders>
                  <w:noWrap w:val="0"/>
                  <w:vAlign w:val="center"/>
                </w:tcPr>
                <w:p w14:paraId="3999BAD3">
                  <w:pPr>
                    <w:pStyle w:val="42"/>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0D1F4B27">
                  <w:pPr>
                    <w:pStyle w:val="42"/>
                    <w:bidi w:val="0"/>
                    <w:rPr>
                      <w:rFonts w:hint="default"/>
                      <w:color w:val="auto"/>
                      <w:lang w:val="en-US" w:eastAsia="zh-CN"/>
                    </w:rPr>
                  </w:pPr>
                  <w:r>
                    <w:rPr>
                      <w:rFonts w:hint="default"/>
                      <w:color w:val="auto"/>
                    </w:rPr>
                    <w:t>80</w:t>
                  </w:r>
                </w:p>
              </w:tc>
            </w:tr>
            <w:tr w14:paraId="7D5B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40AE392C">
                  <w:pPr>
                    <w:pStyle w:val="42"/>
                    <w:bidi w:val="0"/>
                    <w:rPr>
                      <w:color w:val="auto"/>
                    </w:rPr>
                  </w:pPr>
                </w:p>
              </w:tc>
              <w:tc>
                <w:tcPr>
                  <w:tcW w:w="1870" w:type="pct"/>
                  <w:tcBorders>
                    <w:tl2br w:val="nil"/>
                    <w:tr2bl w:val="nil"/>
                  </w:tcBorders>
                  <w:noWrap w:val="0"/>
                  <w:vAlign w:val="center"/>
                </w:tcPr>
                <w:p w14:paraId="3B3BC772">
                  <w:pPr>
                    <w:pStyle w:val="42"/>
                    <w:bidi w:val="0"/>
                    <w:rPr>
                      <w:rFonts w:hint="default" w:eastAsia="宋体"/>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7663A085">
                  <w:pPr>
                    <w:pStyle w:val="42"/>
                    <w:bidi w:val="0"/>
                    <w:rPr>
                      <w:rFonts w:hint="default" w:eastAsia="宋体"/>
                      <w:color w:val="auto"/>
                      <w:lang w:val="en-US" w:eastAsia="zh-CN"/>
                    </w:rPr>
                  </w:pPr>
                  <w:r>
                    <w:rPr>
                      <w:rFonts w:hint="eastAsia"/>
                      <w:color w:val="auto"/>
                      <w:lang w:val="en-US" w:eastAsia="zh-CN"/>
                    </w:rPr>
                    <w:t>200</w:t>
                  </w:r>
                </w:p>
              </w:tc>
            </w:tr>
            <w:tr w14:paraId="2286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2" w:type="pct"/>
                  <w:vMerge w:val="restart"/>
                  <w:tcBorders>
                    <w:tl2br w:val="nil"/>
                    <w:tr2bl w:val="nil"/>
                  </w:tcBorders>
                  <w:noWrap w:val="0"/>
                  <w:vAlign w:val="center"/>
                </w:tcPr>
                <w:p w14:paraId="4BD12792">
                  <w:pPr>
                    <w:pStyle w:val="42"/>
                    <w:bidi w:val="0"/>
                    <w:rPr>
                      <w:rFonts w:hint="default"/>
                      <w:color w:val="auto"/>
                      <w:lang w:val="en-US" w:eastAsia="zh-CN"/>
                    </w:rPr>
                  </w:pPr>
                  <w:r>
                    <w:rPr>
                      <w:rFonts w:hint="default"/>
                      <w:color w:val="auto"/>
                    </w:rPr>
                    <w:t>PM</w:t>
                  </w:r>
                  <w:r>
                    <w:rPr>
                      <w:rFonts w:hint="default"/>
                      <w:color w:val="auto"/>
                      <w:vertAlign w:val="subscript"/>
                      <w:lang w:val="en-US" w:eastAsia="zh-CN"/>
                    </w:rPr>
                    <w:t>10</w:t>
                  </w:r>
                </w:p>
              </w:tc>
              <w:tc>
                <w:tcPr>
                  <w:tcW w:w="1870" w:type="pct"/>
                  <w:tcBorders>
                    <w:tl2br w:val="nil"/>
                    <w:tr2bl w:val="nil"/>
                  </w:tcBorders>
                  <w:noWrap w:val="0"/>
                  <w:vAlign w:val="center"/>
                </w:tcPr>
                <w:p w14:paraId="4ADA384C">
                  <w:pPr>
                    <w:pStyle w:val="42"/>
                    <w:bidi w:val="0"/>
                    <w:rPr>
                      <w:rFonts w:hint="default"/>
                      <w:color w:val="auto"/>
                    </w:rPr>
                  </w:pPr>
                  <w:r>
                    <w:rPr>
                      <w:rFonts w:hint="default"/>
                      <w:color w:val="auto"/>
                      <w:lang w:eastAsia="zh-CN"/>
                    </w:rPr>
                    <w:t>年均值</w:t>
                  </w:r>
                </w:p>
              </w:tc>
              <w:tc>
                <w:tcPr>
                  <w:tcW w:w="1876" w:type="pct"/>
                  <w:tcBorders>
                    <w:tl2br w:val="nil"/>
                    <w:tr2bl w:val="nil"/>
                  </w:tcBorders>
                  <w:noWrap w:val="0"/>
                  <w:vAlign w:val="center"/>
                </w:tcPr>
                <w:p w14:paraId="368293A8">
                  <w:pPr>
                    <w:pStyle w:val="42"/>
                    <w:bidi w:val="0"/>
                    <w:rPr>
                      <w:rFonts w:hint="default"/>
                      <w:color w:val="auto"/>
                      <w:lang w:val="en-US" w:eastAsia="zh-CN"/>
                    </w:rPr>
                  </w:pPr>
                  <w:r>
                    <w:rPr>
                      <w:rFonts w:hint="eastAsia"/>
                      <w:color w:val="auto"/>
                      <w:lang w:val="en-US" w:eastAsia="zh-CN"/>
                    </w:rPr>
                    <w:t>60</w:t>
                  </w:r>
                </w:p>
              </w:tc>
            </w:tr>
            <w:tr w14:paraId="41CB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continue"/>
                  <w:tcBorders>
                    <w:tl2br w:val="nil"/>
                    <w:tr2bl w:val="nil"/>
                  </w:tcBorders>
                  <w:noWrap w:val="0"/>
                  <w:vAlign w:val="center"/>
                </w:tcPr>
                <w:p w14:paraId="3BD64187">
                  <w:pPr>
                    <w:pStyle w:val="42"/>
                    <w:bidi w:val="0"/>
                    <w:rPr>
                      <w:rFonts w:hint="default"/>
                      <w:color w:val="auto"/>
                    </w:rPr>
                  </w:pPr>
                </w:p>
              </w:tc>
              <w:tc>
                <w:tcPr>
                  <w:tcW w:w="1870" w:type="pct"/>
                  <w:tcBorders>
                    <w:tl2br w:val="nil"/>
                    <w:tr2bl w:val="nil"/>
                  </w:tcBorders>
                  <w:noWrap w:val="0"/>
                  <w:vAlign w:val="center"/>
                </w:tcPr>
                <w:p w14:paraId="73DB8567">
                  <w:pPr>
                    <w:pStyle w:val="42"/>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435382CE">
                  <w:pPr>
                    <w:pStyle w:val="42"/>
                    <w:bidi w:val="0"/>
                    <w:rPr>
                      <w:rFonts w:hint="default" w:eastAsia="宋体"/>
                      <w:color w:val="auto"/>
                      <w:lang w:val="en-US" w:eastAsia="zh-CN"/>
                    </w:rPr>
                  </w:pPr>
                  <w:r>
                    <w:rPr>
                      <w:rFonts w:hint="default"/>
                      <w:color w:val="auto"/>
                    </w:rPr>
                    <w:t>1</w:t>
                  </w:r>
                  <w:r>
                    <w:rPr>
                      <w:rFonts w:hint="eastAsia"/>
                      <w:color w:val="auto"/>
                      <w:lang w:val="en-US" w:eastAsia="zh-CN"/>
                    </w:rPr>
                    <w:t>20</w:t>
                  </w:r>
                </w:p>
              </w:tc>
            </w:tr>
            <w:tr w14:paraId="400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restart"/>
                  <w:tcBorders>
                    <w:tl2br w:val="nil"/>
                    <w:tr2bl w:val="nil"/>
                  </w:tcBorders>
                  <w:noWrap w:val="0"/>
                  <w:vAlign w:val="center"/>
                </w:tcPr>
                <w:p w14:paraId="38031865">
                  <w:pPr>
                    <w:pStyle w:val="42"/>
                    <w:bidi w:val="0"/>
                    <w:rPr>
                      <w:rFonts w:hint="default"/>
                      <w:color w:val="auto"/>
                      <w:lang w:val="en-US" w:eastAsia="zh-CN"/>
                    </w:rPr>
                  </w:pPr>
                  <w:r>
                    <w:rPr>
                      <w:rFonts w:hint="default"/>
                      <w:color w:val="auto"/>
                    </w:rPr>
                    <w:t>PM</w:t>
                  </w:r>
                  <w:r>
                    <w:rPr>
                      <w:rFonts w:hint="default"/>
                      <w:color w:val="auto"/>
                      <w:vertAlign w:val="subscript"/>
                      <w:lang w:val="en-US" w:eastAsia="zh-CN"/>
                    </w:rPr>
                    <w:t>2.5</w:t>
                  </w:r>
                </w:p>
              </w:tc>
              <w:tc>
                <w:tcPr>
                  <w:tcW w:w="1870" w:type="pct"/>
                  <w:tcBorders>
                    <w:tl2br w:val="nil"/>
                    <w:tr2bl w:val="nil"/>
                  </w:tcBorders>
                  <w:noWrap w:val="0"/>
                  <w:vAlign w:val="center"/>
                </w:tcPr>
                <w:p w14:paraId="46DE6389">
                  <w:pPr>
                    <w:pStyle w:val="42"/>
                    <w:bidi w:val="0"/>
                    <w:rPr>
                      <w:rFonts w:hint="default"/>
                      <w:color w:val="auto"/>
                    </w:rPr>
                  </w:pPr>
                  <w:r>
                    <w:rPr>
                      <w:rFonts w:hint="default"/>
                      <w:color w:val="auto"/>
                      <w:lang w:eastAsia="zh-CN"/>
                    </w:rPr>
                    <w:t>年均值</w:t>
                  </w:r>
                </w:p>
              </w:tc>
              <w:tc>
                <w:tcPr>
                  <w:tcW w:w="1876" w:type="pct"/>
                  <w:tcBorders>
                    <w:tl2br w:val="nil"/>
                    <w:tr2bl w:val="nil"/>
                  </w:tcBorders>
                  <w:noWrap w:val="0"/>
                  <w:vAlign w:val="center"/>
                </w:tcPr>
                <w:p w14:paraId="08728F72">
                  <w:pPr>
                    <w:pStyle w:val="42"/>
                    <w:bidi w:val="0"/>
                    <w:rPr>
                      <w:rFonts w:hint="default"/>
                      <w:color w:val="auto"/>
                      <w:lang w:val="en-US" w:eastAsia="zh-CN"/>
                    </w:rPr>
                  </w:pPr>
                  <w:r>
                    <w:rPr>
                      <w:rFonts w:hint="default"/>
                      <w:color w:val="auto"/>
                      <w:lang w:val="en-US" w:eastAsia="zh-CN"/>
                    </w:rPr>
                    <w:t>3</w:t>
                  </w:r>
                  <w:r>
                    <w:rPr>
                      <w:rFonts w:hint="eastAsia"/>
                      <w:color w:val="auto"/>
                      <w:lang w:val="en-US" w:eastAsia="zh-CN"/>
                    </w:rPr>
                    <w:t>0</w:t>
                  </w:r>
                </w:p>
              </w:tc>
            </w:tr>
            <w:tr w14:paraId="6AA1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continue"/>
                  <w:tcBorders>
                    <w:tl2br w:val="nil"/>
                    <w:tr2bl w:val="nil"/>
                  </w:tcBorders>
                  <w:noWrap w:val="0"/>
                  <w:vAlign w:val="center"/>
                </w:tcPr>
                <w:p w14:paraId="05F298F3">
                  <w:pPr>
                    <w:pStyle w:val="42"/>
                    <w:bidi w:val="0"/>
                    <w:rPr>
                      <w:rFonts w:hint="default"/>
                      <w:color w:val="auto"/>
                    </w:rPr>
                  </w:pPr>
                </w:p>
              </w:tc>
              <w:tc>
                <w:tcPr>
                  <w:tcW w:w="1870" w:type="pct"/>
                  <w:tcBorders>
                    <w:tl2br w:val="nil"/>
                    <w:tr2bl w:val="nil"/>
                  </w:tcBorders>
                  <w:noWrap w:val="0"/>
                  <w:vAlign w:val="center"/>
                </w:tcPr>
                <w:p w14:paraId="29110CB7">
                  <w:pPr>
                    <w:pStyle w:val="42"/>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79D33F9F">
                  <w:pPr>
                    <w:pStyle w:val="42"/>
                    <w:bidi w:val="0"/>
                    <w:rPr>
                      <w:rFonts w:hint="default"/>
                      <w:color w:val="auto"/>
                      <w:lang w:val="en-US" w:eastAsia="zh-CN"/>
                    </w:rPr>
                  </w:pPr>
                  <w:r>
                    <w:rPr>
                      <w:rFonts w:hint="eastAsia"/>
                      <w:color w:val="auto"/>
                      <w:lang w:val="en-US" w:eastAsia="zh-CN"/>
                    </w:rPr>
                    <w:t>60</w:t>
                  </w:r>
                </w:p>
              </w:tc>
            </w:tr>
            <w:tr w14:paraId="5161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restart"/>
                  <w:tcBorders>
                    <w:tl2br w:val="nil"/>
                    <w:tr2bl w:val="nil"/>
                  </w:tcBorders>
                  <w:noWrap w:val="0"/>
                  <w:vAlign w:val="center"/>
                </w:tcPr>
                <w:p w14:paraId="1405D1A9">
                  <w:pPr>
                    <w:pStyle w:val="42"/>
                    <w:bidi w:val="0"/>
                    <w:rPr>
                      <w:rFonts w:hint="default"/>
                      <w:color w:val="auto"/>
                      <w:lang w:val="en-US" w:eastAsia="zh-CN"/>
                    </w:rPr>
                  </w:pPr>
                  <w:r>
                    <w:rPr>
                      <w:rFonts w:hint="default"/>
                      <w:color w:val="auto"/>
                      <w:lang w:val="en-US" w:eastAsia="zh-CN"/>
                    </w:rPr>
                    <w:t>CO</w:t>
                  </w:r>
                </w:p>
              </w:tc>
              <w:tc>
                <w:tcPr>
                  <w:tcW w:w="1870" w:type="pct"/>
                  <w:tcBorders>
                    <w:tl2br w:val="nil"/>
                    <w:tr2bl w:val="nil"/>
                  </w:tcBorders>
                  <w:noWrap w:val="0"/>
                  <w:vAlign w:val="center"/>
                </w:tcPr>
                <w:p w14:paraId="3908B090">
                  <w:pPr>
                    <w:pStyle w:val="42"/>
                    <w:bidi w:val="0"/>
                    <w:rPr>
                      <w:rFonts w:hint="default"/>
                      <w:color w:val="auto"/>
                      <w:lang w:eastAsia="zh-CN"/>
                    </w:rPr>
                  </w:pPr>
                  <w:r>
                    <w:rPr>
                      <w:rFonts w:hint="default"/>
                      <w:color w:val="auto"/>
                      <w:lang w:eastAsia="zh-CN"/>
                    </w:rPr>
                    <w:t>日均值</w:t>
                  </w:r>
                </w:p>
              </w:tc>
              <w:tc>
                <w:tcPr>
                  <w:tcW w:w="1876" w:type="pct"/>
                  <w:tcBorders>
                    <w:tl2br w:val="nil"/>
                    <w:tr2bl w:val="nil"/>
                  </w:tcBorders>
                  <w:noWrap w:val="0"/>
                  <w:vAlign w:val="center"/>
                </w:tcPr>
                <w:p w14:paraId="4265D2C7">
                  <w:pPr>
                    <w:pStyle w:val="42"/>
                    <w:bidi w:val="0"/>
                    <w:rPr>
                      <w:rFonts w:hint="default"/>
                      <w:color w:val="auto"/>
                      <w:lang w:val="en-US" w:eastAsia="zh-CN"/>
                    </w:rPr>
                  </w:pPr>
                  <w:r>
                    <w:rPr>
                      <w:rFonts w:hint="default"/>
                      <w:color w:val="auto"/>
                      <w:lang w:val="en-US" w:eastAsia="zh-CN"/>
                    </w:rPr>
                    <w:t>4000</w:t>
                  </w:r>
                </w:p>
              </w:tc>
            </w:tr>
            <w:tr w14:paraId="4E1D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2AD8AE12">
                  <w:pPr>
                    <w:pStyle w:val="42"/>
                    <w:bidi w:val="0"/>
                    <w:rPr>
                      <w:color w:val="auto"/>
                    </w:rPr>
                  </w:pPr>
                </w:p>
              </w:tc>
              <w:tc>
                <w:tcPr>
                  <w:tcW w:w="1870" w:type="pct"/>
                  <w:tcBorders>
                    <w:tl2br w:val="nil"/>
                    <w:tr2bl w:val="nil"/>
                  </w:tcBorders>
                  <w:noWrap w:val="0"/>
                  <w:vAlign w:val="center"/>
                </w:tcPr>
                <w:p w14:paraId="7DBCA383">
                  <w:pPr>
                    <w:pStyle w:val="42"/>
                    <w:bidi w:val="0"/>
                    <w:rPr>
                      <w:rFonts w:hint="default"/>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6E1B31E3">
                  <w:pPr>
                    <w:pStyle w:val="42"/>
                    <w:bidi w:val="0"/>
                    <w:rPr>
                      <w:rFonts w:hint="default"/>
                      <w:color w:val="auto"/>
                      <w:lang w:val="en-US" w:eastAsia="zh-CN"/>
                    </w:rPr>
                  </w:pPr>
                  <w:r>
                    <w:rPr>
                      <w:rFonts w:hint="eastAsia"/>
                      <w:color w:val="auto"/>
                      <w:lang w:val="en-US" w:eastAsia="zh-CN"/>
                    </w:rPr>
                    <w:t>10000</w:t>
                  </w:r>
                </w:p>
              </w:tc>
            </w:tr>
            <w:tr w14:paraId="2C01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252" w:type="pct"/>
                  <w:vMerge w:val="restart"/>
                  <w:tcBorders>
                    <w:tl2br w:val="nil"/>
                    <w:tr2bl w:val="nil"/>
                  </w:tcBorders>
                  <w:noWrap w:val="0"/>
                  <w:vAlign w:val="center"/>
                </w:tcPr>
                <w:p w14:paraId="6942A3A3">
                  <w:pPr>
                    <w:pStyle w:val="42"/>
                    <w:bidi w:val="0"/>
                    <w:rPr>
                      <w:rFonts w:hint="default"/>
                      <w:color w:val="auto"/>
                      <w:lang w:val="en-US" w:eastAsia="zh-CN"/>
                    </w:rPr>
                  </w:pPr>
                  <w:r>
                    <w:rPr>
                      <w:rFonts w:hint="default"/>
                      <w:color w:val="auto"/>
                      <w:lang w:val="en-US" w:eastAsia="zh-CN"/>
                    </w:rPr>
                    <w:t>O</w:t>
                  </w:r>
                  <w:r>
                    <w:rPr>
                      <w:rFonts w:hint="default"/>
                      <w:color w:val="auto"/>
                      <w:vertAlign w:val="subscript"/>
                      <w:lang w:val="en-US" w:eastAsia="zh-CN"/>
                    </w:rPr>
                    <w:t>3</w:t>
                  </w:r>
                </w:p>
              </w:tc>
              <w:tc>
                <w:tcPr>
                  <w:tcW w:w="1870" w:type="pct"/>
                  <w:tcBorders>
                    <w:tl2br w:val="nil"/>
                    <w:tr2bl w:val="nil"/>
                  </w:tcBorders>
                  <w:noWrap w:val="0"/>
                  <w:vAlign w:val="center"/>
                </w:tcPr>
                <w:p w14:paraId="4E2AFB6F">
                  <w:pPr>
                    <w:pStyle w:val="42"/>
                    <w:bidi w:val="0"/>
                    <w:rPr>
                      <w:rFonts w:hint="default"/>
                      <w:color w:val="auto"/>
                      <w:lang w:val="en-US" w:eastAsia="zh-CN"/>
                    </w:rPr>
                  </w:pPr>
                  <w:r>
                    <w:rPr>
                      <w:rFonts w:hint="default"/>
                      <w:color w:val="auto"/>
                      <w:lang w:val="en-US" w:eastAsia="zh-CN"/>
                    </w:rPr>
                    <w:t>日最大8小时均值</w:t>
                  </w:r>
                </w:p>
              </w:tc>
              <w:tc>
                <w:tcPr>
                  <w:tcW w:w="1876" w:type="pct"/>
                  <w:tcBorders>
                    <w:tl2br w:val="nil"/>
                    <w:tr2bl w:val="nil"/>
                  </w:tcBorders>
                  <w:noWrap w:val="0"/>
                  <w:vAlign w:val="center"/>
                </w:tcPr>
                <w:p w14:paraId="08EF8CF2">
                  <w:pPr>
                    <w:pStyle w:val="42"/>
                    <w:bidi w:val="0"/>
                    <w:rPr>
                      <w:rFonts w:hint="default"/>
                      <w:color w:val="auto"/>
                      <w:lang w:val="en-US" w:eastAsia="zh-CN"/>
                    </w:rPr>
                  </w:pPr>
                  <w:r>
                    <w:rPr>
                      <w:rFonts w:hint="default"/>
                      <w:color w:val="auto"/>
                      <w:lang w:val="en-US" w:eastAsia="zh-CN"/>
                    </w:rPr>
                    <w:t>160</w:t>
                  </w:r>
                </w:p>
              </w:tc>
            </w:tr>
            <w:tr w14:paraId="60E1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252" w:type="pct"/>
                  <w:vMerge w:val="continue"/>
                  <w:tcBorders>
                    <w:tl2br w:val="nil"/>
                    <w:tr2bl w:val="nil"/>
                  </w:tcBorders>
                  <w:noWrap w:val="0"/>
                  <w:vAlign w:val="center"/>
                </w:tcPr>
                <w:p w14:paraId="036325A3">
                  <w:pPr>
                    <w:pStyle w:val="42"/>
                    <w:bidi w:val="0"/>
                    <w:rPr>
                      <w:color w:val="auto"/>
                    </w:rPr>
                  </w:pPr>
                </w:p>
              </w:tc>
              <w:tc>
                <w:tcPr>
                  <w:tcW w:w="1870" w:type="pct"/>
                  <w:tcBorders>
                    <w:tl2br w:val="nil"/>
                    <w:tr2bl w:val="nil"/>
                  </w:tcBorders>
                  <w:noWrap w:val="0"/>
                  <w:vAlign w:val="center"/>
                </w:tcPr>
                <w:p w14:paraId="634FD2F7">
                  <w:pPr>
                    <w:pStyle w:val="42"/>
                    <w:bidi w:val="0"/>
                    <w:rPr>
                      <w:rFonts w:hint="default"/>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1CC00FCB">
                  <w:pPr>
                    <w:pStyle w:val="42"/>
                    <w:bidi w:val="0"/>
                    <w:rPr>
                      <w:rFonts w:hint="default"/>
                      <w:color w:val="auto"/>
                      <w:lang w:val="en-US" w:eastAsia="zh-CN"/>
                    </w:rPr>
                  </w:pPr>
                  <w:r>
                    <w:rPr>
                      <w:rFonts w:hint="eastAsia"/>
                      <w:color w:val="auto"/>
                      <w:lang w:val="en-US" w:eastAsia="zh-CN"/>
                    </w:rPr>
                    <w:t>200</w:t>
                  </w:r>
                </w:p>
              </w:tc>
            </w:tr>
          </w:tbl>
          <w:p w14:paraId="2A780381">
            <w:pPr>
              <w:pStyle w:val="45"/>
              <w:bidi w:val="0"/>
              <w:rPr>
                <w:rFonts w:hint="default"/>
                <w:color w:val="auto"/>
                <w:lang w:eastAsia="zh-CN"/>
              </w:rPr>
            </w:pPr>
            <w:r>
              <w:rPr>
                <w:rFonts w:hint="eastAsia"/>
                <w:color w:val="auto"/>
                <w:lang w:val="en-US" w:eastAsia="zh-CN"/>
              </w:rPr>
              <w:t>③</w:t>
            </w:r>
            <w:r>
              <w:rPr>
                <w:rFonts w:hint="default"/>
                <w:color w:val="auto"/>
                <w:lang w:eastAsia="zh-CN"/>
              </w:rPr>
              <w:t>评价方法</w:t>
            </w:r>
          </w:p>
          <w:p w14:paraId="08438B09">
            <w:pPr>
              <w:pStyle w:val="41"/>
              <w:bidi w:val="0"/>
              <w:rPr>
                <w:rFonts w:hint="default"/>
                <w:color w:val="auto"/>
                <w:lang w:eastAsia="zh-CN"/>
              </w:rPr>
            </w:pPr>
            <w:r>
              <w:rPr>
                <w:rFonts w:hint="default"/>
                <w:color w:val="auto"/>
                <w:lang w:eastAsia="zh-CN"/>
              </w:rPr>
              <w:t>采用标准指数法评价大气污染物在评价区域内的环境质量现状，计算公式如下：</w:t>
            </w:r>
          </w:p>
          <w:p w14:paraId="32CE5790">
            <w:pPr>
              <w:pStyle w:val="41"/>
              <w:bidi w:val="0"/>
              <w:jc w:val="center"/>
              <w:rPr>
                <w:color w:val="auto"/>
              </w:rPr>
            </w:pPr>
            <w:r>
              <w:rPr>
                <w:color w:val="auto"/>
              </w:rPr>
              <w:drawing>
                <wp:inline distT="0" distB="0" distL="114300" distR="114300">
                  <wp:extent cx="908050" cy="405130"/>
                  <wp:effectExtent l="0" t="0" r="0" b="14605"/>
                  <wp:docPr id="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3"/>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908050" cy="405130"/>
                          </a:xfrm>
                          <a:prstGeom prst="rect">
                            <a:avLst/>
                          </a:prstGeom>
                          <a:noFill/>
                          <a:ln>
                            <a:noFill/>
                          </a:ln>
                        </pic:spPr>
                      </pic:pic>
                    </a:graphicData>
                  </a:graphic>
                </wp:inline>
              </w:drawing>
            </w:r>
          </w:p>
          <w:p w14:paraId="506A0684">
            <w:pPr>
              <w:pStyle w:val="41"/>
              <w:bidi w:val="0"/>
              <w:rPr>
                <w:color w:val="auto"/>
              </w:rPr>
            </w:pPr>
            <w:r>
              <w:rPr>
                <w:color w:val="auto"/>
              </w:rPr>
              <w:t>式中：Pi——污染物i的单项污染指数；</w:t>
            </w:r>
          </w:p>
          <w:p w14:paraId="0BC474E3">
            <w:pPr>
              <w:pStyle w:val="41"/>
              <w:bidi w:val="0"/>
              <w:rPr>
                <w:color w:val="auto"/>
              </w:rPr>
            </w:pPr>
            <w:r>
              <w:rPr>
                <w:color w:val="auto"/>
              </w:rPr>
              <w:t>Ci——污染物i的平均浓度值</w:t>
            </w:r>
            <w:r>
              <w:rPr>
                <w:rFonts w:hint="eastAsia"/>
                <w:color w:val="auto"/>
                <w:lang w:eastAsia="zh-CN"/>
              </w:rPr>
              <w:t>（</w:t>
            </w:r>
            <w:r>
              <w:rPr>
                <w:color w:val="auto"/>
              </w:rPr>
              <w:t>μg/m</w:t>
            </w:r>
            <w:r>
              <w:rPr>
                <w:color w:val="auto"/>
                <w:vertAlign w:val="superscript"/>
              </w:rPr>
              <w:t>3</w:t>
            </w:r>
            <w:r>
              <w:rPr>
                <w:color w:val="auto"/>
              </w:rPr>
              <w:t>）；</w:t>
            </w:r>
          </w:p>
          <w:p w14:paraId="34B88724">
            <w:pPr>
              <w:pStyle w:val="41"/>
              <w:bidi w:val="0"/>
              <w:rPr>
                <w:color w:val="auto"/>
              </w:rPr>
            </w:pPr>
            <w:r>
              <w:rPr>
                <w:color w:val="auto"/>
              </w:rPr>
              <w:t>Coi——污染物i的评价标准</w:t>
            </w:r>
            <w:r>
              <w:rPr>
                <w:rFonts w:hint="eastAsia"/>
                <w:color w:val="auto"/>
                <w:lang w:eastAsia="zh-CN"/>
              </w:rPr>
              <w:t>（</w:t>
            </w:r>
            <w:r>
              <w:rPr>
                <w:color w:val="auto"/>
              </w:rPr>
              <w:t>μg/m</w:t>
            </w:r>
            <w:r>
              <w:rPr>
                <w:color w:val="auto"/>
                <w:vertAlign w:val="superscript"/>
              </w:rPr>
              <w:t>3</w:t>
            </w:r>
            <w:r>
              <w:rPr>
                <w:color w:val="auto"/>
              </w:rPr>
              <w:t>）；</w:t>
            </w:r>
          </w:p>
          <w:p w14:paraId="45BA9648">
            <w:pPr>
              <w:pStyle w:val="41"/>
              <w:bidi w:val="0"/>
              <w:rPr>
                <w:rFonts w:hint="eastAsia"/>
                <w:color w:val="auto"/>
                <w:lang w:val="en-US" w:eastAsia="zh-CN"/>
              </w:rPr>
            </w:pPr>
            <w:r>
              <w:rPr>
                <w:color w:val="auto"/>
              </w:rPr>
              <w:t>当Pi≥1时，说明环境中i污染物含量超过标准值，当Pi&lt;1时，则说明i污染物符合标准。某污染物的Pi值越大，则污染相对越严重。</w:t>
            </w:r>
          </w:p>
          <w:p w14:paraId="3230D127">
            <w:pPr>
              <w:pStyle w:val="41"/>
              <w:bidi w:val="0"/>
              <w:rPr>
                <w:rFonts w:hint="default"/>
                <w:color w:val="auto"/>
                <w:lang w:eastAsia="zh-CN"/>
              </w:rPr>
            </w:pPr>
            <w:r>
              <w:rPr>
                <w:rFonts w:hint="eastAsia"/>
                <w:color w:val="auto"/>
                <w:lang w:val="en-US" w:eastAsia="zh-CN"/>
              </w:rPr>
              <w:t>④</w:t>
            </w:r>
            <w:r>
              <w:rPr>
                <w:rFonts w:hint="default"/>
                <w:color w:val="auto"/>
                <w:lang w:eastAsia="zh-CN"/>
              </w:rPr>
              <w:t>监测与评价结果</w:t>
            </w:r>
          </w:p>
          <w:p w14:paraId="5BCC4612">
            <w:pPr>
              <w:pStyle w:val="41"/>
              <w:bidi w:val="0"/>
              <w:rPr>
                <w:rFonts w:hint="default"/>
                <w:color w:val="auto"/>
                <w:lang w:eastAsia="zh-CN"/>
              </w:rPr>
            </w:pPr>
            <w:r>
              <w:rPr>
                <w:rFonts w:hint="default"/>
                <w:color w:val="auto"/>
                <w:lang w:eastAsia="zh-CN"/>
              </w:rPr>
              <w:t>大气环境质量监测结果见下表。</w:t>
            </w:r>
          </w:p>
          <w:p w14:paraId="424BAA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bCs/>
                <w:color w:val="auto"/>
                <w:sz w:val="21"/>
                <w:szCs w:val="18"/>
                <w:vertAlign w:val="superscript"/>
              </w:rPr>
            </w:pPr>
            <w:r>
              <w:rPr>
                <w:rFonts w:hint="default" w:ascii="Times New Roman" w:hAnsi="Times New Roman" w:eastAsia="宋体" w:cs="Times New Roman"/>
                <w:b/>
                <w:bCs/>
                <w:color w:val="auto"/>
                <w:sz w:val="21"/>
                <w:szCs w:val="18"/>
              </w:rPr>
              <w:t>表</w:t>
            </w:r>
            <w:r>
              <w:rPr>
                <w:rFonts w:hint="default" w:ascii="Times New Roman" w:hAnsi="Times New Roman" w:eastAsia="宋体" w:cs="Times New Roman"/>
                <w:b/>
                <w:bCs/>
                <w:color w:val="auto"/>
                <w:sz w:val="21"/>
                <w:szCs w:val="18"/>
                <w:lang w:val="en-US" w:eastAsia="zh-CN"/>
              </w:rPr>
              <w:t>3-</w:t>
            </w:r>
            <w:r>
              <w:rPr>
                <w:rFonts w:hint="eastAsia" w:cs="Times New Roman"/>
                <w:b/>
                <w:bCs/>
                <w:color w:val="auto"/>
                <w:sz w:val="21"/>
                <w:szCs w:val="18"/>
                <w:lang w:val="en-US" w:eastAsia="zh-CN"/>
              </w:rPr>
              <w:t>2</w:t>
            </w:r>
            <w:r>
              <w:rPr>
                <w:rFonts w:hint="default" w:ascii="Times New Roman" w:hAnsi="Times New Roman" w:eastAsia="宋体" w:cs="Times New Roman"/>
                <w:b/>
                <w:bCs/>
                <w:color w:val="auto"/>
                <w:sz w:val="21"/>
                <w:szCs w:val="18"/>
                <w:lang w:val="en-US" w:eastAsia="zh-CN"/>
              </w:rPr>
              <w:t xml:space="preserve"> </w:t>
            </w:r>
            <w:r>
              <w:rPr>
                <w:rFonts w:hint="default" w:ascii="Times New Roman" w:hAnsi="Times New Roman" w:eastAsia="宋体" w:cs="Times New Roman"/>
                <w:b/>
                <w:bCs/>
                <w:color w:val="auto"/>
                <w:sz w:val="21"/>
                <w:szCs w:val="18"/>
              </w:rPr>
              <w:t xml:space="preserve">  六类基本污染物环境质量现状单位：</w:t>
            </w:r>
            <w:r>
              <w:rPr>
                <w:rFonts w:hint="default" w:ascii="Times New Roman" w:hAnsi="Times New Roman" w:eastAsia="宋体" w:cs="Times New Roman"/>
                <w:b/>
                <w:bCs w:val="0"/>
                <w:color w:val="auto"/>
                <w:sz w:val="21"/>
                <w:szCs w:val="18"/>
              </w:rPr>
              <w:t>μ</w:t>
            </w:r>
            <w:r>
              <w:rPr>
                <w:rFonts w:hint="default" w:ascii="Times New Roman" w:hAnsi="Times New Roman" w:eastAsia="宋体" w:cs="Times New Roman"/>
                <w:b/>
                <w:bCs/>
                <w:color w:val="auto"/>
                <w:sz w:val="21"/>
                <w:szCs w:val="18"/>
              </w:rPr>
              <w:t>g/m</w:t>
            </w:r>
            <w:r>
              <w:rPr>
                <w:rFonts w:hint="default" w:ascii="Times New Roman" w:hAnsi="Times New Roman" w:eastAsia="宋体" w:cs="Times New Roman"/>
                <w:b/>
                <w:bCs/>
                <w:color w:val="auto"/>
                <w:sz w:val="21"/>
                <w:szCs w:val="18"/>
                <w:vertAlign w:val="superscript"/>
              </w:rPr>
              <w:t>3</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2127"/>
              <w:gridCol w:w="1268"/>
              <w:gridCol w:w="1214"/>
              <w:gridCol w:w="1272"/>
              <w:gridCol w:w="1014"/>
            </w:tblGrid>
            <w:tr w14:paraId="3ED1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1B5FC09F">
                  <w:pPr>
                    <w:pStyle w:val="42"/>
                    <w:bidi w:val="0"/>
                    <w:rPr>
                      <w:rFonts w:hint="default"/>
                      <w:color w:val="auto"/>
                    </w:rPr>
                  </w:pPr>
                  <w:r>
                    <w:rPr>
                      <w:rFonts w:hint="eastAsia"/>
                      <w:color w:val="auto"/>
                      <w:lang w:val="en-US" w:eastAsia="zh-CN"/>
                    </w:rPr>
                    <w:t>监测</w:t>
                  </w:r>
                </w:p>
                <w:p w14:paraId="44813BDB">
                  <w:pPr>
                    <w:pStyle w:val="42"/>
                    <w:bidi w:val="0"/>
                    <w:rPr>
                      <w:rFonts w:hint="default"/>
                      <w:color w:val="auto"/>
                    </w:rPr>
                  </w:pPr>
                  <w:r>
                    <w:rPr>
                      <w:rFonts w:hint="eastAsia"/>
                      <w:color w:val="auto"/>
                      <w:lang w:val="en-US" w:eastAsia="zh-CN"/>
                    </w:rPr>
                    <w:t>因子</w:t>
                  </w:r>
                </w:p>
              </w:tc>
              <w:tc>
                <w:tcPr>
                  <w:tcW w:w="2127" w:type="dxa"/>
                  <w:tcBorders>
                    <w:tl2br w:val="nil"/>
                    <w:tr2bl w:val="nil"/>
                  </w:tcBorders>
                  <w:noWrap w:val="0"/>
                  <w:vAlign w:val="center"/>
                </w:tcPr>
                <w:p w14:paraId="2E630BA6">
                  <w:pPr>
                    <w:pStyle w:val="42"/>
                    <w:bidi w:val="0"/>
                    <w:rPr>
                      <w:rFonts w:hint="default"/>
                      <w:color w:val="auto"/>
                    </w:rPr>
                  </w:pPr>
                  <w:r>
                    <w:rPr>
                      <w:rFonts w:hint="eastAsia"/>
                      <w:color w:val="auto"/>
                      <w:lang w:val="en-US" w:eastAsia="zh-CN"/>
                    </w:rPr>
                    <w:t>评价指标</w:t>
                  </w:r>
                </w:p>
              </w:tc>
              <w:tc>
                <w:tcPr>
                  <w:tcW w:w="1268" w:type="dxa"/>
                  <w:tcBorders>
                    <w:tl2br w:val="nil"/>
                    <w:tr2bl w:val="nil"/>
                  </w:tcBorders>
                  <w:noWrap w:val="0"/>
                  <w:vAlign w:val="center"/>
                </w:tcPr>
                <w:p w14:paraId="3EE18FAD">
                  <w:pPr>
                    <w:pStyle w:val="42"/>
                    <w:bidi w:val="0"/>
                    <w:rPr>
                      <w:rFonts w:hint="default"/>
                      <w:color w:val="auto"/>
                    </w:rPr>
                  </w:pPr>
                  <w:r>
                    <w:rPr>
                      <w:rFonts w:hint="eastAsia"/>
                      <w:color w:val="auto"/>
                      <w:lang w:val="en-US" w:eastAsia="zh-CN"/>
                    </w:rPr>
                    <w:t>现状浓度（</w:t>
                  </w:r>
                  <w:r>
                    <w:rPr>
                      <w:rFonts w:hint="default"/>
                      <w:color w:val="auto"/>
                      <w:lang w:val="en-US" w:eastAsia="zh-CN"/>
                    </w:rPr>
                    <w:t>μg/m</w:t>
                  </w:r>
                  <w:r>
                    <w:rPr>
                      <w:rFonts w:hint="default"/>
                      <w:color w:val="auto"/>
                      <w:vertAlign w:val="superscript"/>
                      <w:lang w:val="en-US" w:eastAsia="zh-CN"/>
                    </w:rPr>
                    <w:t>3</w:t>
                  </w:r>
                  <w:r>
                    <w:rPr>
                      <w:rFonts w:hint="eastAsia"/>
                      <w:color w:val="auto"/>
                      <w:lang w:val="en-US" w:eastAsia="zh-CN"/>
                    </w:rPr>
                    <w:t>）</w:t>
                  </w:r>
                </w:p>
              </w:tc>
              <w:tc>
                <w:tcPr>
                  <w:tcW w:w="1214" w:type="dxa"/>
                  <w:tcBorders>
                    <w:tl2br w:val="nil"/>
                    <w:tr2bl w:val="nil"/>
                  </w:tcBorders>
                  <w:noWrap w:val="0"/>
                  <w:vAlign w:val="center"/>
                </w:tcPr>
                <w:p w14:paraId="361475EE">
                  <w:pPr>
                    <w:pStyle w:val="42"/>
                    <w:bidi w:val="0"/>
                    <w:rPr>
                      <w:rFonts w:hint="default"/>
                      <w:color w:val="auto"/>
                    </w:rPr>
                  </w:pPr>
                  <w:r>
                    <w:rPr>
                      <w:rFonts w:hint="eastAsia"/>
                      <w:color w:val="auto"/>
                      <w:lang w:val="en-US" w:eastAsia="zh-CN"/>
                    </w:rPr>
                    <w:t>标准值（</w:t>
                  </w:r>
                  <w:r>
                    <w:rPr>
                      <w:rFonts w:hint="default"/>
                      <w:color w:val="auto"/>
                      <w:lang w:val="en-US" w:eastAsia="zh-CN"/>
                    </w:rPr>
                    <w:t>μg/m</w:t>
                  </w:r>
                  <w:r>
                    <w:rPr>
                      <w:rFonts w:hint="default"/>
                      <w:color w:val="auto"/>
                      <w:vertAlign w:val="superscript"/>
                      <w:lang w:val="en-US" w:eastAsia="zh-CN"/>
                    </w:rPr>
                    <w:t>3</w:t>
                  </w:r>
                  <w:r>
                    <w:rPr>
                      <w:rFonts w:hint="eastAsia"/>
                      <w:color w:val="auto"/>
                      <w:lang w:val="en-US" w:eastAsia="zh-CN"/>
                    </w:rPr>
                    <w:t>）</w:t>
                  </w:r>
                </w:p>
              </w:tc>
              <w:tc>
                <w:tcPr>
                  <w:tcW w:w="1272" w:type="dxa"/>
                  <w:tcBorders>
                    <w:tl2br w:val="nil"/>
                    <w:tr2bl w:val="nil"/>
                  </w:tcBorders>
                  <w:noWrap w:val="0"/>
                  <w:vAlign w:val="center"/>
                </w:tcPr>
                <w:p w14:paraId="36FF29F8">
                  <w:pPr>
                    <w:pStyle w:val="42"/>
                    <w:bidi w:val="0"/>
                    <w:rPr>
                      <w:rFonts w:hint="default"/>
                      <w:color w:val="auto"/>
                    </w:rPr>
                  </w:pPr>
                  <w:r>
                    <w:rPr>
                      <w:rFonts w:hint="eastAsia"/>
                      <w:color w:val="auto"/>
                      <w:lang w:val="en-US" w:eastAsia="zh-CN"/>
                    </w:rPr>
                    <w:t>浓度占标率（</w:t>
                  </w:r>
                  <w:r>
                    <w:rPr>
                      <w:rFonts w:hint="default"/>
                      <w:color w:val="auto"/>
                      <w:lang w:val="en-US" w:eastAsia="zh-CN"/>
                    </w:rPr>
                    <w:t>%</w:t>
                  </w:r>
                  <w:r>
                    <w:rPr>
                      <w:rFonts w:hint="eastAsia"/>
                      <w:color w:val="auto"/>
                      <w:lang w:val="en-US" w:eastAsia="zh-CN"/>
                    </w:rPr>
                    <w:t>）</w:t>
                  </w:r>
                </w:p>
              </w:tc>
              <w:tc>
                <w:tcPr>
                  <w:tcW w:w="1014" w:type="dxa"/>
                  <w:tcBorders>
                    <w:tl2br w:val="nil"/>
                    <w:tr2bl w:val="nil"/>
                  </w:tcBorders>
                  <w:noWrap w:val="0"/>
                  <w:vAlign w:val="center"/>
                </w:tcPr>
                <w:p w14:paraId="3975A028">
                  <w:pPr>
                    <w:pStyle w:val="42"/>
                    <w:bidi w:val="0"/>
                    <w:rPr>
                      <w:rFonts w:hint="default"/>
                      <w:color w:val="auto"/>
                    </w:rPr>
                  </w:pPr>
                  <w:r>
                    <w:rPr>
                      <w:rFonts w:hint="eastAsia"/>
                      <w:color w:val="auto"/>
                      <w:lang w:val="en-US" w:eastAsia="zh-CN"/>
                    </w:rPr>
                    <w:t>达标情况</w:t>
                  </w:r>
                </w:p>
              </w:tc>
            </w:tr>
            <w:tr w14:paraId="6288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213FDA16">
                  <w:pPr>
                    <w:pStyle w:val="42"/>
                    <w:bidi w:val="0"/>
                    <w:rPr>
                      <w:rFonts w:hint="default"/>
                      <w:color w:val="auto"/>
                    </w:rPr>
                  </w:pPr>
                  <w:r>
                    <w:rPr>
                      <w:rFonts w:hint="default"/>
                      <w:color w:val="auto"/>
                      <w:lang w:val="en-US" w:eastAsia="zh-CN"/>
                    </w:rPr>
                    <w:t>SO</w:t>
                  </w:r>
                  <w:r>
                    <w:rPr>
                      <w:rFonts w:hint="default"/>
                      <w:color w:val="auto"/>
                      <w:vertAlign w:val="subscript"/>
                      <w:lang w:val="en-US" w:eastAsia="zh-CN"/>
                    </w:rPr>
                    <w:t>2</w:t>
                  </w:r>
                </w:p>
              </w:tc>
              <w:tc>
                <w:tcPr>
                  <w:tcW w:w="2127" w:type="dxa"/>
                  <w:tcBorders>
                    <w:tl2br w:val="nil"/>
                    <w:tr2bl w:val="nil"/>
                  </w:tcBorders>
                  <w:noWrap w:val="0"/>
                  <w:vAlign w:val="center"/>
                </w:tcPr>
                <w:p w14:paraId="7B71A6A6">
                  <w:pPr>
                    <w:pStyle w:val="42"/>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1D76B55B">
                  <w:pPr>
                    <w:pStyle w:val="42"/>
                    <w:bidi w:val="0"/>
                    <w:rPr>
                      <w:rFonts w:hint="default"/>
                      <w:color w:val="auto"/>
                    </w:rPr>
                  </w:pPr>
                </w:p>
              </w:tc>
              <w:tc>
                <w:tcPr>
                  <w:tcW w:w="1214" w:type="dxa"/>
                  <w:tcBorders>
                    <w:tl2br w:val="nil"/>
                    <w:tr2bl w:val="nil"/>
                  </w:tcBorders>
                  <w:noWrap w:val="0"/>
                  <w:vAlign w:val="center"/>
                </w:tcPr>
                <w:p w14:paraId="7FE0B9D7">
                  <w:pPr>
                    <w:pStyle w:val="42"/>
                    <w:bidi w:val="0"/>
                    <w:rPr>
                      <w:rFonts w:hint="default"/>
                      <w:color w:val="auto"/>
                    </w:rPr>
                  </w:pPr>
                </w:p>
              </w:tc>
              <w:tc>
                <w:tcPr>
                  <w:tcW w:w="1272" w:type="dxa"/>
                  <w:tcBorders>
                    <w:tl2br w:val="nil"/>
                    <w:tr2bl w:val="nil"/>
                  </w:tcBorders>
                  <w:noWrap w:val="0"/>
                  <w:vAlign w:val="center"/>
                </w:tcPr>
                <w:p w14:paraId="4B3BB9DB">
                  <w:pPr>
                    <w:pStyle w:val="42"/>
                    <w:bidi w:val="0"/>
                    <w:rPr>
                      <w:rFonts w:hint="default"/>
                      <w:color w:val="auto"/>
                      <w:lang w:val="en-US"/>
                    </w:rPr>
                  </w:pPr>
                </w:p>
              </w:tc>
              <w:tc>
                <w:tcPr>
                  <w:tcW w:w="1014" w:type="dxa"/>
                  <w:tcBorders>
                    <w:tl2br w:val="nil"/>
                    <w:tr2bl w:val="nil"/>
                  </w:tcBorders>
                  <w:noWrap w:val="0"/>
                  <w:vAlign w:val="center"/>
                </w:tcPr>
                <w:p w14:paraId="33FB1FE5">
                  <w:pPr>
                    <w:pStyle w:val="42"/>
                    <w:bidi w:val="0"/>
                    <w:rPr>
                      <w:rFonts w:hint="default"/>
                      <w:color w:val="auto"/>
                    </w:rPr>
                  </w:pPr>
                  <w:r>
                    <w:rPr>
                      <w:rFonts w:hint="eastAsia"/>
                      <w:color w:val="auto"/>
                      <w:lang w:val="en-US" w:eastAsia="zh-CN"/>
                    </w:rPr>
                    <w:t>达标</w:t>
                  </w:r>
                </w:p>
              </w:tc>
            </w:tr>
            <w:tr w14:paraId="267F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6FDD0231">
                  <w:pPr>
                    <w:pStyle w:val="42"/>
                    <w:bidi w:val="0"/>
                    <w:rPr>
                      <w:rFonts w:hint="default"/>
                      <w:color w:val="auto"/>
                    </w:rPr>
                  </w:pPr>
                  <w:r>
                    <w:rPr>
                      <w:rFonts w:hint="default"/>
                      <w:color w:val="auto"/>
                      <w:lang w:val="en-US" w:eastAsia="zh-CN"/>
                    </w:rPr>
                    <w:t>NO</w:t>
                  </w:r>
                  <w:r>
                    <w:rPr>
                      <w:rFonts w:hint="default"/>
                      <w:color w:val="auto"/>
                      <w:vertAlign w:val="subscript"/>
                      <w:lang w:val="en-US" w:eastAsia="zh-CN"/>
                    </w:rPr>
                    <w:t>2</w:t>
                  </w:r>
                </w:p>
              </w:tc>
              <w:tc>
                <w:tcPr>
                  <w:tcW w:w="2127" w:type="dxa"/>
                  <w:tcBorders>
                    <w:tl2br w:val="nil"/>
                    <w:tr2bl w:val="nil"/>
                  </w:tcBorders>
                  <w:noWrap w:val="0"/>
                  <w:vAlign w:val="center"/>
                </w:tcPr>
                <w:p w14:paraId="0F687E9B">
                  <w:pPr>
                    <w:pStyle w:val="42"/>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1B2054AB">
                  <w:pPr>
                    <w:pStyle w:val="42"/>
                    <w:bidi w:val="0"/>
                    <w:rPr>
                      <w:rFonts w:hint="eastAsia" w:eastAsia="宋体"/>
                      <w:color w:val="auto"/>
                      <w:lang w:val="en-US" w:eastAsia="zh-CN"/>
                    </w:rPr>
                  </w:pPr>
                </w:p>
              </w:tc>
              <w:tc>
                <w:tcPr>
                  <w:tcW w:w="1214" w:type="dxa"/>
                  <w:tcBorders>
                    <w:tl2br w:val="nil"/>
                    <w:tr2bl w:val="nil"/>
                  </w:tcBorders>
                  <w:noWrap w:val="0"/>
                  <w:vAlign w:val="center"/>
                </w:tcPr>
                <w:p w14:paraId="583B4049">
                  <w:pPr>
                    <w:pStyle w:val="42"/>
                    <w:bidi w:val="0"/>
                    <w:rPr>
                      <w:rFonts w:hint="default"/>
                      <w:color w:val="auto"/>
                    </w:rPr>
                  </w:pPr>
                </w:p>
              </w:tc>
              <w:tc>
                <w:tcPr>
                  <w:tcW w:w="1272" w:type="dxa"/>
                  <w:tcBorders>
                    <w:tl2br w:val="nil"/>
                    <w:tr2bl w:val="nil"/>
                  </w:tcBorders>
                  <w:noWrap w:val="0"/>
                  <w:vAlign w:val="center"/>
                </w:tcPr>
                <w:p w14:paraId="75006024">
                  <w:pPr>
                    <w:pStyle w:val="42"/>
                    <w:bidi w:val="0"/>
                    <w:rPr>
                      <w:rFonts w:hint="default"/>
                      <w:color w:val="auto"/>
                    </w:rPr>
                  </w:pPr>
                </w:p>
              </w:tc>
              <w:tc>
                <w:tcPr>
                  <w:tcW w:w="1014" w:type="dxa"/>
                  <w:tcBorders>
                    <w:tl2br w:val="nil"/>
                    <w:tr2bl w:val="nil"/>
                  </w:tcBorders>
                  <w:noWrap w:val="0"/>
                  <w:vAlign w:val="center"/>
                </w:tcPr>
                <w:p w14:paraId="734D8FF3">
                  <w:pPr>
                    <w:pStyle w:val="42"/>
                    <w:bidi w:val="0"/>
                    <w:rPr>
                      <w:rFonts w:hint="default"/>
                      <w:color w:val="auto"/>
                    </w:rPr>
                  </w:pPr>
                  <w:r>
                    <w:rPr>
                      <w:rFonts w:hint="eastAsia"/>
                      <w:color w:val="auto"/>
                      <w:lang w:val="en-US" w:eastAsia="zh-CN"/>
                    </w:rPr>
                    <w:t>达标</w:t>
                  </w:r>
                </w:p>
              </w:tc>
            </w:tr>
            <w:tr w14:paraId="1121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66" w:type="dxa"/>
                  <w:tcBorders>
                    <w:tl2br w:val="nil"/>
                    <w:tr2bl w:val="nil"/>
                  </w:tcBorders>
                  <w:noWrap w:val="0"/>
                  <w:vAlign w:val="center"/>
                </w:tcPr>
                <w:p w14:paraId="120AFF22">
                  <w:pPr>
                    <w:pStyle w:val="42"/>
                    <w:bidi w:val="0"/>
                    <w:rPr>
                      <w:rFonts w:hint="default"/>
                      <w:color w:val="auto"/>
                    </w:rPr>
                  </w:pPr>
                  <w:r>
                    <w:rPr>
                      <w:rFonts w:hint="default"/>
                      <w:color w:val="auto"/>
                      <w:lang w:val="en-US" w:eastAsia="zh-CN"/>
                    </w:rPr>
                    <w:t>PM</w:t>
                  </w:r>
                  <w:r>
                    <w:rPr>
                      <w:rFonts w:hint="default"/>
                      <w:color w:val="auto"/>
                      <w:vertAlign w:val="subscript"/>
                      <w:lang w:val="en-US" w:eastAsia="zh-CN"/>
                    </w:rPr>
                    <w:t>10</w:t>
                  </w:r>
                </w:p>
              </w:tc>
              <w:tc>
                <w:tcPr>
                  <w:tcW w:w="2127" w:type="dxa"/>
                  <w:tcBorders>
                    <w:tl2br w:val="nil"/>
                    <w:tr2bl w:val="nil"/>
                  </w:tcBorders>
                  <w:noWrap w:val="0"/>
                  <w:vAlign w:val="center"/>
                </w:tcPr>
                <w:p w14:paraId="7C4108B8">
                  <w:pPr>
                    <w:pStyle w:val="42"/>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33428308">
                  <w:pPr>
                    <w:pStyle w:val="42"/>
                    <w:bidi w:val="0"/>
                    <w:rPr>
                      <w:rFonts w:hint="default"/>
                      <w:color w:val="auto"/>
                      <w:lang w:val="en-US" w:eastAsia="zh-CN"/>
                    </w:rPr>
                  </w:pPr>
                </w:p>
              </w:tc>
              <w:tc>
                <w:tcPr>
                  <w:tcW w:w="1214" w:type="dxa"/>
                  <w:tcBorders>
                    <w:tl2br w:val="nil"/>
                    <w:tr2bl w:val="nil"/>
                  </w:tcBorders>
                  <w:noWrap w:val="0"/>
                  <w:vAlign w:val="center"/>
                </w:tcPr>
                <w:p w14:paraId="58B51136">
                  <w:pPr>
                    <w:pStyle w:val="42"/>
                    <w:bidi w:val="0"/>
                    <w:rPr>
                      <w:rFonts w:hint="default"/>
                      <w:color w:val="auto"/>
                      <w:lang w:val="en-US"/>
                    </w:rPr>
                  </w:pPr>
                </w:p>
              </w:tc>
              <w:tc>
                <w:tcPr>
                  <w:tcW w:w="1272" w:type="dxa"/>
                  <w:tcBorders>
                    <w:tl2br w:val="nil"/>
                    <w:tr2bl w:val="nil"/>
                  </w:tcBorders>
                  <w:noWrap w:val="0"/>
                  <w:vAlign w:val="center"/>
                </w:tcPr>
                <w:p w14:paraId="1A59E65E">
                  <w:pPr>
                    <w:pStyle w:val="42"/>
                    <w:bidi w:val="0"/>
                    <w:rPr>
                      <w:rFonts w:hint="default"/>
                      <w:color w:val="auto"/>
                      <w:lang w:val="en-US"/>
                    </w:rPr>
                  </w:pPr>
                </w:p>
              </w:tc>
              <w:tc>
                <w:tcPr>
                  <w:tcW w:w="1014" w:type="dxa"/>
                  <w:tcBorders>
                    <w:tl2br w:val="nil"/>
                    <w:tr2bl w:val="nil"/>
                  </w:tcBorders>
                  <w:noWrap w:val="0"/>
                  <w:vAlign w:val="center"/>
                </w:tcPr>
                <w:p w14:paraId="7B64A9F2">
                  <w:pPr>
                    <w:pStyle w:val="42"/>
                    <w:bidi w:val="0"/>
                    <w:ind w:firstLine="0" w:firstLineChars="0"/>
                    <w:rPr>
                      <w:rFonts w:hint="default"/>
                      <w:color w:val="auto"/>
                    </w:rPr>
                  </w:pPr>
                  <w:r>
                    <w:rPr>
                      <w:rFonts w:hint="eastAsia"/>
                      <w:color w:val="auto"/>
                      <w:lang w:val="en-US" w:eastAsia="zh-CN"/>
                    </w:rPr>
                    <w:t>达标</w:t>
                  </w:r>
                </w:p>
              </w:tc>
            </w:tr>
            <w:tr w14:paraId="1FB3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0C771FFD">
                  <w:pPr>
                    <w:pStyle w:val="42"/>
                    <w:bidi w:val="0"/>
                    <w:rPr>
                      <w:rFonts w:hint="default"/>
                      <w:color w:val="auto"/>
                    </w:rPr>
                  </w:pPr>
                  <w:r>
                    <w:rPr>
                      <w:rFonts w:hint="default"/>
                      <w:color w:val="auto"/>
                      <w:lang w:val="en-US" w:eastAsia="zh-CN"/>
                    </w:rPr>
                    <w:t>PM</w:t>
                  </w:r>
                  <w:r>
                    <w:rPr>
                      <w:rFonts w:hint="default"/>
                      <w:color w:val="auto"/>
                      <w:vertAlign w:val="subscript"/>
                      <w:lang w:val="en-US" w:eastAsia="zh-CN"/>
                    </w:rPr>
                    <w:t>2.5</w:t>
                  </w:r>
                </w:p>
              </w:tc>
              <w:tc>
                <w:tcPr>
                  <w:tcW w:w="2127" w:type="dxa"/>
                  <w:tcBorders>
                    <w:tl2br w:val="nil"/>
                    <w:tr2bl w:val="nil"/>
                  </w:tcBorders>
                  <w:noWrap w:val="0"/>
                  <w:vAlign w:val="center"/>
                </w:tcPr>
                <w:p w14:paraId="7DB190E5">
                  <w:pPr>
                    <w:pStyle w:val="42"/>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3E8C8874">
                  <w:pPr>
                    <w:pStyle w:val="42"/>
                    <w:bidi w:val="0"/>
                    <w:rPr>
                      <w:rFonts w:hint="default" w:eastAsia="宋体"/>
                      <w:color w:val="auto"/>
                      <w:lang w:val="en-US" w:eastAsia="zh-CN"/>
                    </w:rPr>
                  </w:pPr>
                </w:p>
              </w:tc>
              <w:tc>
                <w:tcPr>
                  <w:tcW w:w="1214" w:type="dxa"/>
                  <w:tcBorders>
                    <w:tl2br w:val="nil"/>
                    <w:tr2bl w:val="nil"/>
                  </w:tcBorders>
                  <w:noWrap w:val="0"/>
                  <w:vAlign w:val="center"/>
                </w:tcPr>
                <w:p w14:paraId="6BD7C4A4">
                  <w:pPr>
                    <w:pStyle w:val="42"/>
                    <w:bidi w:val="0"/>
                    <w:rPr>
                      <w:rFonts w:hint="default"/>
                      <w:color w:val="auto"/>
                      <w:lang w:val="en-US"/>
                    </w:rPr>
                  </w:pPr>
                </w:p>
              </w:tc>
              <w:tc>
                <w:tcPr>
                  <w:tcW w:w="1272" w:type="dxa"/>
                  <w:tcBorders>
                    <w:tl2br w:val="nil"/>
                    <w:tr2bl w:val="nil"/>
                  </w:tcBorders>
                  <w:noWrap w:val="0"/>
                  <w:vAlign w:val="center"/>
                </w:tcPr>
                <w:p w14:paraId="4B42540E">
                  <w:pPr>
                    <w:pStyle w:val="42"/>
                    <w:bidi w:val="0"/>
                    <w:rPr>
                      <w:rFonts w:hint="default"/>
                      <w:color w:val="auto"/>
                      <w:lang w:val="en-US"/>
                    </w:rPr>
                  </w:pPr>
                </w:p>
              </w:tc>
              <w:tc>
                <w:tcPr>
                  <w:tcW w:w="1014" w:type="dxa"/>
                  <w:tcBorders>
                    <w:tl2br w:val="nil"/>
                    <w:tr2bl w:val="nil"/>
                  </w:tcBorders>
                  <w:noWrap w:val="0"/>
                  <w:vAlign w:val="center"/>
                </w:tcPr>
                <w:p w14:paraId="69A718C3">
                  <w:pPr>
                    <w:pStyle w:val="42"/>
                    <w:bidi w:val="0"/>
                    <w:ind w:firstLine="0" w:firstLineChars="0"/>
                    <w:rPr>
                      <w:rFonts w:hint="default"/>
                      <w:color w:val="auto"/>
                    </w:rPr>
                  </w:pPr>
                  <w:r>
                    <w:rPr>
                      <w:rFonts w:hint="eastAsia"/>
                      <w:color w:val="auto"/>
                      <w:lang w:val="en-US" w:eastAsia="zh-CN"/>
                    </w:rPr>
                    <w:t>达标</w:t>
                  </w:r>
                </w:p>
              </w:tc>
            </w:tr>
            <w:tr w14:paraId="2E7D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478678A8">
                  <w:pPr>
                    <w:pStyle w:val="42"/>
                    <w:bidi w:val="0"/>
                    <w:rPr>
                      <w:rFonts w:hint="default"/>
                      <w:color w:val="auto"/>
                    </w:rPr>
                  </w:pPr>
                  <w:r>
                    <w:rPr>
                      <w:rFonts w:hint="default"/>
                      <w:color w:val="auto"/>
                      <w:lang w:val="en-US" w:eastAsia="zh-CN"/>
                    </w:rPr>
                    <w:t>CO</w:t>
                  </w:r>
                </w:p>
              </w:tc>
              <w:tc>
                <w:tcPr>
                  <w:tcW w:w="2127" w:type="dxa"/>
                  <w:tcBorders>
                    <w:tl2br w:val="nil"/>
                    <w:tr2bl w:val="nil"/>
                  </w:tcBorders>
                  <w:noWrap w:val="0"/>
                  <w:vAlign w:val="center"/>
                </w:tcPr>
                <w:p w14:paraId="605E958A">
                  <w:pPr>
                    <w:pStyle w:val="42"/>
                    <w:bidi w:val="0"/>
                    <w:rPr>
                      <w:rFonts w:hint="default"/>
                      <w:color w:val="auto"/>
                    </w:rPr>
                  </w:pPr>
                  <w:r>
                    <w:rPr>
                      <w:rFonts w:hint="default"/>
                      <w:color w:val="auto"/>
                      <w:lang w:val="en-US" w:eastAsia="zh-CN"/>
                    </w:rPr>
                    <w:t>24</w:t>
                  </w:r>
                  <w:r>
                    <w:rPr>
                      <w:rFonts w:hint="eastAsia"/>
                      <w:color w:val="auto"/>
                      <w:lang w:val="en-US" w:eastAsia="zh-CN"/>
                    </w:rPr>
                    <w:t>小时第</w:t>
                  </w:r>
                  <w:r>
                    <w:rPr>
                      <w:rFonts w:hint="default"/>
                      <w:color w:val="auto"/>
                      <w:lang w:val="en-US" w:eastAsia="zh-CN"/>
                    </w:rPr>
                    <w:t>95</w:t>
                  </w:r>
                  <w:r>
                    <w:rPr>
                      <w:rFonts w:hint="eastAsia"/>
                      <w:color w:val="auto"/>
                      <w:lang w:val="en-US" w:eastAsia="zh-CN"/>
                    </w:rPr>
                    <w:t>百分位数日平均</w:t>
                  </w:r>
                </w:p>
              </w:tc>
              <w:tc>
                <w:tcPr>
                  <w:tcW w:w="1268" w:type="dxa"/>
                  <w:tcBorders>
                    <w:tl2br w:val="nil"/>
                    <w:tr2bl w:val="nil"/>
                  </w:tcBorders>
                  <w:noWrap w:val="0"/>
                  <w:vAlign w:val="center"/>
                </w:tcPr>
                <w:p w14:paraId="52CD9C14">
                  <w:pPr>
                    <w:pStyle w:val="42"/>
                    <w:bidi w:val="0"/>
                    <w:rPr>
                      <w:rFonts w:hint="default"/>
                      <w:color w:val="auto"/>
                    </w:rPr>
                  </w:pPr>
                </w:p>
              </w:tc>
              <w:tc>
                <w:tcPr>
                  <w:tcW w:w="1214" w:type="dxa"/>
                  <w:tcBorders>
                    <w:tl2br w:val="nil"/>
                    <w:tr2bl w:val="nil"/>
                  </w:tcBorders>
                  <w:noWrap w:val="0"/>
                  <w:vAlign w:val="center"/>
                </w:tcPr>
                <w:p w14:paraId="699CC149">
                  <w:pPr>
                    <w:pStyle w:val="42"/>
                    <w:bidi w:val="0"/>
                    <w:rPr>
                      <w:rFonts w:hint="default"/>
                      <w:color w:val="auto"/>
                    </w:rPr>
                  </w:pPr>
                </w:p>
              </w:tc>
              <w:tc>
                <w:tcPr>
                  <w:tcW w:w="1272" w:type="dxa"/>
                  <w:tcBorders>
                    <w:tl2br w:val="nil"/>
                    <w:tr2bl w:val="nil"/>
                  </w:tcBorders>
                  <w:noWrap w:val="0"/>
                  <w:vAlign w:val="center"/>
                </w:tcPr>
                <w:p w14:paraId="097B030B">
                  <w:pPr>
                    <w:pStyle w:val="42"/>
                    <w:bidi w:val="0"/>
                    <w:rPr>
                      <w:rFonts w:hint="default"/>
                      <w:color w:val="auto"/>
                      <w:lang w:val="en-US"/>
                    </w:rPr>
                  </w:pPr>
                </w:p>
              </w:tc>
              <w:tc>
                <w:tcPr>
                  <w:tcW w:w="1014" w:type="dxa"/>
                  <w:tcBorders>
                    <w:tl2br w:val="nil"/>
                    <w:tr2bl w:val="nil"/>
                  </w:tcBorders>
                  <w:noWrap w:val="0"/>
                  <w:vAlign w:val="center"/>
                </w:tcPr>
                <w:p w14:paraId="2130C1BF">
                  <w:pPr>
                    <w:pStyle w:val="42"/>
                    <w:bidi w:val="0"/>
                    <w:rPr>
                      <w:rFonts w:hint="default"/>
                      <w:color w:val="auto"/>
                    </w:rPr>
                  </w:pPr>
                  <w:r>
                    <w:rPr>
                      <w:rFonts w:hint="eastAsia"/>
                      <w:color w:val="auto"/>
                      <w:lang w:val="en-US" w:eastAsia="zh-CN"/>
                    </w:rPr>
                    <w:t>达标</w:t>
                  </w:r>
                </w:p>
              </w:tc>
            </w:tr>
            <w:tr w14:paraId="3F92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2A3392E4">
                  <w:pPr>
                    <w:pStyle w:val="42"/>
                    <w:bidi w:val="0"/>
                    <w:rPr>
                      <w:rFonts w:hint="default"/>
                      <w:color w:val="auto"/>
                    </w:rPr>
                  </w:pPr>
                  <w:r>
                    <w:rPr>
                      <w:rFonts w:hint="default"/>
                      <w:color w:val="auto"/>
                      <w:lang w:val="en-US" w:eastAsia="zh-CN"/>
                    </w:rPr>
                    <w:t>O</w:t>
                  </w:r>
                  <w:r>
                    <w:rPr>
                      <w:rFonts w:hint="default"/>
                      <w:color w:val="auto"/>
                      <w:vertAlign w:val="subscript"/>
                      <w:lang w:val="en-US" w:eastAsia="zh-CN"/>
                    </w:rPr>
                    <w:t>3</w:t>
                  </w:r>
                </w:p>
              </w:tc>
              <w:tc>
                <w:tcPr>
                  <w:tcW w:w="2127" w:type="dxa"/>
                  <w:tcBorders>
                    <w:tl2br w:val="nil"/>
                    <w:tr2bl w:val="nil"/>
                  </w:tcBorders>
                  <w:noWrap w:val="0"/>
                  <w:vAlign w:val="center"/>
                </w:tcPr>
                <w:p w14:paraId="7421CAA5">
                  <w:pPr>
                    <w:pStyle w:val="42"/>
                    <w:bidi w:val="0"/>
                    <w:rPr>
                      <w:rFonts w:hint="default"/>
                      <w:color w:val="auto"/>
                    </w:rPr>
                  </w:pPr>
                  <w:r>
                    <w:rPr>
                      <w:rFonts w:hint="eastAsia"/>
                      <w:color w:val="auto"/>
                      <w:lang w:val="en-US" w:eastAsia="zh-CN"/>
                    </w:rPr>
                    <w:t>最大</w:t>
                  </w:r>
                  <w:r>
                    <w:rPr>
                      <w:rFonts w:hint="default"/>
                      <w:color w:val="auto"/>
                      <w:lang w:val="en-US" w:eastAsia="zh-CN"/>
                    </w:rPr>
                    <w:t>8</w:t>
                  </w:r>
                  <w:r>
                    <w:rPr>
                      <w:rFonts w:hint="eastAsia"/>
                      <w:color w:val="auto"/>
                      <w:lang w:val="en-US" w:eastAsia="zh-CN"/>
                    </w:rPr>
                    <w:t>小时第</w:t>
                  </w:r>
                  <w:r>
                    <w:rPr>
                      <w:rFonts w:hint="default"/>
                      <w:color w:val="auto"/>
                      <w:lang w:val="en-US" w:eastAsia="zh-CN"/>
                    </w:rPr>
                    <w:t>90</w:t>
                  </w:r>
                  <w:r>
                    <w:rPr>
                      <w:rFonts w:hint="eastAsia"/>
                      <w:color w:val="auto"/>
                      <w:lang w:val="en-US" w:eastAsia="zh-CN"/>
                    </w:rPr>
                    <w:t>百分位数日平均</w:t>
                  </w:r>
                </w:p>
              </w:tc>
              <w:tc>
                <w:tcPr>
                  <w:tcW w:w="1268" w:type="dxa"/>
                  <w:tcBorders>
                    <w:tl2br w:val="nil"/>
                    <w:tr2bl w:val="nil"/>
                  </w:tcBorders>
                  <w:noWrap w:val="0"/>
                  <w:vAlign w:val="center"/>
                </w:tcPr>
                <w:p w14:paraId="44AD0874">
                  <w:pPr>
                    <w:pStyle w:val="42"/>
                    <w:bidi w:val="0"/>
                    <w:rPr>
                      <w:rFonts w:hint="default" w:eastAsia="宋体"/>
                      <w:color w:val="auto"/>
                      <w:lang w:val="en-US" w:eastAsia="zh-CN"/>
                    </w:rPr>
                  </w:pPr>
                </w:p>
              </w:tc>
              <w:tc>
                <w:tcPr>
                  <w:tcW w:w="1214" w:type="dxa"/>
                  <w:tcBorders>
                    <w:tl2br w:val="nil"/>
                    <w:tr2bl w:val="nil"/>
                  </w:tcBorders>
                  <w:noWrap w:val="0"/>
                  <w:vAlign w:val="center"/>
                </w:tcPr>
                <w:p w14:paraId="33BE3871">
                  <w:pPr>
                    <w:pStyle w:val="42"/>
                    <w:bidi w:val="0"/>
                    <w:rPr>
                      <w:rFonts w:hint="default"/>
                      <w:color w:val="auto"/>
                    </w:rPr>
                  </w:pPr>
                </w:p>
              </w:tc>
              <w:tc>
                <w:tcPr>
                  <w:tcW w:w="1272" w:type="dxa"/>
                  <w:tcBorders>
                    <w:tl2br w:val="nil"/>
                    <w:tr2bl w:val="nil"/>
                  </w:tcBorders>
                  <w:noWrap w:val="0"/>
                  <w:vAlign w:val="center"/>
                </w:tcPr>
                <w:p w14:paraId="2C6ED37C">
                  <w:pPr>
                    <w:pStyle w:val="42"/>
                    <w:bidi w:val="0"/>
                    <w:rPr>
                      <w:rFonts w:hint="default"/>
                      <w:color w:val="auto"/>
                      <w:lang w:val="en-US"/>
                    </w:rPr>
                  </w:pPr>
                </w:p>
              </w:tc>
              <w:tc>
                <w:tcPr>
                  <w:tcW w:w="1014" w:type="dxa"/>
                  <w:tcBorders>
                    <w:tl2br w:val="nil"/>
                    <w:tr2bl w:val="nil"/>
                  </w:tcBorders>
                  <w:noWrap w:val="0"/>
                  <w:vAlign w:val="center"/>
                </w:tcPr>
                <w:p w14:paraId="75080A98">
                  <w:pPr>
                    <w:pStyle w:val="42"/>
                    <w:bidi w:val="0"/>
                    <w:rPr>
                      <w:rFonts w:hint="default"/>
                      <w:color w:val="auto"/>
                    </w:rPr>
                  </w:pPr>
                  <w:r>
                    <w:rPr>
                      <w:rFonts w:hint="eastAsia"/>
                      <w:color w:val="auto"/>
                      <w:lang w:val="en-US" w:eastAsia="zh-CN"/>
                    </w:rPr>
                    <w:t>达标</w:t>
                  </w:r>
                </w:p>
              </w:tc>
            </w:tr>
          </w:tbl>
          <w:p w14:paraId="745EF222">
            <w:pPr>
              <w:pStyle w:val="24"/>
              <w:rPr>
                <w:rFonts w:hint="default" w:ascii="Times New Roman" w:hAnsi="Times New Roman" w:eastAsia="宋体" w:cs="Times New Roman"/>
                <w:b/>
                <w:bCs/>
                <w:color w:val="auto"/>
                <w:sz w:val="21"/>
                <w:szCs w:val="18"/>
                <w:vertAlign w:val="superscript"/>
              </w:rPr>
            </w:pPr>
          </w:p>
          <w:p w14:paraId="2FEA3128">
            <w:pPr>
              <w:pStyle w:val="41"/>
              <w:bidi w:val="0"/>
              <w:rPr>
                <w:rFonts w:hint="default" w:eastAsia="宋体"/>
                <w:color w:val="auto"/>
                <w:lang w:val="en-US" w:eastAsia="zh-CN"/>
              </w:rPr>
            </w:pPr>
            <w:r>
              <w:rPr>
                <w:rFonts w:hint="default"/>
                <w:color w:val="auto"/>
              </w:rPr>
              <w:t>从表</w:t>
            </w:r>
            <w:r>
              <w:rPr>
                <w:rFonts w:hint="default"/>
                <w:color w:val="auto"/>
                <w:lang w:val="en-US" w:eastAsia="zh-CN"/>
              </w:rPr>
              <w:t>3-2</w:t>
            </w:r>
            <w:r>
              <w:rPr>
                <w:rFonts w:hint="default"/>
                <w:color w:val="auto"/>
              </w:rPr>
              <w:t>的分析结果可知，</w:t>
            </w:r>
            <w:r>
              <w:rPr>
                <w:rFonts w:hint="default"/>
                <w:color w:val="auto"/>
                <w:lang w:val="en-US" w:eastAsia="zh-CN"/>
              </w:rPr>
              <w:t>项目所在区域空气质量现状评价指标中SO</w:t>
            </w:r>
            <w:r>
              <w:rPr>
                <w:rFonts w:hint="default"/>
                <w:color w:val="auto"/>
                <w:vertAlign w:val="subscript"/>
                <w:lang w:val="en-US" w:eastAsia="zh-CN"/>
              </w:rPr>
              <w:t>2</w:t>
            </w:r>
            <w:r>
              <w:rPr>
                <w:rFonts w:hint="default"/>
                <w:color w:val="auto"/>
              </w:rPr>
              <w:t>、NO</w:t>
            </w:r>
            <w:r>
              <w:rPr>
                <w:rFonts w:hint="default"/>
                <w:color w:val="auto"/>
                <w:vertAlign w:val="subscript"/>
              </w:rPr>
              <w:t>2</w:t>
            </w:r>
            <w:r>
              <w:rPr>
                <w:rFonts w:hint="default"/>
                <w:color w:val="auto"/>
              </w:rPr>
              <w:t>的</w:t>
            </w:r>
            <w:r>
              <w:rPr>
                <w:rFonts w:hint="default"/>
                <w:color w:val="auto"/>
                <w:lang w:eastAsia="zh-CN"/>
              </w:rPr>
              <w:t>年均浓度，</w:t>
            </w:r>
            <w:r>
              <w:rPr>
                <w:rFonts w:hint="default"/>
                <w:color w:val="auto"/>
                <w:lang w:val="en-US" w:eastAsia="zh-CN"/>
              </w:rPr>
              <w:t>CO、</w:t>
            </w:r>
            <w:r>
              <w:rPr>
                <w:rFonts w:hint="default"/>
                <w:color w:val="auto"/>
              </w:rPr>
              <w:t>O</w:t>
            </w:r>
            <w:r>
              <w:rPr>
                <w:rFonts w:hint="default"/>
                <w:color w:val="auto"/>
                <w:vertAlign w:val="subscript"/>
              </w:rPr>
              <w:t>3</w:t>
            </w:r>
            <w:r>
              <w:rPr>
                <w:rFonts w:hint="default"/>
                <w:color w:val="auto"/>
                <w:lang w:eastAsia="zh-CN"/>
              </w:rPr>
              <w:t>的相应百分位数</w:t>
            </w:r>
            <w:r>
              <w:rPr>
                <w:rFonts w:hint="default"/>
                <w:color w:val="auto"/>
                <w:lang w:val="en-US" w:eastAsia="zh-CN"/>
              </w:rPr>
              <w:t>24h平均或8h平均质量浓度</w:t>
            </w:r>
            <w:r>
              <w:rPr>
                <w:rFonts w:hint="eastAsia"/>
                <w:color w:val="auto"/>
                <w:lang w:val="en-US" w:eastAsia="zh-CN"/>
              </w:rPr>
              <w:t>，</w:t>
            </w:r>
            <w:r>
              <w:rPr>
                <w:rFonts w:hint="default"/>
                <w:color w:val="auto"/>
              </w:rPr>
              <w:t>PM</w:t>
            </w:r>
            <w:r>
              <w:rPr>
                <w:rFonts w:hint="default"/>
                <w:color w:val="auto"/>
                <w:vertAlign w:val="subscript"/>
              </w:rPr>
              <w:t>10</w:t>
            </w:r>
            <w:r>
              <w:rPr>
                <w:rFonts w:hint="default"/>
                <w:color w:val="auto"/>
              </w:rPr>
              <w:t>、PM</w:t>
            </w:r>
            <w:r>
              <w:rPr>
                <w:rFonts w:hint="default"/>
                <w:color w:val="auto"/>
                <w:vertAlign w:val="subscript"/>
              </w:rPr>
              <w:t>2.5</w:t>
            </w:r>
            <w:r>
              <w:rPr>
                <w:rFonts w:hint="default"/>
                <w:color w:val="auto"/>
              </w:rPr>
              <w:t>年均浓度</w:t>
            </w:r>
            <w:r>
              <w:rPr>
                <w:rFonts w:hint="eastAsia"/>
                <w:color w:val="auto"/>
                <w:lang w:val="en-US" w:eastAsia="zh-CN"/>
              </w:rPr>
              <w:t>均能达到</w:t>
            </w:r>
            <w:r>
              <w:rPr>
                <w:rFonts w:hint="default"/>
                <w:color w:val="auto"/>
                <w:lang w:eastAsia="zh-CN"/>
              </w:rPr>
              <w:t>《环境空气质量标准》</w:t>
            </w:r>
            <w:r>
              <w:rPr>
                <w:rFonts w:hint="eastAsia"/>
                <w:color w:val="auto"/>
                <w:lang w:eastAsia="zh-CN"/>
              </w:rPr>
              <w:t>（</w:t>
            </w:r>
            <w:r>
              <w:rPr>
                <w:rFonts w:hint="default"/>
                <w:color w:val="auto"/>
                <w:lang w:eastAsia="zh-CN"/>
              </w:rPr>
              <w:t>GB3095-20</w:t>
            </w:r>
            <w:r>
              <w:rPr>
                <w:rFonts w:hint="eastAsia"/>
                <w:color w:val="auto"/>
                <w:lang w:val="en-US" w:eastAsia="zh-CN"/>
              </w:rPr>
              <w:t>26</w:t>
            </w:r>
            <w:r>
              <w:rPr>
                <w:rFonts w:hint="default"/>
                <w:color w:val="auto"/>
                <w:lang w:eastAsia="zh-CN"/>
              </w:rPr>
              <w:t>）</w:t>
            </w:r>
            <w:r>
              <w:rPr>
                <w:rFonts w:hint="eastAsia"/>
                <w:color w:val="auto"/>
                <w:lang w:val="en-US" w:eastAsia="zh-CN"/>
              </w:rPr>
              <w:t>中过渡阶段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p>
          <w:p w14:paraId="154C25BF">
            <w:pPr>
              <w:pStyle w:val="41"/>
              <w:bidi w:val="0"/>
              <w:rPr>
                <w:rFonts w:hint="default"/>
                <w:color w:val="auto"/>
              </w:rPr>
            </w:pPr>
            <w:r>
              <w:rPr>
                <w:rFonts w:hint="eastAsia"/>
                <w:color w:val="auto"/>
                <w:lang w:val="en-US" w:eastAsia="zh-CN"/>
              </w:rPr>
              <w:t>（2）特征污染物质量现状调查及评价</w:t>
            </w:r>
          </w:p>
          <w:p w14:paraId="41272293">
            <w:pPr>
              <w:pStyle w:val="41"/>
              <w:bidi w:val="0"/>
              <w:rPr>
                <w:rFonts w:hint="default"/>
                <w:color w:val="auto"/>
              </w:rPr>
            </w:pPr>
            <w:r>
              <w:rPr>
                <w:rFonts w:hint="eastAsia"/>
                <w:color w:val="auto"/>
                <w:lang w:val="en-US" w:eastAsia="zh-CN"/>
              </w:rPr>
              <w:t>①概述</w:t>
            </w:r>
          </w:p>
          <w:p w14:paraId="66EB5C1D">
            <w:pPr>
              <w:pStyle w:val="41"/>
              <w:bidi w:val="0"/>
              <w:rPr>
                <w:rFonts w:hint="default"/>
                <w:color w:val="auto"/>
              </w:rPr>
            </w:pPr>
            <w:r>
              <w:rPr>
                <w:rFonts w:hint="eastAsia"/>
                <w:color w:val="auto"/>
                <w:lang w:val="en-US" w:eastAsia="zh-CN"/>
              </w:rPr>
              <w:t>根据《建设项目环境影响报告表编制技术指南（污染影响类）（试行）》中要求“排放国家、地方环境空</w:t>
            </w:r>
            <w:r>
              <w:rPr>
                <w:rFonts w:hint="default"/>
                <w:color w:val="auto"/>
                <w:lang w:val="en-US" w:eastAsia="zh-CN"/>
              </w:rPr>
              <w:t>气质量标准中有标准限值要求的特征污染物时，引用建设项目周边5千米范围内近3年的现有监测数据，无相关数据的选择当季主导风向下风向1个点位补充不少于3天的监测数据”。</w:t>
            </w:r>
          </w:p>
          <w:p w14:paraId="2384EDA4">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本项目产生的大气特征污染物为汞及其化合物、TSP。根据《环境空气质量标准》</w:t>
            </w:r>
            <w:r>
              <w:rPr>
                <w:rFonts w:hint="eastAsia" w:cs="Times New Roman"/>
                <w:color w:val="auto"/>
                <w:lang w:val="en-US" w:eastAsia="zh-CN"/>
              </w:rPr>
              <w:t>（</w:t>
            </w:r>
            <w:r>
              <w:rPr>
                <w:rFonts w:hint="default" w:ascii="Times New Roman" w:hAnsi="Times New Roman" w:cs="Times New Roman"/>
                <w:color w:val="auto"/>
                <w:lang w:val="en-US" w:eastAsia="zh-CN"/>
              </w:rPr>
              <w:t>GB3095-2026），本次特征污染物质量现状调查由新疆锡水金山环境科技有限公司于2026年</w:t>
            </w:r>
            <w:r>
              <w:rPr>
                <w:rFonts w:hint="eastAsia" w:cs="Times New Roman"/>
                <w:color w:val="auto"/>
                <w:lang w:val="en-US" w:eastAsia="zh-CN"/>
              </w:rPr>
              <w:t>2</w:t>
            </w:r>
            <w:r>
              <w:rPr>
                <w:rFonts w:hint="default" w:ascii="Times New Roman" w:hAnsi="Times New Roman" w:cs="Times New Roman"/>
                <w:color w:val="auto"/>
                <w:lang w:val="en-US" w:eastAsia="zh-CN"/>
              </w:rPr>
              <w:t>月</w:t>
            </w:r>
            <w:r>
              <w:rPr>
                <w:rFonts w:hint="eastAsia" w:cs="Times New Roman"/>
                <w:color w:val="auto"/>
                <w:lang w:val="en-US" w:eastAsia="zh-CN"/>
              </w:rPr>
              <w:t>27</w:t>
            </w:r>
            <w:r>
              <w:rPr>
                <w:rFonts w:hint="default" w:ascii="Times New Roman" w:hAnsi="Times New Roman" w:cs="Times New Roman"/>
                <w:color w:val="auto"/>
                <w:lang w:val="en-US" w:eastAsia="zh-CN"/>
              </w:rPr>
              <w:t>日在项目区下风向进行监测，监测点坐标E：82°55′47.46″</w:t>
            </w:r>
            <w:r>
              <w:rPr>
                <w:rFonts w:hint="eastAsia" w:cs="Times New Roman"/>
                <w:color w:val="auto"/>
                <w:lang w:val="en-US" w:eastAsia="zh-CN"/>
              </w:rPr>
              <w:t>，</w:t>
            </w:r>
            <w:r>
              <w:rPr>
                <w:rFonts w:hint="default" w:ascii="Times New Roman" w:hAnsi="Times New Roman" w:cs="Times New Roman"/>
                <w:color w:val="auto"/>
                <w:lang w:val="en-US" w:eastAsia="zh-CN"/>
              </w:rPr>
              <w:t>N：46°21′35.98″，其数据作为本次特征污染物质量现状的评价依据。监测布点示意图见图3-1。</w:t>
            </w:r>
          </w:p>
          <w:p w14:paraId="69A55169">
            <w:pPr>
              <w:pStyle w:val="41"/>
              <w:bidi w:val="0"/>
              <w:rPr>
                <w:rFonts w:hint="default"/>
                <w:color w:val="auto"/>
              </w:rPr>
            </w:pPr>
            <w:r>
              <w:rPr>
                <w:rFonts w:hint="eastAsia"/>
                <w:color w:val="auto"/>
                <w:lang w:val="en-US" w:eastAsia="zh-CN"/>
              </w:rPr>
              <w:t>②</w:t>
            </w:r>
            <w:r>
              <w:rPr>
                <w:rFonts w:hint="eastAsia"/>
                <w:color w:val="auto"/>
              </w:rPr>
              <w:t>监测项目及频率</w:t>
            </w:r>
          </w:p>
          <w:p w14:paraId="30F6A416">
            <w:pPr>
              <w:pStyle w:val="41"/>
              <w:bidi w:val="0"/>
              <w:rPr>
                <w:rFonts w:hint="default"/>
                <w:color w:val="auto"/>
              </w:rPr>
            </w:pPr>
            <w:r>
              <w:rPr>
                <w:rFonts w:hint="eastAsia"/>
                <w:color w:val="auto"/>
                <w:lang w:val="en-US" w:eastAsia="zh-CN"/>
              </w:rPr>
              <w:t>监测项目：TSP、</w:t>
            </w:r>
            <w:r>
              <w:rPr>
                <w:rFonts w:hint="eastAsia" w:cs="Times New Roman"/>
                <w:color w:val="auto"/>
                <w:szCs w:val="24"/>
                <w:lang w:val="en-US" w:eastAsia="zh-CN"/>
              </w:rPr>
              <w:t>汞及其化合物</w:t>
            </w:r>
            <w:r>
              <w:rPr>
                <w:rFonts w:hint="eastAsia"/>
                <w:color w:val="auto"/>
                <w:lang w:val="en-US" w:eastAsia="zh-CN"/>
              </w:rPr>
              <w:t>。监测频率：连续采样</w:t>
            </w:r>
            <w:r>
              <w:rPr>
                <w:rFonts w:hint="default"/>
                <w:color w:val="auto"/>
                <w:lang w:val="en-US" w:eastAsia="zh-CN"/>
              </w:rPr>
              <w:t>3</w:t>
            </w:r>
            <w:r>
              <w:rPr>
                <w:rFonts w:hint="eastAsia"/>
                <w:color w:val="auto"/>
                <w:lang w:val="en-US" w:eastAsia="zh-CN"/>
              </w:rPr>
              <w:t>天。</w:t>
            </w:r>
          </w:p>
          <w:p w14:paraId="57C69010">
            <w:pPr>
              <w:pStyle w:val="41"/>
              <w:bidi w:val="0"/>
              <w:rPr>
                <w:rFonts w:hint="default"/>
                <w:color w:val="auto"/>
              </w:rPr>
            </w:pPr>
            <w:r>
              <w:rPr>
                <w:rFonts w:hint="eastAsia"/>
                <w:color w:val="auto"/>
                <w:lang w:val="en-US" w:eastAsia="zh-CN"/>
              </w:rPr>
              <w:t>③</w:t>
            </w:r>
            <w:r>
              <w:rPr>
                <w:rFonts w:hint="eastAsia"/>
                <w:color w:val="auto"/>
              </w:rPr>
              <w:t>评价标准及方法</w:t>
            </w:r>
          </w:p>
          <w:p w14:paraId="339D9657">
            <w:pPr>
              <w:pStyle w:val="41"/>
              <w:bidi w:val="0"/>
              <w:rPr>
                <w:rFonts w:hint="eastAsia"/>
                <w:color w:val="auto"/>
                <w:lang w:val="en-US" w:eastAsia="zh-CN"/>
              </w:rPr>
            </w:pPr>
            <w:r>
              <w:rPr>
                <w:rFonts w:hint="eastAsia"/>
                <w:color w:val="auto"/>
                <w:lang w:val="en-US" w:eastAsia="zh-CN"/>
              </w:rPr>
              <w:t>评价标准：TSP、</w:t>
            </w:r>
            <w:r>
              <w:rPr>
                <w:rFonts w:hint="eastAsia" w:cs="Times New Roman"/>
                <w:color w:val="auto"/>
                <w:szCs w:val="24"/>
                <w:lang w:val="en-US" w:eastAsia="zh-CN"/>
              </w:rPr>
              <w:t>汞及其化合物</w:t>
            </w:r>
            <w:r>
              <w:rPr>
                <w:rFonts w:hint="eastAsia" w:ascii="Times New Roman" w:hAnsi="Times New Roman" w:cs="Times New Roman"/>
                <w:color w:val="auto"/>
                <w:szCs w:val="24"/>
                <w:lang w:val="en-US" w:eastAsia="zh-CN"/>
              </w:rPr>
              <w:t>执行《环境空气质量标准》</w:t>
            </w:r>
            <w:r>
              <w:rPr>
                <w:rFonts w:hint="eastAsia" w:cs="Times New Roman"/>
                <w:color w:val="auto"/>
                <w:szCs w:val="24"/>
                <w:lang w:val="en-US" w:eastAsia="zh-CN"/>
              </w:rPr>
              <w:t>（</w:t>
            </w:r>
            <w:r>
              <w:rPr>
                <w:rFonts w:hint="eastAsia" w:ascii="Times New Roman" w:hAnsi="Times New Roman" w:cs="Times New Roman"/>
                <w:color w:val="auto"/>
                <w:szCs w:val="24"/>
                <w:lang w:val="en-US" w:eastAsia="zh-CN"/>
              </w:rPr>
              <w:t>GB3095-20</w:t>
            </w:r>
            <w:r>
              <w:rPr>
                <w:rFonts w:hint="eastAsia" w:cs="Times New Roman"/>
                <w:color w:val="auto"/>
                <w:szCs w:val="24"/>
                <w:lang w:val="en-US" w:eastAsia="zh-CN"/>
              </w:rPr>
              <w:t>26</w:t>
            </w:r>
            <w:r>
              <w:rPr>
                <w:rFonts w:hint="eastAsia" w:ascii="Times New Roman" w:hAnsi="Times New Roman" w:cs="Times New Roman"/>
                <w:color w:val="auto"/>
                <w:szCs w:val="24"/>
                <w:lang w:val="en-US" w:eastAsia="zh-CN"/>
              </w:rPr>
              <w:t>）中</w:t>
            </w:r>
            <w:r>
              <w:rPr>
                <w:rFonts w:hint="eastAsia"/>
                <w:color w:val="auto"/>
                <w:lang w:val="en-US" w:eastAsia="zh-CN"/>
              </w:rPr>
              <w:t>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p>
          <w:p w14:paraId="7FE201BE">
            <w:pPr>
              <w:pStyle w:val="53"/>
              <w:bidi w:val="0"/>
              <w:rPr>
                <w:rFonts w:hint="default"/>
                <w:color w:val="auto"/>
              </w:rPr>
            </w:pPr>
            <w:r>
              <w:rPr>
                <w:rFonts w:hint="eastAsia"/>
                <w:color w:val="auto"/>
                <w:lang w:val="en-US" w:eastAsia="zh-CN"/>
              </w:rPr>
              <w:t>表</w:t>
            </w:r>
            <w:r>
              <w:rPr>
                <w:rFonts w:hint="default"/>
                <w:color w:val="auto"/>
                <w:lang w:val="en-US" w:eastAsia="zh-CN"/>
              </w:rPr>
              <w:t>3-</w:t>
            </w:r>
            <w:r>
              <w:rPr>
                <w:rFonts w:hint="eastAsia"/>
                <w:color w:val="auto"/>
                <w:lang w:val="en-US" w:eastAsia="zh-CN"/>
              </w:rPr>
              <w:t>3</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 xml:space="preserve"> </w:t>
            </w:r>
            <w:r>
              <w:rPr>
                <w:rFonts w:hint="eastAsia"/>
                <w:color w:val="auto"/>
                <w:lang w:val="en-US" w:eastAsia="zh-CN"/>
              </w:rPr>
              <w:t>大气环境质量标准</w:t>
            </w:r>
          </w:p>
          <w:tbl>
            <w:tblPr>
              <w:tblStyle w:val="32"/>
              <w:tblW w:w="7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4026"/>
              <w:gridCol w:w="3935"/>
            </w:tblGrid>
            <w:tr w14:paraId="7D18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jc w:val="center"/>
              </w:trPr>
              <w:tc>
                <w:tcPr>
                  <w:tcW w:w="4026" w:type="dxa"/>
                  <w:noWrap w:val="0"/>
                  <w:vAlign w:val="center"/>
                </w:tcPr>
                <w:p w14:paraId="6C3FA821">
                  <w:pPr>
                    <w:pStyle w:val="42"/>
                    <w:bidi w:val="0"/>
                    <w:rPr>
                      <w:rFonts w:hint="default"/>
                      <w:color w:val="auto"/>
                      <w:lang w:val="en-US" w:eastAsia="zh-CN"/>
                    </w:rPr>
                  </w:pPr>
                  <w:r>
                    <w:rPr>
                      <w:rFonts w:hint="eastAsia"/>
                      <w:color w:val="auto"/>
                      <w:lang w:val="en-US" w:eastAsia="zh-CN"/>
                    </w:rPr>
                    <w:t>评价因子</w:t>
                  </w:r>
                </w:p>
              </w:tc>
              <w:tc>
                <w:tcPr>
                  <w:tcW w:w="3935" w:type="dxa"/>
                  <w:noWrap w:val="0"/>
                  <w:vAlign w:val="center"/>
                </w:tcPr>
                <w:p w14:paraId="677BF3BE">
                  <w:pPr>
                    <w:pStyle w:val="42"/>
                    <w:bidi w:val="0"/>
                    <w:rPr>
                      <w:rFonts w:hint="default"/>
                      <w:color w:val="auto"/>
                      <w:lang w:val="en-US" w:eastAsia="zh-CN"/>
                    </w:rPr>
                  </w:pPr>
                  <w:r>
                    <w:rPr>
                      <w:rFonts w:hint="eastAsia"/>
                      <w:color w:val="auto"/>
                      <w:lang w:val="en-US" w:eastAsia="zh-CN"/>
                    </w:rPr>
                    <w:t>执行标准</w:t>
                  </w:r>
                </w:p>
              </w:tc>
            </w:tr>
            <w:tr w14:paraId="322F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jc w:val="center"/>
              </w:trPr>
              <w:tc>
                <w:tcPr>
                  <w:tcW w:w="4026" w:type="dxa"/>
                  <w:noWrap w:val="0"/>
                  <w:vAlign w:val="center"/>
                </w:tcPr>
                <w:p w14:paraId="2795759C">
                  <w:pPr>
                    <w:pStyle w:val="42"/>
                    <w:bidi w:val="0"/>
                    <w:rPr>
                      <w:rFonts w:hint="default"/>
                      <w:color w:val="auto"/>
                      <w:lang w:val="en-US" w:eastAsia="zh-CN"/>
                    </w:rPr>
                  </w:pPr>
                  <w:r>
                    <w:rPr>
                      <w:rFonts w:hint="eastAsia"/>
                      <w:color w:val="auto"/>
                      <w:lang w:val="en-US" w:eastAsia="zh-CN"/>
                    </w:rPr>
                    <w:t>TSP</w:t>
                  </w:r>
                </w:p>
              </w:tc>
              <w:tc>
                <w:tcPr>
                  <w:tcW w:w="3935" w:type="dxa"/>
                  <w:noWrap w:val="0"/>
                  <w:vAlign w:val="center"/>
                </w:tcPr>
                <w:p w14:paraId="42FE1BF7">
                  <w:pPr>
                    <w:pStyle w:val="42"/>
                    <w:bidi w:val="0"/>
                    <w:rPr>
                      <w:rFonts w:hint="default"/>
                      <w:color w:val="auto"/>
                      <w:lang w:val="en-US" w:eastAsia="zh-CN"/>
                    </w:rPr>
                  </w:pPr>
                  <w:r>
                    <w:rPr>
                      <w:rFonts w:hint="eastAsia"/>
                      <w:color w:val="auto"/>
                      <w:lang w:val="en-US" w:eastAsia="zh-CN"/>
                    </w:rPr>
                    <w:t>24小时平均300</w:t>
                  </w:r>
                  <w:r>
                    <w:rPr>
                      <w:rFonts w:hint="default"/>
                      <w:color w:val="auto"/>
                      <w:lang w:val="en-US" w:eastAsia="zh-CN"/>
                    </w:rPr>
                    <w:t>μg/m</w:t>
                  </w:r>
                  <w:r>
                    <w:rPr>
                      <w:rFonts w:hint="default"/>
                      <w:color w:val="auto"/>
                      <w:vertAlign w:val="superscript"/>
                      <w:lang w:val="en-US" w:eastAsia="zh-CN"/>
                    </w:rPr>
                    <w:t>3</w:t>
                  </w:r>
                </w:p>
              </w:tc>
            </w:tr>
            <w:tr w14:paraId="4614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jc w:val="center"/>
              </w:trPr>
              <w:tc>
                <w:tcPr>
                  <w:tcW w:w="4026" w:type="dxa"/>
                  <w:noWrap w:val="0"/>
                  <w:vAlign w:val="center"/>
                </w:tcPr>
                <w:p w14:paraId="58CDF591">
                  <w:pPr>
                    <w:pStyle w:val="42"/>
                    <w:bidi w:val="0"/>
                    <w:rPr>
                      <w:rFonts w:hint="eastAsia"/>
                      <w:color w:val="auto"/>
                      <w:lang w:val="en-US" w:eastAsia="zh-CN"/>
                    </w:rPr>
                  </w:pPr>
                  <w:r>
                    <w:rPr>
                      <w:rFonts w:hint="eastAsia"/>
                      <w:color w:val="auto"/>
                      <w:lang w:val="en-US" w:eastAsia="zh-CN"/>
                    </w:rPr>
                    <w:t>汞及其化合物</w:t>
                  </w:r>
                </w:p>
              </w:tc>
              <w:tc>
                <w:tcPr>
                  <w:tcW w:w="3935" w:type="dxa"/>
                  <w:noWrap w:val="0"/>
                  <w:vAlign w:val="center"/>
                </w:tcPr>
                <w:p w14:paraId="0C40B559">
                  <w:pPr>
                    <w:pStyle w:val="42"/>
                    <w:bidi w:val="0"/>
                    <w:rPr>
                      <w:rFonts w:hint="default"/>
                      <w:color w:val="auto"/>
                      <w:lang w:val="en-US" w:eastAsia="zh-CN"/>
                    </w:rPr>
                  </w:pPr>
                  <w:r>
                    <w:rPr>
                      <w:rFonts w:hint="eastAsia"/>
                      <w:color w:val="auto"/>
                      <w:lang w:val="en-US" w:eastAsia="zh-CN"/>
                    </w:rPr>
                    <w:t>年平均0.05</w:t>
                  </w:r>
                  <w:r>
                    <w:rPr>
                      <w:rFonts w:hint="default"/>
                      <w:color w:val="auto"/>
                      <w:lang w:val="en-US" w:eastAsia="zh-CN"/>
                    </w:rPr>
                    <w:t>μg/m</w:t>
                  </w:r>
                  <w:r>
                    <w:rPr>
                      <w:rFonts w:hint="default"/>
                      <w:color w:val="auto"/>
                      <w:vertAlign w:val="superscript"/>
                      <w:lang w:val="en-US" w:eastAsia="zh-CN"/>
                    </w:rPr>
                    <w:t>3</w:t>
                  </w:r>
                </w:p>
              </w:tc>
            </w:tr>
          </w:tbl>
          <w:p w14:paraId="567833D0">
            <w:pPr>
              <w:pStyle w:val="41"/>
              <w:bidi w:val="0"/>
              <w:rPr>
                <w:rFonts w:hint="default"/>
                <w:color w:val="auto"/>
              </w:rPr>
            </w:pPr>
            <w:r>
              <w:rPr>
                <w:rFonts w:hint="eastAsia"/>
                <w:color w:val="auto"/>
                <w:lang w:val="en-US" w:eastAsia="zh-CN"/>
              </w:rPr>
              <w:t>④现状监测及评价结果</w:t>
            </w:r>
          </w:p>
          <w:p w14:paraId="295FC394">
            <w:pPr>
              <w:pStyle w:val="41"/>
              <w:bidi w:val="0"/>
              <w:rPr>
                <w:rFonts w:hint="eastAsia"/>
                <w:color w:val="auto"/>
                <w:lang w:val="en-US" w:eastAsia="zh-CN"/>
              </w:rPr>
            </w:pPr>
            <w:r>
              <w:rPr>
                <w:rFonts w:hint="eastAsia"/>
                <w:color w:val="auto"/>
                <w:lang w:val="en-US" w:eastAsia="zh-CN"/>
              </w:rPr>
              <w:t>大气环境质量现状监测、评价结果见下表。</w:t>
            </w:r>
          </w:p>
          <w:p w14:paraId="32F0FFAD">
            <w:pPr>
              <w:pStyle w:val="53"/>
              <w:bidi w:val="0"/>
              <w:rPr>
                <w:rFonts w:hint="eastAsia"/>
                <w:color w:val="auto"/>
                <w:lang w:val="en-US" w:eastAsia="zh-CN"/>
              </w:rPr>
            </w:pPr>
            <w:r>
              <w:rPr>
                <w:rFonts w:hint="eastAsia"/>
                <w:color w:val="auto"/>
                <w:lang w:val="en-US" w:eastAsia="zh-CN"/>
              </w:rPr>
              <w:t>表</w:t>
            </w:r>
            <w:r>
              <w:rPr>
                <w:rFonts w:hint="default"/>
                <w:color w:val="auto"/>
                <w:lang w:val="en-US" w:eastAsia="zh-CN"/>
              </w:rPr>
              <w:t>3-</w:t>
            </w:r>
            <w:r>
              <w:rPr>
                <w:rFonts w:hint="eastAsia"/>
                <w:color w:val="auto"/>
                <w:lang w:val="en-US" w:eastAsia="zh-CN"/>
              </w:rPr>
              <w:t>4</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 xml:space="preserve"> </w:t>
            </w:r>
            <w:r>
              <w:rPr>
                <w:rFonts w:hint="eastAsia"/>
                <w:color w:val="auto"/>
                <w:lang w:val="en-US" w:eastAsia="zh-CN"/>
              </w:rPr>
              <w:t>TSP、</w:t>
            </w:r>
            <w:r>
              <w:rPr>
                <w:rFonts w:hint="default"/>
                <w:color w:val="auto"/>
              </w:rPr>
              <w:t>汞及其化合</w:t>
            </w:r>
            <w:r>
              <w:rPr>
                <w:rFonts w:hint="eastAsia"/>
                <w:color w:val="auto"/>
                <w:lang w:val="en-US" w:eastAsia="zh-CN"/>
              </w:rPr>
              <w:t>现状监测日均浓度统计及评价结果</w:t>
            </w:r>
          </w:p>
          <w:tbl>
            <w:tblPr>
              <w:tblStyle w:val="31"/>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879"/>
              <w:gridCol w:w="1135"/>
              <w:gridCol w:w="1796"/>
              <w:gridCol w:w="1293"/>
              <w:gridCol w:w="1065"/>
            </w:tblGrid>
            <w:tr w14:paraId="0375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69" w:type="dxa"/>
                  <w:tcBorders>
                    <w:tl2br w:val="nil"/>
                    <w:tr2bl w:val="nil"/>
                  </w:tcBorders>
                  <w:noWrap w:val="0"/>
                  <w:vAlign w:val="center"/>
                </w:tcPr>
                <w:p w14:paraId="78332F1D">
                  <w:pPr>
                    <w:pStyle w:val="42"/>
                    <w:bidi w:val="0"/>
                    <w:rPr>
                      <w:rFonts w:hint="default"/>
                      <w:color w:val="auto"/>
                    </w:rPr>
                  </w:pPr>
                  <w:r>
                    <w:rPr>
                      <w:rFonts w:hint="eastAsia"/>
                      <w:color w:val="auto"/>
                      <w:lang w:val="en-US" w:eastAsia="zh-CN"/>
                    </w:rPr>
                    <w:t>采样日期</w:t>
                  </w:r>
                </w:p>
              </w:tc>
              <w:tc>
                <w:tcPr>
                  <w:tcW w:w="879" w:type="dxa"/>
                  <w:tcBorders>
                    <w:tl2br w:val="nil"/>
                    <w:tr2bl w:val="nil"/>
                  </w:tcBorders>
                  <w:noWrap w:val="0"/>
                  <w:vAlign w:val="center"/>
                </w:tcPr>
                <w:p w14:paraId="4A6303CF">
                  <w:pPr>
                    <w:pStyle w:val="42"/>
                    <w:bidi w:val="0"/>
                    <w:rPr>
                      <w:rFonts w:hint="default"/>
                      <w:color w:val="auto"/>
                    </w:rPr>
                  </w:pPr>
                  <w:r>
                    <w:rPr>
                      <w:rFonts w:hint="eastAsia"/>
                      <w:color w:val="auto"/>
                      <w:lang w:val="en-US" w:eastAsia="zh-CN"/>
                    </w:rPr>
                    <w:t>采样点</w:t>
                  </w:r>
                </w:p>
              </w:tc>
              <w:tc>
                <w:tcPr>
                  <w:tcW w:w="1135" w:type="dxa"/>
                  <w:tcBorders>
                    <w:tl2br w:val="nil"/>
                    <w:tr2bl w:val="nil"/>
                  </w:tcBorders>
                  <w:noWrap w:val="0"/>
                  <w:vAlign w:val="center"/>
                </w:tcPr>
                <w:p w14:paraId="1A1FECE0">
                  <w:pPr>
                    <w:pStyle w:val="42"/>
                    <w:bidi w:val="0"/>
                    <w:rPr>
                      <w:rFonts w:hint="default"/>
                      <w:color w:val="auto"/>
                    </w:rPr>
                  </w:pPr>
                  <w:r>
                    <w:rPr>
                      <w:rFonts w:hint="eastAsia"/>
                      <w:color w:val="auto"/>
                      <w:lang w:val="en-US" w:eastAsia="zh-CN"/>
                    </w:rPr>
                    <w:t>监测项目</w:t>
                  </w:r>
                </w:p>
              </w:tc>
              <w:tc>
                <w:tcPr>
                  <w:tcW w:w="1796" w:type="dxa"/>
                  <w:tcBorders>
                    <w:tl2br w:val="nil"/>
                    <w:tr2bl w:val="nil"/>
                  </w:tcBorders>
                  <w:noWrap w:val="0"/>
                  <w:vAlign w:val="center"/>
                </w:tcPr>
                <w:p w14:paraId="76392241">
                  <w:pPr>
                    <w:pStyle w:val="42"/>
                    <w:bidi w:val="0"/>
                    <w:rPr>
                      <w:rFonts w:hint="default"/>
                      <w:color w:val="auto"/>
                    </w:rPr>
                  </w:pPr>
                  <w:r>
                    <w:rPr>
                      <w:rFonts w:hint="eastAsia"/>
                      <w:color w:val="auto"/>
                      <w:lang w:val="en-US" w:eastAsia="zh-CN"/>
                    </w:rPr>
                    <w:t>监测结果</w:t>
                  </w:r>
                  <w:r>
                    <w:rPr>
                      <w:rFonts w:hint="default"/>
                      <w:color w:val="auto"/>
                      <w:lang w:val="en-US" w:eastAsia="zh-CN"/>
                    </w:rPr>
                    <w:t>μg/m</w:t>
                  </w:r>
                  <w:r>
                    <w:rPr>
                      <w:rFonts w:hint="default"/>
                      <w:color w:val="auto"/>
                      <w:vertAlign w:val="superscript"/>
                      <w:lang w:val="en-US" w:eastAsia="zh-CN"/>
                    </w:rPr>
                    <w:t>3</w:t>
                  </w:r>
                </w:p>
              </w:tc>
              <w:tc>
                <w:tcPr>
                  <w:tcW w:w="1293" w:type="dxa"/>
                  <w:tcBorders>
                    <w:tl2br w:val="nil"/>
                    <w:tr2bl w:val="nil"/>
                  </w:tcBorders>
                  <w:noWrap w:val="0"/>
                  <w:vAlign w:val="center"/>
                </w:tcPr>
                <w:p w14:paraId="46148C8F">
                  <w:pPr>
                    <w:pStyle w:val="42"/>
                    <w:bidi w:val="0"/>
                    <w:rPr>
                      <w:rFonts w:hint="default"/>
                      <w:color w:val="auto"/>
                    </w:rPr>
                  </w:pPr>
                  <w:r>
                    <w:rPr>
                      <w:rFonts w:hint="eastAsia"/>
                      <w:color w:val="auto"/>
                      <w:lang w:val="en-US" w:eastAsia="zh-CN"/>
                    </w:rPr>
                    <w:t>标准值</w:t>
                  </w:r>
                </w:p>
              </w:tc>
              <w:tc>
                <w:tcPr>
                  <w:tcW w:w="1065" w:type="dxa"/>
                  <w:tcBorders>
                    <w:tl2br w:val="nil"/>
                    <w:tr2bl w:val="nil"/>
                  </w:tcBorders>
                  <w:noWrap w:val="0"/>
                  <w:vAlign w:val="center"/>
                </w:tcPr>
                <w:p w14:paraId="3797497B">
                  <w:pPr>
                    <w:pStyle w:val="42"/>
                    <w:bidi w:val="0"/>
                    <w:rPr>
                      <w:rFonts w:hint="default"/>
                      <w:color w:val="auto"/>
                      <w:lang w:val="en-US" w:eastAsia="zh-CN"/>
                    </w:rPr>
                  </w:pPr>
                  <w:r>
                    <w:rPr>
                      <w:rFonts w:hint="eastAsia"/>
                      <w:color w:val="auto"/>
                      <w:lang w:val="en-US" w:eastAsia="zh-CN"/>
                    </w:rPr>
                    <w:t>达标情况</w:t>
                  </w:r>
                </w:p>
              </w:tc>
            </w:tr>
            <w:tr w14:paraId="43C1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69" w:type="dxa"/>
                  <w:tcBorders>
                    <w:tl2br w:val="nil"/>
                    <w:tr2bl w:val="nil"/>
                  </w:tcBorders>
                  <w:noWrap w:val="0"/>
                  <w:vAlign w:val="center"/>
                </w:tcPr>
                <w:p w14:paraId="15DC809A">
                  <w:pPr>
                    <w:pStyle w:val="42"/>
                    <w:bidi w:val="0"/>
                    <w:rPr>
                      <w:rFonts w:hint="default" w:eastAsia="宋体"/>
                      <w:color w:val="auto"/>
                      <w:lang w:val="en-US" w:eastAsia="zh-CN"/>
                    </w:rPr>
                  </w:pPr>
                </w:p>
              </w:tc>
              <w:tc>
                <w:tcPr>
                  <w:tcW w:w="879" w:type="dxa"/>
                  <w:vMerge w:val="restart"/>
                  <w:tcBorders>
                    <w:tl2br w:val="nil"/>
                    <w:tr2bl w:val="nil"/>
                  </w:tcBorders>
                  <w:noWrap w:val="0"/>
                  <w:vAlign w:val="center"/>
                </w:tcPr>
                <w:p w14:paraId="79F91B48">
                  <w:pPr>
                    <w:pStyle w:val="42"/>
                    <w:bidi w:val="0"/>
                    <w:rPr>
                      <w:rFonts w:hint="eastAsia" w:eastAsia="宋体"/>
                      <w:color w:val="auto"/>
                      <w:lang w:val="en-US" w:eastAsia="zh-CN"/>
                    </w:rPr>
                  </w:pPr>
                </w:p>
              </w:tc>
              <w:tc>
                <w:tcPr>
                  <w:tcW w:w="1135" w:type="dxa"/>
                  <w:vMerge w:val="restart"/>
                  <w:tcBorders>
                    <w:tl2br w:val="nil"/>
                    <w:tr2bl w:val="nil"/>
                  </w:tcBorders>
                  <w:noWrap w:val="0"/>
                  <w:vAlign w:val="center"/>
                </w:tcPr>
                <w:p w14:paraId="6B4EC16C">
                  <w:pPr>
                    <w:pStyle w:val="42"/>
                    <w:bidi w:val="0"/>
                    <w:rPr>
                      <w:rFonts w:hint="default"/>
                      <w:color w:val="auto"/>
                    </w:rPr>
                  </w:pPr>
                </w:p>
              </w:tc>
              <w:tc>
                <w:tcPr>
                  <w:tcW w:w="1796" w:type="dxa"/>
                  <w:tcBorders>
                    <w:tl2br w:val="nil"/>
                    <w:tr2bl w:val="nil"/>
                  </w:tcBorders>
                  <w:noWrap w:val="0"/>
                  <w:vAlign w:val="center"/>
                </w:tcPr>
                <w:p w14:paraId="407A27EE">
                  <w:pPr>
                    <w:keepNext w:val="0"/>
                    <w:keepLines w:val="0"/>
                    <w:widowControl/>
                    <w:suppressLineNumbers w:val="0"/>
                    <w:jc w:val="center"/>
                    <w:textAlignment w:val="center"/>
                    <w:rPr>
                      <w:rFonts w:hint="default" w:eastAsia="宋体"/>
                      <w:color w:val="auto"/>
                      <w:lang w:val="en-US" w:eastAsia="zh-CN"/>
                    </w:rPr>
                  </w:pPr>
                </w:p>
              </w:tc>
              <w:tc>
                <w:tcPr>
                  <w:tcW w:w="1293" w:type="dxa"/>
                  <w:vMerge w:val="restart"/>
                  <w:tcBorders>
                    <w:tl2br w:val="nil"/>
                    <w:tr2bl w:val="nil"/>
                  </w:tcBorders>
                  <w:noWrap w:val="0"/>
                  <w:vAlign w:val="center"/>
                </w:tcPr>
                <w:p w14:paraId="42094F1C">
                  <w:pPr>
                    <w:pStyle w:val="42"/>
                    <w:bidi w:val="0"/>
                    <w:rPr>
                      <w:rFonts w:hint="default"/>
                      <w:color w:val="auto"/>
                    </w:rPr>
                  </w:pPr>
                </w:p>
              </w:tc>
              <w:tc>
                <w:tcPr>
                  <w:tcW w:w="1065" w:type="dxa"/>
                  <w:tcBorders>
                    <w:tl2br w:val="nil"/>
                    <w:tr2bl w:val="nil"/>
                  </w:tcBorders>
                  <w:noWrap w:val="0"/>
                  <w:vAlign w:val="center"/>
                </w:tcPr>
                <w:p w14:paraId="1832640B">
                  <w:pPr>
                    <w:pStyle w:val="42"/>
                    <w:bidi w:val="0"/>
                    <w:rPr>
                      <w:rFonts w:hint="default"/>
                      <w:color w:val="auto"/>
                      <w:lang w:val="en-US" w:eastAsia="zh-CN"/>
                    </w:rPr>
                  </w:pPr>
                </w:p>
              </w:tc>
            </w:tr>
            <w:tr w14:paraId="0E3E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69" w:type="dxa"/>
                  <w:tcBorders>
                    <w:tl2br w:val="nil"/>
                    <w:tr2bl w:val="nil"/>
                  </w:tcBorders>
                  <w:noWrap w:val="0"/>
                  <w:vAlign w:val="center"/>
                </w:tcPr>
                <w:p w14:paraId="67A6E37C">
                  <w:pPr>
                    <w:pStyle w:val="42"/>
                    <w:bidi w:val="0"/>
                    <w:rPr>
                      <w:rFonts w:hint="default" w:eastAsia="宋体"/>
                      <w:color w:val="auto"/>
                      <w:lang w:val="en-US" w:eastAsia="zh-CN"/>
                    </w:rPr>
                  </w:pPr>
                </w:p>
              </w:tc>
              <w:tc>
                <w:tcPr>
                  <w:tcW w:w="879" w:type="dxa"/>
                  <w:vMerge w:val="continue"/>
                  <w:tcBorders>
                    <w:tl2br w:val="nil"/>
                    <w:tr2bl w:val="nil"/>
                  </w:tcBorders>
                  <w:noWrap w:val="0"/>
                  <w:vAlign w:val="center"/>
                </w:tcPr>
                <w:p w14:paraId="4AEECE40">
                  <w:pPr>
                    <w:pStyle w:val="42"/>
                    <w:bidi w:val="0"/>
                    <w:rPr>
                      <w:rFonts w:hint="default"/>
                      <w:color w:val="auto"/>
                    </w:rPr>
                  </w:pPr>
                </w:p>
              </w:tc>
              <w:tc>
                <w:tcPr>
                  <w:tcW w:w="1135" w:type="dxa"/>
                  <w:vMerge w:val="continue"/>
                  <w:tcBorders>
                    <w:tl2br w:val="nil"/>
                    <w:tr2bl w:val="nil"/>
                  </w:tcBorders>
                  <w:noWrap w:val="0"/>
                  <w:vAlign w:val="center"/>
                </w:tcPr>
                <w:p w14:paraId="6A09B69F">
                  <w:pPr>
                    <w:pStyle w:val="42"/>
                    <w:bidi w:val="0"/>
                    <w:rPr>
                      <w:rFonts w:hint="default"/>
                      <w:color w:val="auto"/>
                    </w:rPr>
                  </w:pPr>
                </w:p>
              </w:tc>
              <w:tc>
                <w:tcPr>
                  <w:tcW w:w="1796" w:type="dxa"/>
                  <w:tcBorders>
                    <w:tl2br w:val="nil"/>
                    <w:tr2bl w:val="nil"/>
                  </w:tcBorders>
                  <w:noWrap w:val="0"/>
                  <w:vAlign w:val="center"/>
                </w:tcPr>
                <w:p w14:paraId="7DBE53FF">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7636FFD6">
                  <w:pPr>
                    <w:pStyle w:val="42"/>
                    <w:bidi w:val="0"/>
                    <w:rPr>
                      <w:rFonts w:hint="default"/>
                      <w:color w:val="auto"/>
                    </w:rPr>
                  </w:pPr>
                </w:p>
              </w:tc>
              <w:tc>
                <w:tcPr>
                  <w:tcW w:w="1065" w:type="dxa"/>
                  <w:tcBorders>
                    <w:tl2br w:val="nil"/>
                    <w:tr2bl w:val="nil"/>
                  </w:tcBorders>
                  <w:noWrap w:val="0"/>
                  <w:vAlign w:val="center"/>
                </w:tcPr>
                <w:p w14:paraId="6CC3AFE2">
                  <w:pPr>
                    <w:pStyle w:val="42"/>
                    <w:bidi w:val="0"/>
                    <w:rPr>
                      <w:rFonts w:hint="default"/>
                      <w:color w:val="auto"/>
                      <w:lang w:val="en-US" w:eastAsia="zh-CN"/>
                    </w:rPr>
                  </w:pPr>
                </w:p>
              </w:tc>
            </w:tr>
            <w:tr w14:paraId="797F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769" w:type="dxa"/>
                  <w:tcBorders>
                    <w:tl2br w:val="nil"/>
                    <w:tr2bl w:val="nil"/>
                  </w:tcBorders>
                  <w:noWrap w:val="0"/>
                  <w:vAlign w:val="center"/>
                </w:tcPr>
                <w:p w14:paraId="59DEA238">
                  <w:pPr>
                    <w:pStyle w:val="42"/>
                    <w:bidi w:val="0"/>
                    <w:rPr>
                      <w:rFonts w:hint="default" w:eastAsia="宋体"/>
                      <w:color w:val="auto"/>
                      <w:lang w:val="en-US" w:eastAsia="zh-CN"/>
                    </w:rPr>
                  </w:pPr>
                </w:p>
              </w:tc>
              <w:tc>
                <w:tcPr>
                  <w:tcW w:w="879" w:type="dxa"/>
                  <w:vMerge w:val="continue"/>
                  <w:tcBorders>
                    <w:tl2br w:val="nil"/>
                    <w:tr2bl w:val="nil"/>
                  </w:tcBorders>
                  <w:noWrap w:val="0"/>
                  <w:vAlign w:val="center"/>
                </w:tcPr>
                <w:p w14:paraId="7BE5C86F">
                  <w:pPr>
                    <w:pStyle w:val="42"/>
                    <w:bidi w:val="0"/>
                    <w:rPr>
                      <w:rFonts w:hint="default"/>
                      <w:color w:val="auto"/>
                    </w:rPr>
                  </w:pPr>
                </w:p>
              </w:tc>
              <w:tc>
                <w:tcPr>
                  <w:tcW w:w="1135" w:type="dxa"/>
                  <w:vMerge w:val="continue"/>
                  <w:tcBorders>
                    <w:tl2br w:val="nil"/>
                    <w:tr2bl w:val="nil"/>
                  </w:tcBorders>
                  <w:noWrap w:val="0"/>
                  <w:vAlign w:val="center"/>
                </w:tcPr>
                <w:p w14:paraId="74659D25">
                  <w:pPr>
                    <w:pStyle w:val="42"/>
                    <w:bidi w:val="0"/>
                    <w:rPr>
                      <w:rFonts w:hint="default"/>
                      <w:color w:val="auto"/>
                    </w:rPr>
                  </w:pPr>
                </w:p>
              </w:tc>
              <w:tc>
                <w:tcPr>
                  <w:tcW w:w="1796" w:type="dxa"/>
                  <w:tcBorders>
                    <w:tl2br w:val="nil"/>
                    <w:tr2bl w:val="nil"/>
                  </w:tcBorders>
                  <w:noWrap w:val="0"/>
                  <w:vAlign w:val="center"/>
                </w:tcPr>
                <w:p w14:paraId="79560CF4">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5232388E">
                  <w:pPr>
                    <w:pStyle w:val="42"/>
                    <w:bidi w:val="0"/>
                    <w:rPr>
                      <w:rFonts w:hint="default"/>
                      <w:color w:val="auto"/>
                    </w:rPr>
                  </w:pPr>
                </w:p>
              </w:tc>
              <w:tc>
                <w:tcPr>
                  <w:tcW w:w="1065" w:type="dxa"/>
                  <w:tcBorders>
                    <w:tl2br w:val="nil"/>
                    <w:tr2bl w:val="nil"/>
                  </w:tcBorders>
                  <w:noWrap w:val="0"/>
                  <w:vAlign w:val="center"/>
                </w:tcPr>
                <w:p w14:paraId="6ECDC851">
                  <w:pPr>
                    <w:pStyle w:val="42"/>
                    <w:bidi w:val="0"/>
                    <w:rPr>
                      <w:rFonts w:hint="default"/>
                      <w:color w:val="auto"/>
                      <w:lang w:val="en-US" w:eastAsia="zh-CN"/>
                    </w:rPr>
                  </w:pPr>
                </w:p>
              </w:tc>
            </w:tr>
            <w:tr w14:paraId="26A5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restart"/>
                  <w:tcBorders>
                    <w:tl2br w:val="nil"/>
                    <w:tr2bl w:val="nil"/>
                  </w:tcBorders>
                  <w:noWrap w:val="0"/>
                  <w:vAlign w:val="center"/>
                </w:tcPr>
                <w:p w14:paraId="5FE9B134">
                  <w:pPr>
                    <w:pStyle w:val="42"/>
                    <w:bidi w:val="0"/>
                    <w:ind w:firstLine="0" w:firstLineChars="0"/>
                    <w:rPr>
                      <w:rFonts w:hint="default" w:eastAsia="宋体"/>
                      <w:color w:val="auto"/>
                      <w:lang w:val="en-US" w:eastAsia="zh-CN"/>
                    </w:rPr>
                  </w:pPr>
                </w:p>
              </w:tc>
              <w:tc>
                <w:tcPr>
                  <w:tcW w:w="879" w:type="dxa"/>
                  <w:vMerge w:val="restart"/>
                  <w:tcBorders>
                    <w:tl2br w:val="nil"/>
                    <w:tr2bl w:val="nil"/>
                  </w:tcBorders>
                  <w:noWrap w:val="0"/>
                  <w:vAlign w:val="center"/>
                </w:tcPr>
                <w:p w14:paraId="421505DF">
                  <w:pPr>
                    <w:pStyle w:val="42"/>
                    <w:bidi w:val="0"/>
                    <w:rPr>
                      <w:rFonts w:hint="eastAsia" w:eastAsia="宋体"/>
                      <w:color w:val="auto"/>
                      <w:lang w:val="en-US" w:eastAsia="zh-CN"/>
                    </w:rPr>
                  </w:pPr>
                </w:p>
              </w:tc>
              <w:tc>
                <w:tcPr>
                  <w:tcW w:w="1135" w:type="dxa"/>
                  <w:vMerge w:val="restart"/>
                  <w:tcBorders>
                    <w:tl2br w:val="nil"/>
                    <w:tr2bl w:val="nil"/>
                  </w:tcBorders>
                  <w:noWrap w:val="0"/>
                  <w:vAlign w:val="center"/>
                </w:tcPr>
                <w:p w14:paraId="7AF9803C">
                  <w:pPr>
                    <w:pStyle w:val="42"/>
                    <w:bidi w:val="0"/>
                    <w:rPr>
                      <w:rFonts w:hint="default"/>
                      <w:color w:val="auto"/>
                    </w:rPr>
                  </w:pPr>
                </w:p>
              </w:tc>
              <w:tc>
                <w:tcPr>
                  <w:tcW w:w="1796" w:type="dxa"/>
                  <w:tcBorders>
                    <w:tl2br w:val="nil"/>
                    <w:tr2bl w:val="nil"/>
                  </w:tcBorders>
                  <w:noWrap w:val="0"/>
                  <w:vAlign w:val="center"/>
                </w:tcPr>
                <w:p w14:paraId="01540411">
                  <w:pPr>
                    <w:keepNext w:val="0"/>
                    <w:keepLines w:val="0"/>
                    <w:widowControl/>
                    <w:suppressLineNumbers w:val="0"/>
                    <w:jc w:val="center"/>
                    <w:textAlignment w:val="center"/>
                    <w:rPr>
                      <w:rFonts w:hint="default" w:eastAsia="宋体"/>
                      <w:color w:val="auto"/>
                      <w:lang w:val="en-US" w:eastAsia="zh-CN"/>
                    </w:rPr>
                  </w:pPr>
                </w:p>
              </w:tc>
              <w:tc>
                <w:tcPr>
                  <w:tcW w:w="1293" w:type="dxa"/>
                  <w:vMerge w:val="restart"/>
                  <w:tcBorders>
                    <w:tl2br w:val="nil"/>
                    <w:tr2bl w:val="nil"/>
                  </w:tcBorders>
                  <w:noWrap w:val="0"/>
                  <w:vAlign w:val="center"/>
                </w:tcPr>
                <w:p w14:paraId="1F00D8FD">
                  <w:pPr>
                    <w:pStyle w:val="42"/>
                    <w:bidi w:val="0"/>
                    <w:rPr>
                      <w:rFonts w:hint="default"/>
                      <w:color w:val="auto"/>
                    </w:rPr>
                  </w:pPr>
                </w:p>
              </w:tc>
              <w:tc>
                <w:tcPr>
                  <w:tcW w:w="1065" w:type="dxa"/>
                  <w:tcBorders>
                    <w:tl2br w:val="nil"/>
                    <w:tr2bl w:val="nil"/>
                  </w:tcBorders>
                  <w:noWrap w:val="0"/>
                  <w:vAlign w:val="center"/>
                </w:tcPr>
                <w:p w14:paraId="67D08CA3">
                  <w:pPr>
                    <w:pStyle w:val="42"/>
                    <w:bidi w:val="0"/>
                    <w:rPr>
                      <w:rFonts w:hint="default"/>
                      <w:color w:val="auto"/>
                      <w:lang w:val="en-US" w:eastAsia="zh-CN"/>
                    </w:rPr>
                  </w:pPr>
                </w:p>
              </w:tc>
            </w:tr>
            <w:tr w14:paraId="0B1F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 w:hRule="atLeast"/>
                <w:jc w:val="center"/>
              </w:trPr>
              <w:tc>
                <w:tcPr>
                  <w:tcW w:w="1769" w:type="dxa"/>
                  <w:vMerge w:val="continue"/>
                  <w:tcBorders>
                    <w:tl2br w:val="nil"/>
                    <w:tr2bl w:val="nil"/>
                  </w:tcBorders>
                  <w:noWrap w:val="0"/>
                  <w:vAlign w:val="center"/>
                </w:tcPr>
                <w:p w14:paraId="70DA9781">
                  <w:pPr>
                    <w:pStyle w:val="42"/>
                    <w:bidi w:val="0"/>
                    <w:rPr>
                      <w:color w:val="auto"/>
                    </w:rPr>
                  </w:pPr>
                </w:p>
              </w:tc>
              <w:tc>
                <w:tcPr>
                  <w:tcW w:w="879" w:type="dxa"/>
                  <w:vMerge w:val="continue"/>
                  <w:tcBorders>
                    <w:tl2br w:val="nil"/>
                    <w:tr2bl w:val="nil"/>
                  </w:tcBorders>
                  <w:noWrap w:val="0"/>
                  <w:vAlign w:val="center"/>
                </w:tcPr>
                <w:p w14:paraId="60265703">
                  <w:pPr>
                    <w:pStyle w:val="42"/>
                    <w:bidi w:val="0"/>
                    <w:rPr>
                      <w:color w:val="auto"/>
                    </w:rPr>
                  </w:pPr>
                </w:p>
              </w:tc>
              <w:tc>
                <w:tcPr>
                  <w:tcW w:w="1135" w:type="dxa"/>
                  <w:vMerge w:val="continue"/>
                  <w:tcBorders>
                    <w:tl2br w:val="nil"/>
                    <w:tr2bl w:val="nil"/>
                  </w:tcBorders>
                  <w:noWrap w:val="0"/>
                  <w:vAlign w:val="center"/>
                </w:tcPr>
                <w:p w14:paraId="247D9D5D">
                  <w:pPr>
                    <w:pStyle w:val="42"/>
                    <w:bidi w:val="0"/>
                    <w:rPr>
                      <w:color w:val="auto"/>
                    </w:rPr>
                  </w:pPr>
                </w:p>
              </w:tc>
              <w:tc>
                <w:tcPr>
                  <w:tcW w:w="1796" w:type="dxa"/>
                  <w:tcBorders>
                    <w:tl2br w:val="nil"/>
                    <w:tr2bl w:val="nil"/>
                  </w:tcBorders>
                  <w:noWrap w:val="0"/>
                  <w:vAlign w:val="center"/>
                </w:tcPr>
                <w:p w14:paraId="33311DAC">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719AC171">
                  <w:pPr>
                    <w:pStyle w:val="42"/>
                    <w:bidi w:val="0"/>
                    <w:rPr>
                      <w:rFonts w:hint="default" w:eastAsia="宋体"/>
                      <w:color w:val="auto"/>
                      <w:lang w:val="en-US" w:eastAsia="zh-CN"/>
                    </w:rPr>
                  </w:pPr>
                </w:p>
              </w:tc>
              <w:tc>
                <w:tcPr>
                  <w:tcW w:w="1065" w:type="dxa"/>
                  <w:tcBorders>
                    <w:tl2br w:val="nil"/>
                    <w:tr2bl w:val="nil"/>
                  </w:tcBorders>
                  <w:noWrap w:val="0"/>
                  <w:vAlign w:val="center"/>
                </w:tcPr>
                <w:p w14:paraId="3BBE7669">
                  <w:pPr>
                    <w:pStyle w:val="42"/>
                    <w:bidi w:val="0"/>
                    <w:rPr>
                      <w:rFonts w:hint="default"/>
                      <w:color w:val="auto"/>
                      <w:lang w:val="en-US" w:eastAsia="zh-CN"/>
                    </w:rPr>
                  </w:pPr>
                </w:p>
              </w:tc>
            </w:tr>
            <w:tr w14:paraId="31B6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36CC6F0F">
                  <w:pPr>
                    <w:pStyle w:val="42"/>
                    <w:bidi w:val="0"/>
                    <w:rPr>
                      <w:rFonts w:hint="default" w:eastAsia="宋体"/>
                      <w:color w:val="auto"/>
                      <w:lang w:val="en-US" w:eastAsia="zh-CN"/>
                    </w:rPr>
                  </w:pPr>
                </w:p>
              </w:tc>
              <w:tc>
                <w:tcPr>
                  <w:tcW w:w="879" w:type="dxa"/>
                  <w:vMerge w:val="continue"/>
                  <w:tcBorders>
                    <w:tl2br w:val="nil"/>
                    <w:tr2bl w:val="nil"/>
                  </w:tcBorders>
                  <w:noWrap w:val="0"/>
                  <w:vAlign w:val="center"/>
                </w:tcPr>
                <w:p w14:paraId="0C639D52">
                  <w:pPr>
                    <w:pStyle w:val="42"/>
                    <w:bidi w:val="0"/>
                    <w:rPr>
                      <w:rFonts w:hint="default" w:eastAsia="宋体"/>
                      <w:color w:val="auto"/>
                      <w:lang w:val="en-US" w:eastAsia="zh-CN"/>
                    </w:rPr>
                  </w:pPr>
                </w:p>
              </w:tc>
              <w:tc>
                <w:tcPr>
                  <w:tcW w:w="1135" w:type="dxa"/>
                  <w:vMerge w:val="continue"/>
                  <w:tcBorders>
                    <w:tl2br w:val="nil"/>
                    <w:tr2bl w:val="nil"/>
                  </w:tcBorders>
                  <w:noWrap w:val="0"/>
                  <w:vAlign w:val="center"/>
                </w:tcPr>
                <w:p w14:paraId="294BB3D0">
                  <w:pPr>
                    <w:pStyle w:val="42"/>
                    <w:bidi w:val="0"/>
                    <w:rPr>
                      <w:rFonts w:hint="default" w:eastAsia="宋体"/>
                      <w:color w:val="auto"/>
                      <w:lang w:val="en-US" w:eastAsia="zh-CN"/>
                    </w:rPr>
                  </w:pPr>
                </w:p>
              </w:tc>
              <w:tc>
                <w:tcPr>
                  <w:tcW w:w="1796" w:type="dxa"/>
                  <w:tcBorders>
                    <w:tl2br w:val="nil"/>
                    <w:tr2bl w:val="nil"/>
                  </w:tcBorders>
                  <w:noWrap w:val="0"/>
                  <w:vAlign w:val="center"/>
                </w:tcPr>
                <w:p w14:paraId="4626FC52">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0CCD83AD">
                  <w:pPr>
                    <w:pStyle w:val="42"/>
                    <w:bidi w:val="0"/>
                    <w:rPr>
                      <w:rFonts w:hint="default" w:eastAsia="宋体"/>
                      <w:color w:val="auto"/>
                      <w:lang w:val="en-US" w:eastAsia="zh-CN"/>
                    </w:rPr>
                  </w:pPr>
                </w:p>
              </w:tc>
              <w:tc>
                <w:tcPr>
                  <w:tcW w:w="1065" w:type="dxa"/>
                  <w:tcBorders>
                    <w:tl2br w:val="nil"/>
                    <w:tr2bl w:val="nil"/>
                  </w:tcBorders>
                  <w:noWrap w:val="0"/>
                  <w:vAlign w:val="center"/>
                </w:tcPr>
                <w:p w14:paraId="2E6C32F2">
                  <w:pPr>
                    <w:pStyle w:val="42"/>
                    <w:bidi w:val="0"/>
                    <w:rPr>
                      <w:rFonts w:hint="default"/>
                      <w:color w:val="auto"/>
                      <w:lang w:val="en-US" w:eastAsia="zh-CN"/>
                    </w:rPr>
                  </w:pPr>
                </w:p>
              </w:tc>
            </w:tr>
            <w:tr w14:paraId="2D55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 w:hRule="atLeast"/>
                <w:jc w:val="center"/>
              </w:trPr>
              <w:tc>
                <w:tcPr>
                  <w:tcW w:w="1769" w:type="dxa"/>
                  <w:vMerge w:val="continue"/>
                  <w:tcBorders>
                    <w:tl2br w:val="nil"/>
                    <w:tr2bl w:val="nil"/>
                  </w:tcBorders>
                  <w:noWrap w:val="0"/>
                  <w:vAlign w:val="center"/>
                </w:tcPr>
                <w:p w14:paraId="1C7AD90A">
                  <w:pPr>
                    <w:pStyle w:val="42"/>
                    <w:bidi w:val="0"/>
                    <w:rPr>
                      <w:rFonts w:hint="default" w:eastAsia="宋体"/>
                      <w:color w:val="auto"/>
                      <w:lang w:val="en-US" w:eastAsia="zh-CN"/>
                    </w:rPr>
                  </w:pPr>
                </w:p>
              </w:tc>
              <w:tc>
                <w:tcPr>
                  <w:tcW w:w="879" w:type="dxa"/>
                  <w:vMerge w:val="continue"/>
                  <w:tcBorders>
                    <w:tl2br w:val="nil"/>
                    <w:tr2bl w:val="nil"/>
                  </w:tcBorders>
                  <w:noWrap w:val="0"/>
                  <w:vAlign w:val="center"/>
                </w:tcPr>
                <w:p w14:paraId="7EAAA602">
                  <w:pPr>
                    <w:pStyle w:val="42"/>
                    <w:bidi w:val="0"/>
                    <w:rPr>
                      <w:rFonts w:hint="default" w:eastAsia="宋体"/>
                      <w:color w:val="auto"/>
                      <w:lang w:val="en-US" w:eastAsia="zh-CN"/>
                    </w:rPr>
                  </w:pPr>
                </w:p>
              </w:tc>
              <w:tc>
                <w:tcPr>
                  <w:tcW w:w="1135" w:type="dxa"/>
                  <w:vMerge w:val="continue"/>
                  <w:tcBorders>
                    <w:tl2br w:val="nil"/>
                    <w:tr2bl w:val="nil"/>
                  </w:tcBorders>
                  <w:noWrap w:val="0"/>
                  <w:vAlign w:val="center"/>
                </w:tcPr>
                <w:p w14:paraId="49C8B283">
                  <w:pPr>
                    <w:pStyle w:val="42"/>
                    <w:bidi w:val="0"/>
                    <w:rPr>
                      <w:rFonts w:hint="default" w:eastAsia="宋体"/>
                      <w:color w:val="auto"/>
                      <w:lang w:val="en-US" w:eastAsia="zh-CN"/>
                    </w:rPr>
                  </w:pPr>
                </w:p>
              </w:tc>
              <w:tc>
                <w:tcPr>
                  <w:tcW w:w="1796" w:type="dxa"/>
                  <w:tcBorders>
                    <w:tl2br w:val="nil"/>
                    <w:tr2bl w:val="nil"/>
                  </w:tcBorders>
                  <w:noWrap w:val="0"/>
                  <w:vAlign w:val="center"/>
                </w:tcPr>
                <w:p w14:paraId="14C2130A">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11FF0A4D">
                  <w:pPr>
                    <w:pStyle w:val="42"/>
                    <w:bidi w:val="0"/>
                    <w:rPr>
                      <w:rFonts w:hint="default" w:eastAsia="宋体"/>
                      <w:color w:val="auto"/>
                      <w:lang w:val="en-US" w:eastAsia="zh-CN"/>
                    </w:rPr>
                  </w:pPr>
                </w:p>
              </w:tc>
              <w:tc>
                <w:tcPr>
                  <w:tcW w:w="1065" w:type="dxa"/>
                  <w:tcBorders>
                    <w:tl2br w:val="nil"/>
                    <w:tr2bl w:val="nil"/>
                  </w:tcBorders>
                  <w:noWrap w:val="0"/>
                  <w:vAlign w:val="center"/>
                </w:tcPr>
                <w:p w14:paraId="3DE9FDB7">
                  <w:pPr>
                    <w:pStyle w:val="42"/>
                    <w:bidi w:val="0"/>
                    <w:rPr>
                      <w:rFonts w:hint="default"/>
                      <w:color w:val="auto"/>
                      <w:lang w:val="en-US" w:eastAsia="zh-CN"/>
                    </w:rPr>
                  </w:pPr>
                </w:p>
              </w:tc>
            </w:tr>
            <w:tr w14:paraId="61B1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restart"/>
                  <w:tcBorders>
                    <w:tl2br w:val="nil"/>
                    <w:tr2bl w:val="nil"/>
                  </w:tcBorders>
                  <w:noWrap w:val="0"/>
                  <w:vAlign w:val="center"/>
                </w:tcPr>
                <w:p w14:paraId="311FD888">
                  <w:pPr>
                    <w:pStyle w:val="42"/>
                    <w:bidi w:val="0"/>
                    <w:ind w:firstLine="0" w:firstLineChars="0"/>
                    <w:rPr>
                      <w:rFonts w:hint="default"/>
                      <w:color w:val="auto"/>
                    </w:rPr>
                  </w:pPr>
                </w:p>
              </w:tc>
              <w:tc>
                <w:tcPr>
                  <w:tcW w:w="879" w:type="dxa"/>
                  <w:vMerge w:val="continue"/>
                  <w:tcBorders>
                    <w:tl2br w:val="nil"/>
                    <w:tr2bl w:val="nil"/>
                  </w:tcBorders>
                  <w:noWrap w:val="0"/>
                  <w:vAlign w:val="center"/>
                </w:tcPr>
                <w:p w14:paraId="49D307BF">
                  <w:pPr>
                    <w:pStyle w:val="42"/>
                    <w:bidi w:val="0"/>
                    <w:rPr>
                      <w:rFonts w:hint="default"/>
                      <w:color w:val="auto"/>
                    </w:rPr>
                  </w:pPr>
                </w:p>
              </w:tc>
              <w:tc>
                <w:tcPr>
                  <w:tcW w:w="1135" w:type="dxa"/>
                  <w:vMerge w:val="continue"/>
                  <w:tcBorders>
                    <w:tl2br w:val="nil"/>
                    <w:tr2bl w:val="nil"/>
                  </w:tcBorders>
                  <w:noWrap w:val="0"/>
                  <w:vAlign w:val="center"/>
                </w:tcPr>
                <w:p w14:paraId="40872173">
                  <w:pPr>
                    <w:pStyle w:val="42"/>
                    <w:bidi w:val="0"/>
                    <w:rPr>
                      <w:rFonts w:hint="default"/>
                      <w:color w:val="auto"/>
                    </w:rPr>
                  </w:pPr>
                </w:p>
              </w:tc>
              <w:tc>
                <w:tcPr>
                  <w:tcW w:w="1796" w:type="dxa"/>
                  <w:tcBorders>
                    <w:tl2br w:val="nil"/>
                    <w:tr2bl w:val="nil"/>
                  </w:tcBorders>
                  <w:noWrap w:val="0"/>
                  <w:vAlign w:val="center"/>
                </w:tcPr>
                <w:p w14:paraId="3F4D50AA">
                  <w:pPr>
                    <w:keepNext w:val="0"/>
                    <w:keepLines w:val="0"/>
                    <w:widowControl/>
                    <w:suppressLineNumbers w:val="0"/>
                    <w:jc w:val="center"/>
                    <w:textAlignment w:val="center"/>
                    <w:rPr>
                      <w:rFonts w:hint="default"/>
                      <w:color w:val="auto"/>
                    </w:rPr>
                  </w:pPr>
                </w:p>
              </w:tc>
              <w:tc>
                <w:tcPr>
                  <w:tcW w:w="1293" w:type="dxa"/>
                  <w:vMerge w:val="continue"/>
                  <w:tcBorders>
                    <w:tl2br w:val="nil"/>
                    <w:tr2bl w:val="nil"/>
                  </w:tcBorders>
                  <w:noWrap w:val="0"/>
                  <w:vAlign w:val="center"/>
                </w:tcPr>
                <w:p w14:paraId="1145A6FE">
                  <w:pPr>
                    <w:pStyle w:val="42"/>
                    <w:bidi w:val="0"/>
                    <w:rPr>
                      <w:rFonts w:hint="default"/>
                      <w:color w:val="auto"/>
                    </w:rPr>
                  </w:pPr>
                </w:p>
              </w:tc>
              <w:tc>
                <w:tcPr>
                  <w:tcW w:w="1065" w:type="dxa"/>
                  <w:tcBorders>
                    <w:tl2br w:val="nil"/>
                    <w:tr2bl w:val="nil"/>
                  </w:tcBorders>
                  <w:noWrap w:val="0"/>
                  <w:vAlign w:val="center"/>
                </w:tcPr>
                <w:p w14:paraId="3C6042D9">
                  <w:pPr>
                    <w:pStyle w:val="42"/>
                    <w:bidi w:val="0"/>
                    <w:rPr>
                      <w:rFonts w:hint="default"/>
                      <w:color w:val="auto"/>
                      <w:lang w:val="en-US" w:eastAsia="zh-CN"/>
                    </w:rPr>
                  </w:pPr>
                </w:p>
              </w:tc>
            </w:tr>
            <w:tr w14:paraId="5447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6D330FD9">
                  <w:pPr>
                    <w:pStyle w:val="42"/>
                    <w:bidi w:val="0"/>
                    <w:rPr>
                      <w:color w:val="auto"/>
                    </w:rPr>
                  </w:pPr>
                </w:p>
              </w:tc>
              <w:tc>
                <w:tcPr>
                  <w:tcW w:w="879" w:type="dxa"/>
                  <w:vMerge w:val="continue"/>
                  <w:tcBorders>
                    <w:tl2br w:val="nil"/>
                    <w:tr2bl w:val="nil"/>
                  </w:tcBorders>
                  <w:noWrap w:val="0"/>
                  <w:vAlign w:val="center"/>
                </w:tcPr>
                <w:p w14:paraId="4D3EF820">
                  <w:pPr>
                    <w:pStyle w:val="42"/>
                    <w:bidi w:val="0"/>
                    <w:rPr>
                      <w:color w:val="auto"/>
                    </w:rPr>
                  </w:pPr>
                </w:p>
              </w:tc>
              <w:tc>
                <w:tcPr>
                  <w:tcW w:w="1135" w:type="dxa"/>
                  <w:vMerge w:val="continue"/>
                  <w:tcBorders>
                    <w:tl2br w:val="nil"/>
                    <w:tr2bl w:val="nil"/>
                  </w:tcBorders>
                  <w:noWrap w:val="0"/>
                  <w:vAlign w:val="center"/>
                </w:tcPr>
                <w:p w14:paraId="4E689956">
                  <w:pPr>
                    <w:pStyle w:val="42"/>
                    <w:bidi w:val="0"/>
                    <w:rPr>
                      <w:color w:val="auto"/>
                    </w:rPr>
                  </w:pPr>
                </w:p>
              </w:tc>
              <w:tc>
                <w:tcPr>
                  <w:tcW w:w="1796" w:type="dxa"/>
                  <w:tcBorders>
                    <w:tl2br w:val="nil"/>
                    <w:tr2bl w:val="nil"/>
                  </w:tcBorders>
                  <w:noWrap w:val="0"/>
                  <w:vAlign w:val="center"/>
                </w:tcPr>
                <w:p w14:paraId="2A899521">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32F4089B">
                  <w:pPr>
                    <w:pStyle w:val="42"/>
                    <w:bidi w:val="0"/>
                    <w:rPr>
                      <w:rFonts w:hint="eastAsia"/>
                      <w:color w:val="auto"/>
                      <w:lang w:val="en-US" w:eastAsia="zh-CN"/>
                    </w:rPr>
                  </w:pPr>
                </w:p>
              </w:tc>
              <w:tc>
                <w:tcPr>
                  <w:tcW w:w="1065" w:type="dxa"/>
                  <w:tcBorders>
                    <w:tl2br w:val="nil"/>
                    <w:tr2bl w:val="nil"/>
                  </w:tcBorders>
                  <w:noWrap w:val="0"/>
                  <w:vAlign w:val="center"/>
                </w:tcPr>
                <w:p w14:paraId="5496616D">
                  <w:pPr>
                    <w:pStyle w:val="42"/>
                    <w:bidi w:val="0"/>
                    <w:rPr>
                      <w:rFonts w:hint="eastAsia"/>
                      <w:color w:val="auto"/>
                      <w:lang w:val="en-US" w:eastAsia="zh-CN"/>
                    </w:rPr>
                  </w:pPr>
                </w:p>
              </w:tc>
            </w:tr>
            <w:tr w14:paraId="1412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00FB40DB">
                  <w:pPr>
                    <w:pStyle w:val="42"/>
                    <w:bidi w:val="0"/>
                    <w:rPr>
                      <w:rFonts w:hint="eastAsia"/>
                      <w:color w:val="auto"/>
                      <w:lang w:val="en-US" w:eastAsia="zh-CN"/>
                    </w:rPr>
                  </w:pPr>
                </w:p>
              </w:tc>
              <w:tc>
                <w:tcPr>
                  <w:tcW w:w="879" w:type="dxa"/>
                  <w:vMerge w:val="continue"/>
                  <w:tcBorders>
                    <w:tl2br w:val="nil"/>
                    <w:tr2bl w:val="nil"/>
                  </w:tcBorders>
                  <w:noWrap w:val="0"/>
                  <w:vAlign w:val="center"/>
                </w:tcPr>
                <w:p w14:paraId="555070F7">
                  <w:pPr>
                    <w:pStyle w:val="42"/>
                    <w:bidi w:val="0"/>
                    <w:rPr>
                      <w:rFonts w:hint="eastAsia"/>
                      <w:color w:val="auto"/>
                      <w:lang w:val="en-US" w:eastAsia="zh-CN"/>
                    </w:rPr>
                  </w:pPr>
                </w:p>
              </w:tc>
              <w:tc>
                <w:tcPr>
                  <w:tcW w:w="1135" w:type="dxa"/>
                  <w:vMerge w:val="continue"/>
                  <w:tcBorders>
                    <w:tl2br w:val="nil"/>
                    <w:tr2bl w:val="nil"/>
                  </w:tcBorders>
                  <w:noWrap w:val="0"/>
                  <w:vAlign w:val="center"/>
                </w:tcPr>
                <w:p w14:paraId="5DC38397">
                  <w:pPr>
                    <w:pStyle w:val="42"/>
                    <w:bidi w:val="0"/>
                    <w:rPr>
                      <w:rFonts w:hint="eastAsia"/>
                      <w:color w:val="auto"/>
                      <w:lang w:val="en-US" w:eastAsia="zh-CN"/>
                    </w:rPr>
                  </w:pPr>
                </w:p>
              </w:tc>
              <w:tc>
                <w:tcPr>
                  <w:tcW w:w="1796" w:type="dxa"/>
                  <w:tcBorders>
                    <w:tl2br w:val="nil"/>
                    <w:tr2bl w:val="nil"/>
                  </w:tcBorders>
                  <w:noWrap w:val="0"/>
                  <w:vAlign w:val="center"/>
                </w:tcPr>
                <w:p w14:paraId="4C4462DD">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4E1A7831">
                  <w:pPr>
                    <w:pStyle w:val="42"/>
                    <w:bidi w:val="0"/>
                    <w:rPr>
                      <w:rFonts w:hint="eastAsia"/>
                      <w:color w:val="auto"/>
                      <w:lang w:val="en-US" w:eastAsia="zh-CN"/>
                    </w:rPr>
                  </w:pPr>
                </w:p>
              </w:tc>
              <w:tc>
                <w:tcPr>
                  <w:tcW w:w="1065" w:type="dxa"/>
                  <w:tcBorders>
                    <w:tl2br w:val="nil"/>
                    <w:tr2bl w:val="nil"/>
                  </w:tcBorders>
                  <w:noWrap w:val="0"/>
                  <w:vAlign w:val="center"/>
                </w:tcPr>
                <w:p w14:paraId="06C0EF75">
                  <w:pPr>
                    <w:pStyle w:val="42"/>
                    <w:bidi w:val="0"/>
                    <w:rPr>
                      <w:rFonts w:hint="eastAsia"/>
                      <w:color w:val="auto"/>
                      <w:lang w:val="en-US" w:eastAsia="zh-CN"/>
                    </w:rPr>
                  </w:pPr>
                </w:p>
              </w:tc>
            </w:tr>
            <w:tr w14:paraId="71C5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35F4541D">
                  <w:pPr>
                    <w:pStyle w:val="42"/>
                    <w:bidi w:val="0"/>
                    <w:rPr>
                      <w:rFonts w:hint="eastAsia"/>
                      <w:color w:val="auto"/>
                      <w:lang w:val="en-US" w:eastAsia="zh-CN"/>
                    </w:rPr>
                  </w:pPr>
                </w:p>
              </w:tc>
              <w:tc>
                <w:tcPr>
                  <w:tcW w:w="879" w:type="dxa"/>
                  <w:vMerge w:val="continue"/>
                  <w:tcBorders>
                    <w:tl2br w:val="nil"/>
                    <w:tr2bl w:val="nil"/>
                  </w:tcBorders>
                  <w:noWrap w:val="0"/>
                  <w:vAlign w:val="center"/>
                </w:tcPr>
                <w:p w14:paraId="7F92DA47">
                  <w:pPr>
                    <w:pStyle w:val="42"/>
                    <w:bidi w:val="0"/>
                    <w:rPr>
                      <w:rFonts w:hint="eastAsia"/>
                      <w:color w:val="auto"/>
                      <w:lang w:val="en-US" w:eastAsia="zh-CN"/>
                    </w:rPr>
                  </w:pPr>
                </w:p>
              </w:tc>
              <w:tc>
                <w:tcPr>
                  <w:tcW w:w="1135" w:type="dxa"/>
                  <w:vMerge w:val="continue"/>
                  <w:tcBorders>
                    <w:tl2br w:val="nil"/>
                    <w:tr2bl w:val="nil"/>
                  </w:tcBorders>
                  <w:noWrap w:val="0"/>
                  <w:vAlign w:val="center"/>
                </w:tcPr>
                <w:p w14:paraId="3AC713FE">
                  <w:pPr>
                    <w:pStyle w:val="42"/>
                    <w:bidi w:val="0"/>
                    <w:rPr>
                      <w:rFonts w:hint="eastAsia"/>
                      <w:color w:val="auto"/>
                      <w:lang w:val="en-US" w:eastAsia="zh-CN"/>
                    </w:rPr>
                  </w:pPr>
                </w:p>
              </w:tc>
              <w:tc>
                <w:tcPr>
                  <w:tcW w:w="1796" w:type="dxa"/>
                  <w:tcBorders>
                    <w:tl2br w:val="nil"/>
                    <w:tr2bl w:val="nil"/>
                  </w:tcBorders>
                  <w:noWrap w:val="0"/>
                  <w:vAlign w:val="center"/>
                </w:tcPr>
                <w:p w14:paraId="40B04606">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10929065">
                  <w:pPr>
                    <w:pStyle w:val="42"/>
                    <w:bidi w:val="0"/>
                    <w:rPr>
                      <w:rFonts w:hint="eastAsia"/>
                      <w:color w:val="auto"/>
                      <w:lang w:val="en-US" w:eastAsia="zh-CN"/>
                    </w:rPr>
                  </w:pPr>
                </w:p>
              </w:tc>
              <w:tc>
                <w:tcPr>
                  <w:tcW w:w="1065" w:type="dxa"/>
                  <w:tcBorders>
                    <w:tl2br w:val="nil"/>
                    <w:tr2bl w:val="nil"/>
                  </w:tcBorders>
                  <w:noWrap w:val="0"/>
                  <w:vAlign w:val="center"/>
                </w:tcPr>
                <w:p w14:paraId="670E863D">
                  <w:pPr>
                    <w:pStyle w:val="42"/>
                    <w:bidi w:val="0"/>
                    <w:rPr>
                      <w:rFonts w:hint="eastAsia"/>
                      <w:color w:val="auto"/>
                      <w:lang w:val="en-US" w:eastAsia="zh-CN"/>
                    </w:rPr>
                  </w:pPr>
                </w:p>
              </w:tc>
            </w:tr>
            <w:tr w14:paraId="072A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 w:hRule="atLeast"/>
                <w:jc w:val="center"/>
              </w:trPr>
              <w:tc>
                <w:tcPr>
                  <w:tcW w:w="1769" w:type="dxa"/>
                  <w:vMerge w:val="restart"/>
                  <w:tcBorders>
                    <w:tl2br w:val="nil"/>
                    <w:tr2bl w:val="nil"/>
                  </w:tcBorders>
                  <w:noWrap w:val="0"/>
                  <w:vAlign w:val="center"/>
                </w:tcPr>
                <w:p w14:paraId="1B18A01D">
                  <w:pPr>
                    <w:pStyle w:val="42"/>
                    <w:bidi w:val="0"/>
                    <w:ind w:firstLine="0" w:firstLineChars="0"/>
                    <w:rPr>
                      <w:rFonts w:hint="default"/>
                      <w:color w:val="auto"/>
                    </w:rPr>
                  </w:pPr>
                </w:p>
              </w:tc>
              <w:tc>
                <w:tcPr>
                  <w:tcW w:w="879" w:type="dxa"/>
                  <w:vMerge w:val="continue"/>
                  <w:tcBorders>
                    <w:tl2br w:val="nil"/>
                    <w:tr2bl w:val="nil"/>
                  </w:tcBorders>
                  <w:noWrap w:val="0"/>
                  <w:vAlign w:val="center"/>
                </w:tcPr>
                <w:p w14:paraId="249032F8">
                  <w:pPr>
                    <w:pStyle w:val="42"/>
                    <w:bidi w:val="0"/>
                    <w:rPr>
                      <w:rFonts w:hint="default"/>
                      <w:color w:val="auto"/>
                    </w:rPr>
                  </w:pPr>
                </w:p>
              </w:tc>
              <w:tc>
                <w:tcPr>
                  <w:tcW w:w="1135" w:type="dxa"/>
                  <w:vMerge w:val="continue"/>
                  <w:tcBorders>
                    <w:tl2br w:val="nil"/>
                    <w:tr2bl w:val="nil"/>
                  </w:tcBorders>
                  <w:noWrap w:val="0"/>
                  <w:vAlign w:val="center"/>
                </w:tcPr>
                <w:p w14:paraId="56746D8B">
                  <w:pPr>
                    <w:pStyle w:val="42"/>
                    <w:bidi w:val="0"/>
                    <w:rPr>
                      <w:rFonts w:hint="default"/>
                      <w:color w:val="auto"/>
                    </w:rPr>
                  </w:pPr>
                </w:p>
              </w:tc>
              <w:tc>
                <w:tcPr>
                  <w:tcW w:w="1796" w:type="dxa"/>
                  <w:tcBorders>
                    <w:tl2br w:val="nil"/>
                    <w:tr2bl w:val="nil"/>
                  </w:tcBorders>
                  <w:noWrap w:val="0"/>
                  <w:vAlign w:val="center"/>
                </w:tcPr>
                <w:p w14:paraId="6A0BF423">
                  <w:pPr>
                    <w:keepNext w:val="0"/>
                    <w:keepLines w:val="0"/>
                    <w:widowControl/>
                    <w:suppressLineNumbers w:val="0"/>
                    <w:jc w:val="center"/>
                    <w:textAlignment w:val="center"/>
                    <w:rPr>
                      <w:rFonts w:hint="default"/>
                      <w:color w:val="auto"/>
                      <w:lang w:val="en-US"/>
                    </w:rPr>
                  </w:pPr>
                </w:p>
              </w:tc>
              <w:tc>
                <w:tcPr>
                  <w:tcW w:w="1293" w:type="dxa"/>
                  <w:vMerge w:val="continue"/>
                  <w:tcBorders>
                    <w:tl2br w:val="nil"/>
                    <w:tr2bl w:val="nil"/>
                  </w:tcBorders>
                  <w:noWrap w:val="0"/>
                  <w:vAlign w:val="center"/>
                </w:tcPr>
                <w:p w14:paraId="5DCEDA1B">
                  <w:pPr>
                    <w:pStyle w:val="42"/>
                    <w:bidi w:val="0"/>
                    <w:rPr>
                      <w:rFonts w:hint="default"/>
                      <w:color w:val="auto"/>
                    </w:rPr>
                  </w:pPr>
                </w:p>
              </w:tc>
              <w:tc>
                <w:tcPr>
                  <w:tcW w:w="1065" w:type="dxa"/>
                  <w:tcBorders>
                    <w:tl2br w:val="nil"/>
                    <w:tr2bl w:val="nil"/>
                  </w:tcBorders>
                  <w:noWrap w:val="0"/>
                  <w:vAlign w:val="center"/>
                </w:tcPr>
                <w:p w14:paraId="50DAAB4E">
                  <w:pPr>
                    <w:pStyle w:val="42"/>
                    <w:bidi w:val="0"/>
                    <w:rPr>
                      <w:rFonts w:hint="default"/>
                      <w:color w:val="auto"/>
                      <w:lang w:val="en-US" w:eastAsia="zh-CN"/>
                    </w:rPr>
                  </w:pPr>
                </w:p>
              </w:tc>
            </w:tr>
            <w:tr w14:paraId="6C32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769" w:type="dxa"/>
                  <w:vMerge w:val="continue"/>
                  <w:tcBorders>
                    <w:tl2br w:val="nil"/>
                    <w:tr2bl w:val="nil"/>
                  </w:tcBorders>
                  <w:noWrap w:val="0"/>
                  <w:vAlign w:val="center"/>
                </w:tcPr>
                <w:p w14:paraId="77FA0BCE">
                  <w:pPr>
                    <w:pStyle w:val="42"/>
                    <w:bidi w:val="0"/>
                    <w:rPr>
                      <w:color w:val="auto"/>
                    </w:rPr>
                  </w:pPr>
                </w:p>
              </w:tc>
              <w:tc>
                <w:tcPr>
                  <w:tcW w:w="879" w:type="dxa"/>
                  <w:vMerge w:val="continue"/>
                  <w:tcBorders>
                    <w:tl2br w:val="nil"/>
                    <w:tr2bl w:val="nil"/>
                  </w:tcBorders>
                  <w:noWrap w:val="0"/>
                  <w:vAlign w:val="center"/>
                </w:tcPr>
                <w:p w14:paraId="5D42C4C7">
                  <w:pPr>
                    <w:pStyle w:val="42"/>
                    <w:bidi w:val="0"/>
                    <w:rPr>
                      <w:color w:val="auto"/>
                    </w:rPr>
                  </w:pPr>
                </w:p>
              </w:tc>
              <w:tc>
                <w:tcPr>
                  <w:tcW w:w="1135" w:type="dxa"/>
                  <w:vMerge w:val="continue"/>
                  <w:tcBorders>
                    <w:tl2br w:val="nil"/>
                    <w:tr2bl w:val="nil"/>
                  </w:tcBorders>
                  <w:noWrap w:val="0"/>
                  <w:vAlign w:val="center"/>
                </w:tcPr>
                <w:p w14:paraId="5738DA4A">
                  <w:pPr>
                    <w:pStyle w:val="42"/>
                    <w:bidi w:val="0"/>
                    <w:rPr>
                      <w:color w:val="auto"/>
                    </w:rPr>
                  </w:pPr>
                </w:p>
              </w:tc>
              <w:tc>
                <w:tcPr>
                  <w:tcW w:w="1796" w:type="dxa"/>
                  <w:tcBorders>
                    <w:tl2br w:val="nil"/>
                    <w:tr2bl w:val="nil"/>
                  </w:tcBorders>
                  <w:noWrap w:val="0"/>
                  <w:vAlign w:val="center"/>
                </w:tcPr>
                <w:p w14:paraId="08454FA0">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3F3A6591">
                  <w:pPr>
                    <w:pStyle w:val="42"/>
                    <w:bidi w:val="0"/>
                    <w:rPr>
                      <w:rFonts w:hint="eastAsia"/>
                      <w:color w:val="auto"/>
                      <w:lang w:val="en-US" w:eastAsia="zh-CN"/>
                    </w:rPr>
                  </w:pPr>
                </w:p>
              </w:tc>
              <w:tc>
                <w:tcPr>
                  <w:tcW w:w="1065" w:type="dxa"/>
                  <w:tcBorders>
                    <w:tl2br w:val="nil"/>
                    <w:tr2bl w:val="nil"/>
                  </w:tcBorders>
                  <w:noWrap w:val="0"/>
                  <w:vAlign w:val="center"/>
                </w:tcPr>
                <w:p w14:paraId="332C4659">
                  <w:pPr>
                    <w:pStyle w:val="42"/>
                    <w:bidi w:val="0"/>
                    <w:rPr>
                      <w:rFonts w:hint="eastAsia"/>
                      <w:color w:val="auto"/>
                      <w:lang w:val="en-US" w:eastAsia="zh-CN"/>
                    </w:rPr>
                  </w:pPr>
                </w:p>
              </w:tc>
            </w:tr>
            <w:tr w14:paraId="7217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769" w:type="dxa"/>
                  <w:vMerge w:val="continue"/>
                  <w:tcBorders>
                    <w:tl2br w:val="nil"/>
                    <w:tr2bl w:val="nil"/>
                  </w:tcBorders>
                  <w:noWrap w:val="0"/>
                  <w:vAlign w:val="center"/>
                </w:tcPr>
                <w:p w14:paraId="30FD0B3E">
                  <w:pPr>
                    <w:pStyle w:val="42"/>
                    <w:bidi w:val="0"/>
                    <w:rPr>
                      <w:rFonts w:hint="eastAsia"/>
                      <w:color w:val="auto"/>
                      <w:lang w:val="en-US" w:eastAsia="zh-CN"/>
                    </w:rPr>
                  </w:pPr>
                </w:p>
              </w:tc>
              <w:tc>
                <w:tcPr>
                  <w:tcW w:w="879" w:type="dxa"/>
                  <w:vMerge w:val="continue"/>
                  <w:tcBorders>
                    <w:tl2br w:val="nil"/>
                    <w:tr2bl w:val="nil"/>
                  </w:tcBorders>
                  <w:noWrap w:val="0"/>
                  <w:vAlign w:val="center"/>
                </w:tcPr>
                <w:p w14:paraId="796A863E">
                  <w:pPr>
                    <w:pStyle w:val="42"/>
                    <w:bidi w:val="0"/>
                    <w:rPr>
                      <w:rFonts w:hint="eastAsia"/>
                      <w:color w:val="auto"/>
                      <w:lang w:val="en-US" w:eastAsia="zh-CN"/>
                    </w:rPr>
                  </w:pPr>
                </w:p>
              </w:tc>
              <w:tc>
                <w:tcPr>
                  <w:tcW w:w="1135" w:type="dxa"/>
                  <w:vMerge w:val="continue"/>
                  <w:tcBorders>
                    <w:tl2br w:val="nil"/>
                    <w:tr2bl w:val="nil"/>
                  </w:tcBorders>
                  <w:noWrap w:val="0"/>
                  <w:vAlign w:val="center"/>
                </w:tcPr>
                <w:p w14:paraId="65BA781A">
                  <w:pPr>
                    <w:pStyle w:val="42"/>
                    <w:bidi w:val="0"/>
                    <w:rPr>
                      <w:rFonts w:hint="eastAsia"/>
                      <w:color w:val="auto"/>
                      <w:lang w:val="en-US" w:eastAsia="zh-CN"/>
                    </w:rPr>
                  </w:pPr>
                </w:p>
              </w:tc>
              <w:tc>
                <w:tcPr>
                  <w:tcW w:w="1796" w:type="dxa"/>
                  <w:tcBorders>
                    <w:tl2br w:val="nil"/>
                    <w:tr2bl w:val="nil"/>
                  </w:tcBorders>
                  <w:noWrap w:val="0"/>
                  <w:vAlign w:val="center"/>
                </w:tcPr>
                <w:p w14:paraId="24F0784C">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7BFB2283">
                  <w:pPr>
                    <w:pStyle w:val="42"/>
                    <w:bidi w:val="0"/>
                    <w:rPr>
                      <w:rFonts w:hint="eastAsia"/>
                      <w:color w:val="auto"/>
                      <w:lang w:val="en-US" w:eastAsia="zh-CN"/>
                    </w:rPr>
                  </w:pPr>
                </w:p>
              </w:tc>
              <w:tc>
                <w:tcPr>
                  <w:tcW w:w="1065" w:type="dxa"/>
                  <w:tcBorders>
                    <w:tl2br w:val="nil"/>
                    <w:tr2bl w:val="nil"/>
                  </w:tcBorders>
                  <w:noWrap w:val="0"/>
                  <w:vAlign w:val="center"/>
                </w:tcPr>
                <w:p w14:paraId="58CA85B6">
                  <w:pPr>
                    <w:pStyle w:val="42"/>
                    <w:bidi w:val="0"/>
                    <w:rPr>
                      <w:rFonts w:hint="eastAsia"/>
                      <w:color w:val="auto"/>
                      <w:lang w:val="en-US" w:eastAsia="zh-CN"/>
                    </w:rPr>
                  </w:pPr>
                </w:p>
              </w:tc>
            </w:tr>
            <w:tr w14:paraId="31D7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 w:hRule="atLeast"/>
                <w:jc w:val="center"/>
              </w:trPr>
              <w:tc>
                <w:tcPr>
                  <w:tcW w:w="1769" w:type="dxa"/>
                  <w:vMerge w:val="continue"/>
                  <w:tcBorders>
                    <w:tl2br w:val="nil"/>
                    <w:tr2bl w:val="nil"/>
                  </w:tcBorders>
                  <w:noWrap w:val="0"/>
                  <w:vAlign w:val="center"/>
                </w:tcPr>
                <w:p w14:paraId="788E09E1">
                  <w:pPr>
                    <w:pStyle w:val="42"/>
                    <w:bidi w:val="0"/>
                    <w:rPr>
                      <w:rFonts w:hint="eastAsia"/>
                      <w:color w:val="auto"/>
                      <w:lang w:val="en-US" w:eastAsia="zh-CN"/>
                    </w:rPr>
                  </w:pPr>
                </w:p>
              </w:tc>
              <w:tc>
                <w:tcPr>
                  <w:tcW w:w="879" w:type="dxa"/>
                  <w:vMerge w:val="continue"/>
                  <w:tcBorders>
                    <w:tl2br w:val="nil"/>
                    <w:tr2bl w:val="nil"/>
                  </w:tcBorders>
                  <w:noWrap w:val="0"/>
                  <w:vAlign w:val="center"/>
                </w:tcPr>
                <w:p w14:paraId="18B78F99">
                  <w:pPr>
                    <w:pStyle w:val="42"/>
                    <w:bidi w:val="0"/>
                    <w:rPr>
                      <w:rFonts w:hint="eastAsia"/>
                      <w:color w:val="auto"/>
                      <w:lang w:val="en-US" w:eastAsia="zh-CN"/>
                    </w:rPr>
                  </w:pPr>
                </w:p>
              </w:tc>
              <w:tc>
                <w:tcPr>
                  <w:tcW w:w="1135" w:type="dxa"/>
                  <w:vMerge w:val="continue"/>
                  <w:tcBorders>
                    <w:tl2br w:val="nil"/>
                    <w:tr2bl w:val="nil"/>
                  </w:tcBorders>
                  <w:noWrap w:val="0"/>
                  <w:vAlign w:val="center"/>
                </w:tcPr>
                <w:p w14:paraId="0AAA9792">
                  <w:pPr>
                    <w:pStyle w:val="42"/>
                    <w:bidi w:val="0"/>
                    <w:rPr>
                      <w:rFonts w:hint="eastAsia"/>
                      <w:color w:val="auto"/>
                      <w:lang w:val="en-US" w:eastAsia="zh-CN"/>
                    </w:rPr>
                  </w:pPr>
                </w:p>
              </w:tc>
              <w:tc>
                <w:tcPr>
                  <w:tcW w:w="1796" w:type="dxa"/>
                  <w:tcBorders>
                    <w:tl2br w:val="nil"/>
                    <w:tr2bl w:val="nil"/>
                  </w:tcBorders>
                  <w:noWrap w:val="0"/>
                  <w:vAlign w:val="center"/>
                </w:tcPr>
                <w:p w14:paraId="57753F18">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7520BF28">
                  <w:pPr>
                    <w:pStyle w:val="42"/>
                    <w:bidi w:val="0"/>
                    <w:rPr>
                      <w:rFonts w:hint="eastAsia"/>
                      <w:color w:val="auto"/>
                      <w:lang w:val="en-US" w:eastAsia="zh-CN"/>
                    </w:rPr>
                  </w:pPr>
                </w:p>
              </w:tc>
              <w:tc>
                <w:tcPr>
                  <w:tcW w:w="1065" w:type="dxa"/>
                  <w:tcBorders>
                    <w:tl2br w:val="nil"/>
                    <w:tr2bl w:val="nil"/>
                  </w:tcBorders>
                  <w:noWrap w:val="0"/>
                  <w:vAlign w:val="center"/>
                </w:tcPr>
                <w:p w14:paraId="582B99ED">
                  <w:pPr>
                    <w:pStyle w:val="42"/>
                    <w:bidi w:val="0"/>
                    <w:rPr>
                      <w:rFonts w:hint="eastAsia"/>
                      <w:color w:val="auto"/>
                      <w:lang w:val="en-US" w:eastAsia="zh-CN"/>
                    </w:rPr>
                  </w:pPr>
                </w:p>
              </w:tc>
            </w:tr>
          </w:tbl>
          <w:p w14:paraId="157E3A1E">
            <w:pPr>
              <w:pStyle w:val="41"/>
              <w:bidi w:val="0"/>
              <w:rPr>
                <w:rFonts w:hint="eastAsia"/>
                <w:color w:val="auto"/>
                <w:lang w:val="en-US" w:eastAsia="zh-CN"/>
              </w:rPr>
            </w:pPr>
            <w:r>
              <w:rPr>
                <w:rFonts w:hint="eastAsia"/>
                <w:color w:val="auto"/>
                <w:lang w:val="en-US" w:eastAsia="zh-CN"/>
              </w:rPr>
              <w:t>由上表可知，评价区域内各监测点大气环境质量现状，TSP、汞及其化合物现状监测符合</w:t>
            </w:r>
            <w:r>
              <w:rPr>
                <w:rFonts w:hint="eastAsia" w:ascii="Times New Roman" w:hAnsi="Times New Roman" w:cs="Times New Roman"/>
                <w:color w:val="auto"/>
                <w:szCs w:val="24"/>
                <w:lang w:val="en-US" w:eastAsia="zh-CN"/>
              </w:rPr>
              <w:t>《环境空气质量标准》</w:t>
            </w:r>
            <w:r>
              <w:rPr>
                <w:rFonts w:hint="eastAsia" w:cs="Times New Roman"/>
                <w:color w:val="auto"/>
                <w:szCs w:val="24"/>
                <w:lang w:val="en-US" w:eastAsia="zh-CN"/>
              </w:rPr>
              <w:t>（</w:t>
            </w:r>
            <w:r>
              <w:rPr>
                <w:rFonts w:hint="eastAsia" w:ascii="Times New Roman" w:hAnsi="Times New Roman" w:cs="Times New Roman"/>
                <w:color w:val="auto"/>
                <w:szCs w:val="24"/>
                <w:lang w:val="en-US" w:eastAsia="zh-CN"/>
              </w:rPr>
              <w:t>GB3095-20</w:t>
            </w:r>
            <w:r>
              <w:rPr>
                <w:rFonts w:hint="eastAsia" w:cs="Times New Roman"/>
                <w:color w:val="auto"/>
                <w:szCs w:val="24"/>
                <w:lang w:val="en-US" w:eastAsia="zh-CN"/>
              </w:rPr>
              <w:t>26</w:t>
            </w:r>
            <w:r>
              <w:rPr>
                <w:rFonts w:hint="eastAsia" w:ascii="Times New Roman" w:hAnsi="Times New Roman" w:cs="Times New Roman"/>
                <w:color w:val="auto"/>
                <w:szCs w:val="24"/>
                <w:lang w:val="en-US" w:eastAsia="zh-CN"/>
              </w:rPr>
              <w:t>）</w:t>
            </w:r>
            <w:r>
              <w:rPr>
                <w:rFonts w:hint="eastAsia"/>
                <w:color w:val="auto"/>
                <w:lang w:val="en-US" w:eastAsia="zh-CN"/>
              </w:rPr>
              <w:t>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p>
          <w:p w14:paraId="4C784772">
            <w:pPr>
              <w:pStyle w:val="5"/>
              <w:bidi w:val="0"/>
              <w:rPr>
                <w:rFonts w:hint="eastAsia"/>
                <w:color w:val="auto"/>
              </w:rPr>
            </w:pPr>
            <w:r>
              <w:rPr>
                <w:rFonts w:hint="eastAsia"/>
                <w:color w:val="auto"/>
              </w:rPr>
              <w:t>3.</w:t>
            </w:r>
            <w:r>
              <w:rPr>
                <w:rFonts w:hint="eastAsia"/>
                <w:color w:val="auto"/>
                <w:lang w:val="en-US" w:eastAsia="zh-CN"/>
              </w:rPr>
              <w:t>3</w:t>
            </w:r>
            <w:r>
              <w:rPr>
                <w:rFonts w:hint="eastAsia"/>
                <w:color w:val="auto"/>
              </w:rPr>
              <w:t>声环境质量现状监测与评价</w:t>
            </w:r>
          </w:p>
          <w:p w14:paraId="3798EB20">
            <w:pPr>
              <w:pStyle w:val="39"/>
              <w:bidi w:val="0"/>
              <w:rPr>
                <w:rFonts w:hint="default"/>
                <w:color w:val="auto"/>
                <w:lang w:val="en-US" w:eastAsia="zh-CN"/>
              </w:rPr>
            </w:pPr>
            <w:r>
              <w:rPr>
                <w:rFonts w:hint="eastAsia"/>
                <w:color w:val="auto"/>
                <w:lang w:val="en-US" w:eastAsia="zh-CN"/>
              </w:rPr>
              <w:t>（1）数据来源</w:t>
            </w:r>
          </w:p>
          <w:p w14:paraId="6CE69FF0">
            <w:pPr>
              <w:pStyle w:val="39"/>
              <w:bidi w:val="0"/>
              <w:rPr>
                <w:rFonts w:hint="default"/>
                <w:color w:val="auto"/>
              </w:rPr>
            </w:pPr>
            <w:r>
              <w:rPr>
                <w:rFonts w:hint="eastAsia"/>
                <w:color w:val="auto"/>
              </w:rPr>
              <w:t>本项目厂界外周边50m范围内无声环境保护目标，</w:t>
            </w:r>
            <w:r>
              <w:rPr>
                <w:color w:val="auto"/>
              </w:rPr>
              <w:t>为了解项目区声环境质量，本次对拟建厂区四周边界进行噪声实测，监测时间为</w:t>
            </w:r>
            <w:r>
              <w:rPr>
                <w:rFonts w:hint="eastAsia" w:cs="Times New Roman"/>
                <w:color w:val="auto"/>
                <w:sz w:val="24"/>
                <w:szCs w:val="24"/>
                <w:highlight w:val="none"/>
                <w:lang w:val="en-US" w:eastAsia="zh-CN"/>
              </w:rPr>
              <w:t>****</w:t>
            </w:r>
            <w:r>
              <w:rPr>
                <w:color w:val="auto"/>
              </w:rPr>
              <w:t>，昼夜各1</w:t>
            </w:r>
            <w:r>
              <w:rPr>
                <w:color w:val="auto"/>
              </w:rPr>
              <w:fldChar w:fldCharType="begin"/>
            </w:r>
            <w:r>
              <w:rPr>
                <w:color w:val="auto"/>
              </w:rPr>
              <w:instrText xml:space="preserve"> HYPERLINK \l "_bookmark108" </w:instrText>
            </w:r>
            <w:r>
              <w:rPr>
                <w:color w:val="auto"/>
              </w:rPr>
              <w:fldChar w:fldCharType="separate"/>
            </w:r>
            <w:r>
              <w:rPr>
                <w:color w:val="auto"/>
              </w:rPr>
              <w:t>次，见</w:t>
            </w:r>
            <w:r>
              <w:rPr>
                <w:rFonts w:hint="eastAsia"/>
                <w:color w:val="auto"/>
                <w:lang w:val="en-US" w:eastAsia="zh-CN"/>
              </w:rPr>
              <w:t>监测</w:t>
            </w:r>
            <w:r>
              <w:rPr>
                <w:color w:val="auto"/>
              </w:rPr>
              <w:fldChar w:fldCharType="end"/>
            </w:r>
            <w:r>
              <w:rPr>
                <w:rFonts w:hint="eastAsia"/>
                <w:color w:val="auto"/>
                <w:lang w:val="en-US" w:eastAsia="zh-CN"/>
              </w:rPr>
              <w:t>布点示意图3-1</w:t>
            </w:r>
            <w:r>
              <w:rPr>
                <w:rFonts w:hint="default"/>
                <w:color w:val="auto"/>
              </w:rPr>
              <w:t>。</w:t>
            </w:r>
          </w:p>
          <w:p w14:paraId="02D21216">
            <w:pPr>
              <w:pStyle w:val="41"/>
              <w:bidi w:val="0"/>
              <w:rPr>
                <w:color w:val="auto"/>
              </w:rPr>
            </w:pPr>
            <w:r>
              <w:rPr>
                <w:rFonts w:hint="eastAsia"/>
                <w:color w:val="auto"/>
                <w:lang w:eastAsia="zh-CN"/>
              </w:rPr>
              <w:t>（</w:t>
            </w:r>
            <w:r>
              <w:rPr>
                <w:color w:val="auto"/>
              </w:rPr>
              <w:t>2）评价标准</w:t>
            </w:r>
          </w:p>
          <w:p w14:paraId="57698CFD">
            <w:pPr>
              <w:pStyle w:val="39"/>
              <w:bidi w:val="0"/>
              <w:rPr>
                <w:color w:val="auto"/>
              </w:rPr>
            </w:pPr>
            <w:r>
              <w:rPr>
                <w:color w:val="auto"/>
              </w:rPr>
              <w:t>执行《声环境质量标准》</w:t>
            </w:r>
            <w:r>
              <w:rPr>
                <w:rFonts w:hint="eastAsia"/>
                <w:color w:val="auto"/>
                <w:lang w:eastAsia="zh-CN"/>
              </w:rPr>
              <w:t>（</w:t>
            </w:r>
            <w:r>
              <w:rPr>
                <w:color w:val="auto"/>
              </w:rPr>
              <w:t>GB3096-2008）</w:t>
            </w:r>
            <w:r>
              <w:rPr>
                <w:rFonts w:hint="eastAsia"/>
                <w:color w:val="auto"/>
                <w:lang w:val="en-US" w:eastAsia="zh-CN"/>
              </w:rPr>
              <w:t>2</w:t>
            </w:r>
            <w:r>
              <w:rPr>
                <w:color w:val="auto"/>
              </w:rPr>
              <w:t>类。</w:t>
            </w:r>
          </w:p>
          <w:p w14:paraId="050D2CC3">
            <w:pPr>
              <w:pStyle w:val="39"/>
              <w:bidi w:val="0"/>
              <w:rPr>
                <w:color w:val="auto"/>
              </w:rPr>
            </w:pPr>
            <w:r>
              <w:rPr>
                <w:rFonts w:hint="eastAsia"/>
                <w:color w:val="auto"/>
                <w:lang w:eastAsia="zh-CN"/>
              </w:rPr>
              <w:t>（</w:t>
            </w:r>
            <w:r>
              <w:rPr>
                <w:color w:val="auto"/>
              </w:rPr>
              <w:t>3）评价方法</w:t>
            </w:r>
          </w:p>
          <w:p w14:paraId="6A9992B2">
            <w:pPr>
              <w:pStyle w:val="39"/>
              <w:bidi w:val="0"/>
              <w:rPr>
                <w:color w:val="auto"/>
              </w:rPr>
            </w:pPr>
            <w:r>
              <w:rPr>
                <w:color w:val="auto"/>
              </w:rPr>
              <w:t>监测值与标准值直接比对。</w:t>
            </w:r>
          </w:p>
          <w:p w14:paraId="77716253">
            <w:pPr>
              <w:pStyle w:val="39"/>
              <w:bidi w:val="0"/>
              <w:rPr>
                <w:color w:val="auto"/>
              </w:rPr>
            </w:pPr>
            <w:r>
              <w:rPr>
                <w:rFonts w:hint="eastAsia"/>
                <w:color w:val="auto"/>
                <w:lang w:eastAsia="zh-CN"/>
              </w:rPr>
              <w:t>（</w:t>
            </w:r>
            <w:r>
              <w:rPr>
                <w:color w:val="auto"/>
              </w:rPr>
              <w:t>4）评价结果</w:t>
            </w:r>
          </w:p>
          <w:p w14:paraId="272A5B55">
            <w:pPr>
              <w:pStyle w:val="39"/>
              <w:bidi w:val="0"/>
              <w:rPr>
                <w:color w:val="auto"/>
              </w:rPr>
            </w:pPr>
            <w:bookmarkStart w:id="20" w:name="_bookmark109"/>
            <w:bookmarkEnd w:id="20"/>
            <w:r>
              <w:rPr>
                <w:color w:val="auto"/>
              </w:rPr>
              <w:fldChar w:fldCharType="begin"/>
            </w:r>
            <w:r>
              <w:rPr>
                <w:color w:val="auto"/>
              </w:rPr>
              <w:instrText xml:space="preserve"> HYPERLINK \l "_bookmark109" </w:instrText>
            </w:r>
            <w:r>
              <w:rPr>
                <w:color w:val="auto"/>
              </w:rPr>
              <w:fldChar w:fldCharType="separate"/>
            </w:r>
            <w:r>
              <w:rPr>
                <w:color w:val="auto"/>
              </w:rPr>
              <w:t>监测及评价结果见表</w:t>
            </w:r>
            <w:r>
              <w:rPr>
                <w:rFonts w:hint="eastAsia"/>
                <w:color w:val="auto"/>
                <w:lang w:val="en-US" w:eastAsia="zh-CN"/>
              </w:rPr>
              <w:t>3-5</w:t>
            </w:r>
            <w:r>
              <w:rPr>
                <w:color w:val="auto"/>
              </w:rPr>
              <w:t>。</w:t>
            </w:r>
            <w:r>
              <w:rPr>
                <w:color w:val="auto"/>
              </w:rPr>
              <w:fldChar w:fldCharType="end"/>
            </w:r>
          </w:p>
          <w:p w14:paraId="0E832E9D">
            <w:pPr>
              <w:pStyle w:val="53"/>
              <w:bidi w:val="0"/>
              <w:rPr>
                <w:color w:val="auto"/>
              </w:rPr>
            </w:pPr>
            <w:r>
              <w:rPr>
                <w:color w:val="auto"/>
              </w:rPr>
              <w:t>表</w:t>
            </w:r>
            <w:r>
              <w:rPr>
                <w:rFonts w:hint="eastAsia"/>
                <w:color w:val="auto"/>
                <w:lang w:val="en-US" w:eastAsia="zh-CN"/>
              </w:rPr>
              <w:t>3-5</w:t>
            </w:r>
            <w:r>
              <w:rPr>
                <w:color w:val="auto"/>
              </w:rPr>
              <w:t xml:space="preserve">    声环境现状监测及评价结果一览表〔dB</w:t>
            </w:r>
            <w:r>
              <w:rPr>
                <w:rFonts w:hint="eastAsia"/>
                <w:color w:val="auto"/>
                <w:lang w:eastAsia="zh-CN"/>
              </w:rPr>
              <w:t>（</w:t>
            </w:r>
            <w:r>
              <w:rPr>
                <w:color w:val="auto"/>
              </w:rPr>
              <w:t>A</w:t>
            </w:r>
            <w:r>
              <w:rPr>
                <w:rFonts w:hint="eastAsia"/>
                <w:color w:val="auto"/>
                <w:lang w:eastAsia="zh-CN"/>
              </w:rPr>
              <w:t>）</w:t>
            </w:r>
            <w:r>
              <w:rPr>
                <w:color w:val="auto"/>
              </w:rPr>
              <w:t>〕</w:t>
            </w:r>
          </w:p>
          <w:tbl>
            <w:tblPr>
              <w:tblStyle w:val="117"/>
              <w:tblW w:w="7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9"/>
              <w:gridCol w:w="1599"/>
              <w:gridCol w:w="1318"/>
              <w:gridCol w:w="1317"/>
              <w:gridCol w:w="1318"/>
              <w:gridCol w:w="1316"/>
            </w:tblGrid>
            <w:tr w14:paraId="4708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1069" w:type="dxa"/>
                  <w:vMerge w:val="restart"/>
                  <w:tcBorders>
                    <w:tl2br w:val="nil"/>
                    <w:tr2bl w:val="nil"/>
                  </w:tcBorders>
                  <w:vAlign w:val="center"/>
                </w:tcPr>
                <w:p w14:paraId="668A6AA1">
                  <w:pPr>
                    <w:pStyle w:val="42"/>
                    <w:tabs>
                      <w:tab w:val="left" w:pos="1535"/>
                      <w:tab w:val="left" w:pos="3105"/>
                      <w:tab w:val="left" w:pos="4676"/>
                      <w:tab w:val="left" w:pos="6247"/>
                      <w:tab w:val="left" w:pos="7740"/>
                      <w:tab w:val="left" w:pos="9288"/>
                    </w:tabs>
                    <w:bidi w:val="0"/>
                    <w:jc w:val="center"/>
                    <w:rPr>
                      <w:color w:val="auto"/>
                    </w:rPr>
                  </w:pPr>
                  <w:r>
                    <w:rPr>
                      <w:color w:val="auto"/>
                    </w:rPr>
                    <w:t>测点编号</w:t>
                  </w:r>
                </w:p>
              </w:tc>
              <w:tc>
                <w:tcPr>
                  <w:tcW w:w="1599" w:type="dxa"/>
                  <w:vMerge w:val="restart"/>
                  <w:tcBorders>
                    <w:tl2br w:val="nil"/>
                    <w:tr2bl w:val="nil"/>
                  </w:tcBorders>
                  <w:vAlign w:val="center"/>
                </w:tcPr>
                <w:p w14:paraId="59F228F6">
                  <w:pPr>
                    <w:pStyle w:val="42"/>
                    <w:tabs>
                      <w:tab w:val="left" w:pos="1535"/>
                      <w:tab w:val="left" w:pos="3105"/>
                      <w:tab w:val="left" w:pos="4676"/>
                      <w:tab w:val="left" w:pos="6247"/>
                      <w:tab w:val="left" w:pos="7740"/>
                      <w:tab w:val="left" w:pos="9288"/>
                    </w:tabs>
                    <w:bidi w:val="0"/>
                    <w:jc w:val="center"/>
                    <w:rPr>
                      <w:color w:val="auto"/>
                    </w:rPr>
                  </w:pPr>
                  <w:r>
                    <w:rPr>
                      <w:color w:val="auto"/>
                    </w:rPr>
                    <w:t>相对位置</w:t>
                  </w:r>
                </w:p>
              </w:tc>
              <w:tc>
                <w:tcPr>
                  <w:tcW w:w="2635" w:type="dxa"/>
                  <w:gridSpan w:val="2"/>
                  <w:tcBorders>
                    <w:tl2br w:val="nil"/>
                    <w:tr2bl w:val="nil"/>
                  </w:tcBorders>
                  <w:vAlign w:val="center"/>
                </w:tcPr>
                <w:p w14:paraId="2C958C51">
                  <w:pPr>
                    <w:pStyle w:val="42"/>
                    <w:tabs>
                      <w:tab w:val="left" w:pos="1535"/>
                      <w:tab w:val="left" w:pos="3105"/>
                      <w:tab w:val="left" w:pos="4676"/>
                      <w:tab w:val="left" w:pos="6247"/>
                      <w:tab w:val="left" w:pos="7740"/>
                      <w:tab w:val="left" w:pos="9288"/>
                    </w:tabs>
                    <w:bidi w:val="0"/>
                    <w:jc w:val="center"/>
                    <w:rPr>
                      <w:color w:val="auto"/>
                    </w:rPr>
                  </w:pPr>
                  <w:r>
                    <w:rPr>
                      <w:color w:val="auto"/>
                    </w:rPr>
                    <w:t>检测值</w:t>
                  </w:r>
                </w:p>
              </w:tc>
              <w:tc>
                <w:tcPr>
                  <w:tcW w:w="2634" w:type="dxa"/>
                  <w:gridSpan w:val="2"/>
                  <w:tcBorders>
                    <w:tl2br w:val="nil"/>
                    <w:tr2bl w:val="nil"/>
                  </w:tcBorders>
                  <w:vAlign w:val="center"/>
                </w:tcPr>
                <w:p w14:paraId="6F896843">
                  <w:pPr>
                    <w:pStyle w:val="42"/>
                    <w:tabs>
                      <w:tab w:val="left" w:pos="1535"/>
                      <w:tab w:val="left" w:pos="3105"/>
                      <w:tab w:val="left" w:pos="4676"/>
                      <w:tab w:val="left" w:pos="6247"/>
                      <w:tab w:val="left" w:pos="7740"/>
                      <w:tab w:val="left" w:pos="9288"/>
                    </w:tabs>
                    <w:bidi w:val="0"/>
                    <w:jc w:val="center"/>
                    <w:rPr>
                      <w:color w:val="auto"/>
                    </w:rPr>
                  </w:pPr>
                  <w:r>
                    <w:rPr>
                      <w:color w:val="auto"/>
                    </w:rPr>
                    <w:t>标准值</w:t>
                  </w:r>
                </w:p>
              </w:tc>
            </w:tr>
            <w:tr w14:paraId="15D26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069" w:type="dxa"/>
                  <w:vMerge w:val="continue"/>
                  <w:tcBorders>
                    <w:tl2br w:val="nil"/>
                    <w:tr2bl w:val="nil"/>
                  </w:tcBorders>
                  <w:vAlign w:val="center"/>
                </w:tcPr>
                <w:p w14:paraId="4670501B">
                  <w:pPr>
                    <w:pStyle w:val="42"/>
                    <w:tabs>
                      <w:tab w:val="left" w:pos="1535"/>
                      <w:tab w:val="left" w:pos="3105"/>
                      <w:tab w:val="left" w:pos="4676"/>
                      <w:tab w:val="left" w:pos="6247"/>
                      <w:tab w:val="left" w:pos="7740"/>
                      <w:tab w:val="left" w:pos="9288"/>
                    </w:tabs>
                    <w:bidi w:val="0"/>
                    <w:jc w:val="center"/>
                    <w:rPr>
                      <w:color w:val="auto"/>
                    </w:rPr>
                  </w:pPr>
                </w:p>
              </w:tc>
              <w:tc>
                <w:tcPr>
                  <w:tcW w:w="1599" w:type="dxa"/>
                  <w:vMerge w:val="continue"/>
                  <w:tcBorders>
                    <w:tl2br w:val="nil"/>
                    <w:tr2bl w:val="nil"/>
                  </w:tcBorders>
                  <w:vAlign w:val="center"/>
                </w:tcPr>
                <w:p w14:paraId="44B80FDB">
                  <w:pPr>
                    <w:pStyle w:val="42"/>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313575EF">
                  <w:pPr>
                    <w:pStyle w:val="42"/>
                    <w:tabs>
                      <w:tab w:val="left" w:pos="1535"/>
                      <w:tab w:val="left" w:pos="3105"/>
                      <w:tab w:val="left" w:pos="4676"/>
                      <w:tab w:val="left" w:pos="6247"/>
                      <w:tab w:val="left" w:pos="7740"/>
                      <w:tab w:val="left" w:pos="9288"/>
                    </w:tabs>
                    <w:bidi w:val="0"/>
                    <w:jc w:val="center"/>
                    <w:rPr>
                      <w:color w:val="auto"/>
                    </w:rPr>
                  </w:pPr>
                  <w:r>
                    <w:rPr>
                      <w:color w:val="auto"/>
                    </w:rPr>
                    <w:t>昼间</w:t>
                  </w:r>
                </w:p>
              </w:tc>
              <w:tc>
                <w:tcPr>
                  <w:tcW w:w="1317" w:type="dxa"/>
                  <w:tcBorders>
                    <w:tl2br w:val="nil"/>
                    <w:tr2bl w:val="nil"/>
                  </w:tcBorders>
                  <w:vAlign w:val="center"/>
                </w:tcPr>
                <w:p w14:paraId="210056AC">
                  <w:pPr>
                    <w:pStyle w:val="42"/>
                    <w:tabs>
                      <w:tab w:val="left" w:pos="1535"/>
                      <w:tab w:val="left" w:pos="3105"/>
                      <w:tab w:val="left" w:pos="4676"/>
                      <w:tab w:val="left" w:pos="6247"/>
                      <w:tab w:val="left" w:pos="7740"/>
                      <w:tab w:val="left" w:pos="9288"/>
                    </w:tabs>
                    <w:bidi w:val="0"/>
                    <w:jc w:val="center"/>
                    <w:rPr>
                      <w:color w:val="auto"/>
                    </w:rPr>
                  </w:pPr>
                  <w:r>
                    <w:rPr>
                      <w:color w:val="auto"/>
                    </w:rPr>
                    <w:t>夜间</w:t>
                  </w:r>
                </w:p>
              </w:tc>
              <w:tc>
                <w:tcPr>
                  <w:tcW w:w="1318" w:type="dxa"/>
                  <w:tcBorders>
                    <w:tl2br w:val="nil"/>
                    <w:tr2bl w:val="nil"/>
                  </w:tcBorders>
                  <w:vAlign w:val="center"/>
                </w:tcPr>
                <w:p w14:paraId="264B1518">
                  <w:pPr>
                    <w:pStyle w:val="42"/>
                    <w:tabs>
                      <w:tab w:val="left" w:pos="1535"/>
                      <w:tab w:val="left" w:pos="3105"/>
                      <w:tab w:val="left" w:pos="4676"/>
                      <w:tab w:val="left" w:pos="6247"/>
                      <w:tab w:val="left" w:pos="7740"/>
                      <w:tab w:val="left" w:pos="9288"/>
                    </w:tabs>
                    <w:bidi w:val="0"/>
                    <w:jc w:val="center"/>
                    <w:rPr>
                      <w:color w:val="auto"/>
                    </w:rPr>
                  </w:pPr>
                  <w:r>
                    <w:rPr>
                      <w:color w:val="auto"/>
                    </w:rPr>
                    <w:t>昼间</w:t>
                  </w:r>
                </w:p>
              </w:tc>
              <w:tc>
                <w:tcPr>
                  <w:tcW w:w="1316" w:type="dxa"/>
                  <w:tcBorders>
                    <w:tl2br w:val="nil"/>
                    <w:tr2bl w:val="nil"/>
                  </w:tcBorders>
                  <w:vAlign w:val="center"/>
                </w:tcPr>
                <w:p w14:paraId="5EC45E6D">
                  <w:pPr>
                    <w:pStyle w:val="42"/>
                    <w:tabs>
                      <w:tab w:val="left" w:pos="1535"/>
                      <w:tab w:val="left" w:pos="3105"/>
                      <w:tab w:val="left" w:pos="4676"/>
                      <w:tab w:val="left" w:pos="6247"/>
                      <w:tab w:val="left" w:pos="7740"/>
                      <w:tab w:val="left" w:pos="9288"/>
                    </w:tabs>
                    <w:bidi w:val="0"/>
                    <w:jc w:val="center"/>
                    <w:rPr>
                      <w:color w:val="auto"/>
                    </w:rPr>
                  </w:pPr>
                  <w:r>
                    <w:rPr>
                      <w:color w:val="auto"/>
                    </w:rPr>
                    <w:t>夜间</w:t>
                  </w:r>
                </w:p>
              </w:tc>
            </w:tr>
            <w:tr w14:paraId="5D1DE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69" w:type="dxa"/>
                  <w:tcBorders>
                    <w:tl2br w:val="nil"/>
                    <w:tr2bl w:val="nil"/>
                  </w:tcBorders>
                  <w:vAlign w:val="center"/>
                </w:tcPr>
                <w:p w14:paraId="0A09C48C">
                  <w:pPr>
                    <w:pStyle w:val="42"/>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49735EB0">
                  <w:pPr>
                    <w:pStyle w:val="42"/>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520AC070">
                  <w:pPr>
                    <w:widowControl/>
                    <w:jc w:val="center"/>
                    <w:textAlignment w:val="center"/>
                    <w:rPr>
                      <w:rFonts w:hint="default" w:eastAsia="宋体"/>
                      <w:color w:val="auto"/>
                      <w:lang w:val="en-US" w:eastAsia="zh-CN"/>
                    </w:rPr>
                  </w:pPr>
                </w:p>
              </w:tc>
              <w:tc>
                <w:tcPr>
                  <w:tcW w:w="1317" w:type="dxa"/>
                  <w:tcBorders>
                    <w:tl2br w:val="nil"/>
                    <w:tr2bl w:val="nil"/>
                  </w:tcBorders>
                  <w:vAlign w:val="center"/>
                </w:tcPr>
                <w:p w14:paraId="389798A2">
                  <w:pPr>
                    <w:widowControl/>
                    <w:jc w:val="center"/>
                    <w:textAlignment w:val="center"/>
                    <w:rPr>
                      <w:rFonts w:hint="default" w:eastAsia="宋体"/>
                      <w:color w:val="auto"/>
                      <w:lang w:val="en-US" w:eastAsia="zh-CN"/>
                    </w:rPr>
                  </w:pPr>
                </w:p>
              </w:tc>
              <w:tc>
                <w:tcPr>
                  <w:tcW w:w="1318" w:type="dxa"/>
                  <w:vMerge w:val="restart"/>
                  <w:tcBorders>
                    <w:tl2br w:val="nil"/>
                    <w:tr2bl w:val="nil"/>
                  </w:tcBorders>
                  <w:vAlign w:val="center"/>
                </w:tcPr>
                <w:p w14:paraId="7844FA76">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6" w:type="dxa"/>
                  <w:vMerge w:val="restart"/>
                  <w:tcBorders>
                    <w:tl2br w:val="nil"/>
                    <w:tr2bl w:val="nil"/>
                  </w:tcBorders>
                  <w:vAlign w:val="center"/>
                </w:tcPr>
                <w:p w14:paraId="2CB87837">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r>
            <w:tr w14:paraId="12D74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69" w:type="dxa"/>
                  <w:tcBorders>
                    <w:tl2br w:val="nil"/>
                    <w:tr2bl w:val="nil"/>
                  </w:tcBorders>
                  <w:vAlign w:val="center"/>
                </w:tcPr>
                <w:p w14:paraId="4B905F7A">
                  <w:pPr>
                    <w:pStyle w:val="42"/>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4C373298">
                  <w:pPr>
                    <w:pStyle w:val="42"/>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13892628">
                  <w:pPr>
                    <w:widowControl/>
                    <w:jc w:val="center"/>
                    <w:textAlignment w:val="center"/>
                    <w:rPr>
                      <w:rFonts w:hint="default" w:eastAsia="宋体"/>
                      <w:color w:val="auto"/>
                      <w:lang w:val="en-US" w:eastAsia="zh-CN"/>
                    </w:rPr>
                  </w:pPr>
                </w:p>
              </w:tc>
              <w:tc>
                <w:tcPr>
                  <w:tcW w:w="1317" w:type="dxa"/>
                  <w:tcBorders>
                    <w:tl2br w:val="nil"/>
                    <w:tr2bl w:val="nil"/>
                  </w:tcBorders>
                  <w:vAlign w:val="center"/>
                </w:tcPr>
                <w:p w14:paraId="2DC48FAF">
                  <w:pPr>
                    <w:widowControl/>
                    <w:jc w:val="center"/>
                    <w:textAlignment w:val="center"/>
                    <w:rPr>
                      <w:rFonts w:hint="default" w:eastAsia="宋体"/>
                      <w:color w:val="auto"/>
                      <w:lang w:val="en-US" w:eastAsia="zh-CN"/>
                    </w:rPr>
                  </w:pPr>
                </w:p>
              </w:tc>
              <w:tc>
                <w:tcPr>
                  <w:tcW w:w="1318" w:type="dxa"/>
                  <w:vMerge w:val="continue"/>
                  <w:tcBorders>
                    <w:tl2br w:val="nil"/>
                    <w:tr2bl w:val="nil"/>
                  </w:tcBorders>
                  <w:vAlign w:val="center"/>
                </w:tcPr>
                <w:p w14:paraId="681E5B4C">
                  <w:pPr>
                    <w:pStyle w:val="42"/>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0FB6BD3A">
                  <w:pPr>
                    <w:pStyle w:val="42"/>
                    <w:tabs>
                      <w:tab w:val="left" w:pos="1535"/>
                      <w:tab w:val="left" w:pos="3105"/>
                      <w:tab w:val="left" w:pos="4676"/>
                      <w:tab w:val="left" w:pos="6247"/>
                      <w:tab w:val="left" w:pos="7740"/>
                      <w:tab w:val="left" w:pos="9288"/>
                    </w:tabs>
                    <w:bidi w:val="0"/>
                    <w:jc w:val="center"/>
                    <w:rPr>
                      <w:color w:val="auto"/>
                    </w:rPr>
                  </w:pPr>
                </w:p>
              </w:tc>
            </w:tr>
            <w:tr w14:paraId="3B4A7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069" w:type="dxa"/>
                  <w:tcBorders>
                    <w:tl2br w:val="nil"/>
                    <w:tr2bl w:val="nil"/>
                  </w:tcBorders>
                  <w:vAlign w:val="center"/>
                </w:tcPr>
                <w:p w14:paraId="30D88053">
                  <w:pPr>
                    <w:pStyle w:val="42"/>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52A803C8">
                  <w:pPr>
                    <w:pStyle w:val="42"/>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66A9B561">
                  <w:pPr>
                    <w:widowControl/>
                    <w:jc w:val="center"/>
                    <w:textAlignment w:val="center"/>
                    <w:rPr>
                      <w:rFonts w:hint="default" w:eastAsia="宋体"/>
                      <w:color w:val="auto"/>
                      <w:lang w:val="en-US" w:eastAsia="zh-CN"/>
                    </w:rPr>
                  </w:pPr>
                </w:p>
              </w:tc>
              <w:tc>
                <w:tcPr>
                  <w:tcW w:w="1317" w:type="dxa"/>
                  <w:tcBorders>
                    <w:tl2br w:val="nil"/>
                    <w:tr2bl w:val="nil"/>
                  </w:tcBorders>
                  <w:vAlign w:val="center"/>
                </w:tcPr>
                <w:p w14:paraId="682E6BBE">
                  <w:pPr>
                    <w:widowControl/>
                    <w:jc w:val="center"/>
                    <w:textAlignment w:val="center"/>
                    <w:rPr>
                      <w:rFonts w:hint="default" w:eastAsia="宋体"/>
                      <w:color w:val="auto"/>
                      <w:lang w:val="en-US" w:eastAsia="zh-CN"/>
                    </w:rPr>
                  </w:pPr>
                </w:p>
              </w:tc>
              <w:tc>
                <w:tcPr>
                  <w:tcW w:w="1318" w:type="dxa"/>
                  <w:vMerge w:val="continue"/>
                  <w:tcBorders>
                    <w:tl2br w:val="nil"/>
                    <w:tr2bl w:val="nil"/>
                  </w:tcBorders>
                  <w:vAlign w:val="center"/>
                </w:tcPr>
                <w:p w14:paraId="36E4338E">
                  <w:pPr>
                    <w:pStyle w:val="42"/>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72DCA97C">
                  <w:pPr>
                    <w:pStyle w:val="42"/>
                    <w:tabs>
                      <w:tab w:val="left" w:pos="1535"/>
                      <w:tab w:val="left" w:pos="3105"/>
                      <w:tab w:val="left" w:pos="4676"/>
                      <w:tab w:val="left" w:pos="6247"/>
                      <w:tab w:val="left" w:pos="7740"/>
                      <w:tab w:val="left" w:pos="9288"/>
                    </w:tabs>
                    <w:bidi w:val="0"/>
                    <w:jc w:val="center"/>
                    <w:rPr>
                      <w:color w:val="auto"/>
                    </w:rPr>
                  </w:pPr>
                </w:p>
              </w:tc>
            </w:tr>
            <w:tr w14:paraId="185F1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jc w:val="center"/>
              </w:trPr>
              <w:tc>
                <w:tcPr>
                  <w:tcW w:w="1069" w:type="dxa"/>
                  <w:tcBorders>
                    <w:tl2br w:val="nil"/>
                    <w:tr2bl w:val="nil"/>
                  </w:tcBorders>
                  <w:vAlign w:val="center"/>
                </w:tcPr>
                <w:p w14:paraId="5BF6576D">
                  <w:pPr>
                    <w:pStyle w:val="42"/>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471FFE21">
                  <w:pPr>
                    <w:pStyle w:val="42"/>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2A45405B">
                  <w:pPr>
                    <w:widowControl/>
                    <w:jc w:val="center"/>
                    <w:textAlignment w:val="center"/>
                    <w:rPr>
                      <w:rFonts w:hint="default" w:eastAsia="宋体"/>
                      <w:color w:val="auto"/>
                      <w:lang w:val="en-US" w:eastAsia="zh-CN"/>
                    </w:rPr>
                  </w:pPr>
                </w:p>
              </w:tc>
              <w:tc>
                <w:tcPr>
                  <w:tcW w:w="1317" w:type="dxa"/>
                  <w:tcBorders>
                    <w:tl2br w:val="nil"/>
                    <w:tr2bl w:val="nil"/>
                  </w:tcBorders>
                  <w:vAlign w:val="center"/>
                </w:tcPr>
                <w:p w14:paraId="4AE6A289">
                  <w:pPr>
                    <w:widowControl/>
                    <w:jc w:val="center"/>
                    <w:textAlignment w:val="center"/>
                    <w:rPr>
                      <w:rFonts w:hint="default" w:eastAsia="宋体"/>
                      <w:color w:val="auto"/>
                      <w:lang w:val="en-US" w:eastAsia="zh-CN"/>
                    </w:rPr>
                  </w:pPr>
                </w:p>
              </w:tc>
              <w:tc>
                <w:tcPr>
                  <w:tcW w:w="1318" w:type="dxa"/>
                  <w:vMerge w:val="continue"/>
                  <w:tcBorders>
                    <w:tl2br w:val="nil"/>
                    <w:tr2bl w:val="nil"/>
                  </w:tcBorders>
                  <w:vAlign w:val="center"/>
                </w:tcPr>
                <w:p w14:paraId="2B8B52E2">
                  <w:pPr>
                    <w:pStyle w:val="42"/>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7C4E07AF">
                  <w:pPr>
                    <w:pStyle w:val="42"/>
                    <w:tabs>
                      <w:tab w:val="left" w:pos="1535"/>
                      <w:tab w:val="left" w:pos="3105"/>
                      <w:tab w:val="left" w:pos="4676"/>
                      <w:tab w:val="left" w:pos="6247"/>
                      <w:tab w:val="left" w:pos="7740"/>
                      <w:tab w:val="left" w:pos="9288"/>
                    </w:tabs>
                    <w:bidi w:val="0"/>
                    <w:jc w:val="center"/>
                    <w:rPr>
                      <w:color w:val="auto"/>
                    </w:rPr>
                  </w:pPr>
                </w:p>
              </w:tc>
            </w:tr>
          </w:tbl>
          <w:p w14:paraId="648686FE">
            <w:pPr>
              <w:pStyle w:val="41"/>
              <w:bidi w:val="0"/>
              <w:rPr>
                <w:color w:val="auto"/>
              </w:rPr>
            </w:pPr>
            <w:r>
              <w:rPr>
                <w:color w:val="auto"/>
              </w:rPr>
              <w:fldChar w:fldCharType="begin"/>
            </w:r>
            <w:r>
              <w:rPr>
                <w:color w:val="auto"/>
              </w:rPr>
              <w:instrText xml:space="preserve"> HYPERLINK \l "_bookmark109" </w:instrText>
            </w:r>
            <w:r>
              <w:rPr>
                <w:color w:val="auto"/>
              </w:rPr>
              <w:fldChar w:fldCharType="separate"/>
            </w:r>
            <w:r>
              <w:rPr>
                <w:color w:val="auto"/>
              </w:rPr>
              <w:t>由表</w:t>
            </w:r>
            <w:r>
              <w:rPr>
                <w:rFonts w:hint="eastAsia"/>
                <w:color w:val="auto"/>
                <w:lang w:val="en-US" w:eastAsia="zh-CN"/>
              </w:rPr>
              <w:t>3-6</w:t>
            </w:r>
            <w:r>
              <w:rPr>
                <w:color w:val="auto"/>
              </w:rPr>
              <w:t>可</w:t>
            </w:r>
            <w:r>
              <w:rPr>
                <w:color w:val="auto"/>
              </w:rPr>
              <w:fldChar w:fldCharType="end"/>
            </w:r>
            <w:r>
              <w:rPr>
                <w:color w:val="auto"/>
              </w:rPr>
              <w:t>知，区域声环境质量较好，能够满足《声环境质量标准》</w:t>
            </w:r>
            <w:r>
              <w:rPr>
                <w:rFonts w:hint="eastAsia"/>
                <w:color w:val="auto"/>
                <w:lang w:eastAsia="zh-CN"/>
              </w:rPr>
              <w:t>（</w:t>
            </w:r>
            <w:r>
              <w:rPr>
                <w:color w:val="auto"/>
              </w:rPr>
              <w:t>GB3096-2008）</w:t>
            </w:r>
            <w:r>
              <w:rPr>
                <w:rFonts w:hint="eastAsia"/>
                <w:color w:val="auto"/>
                <w:lang w:val="en-US" w:eastAsia="zh-CN"/>
              </w:rPr>
              <w:t>2</w:t>
            </w:r>
            <w:r>
              <w:rPr>
                <w:color w:val="auto"/>
              </w:rPr>
              <w:t>类限值要求。</w:t>
            </w:r>
          </w:p>
          <w:p w14:paraId="2816119B">
            <w:pPr>
              <w:pStyle w:val="5"/>
              <w:bidi w:val="0"/>
              <w:rPr>
                <w:rFonts w:hint="eastAsia"/>
                <w:color w:val="auto"/>
                <w:lang w:val="en-US" w:eastAsia="zh-CN"/>
              </w:rPr>
            </w:pPr>
            <w:r>
              <w:rPr>
                <w:rFonts w:hint="eastAsia"/>
                <w:color w:val="auto"/>
              </w:rPr>
              <w:t>3.</w:t>
            </w:r>
            <w:r>
              <w:rPr>
                <w:rFonts w:hint="eastAsia"/>
                <w:color w:val="auto"/>
                <w:lang w:val="en-US" w:eastAsia="zh-CN"/>
              </w:rPr>
              <w:t>4土壤、地下水环境</w:t>
            </w:r>
          </w:p>
          <w:p w14:paraId="090CD296">
            <w:pPr>
              <w:pStyle w:val="39"/>
              <w:bidi w:val="0"/>
              <w:rPr>
                <w:rFonts w:hint="eastAsia"/>
                <w:color w:val="auto"/>
              </w:rPr>
            </w:pPr>
            <w:r>
              <w:rPr>
                <w:rFonts w:hint="eastAsia"/>
                <w:color w:val="auto"/>
                <w:lang w:val="en-US" w:eastAsia="zh-CN"/>
              </w:rPr>
              <w:t>依据《建设项目环境影响报告表编制技术指南（污染影响类）（试行）》：原则上不开展环境质量现状调查。建设项目存在土壤、地下水环境污染途径的，应结合污染源、保护目标分布情况开展现状调查以留作背景值。本</w:t>
            </w:r>
            <w:r>
              <w:rPr>
                <w:rFonts w:hint="eastAsia"/>
                <w:color w:val="auto"/>
              </w:rPr>
              <w:t>项目</w:t>
            </w:r>
            <w:r>
              <w:rPr>
                <w:rFonts w:hint="eastAsia"/>
                <w:color w:val="auto"/>
                <w:lang w:eastAsia="zh-CN"/>
              </w:rPr>
              <w:t>通过采取防渗措施后，可避免</w:t>
            </w:r>
            <w:r>
              <w:rPr>
                <w:rFonts w:hint="eastAsia"/>
                <w:color w:val="auto"/>
                <w:lang w:val="en-US" w:eastAsia="zh-CN"/>
              </w:rPr>
              <w:t>土壤、地下水环境污染途径，</w:t>
            </w:r>
            <w:r>
              <w:rPr>
                <w:rFonts w:hint="eastAsia"/>
                <w:color w:val="auto"/>
              </w:rPr>
              <w:t>对地下水</w:t>
            </w:r>
            <w:r>
              <w:rPr>
                <w:rFonts w:hint="eastAsia"/>
                <w:color w:val="auto"/>
                <w:lang w:eastAsia="zh-CN"/>
              </w:rPr>
              <w:t>及土壤</w:t>
            </w:r>
            <w:r>
              <w:rPr>
                <w:rFonts w:hint="eastAsia"/>
                <w:color w:val="auto"/>
              </w:rPr>
              <w:t>影响不大，故不再开展地下水环境</w:t>
            </w:r>
            <w:r>
              <w:rPr>
                <w:rFonts w:hint="eastAsia"/>
                <w:color w:val="auto"/>
                <w:lang w:eastAsia="zh-CN"/>
              </w:rPr>
              <w:t>质量</w:t>
            </w:r>
            <w:r>
              <w:rPr>
                <w:rFonts w:hint="eastAsia"/>
                <w:color w:val="auto"/>
              </w:rPr>
              <w:t>现状</w:t>
            </w:r>
            <w:r>
              <w:rPr>
                <w:rFonts w:hint="eastAsia"/>
                <w:color w:val="auto"/>
                <w:lang w:eastAsia="zh-CN"/>
              </w:rPr>
              <w:t>调查</w:t>
            </w:r>
            <w:r>
              <w:rPr>
                <w:rFonts w:hint="eastAsia"/>
                <w:color w:val="auto"/>
              </w:rPr>
              <w:t>。</w:t>
            </w:r>
          </w:p>
          <w:p w14:paraId="6AAB9F91">
            <w:pPr>
              <w:pStyle w:val="53"/>
              <w:bidi w:val="0"/>
              <w:jc w:val="both"/>
              <w:rPr>
                <w:rFonts w:hint="eastAsia"/>
                <w:color w:val="auto"/>
              </w:rPr>
            </w:pPr>
          </w:p>
        </w:tc>
      </w:tr>
      <w:tr w14:paraId="0DD86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29" w:hRule="atLeast"/>
          <w:jc w:val="center"/>
        </w:trPr>
        <w:tc>
          <w:tcPr>
            <w:tcW w:w="800" w:type="dxa"/>
            <w:vAlign w:val="center"/>
          </w:tcPr>
          <w:p w14:paraId="4EA3A400">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748E1B6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保护</w:t>
            </w:r>
          </w:p>
          <w:p w14:paraId="3EB9646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目标</w:t>
            </w:r>
          </w:p>
        </w:tc>
        <w:tc>
          <w:tcPr>
            <w:tcW w:w="8190" w:type="dxa"/>
            <w:vAlign w:val="center"/>
          </w:tcPr>
          <w:p w14:paraId="7498D6F6">
            <w:pPr>
              <w:pStyle w:val="39"/>
              <w:bidi w:val="0"/>
              <w:rPr>
                <w:rFonts w:hint="eastAsia"/>
                <w:color w:val="auto"/>
              </w:rPr>
            </w:pPr>
            <w:r>
              <w:rPr>
                <w:rFonts w:hint="eastAsia"/>
                <w:color w:val="auto"/>
              </w:rPr>
              <w:t>根据《</w:t>
            </w:r>
            <w:r>
              <w:rPr>
                <w:color w:val="auto"/>
              </w:rPr>
              <w:t>建设项目环境影响报告表编制技术指南</w:t>
            </w:r>
            <w:r>
              <w:rPr>
                <w:rFonts w:hint="eastAsia"/>
                <w:color w:val="auto"/>
                <w:lang w:eastAsia="zh-CN"/>
              </w:rPr>
              <w:t>（</w:t>
            </w:r>
            <w:r>
              <w:rPr>
                <w:rFonts w:hint="eastAsia"/>
                <w:color w:val="auto"/>
              </w:rPr>
              <w:t>污染影响类）</w:t>
            </w:r>
            <w:r>
              <w:rPr>
                <w:rFonts w:hint="eastAsia"/>
                <w:color w:val="auto"/>
                <w:lang w:eastAsia="zh-CN"/>
              </w:rPr>
              <w:t>（</w:t>
            </w:r>
            <w:r>
              <w:rPr>
                <w:rFonts w:hint="eastAsia"/>
                <w:color w:val="auto"/>
              </w:rPr>
              <w:t>试行）》</w:t>
            </w:r>
            <w:r>
              <w:rPr>
                <w:rFonts w:hint="eastAsia"/>
                <w:color w:val="auto"/>
                <w:lang w:eastAsia="zh-CN"/>
              </w:rPr>
              <w:t>（</w:t>
            </w:r>
            <w:r>
              <w:rPr>
                <w:rFonts w:hint="eastAsia"/>
                <w:color w:val="auto"/>
              </w:rPr>
              <w:t>2021），确定大气环境：明确厂界外500米范围内的自然保护区、风景名胜区、居住区、文化区和农村地区中人群较集中的区域等保护目标的名称及与建设项目厂界位置关系。声环境：明确厂界外50米范围内声环境保护目标。地下水环境：明确厂界外500米范围内的地下水集中式饮用水水源和热水、矿泉水、温泉等特殊地下水资源。</w:t>
            </w:r>
          </w:p>
          <w:p w14:paraId="145F362A">
            <w:pPr>
              <w:pStyle w:val="39"/>
              <w:bidi w:val="0"/>
              <w:rPr>
                <w:rFonts w:hint="eastAsia"/>
                <w:color w:val="auto"/>
                <w:lang w:val="en-US" w:eastAsia="zh-CN"/>
              </w:rPr>
            </w:pPr>
            <w:r>
              <w:rPr>
                <w:rFonts w:hint="eastAsia"/>
                <w:color w:val="auto"/>
                <w:lang w:val="en-US" w:eastAsia="zh-CN"/>
              </w:rPr>
              <w:t>根据本项目所在区域环境状况和项目本身特点，环境保护目标确定如下：</w:t>
            </w:r>
          </w:p>
          <w:p w14:paraId="4A9D9A17">
            <w:pPr>
              <w:pStyle w:val="53"/>
              <w:bidi w:val="0"/>
              <w:rPr>
                <w:rFonts w:hint="eastAsia"/>
                <w:color w:val="auto"/>
                <w:lang w:val="en-US" w:eastAsia="zh-CN"/>
              </w:rPr>
            </w:pPr>
            <w:r>
              <w:rPr>
                <w:rFonts w:hint="eastAsia"/>
                <w:color w:val="auto"/>
                <w:lang w:val="en-US" w:eastAsia="zh-CN"/>
              </w:rPr>
              <w:t>表3-6   环境保护目标一览表</w:t>
            </w:r>
          </w:p>
        </w:tc>
      </w:tr>
      <w:tr w14:paraId="0BBFE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800" w:type="dxa"/>
            <w:tcMar>
              <w:left w:w="28" w:type="dxa"/>
              <w:right w:w="28" w:type="dxa"/>
            </w:tcMar>
            <w:vAlign w:val="center"/>
          </w:tcPr>
          <w:p w14:paraId="41744CC3">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污染</w:t>
            </w:r>
          </w:p>
          <w:p w14:paraId="638FB168">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物排</w:t>
            </w:r>
          </w:p>
          <w:p w14:paraId="298F8245">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放控</w:t>
            </w:r>
          </w:p>
          <w:p w14:paraId="015A14C6">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制标</w:t>
            </w:r>
          </w:p>
          <w:p w14:paraId="60075263">
            <w:pPr>
              <w:adjustRightInd w:val="0"/>
              <w:snapToGrid w:val="0"/>
              <w:jc w:val="center"/>
              <w:rPr>
                <w:rFonts w:ascii="宋体" w:hAnsi="宋体" w:cs="宋体"/>
                <w:color w:val="auto"/>
                <w:kern w:val="0"/>
                <w:szCs w:val="21"/>
              </w:rPr>
            </w:pPr>
            <w:r>
              <w:rPr>
                <w:rFonts w:hint="eastAsia" w:ascii="宋体" w:hAnsi="宋体" w:cs="宋体"/>
                <w:color w:val="auto"/>
                <w:kern w:val="0"/>
                <w:szCs w:val="21"/>
              </w:rPr>
              <w:t>准</w:t>
            </w:r>
          </w:p>
        </w:tc>
        <w:tc>
          <w:tcPr>
            <w:tcW w:w="8190" w:type="dxa"/>
            <w:vAlign w:val="center"/>
          </w:tcPr>
          <w:p w14:paraId="69373635">
            <w:pPr>
              <w:pStyle w:val="39"/>
              <w:bidi w:val="0"/>
              <w:rPr>
                <w:rFonts w:hint="default"/>
                <w:color w:val="auto"/>
                <w:lang w:val="en-US" w:eastAsia="zh-CN"/>
              </w:rPr>
            </w:pPr>
            <w:r>
              <w:rPr>
                <w:rFonts w:hint="eastAsia"/>
                <w:color w:val="auto"/>
                <w:lang w:val="en-US" w:eastAsia="zh-CN"/>
              </w:rPr>
              <w:t>1</w:t>
            </w:r>
            <w:r>
              <w:rPr>
                <w:rFonts w:hint="eastAsia"/>
                <w:color w:val="auto"/>
              </w:rPr>
              <w:t>、废气：</w:t>
            </w:r>
            <w:r>
              <w:rPr>
                <w:rFonts w:hint="eastAsia"/>
                <w:color w:val="auto"/>
                <w:lang w:val="en-US" w:eastAsia="zh-CN"/>
              </w:rPr>
              <w:t>本项目燃煤锅炉废气执行《锅炉大气污染物排放标准》（GB13271-2014）中表2新建锅炉大气污染物排放浓度限值燃煤锅炉的标准限值；</w:t>
            </w:r>
          </w:p>
          <w:p w14:paraId="22A1744A">
            <w:pPr>
              <w:pStyle w:val="53"/>
              <w:bidi w:val="0"/>
              <w:rPr>
                <w:color w:val="auto"/>
              </w:rPr>
            </w:pPr>
            <w:r>
              <w:rPr>
                <w:rFonts w:hint="eastAsia"/>
                <w:color w:val="auto"/>
                <w:lang w:val="en-US" w:eastAsia="zh-CN"/>
              </w:rPr>
              <w:t>表3-7   大气污染物排放限值单位</w:t>
            </w:r>
          </w:p>
          <w:tbl>
            <w:tblPr>
              <w:tblStyle w:val="117"/>
              <w:tblW w:w="7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8"/>
              <w:gridCol w:w="1010"/>
              <w:gridCol w:w="1567"/>
              <w:gridCol w:w="1031"/>
              <w:gridCol w:w="2991"/>
            </w:tblGrid>
            <w:tr w14:paraId="43215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38" w:type="dxa"/>
                  <w:tcBorders>
                    <w:tl2br w:val="nil"/>
                    <w:tr2bl w:val="nil"/>
                  </w:tcBorders>
                  <w:vAlign w:val="center"/>
                </w:tcPr>
                <w:p w14:paraId="692253B8">
                  <w:pPr>
                    <w:pStyle w:val="42"/>
                    <w:bidi w:val="0"/>
                    <w:jc w:val="center"/>
                    <w:rPr>
                      <w:color w:val="auto"/>
                    </w:rPr>
                  </w:pPr>
                  <w:r>
                    <w:rPr>
                      <w:color w:val="auto"/>
                    </w:rPr>
                    <w:t>污染源</w:t>
                  </w:r>
                </w:p>
              </w:tc>
              <w:tc>
                <w:tcPr>
                  <w:tcW w:w="1010" w:type="dxa"/>
                  <w:tcBorders>
                    <w:tl2br w:val="nil"/>
                    <w:tr2bl w:val="nil"/>
                  </w:tcBorders>
                  <w:vAlign w:val="center"/>
                </w:tcPr>
                <w:p w14:paraId="0624500C">
                  <w:pPr>
                    <w:pStyle w:val="42"/>
                    <w:bidi w:val="0"/>
                    <w:jc w:val="center"/>
                    <w:rPr>
                      <w:color w:val="auto"/>
                    </w:rPr>
                  </w:pPr>
                  <w:r>
                    <w:rPr>
                      <w:color w:val="auto"/>
                    </w:rPr>
                    <w:t>污染物名称</w:t>
                  </w:r>
                </w:p>
              </w:tc>
              <w:tc>
                <w:tcPr>
                  <w:tcW w:w="1567" w:type="dxa"/>
                  <w:tcBorders>
                    <w:tl2br w:val="nil"/>
                    <w:tr2bl w:val="nil"/>
                  </w:tcBorders>
                  <w:vAlign w:val="center"/>
                </w:tcPr>
                <w:p w14:paraId="60924C2C">
                  <w:pPr>
                    <w:pStyle w:val="42"/>
                    <w:bidi w:val="0"/>
                    <w:jc w:val="center"/>
                    <w:rPr>
                      <w:color w:val="auto"/>
                    </w:rPr>
                  </w:pPr>
                  <w:r>
                    <w:rPr>
                      <w:color w:val="auto"/>
                    </w:rPr>
                    <w:t>最高允许排放浓度</w:t>
                  </w:r>
                  <w:r>
                    <w:rPr>
                      <w:rFonts w:hint="eastAsia"/>
                      <w:color w:val="auto"/>
                      <w:lang w:eastAsia="zh-CN"/>
                    </w:rPr>
                    <w:t>（</w:t>
                  </w:r>
                  <w:r>
                    <w:rPr>
                      <w:color w:val="auto"/>
                    </w:rPr>
                    <w:t>mg/m</w:t>
                  </w:r>
                  <w:r>
                    <w:rPr>
                      <w:color w:val="auto"/>
                      <w:vertAlign w:val="superscript"/>
                    </w:rPr>
                    <w:t>3</w:t>
                  </w:r>
                  <w:r>
                    <w:rPr>
                      <w:color w:val="auto"/>
                    </w:rPr>
                    <w:t>）</w:t>
                  </w:r>
                </w:p>
              </w:tc>
              <w:tc>
                <w:tcPr>
                  <w:tcW w:w="1031" w:type="dxa"/>
                  <w:tcBorders>
                    <w:tl2br w:val="nil"/>
                    <w:tr2bl w:val="nil"/>
                  </w:tcBorders>
                  <w:vAlign w:val="center"/>
                </w:tcPr>
                <w:p w14:paraId="09DD3B06">
                  <w:pPr>
                    <w:pStyle w:val="42"/>
                    <w:bidi w:val="0"/>
                    <w:jc w:val="center"/>
                    <w:rPr>
                      <w:color w:val="auto"/>
                    </w:rPr>
                  </w:pPr>
                  <w:r>
                    <w:rPr>
                      <w:color w:val="auto"/>
                    </w:rPr>
                    <w:t>排气筒高度</w:t>
                  </w:r>
                  <w:r>
                    <w:rPr>
                      <w:rFonts w:hint="eastAsia"/>
                      <w:color w:val="auto"/>
                      <w:lang w:eastAsia="zh-CN"/>
                    </w:rPr>
                    <w:t>（</w:t>
                  </w:r>
                  <w:r>
                    <w:rPr>
                      <w:color w:val="auto"/>
                    </w:rPr>
                    <w:t>m）</w:t>
                  </w:r>
                </w:p>
              </w:tc>
              <w:tc>
                <w:tcPr>
                  <w:tcW w:w="2991" w:type="dxa"/>
                  <w:tcBorders>
                    <w:tl2br w:val="nil"/>
                    <w:tr2bl w:val="nil"/>
                  </w:tcBorders>
                  <w:vAlign w:val="center"/>
                </w:tcPr>
                <w:p w14:paraId="55D23534">
                  <w:pPr>
                    <w:pStyle w:val="42"/>
                    <w:bidi w:val="0"/>
                    <w:jc w:val="center"/>
                    <w:rPr>
                      <w:color w:val="auto"/>
                    </w:rPr>
                  </w:pPr>
                  <w:r>
                    <w:rPr>
                      <w:color w:val="auto"/>
                    </w:rPr>
                    <w:t>标准来源</w:t>
                  </w:r>
                </w:p>
              </w:tc>
            </w:tr>
            <w:tr w14:paraId="56942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38" w:type="dxa"/>
                  <w:vMerge w:val="restart"/>
                  <w:tcBorders>
                    <w:tl2br w:val="nil"/>
                    <w:tr2bl w:val="nil"/>
                  </w:tcBorders>
                  <w:vAlign w:val="center"/>
                </w:tcPr>
                <w:p w14:paraId="2652CBF5">
                  <w:pPr>
                    <w:pStyle w:val="42"/>
                    <w:bidi w:val="0"/>
                    <w:jc w:val="center"/>
                    <w:rPr>
                      <w:rFonts w:hint="default" w:eastAsia="宋体"/>
                      <w:color w:val="auto"/>
                      <w:lang w:val="en-US" w:eastAsia="zh-CN"/>
                    </w:rPr>
                  </w:pPr>
                  <w:r>
                    <w:rPr>
                      <w:rFonts w:hint="eastAsia"/>
                      <w:color w:val="auto"/>
                      <w:lang w:val="en-US" w:eastAsia="zh-CN"/>
                    </w:rPr>
                    <w:t>燃煤锅炉废气</w:t>
                  </w:r>
                </w:p>
              </w:tc>
              <w:tc>
                <w:tcPr>
                  <w:tcW w:w="1010" w:type="dxa"/>
                  <w:tcBorders>
                    <w:tl2br w:val="nil"/>
                    <w:tr2bl w:val="nil"/>
                  </w:tcBorders>
                  <w:vAlign w:val="center"/>
                </w:tcPr>
                <w:p w14:paraId="23C18660">
                  <w:pPr>
                    <w:pStyle w:val="42"/>
                    <w:bidi w:val="0"/>
                    <w:jc w:val="center"/>
                    <w:rPr>
                      <w:color w:val="auto"/>
                    </w:rPr>
                  </w:pPr>
                  <w:r>
                    <w:rPr>
                      <w:color w:val="auto"/>
                    </w:rPr>
                    <w:t>颗粒物</w:t>
                  </w:r>
                </w:p>
              </w:tc>
              <w:tc>
                <w:tcPr>
                  <w:tcW w:w="1567" w:type="dxa"/>
                  <w:tcBorders>
                    <w:tl2br w:val="nil"/>
                    <w:tr2bl w:val="nil"/>
                  </w:tcBorders>
                  <w:vAlign w:val="center"/>
                </w:tcPr>
                <w:p w14:paraId="152C139E">
                  <w:pPr>
                    <w:pStyle w:val="42"/>
                    <w:bidi w:val="0"/>
                    <w:jc w:val="center"/>
                    <w:rPr>
                      <w:rFonts w:hint="default" w:eastAsia="宋体"/>
                      <w:color w:val="auto"/>
                      <w:lang w:val="en-US" w:eastAsia="zh-CN"/>
                    </w:rPr>
                  </w:pPr>
                  <w:r>
                    <w:rPr>
                      <w:rFonts w:hint="eastAsia" w:eastAsia="宋体"/>
                      <w:color w:val="auto"/>
                      <w:lang w:val="en-US" w:eastAsia="zh-CN"/>
                    </w:rPr>
                    <w:t>50</w:t>
                  </w:r>
                </w:p>
              </w:tc>
              <w:tc>
                <w:tcPr>
                  <w:tcW w:w="1031" w:type="dxa"/>
                  <w:vMerge w:val="restart"/>
                  <w:tcBorders>
                    <w:tl2br w:val="nil"/>
                    <w:tr2bl w:val="nil"/>
                  </w:tcBorders>
                  <w:vAlign w:val="center"/>
                </w:tcPr>
                <w:p w14:paraId="7E450C5D">
                  <w:pPr>
                    <w:pStyle w:val="42"/>
                    <w:bidi w:val="0"/>
                    <w:jc w:val="center"/>
                    <w:rPr>
                      <w:rFonts w:hint="default" w:eastAsia="宋体"/>
                      <w:color w:val="auto"/>
                      <w:lang w:val="en-US" w:eastAsia="zh-CN"/>
                    </w:rPr>
                  </w:pPr>
                  <w:r>
                    <w:rPr>
                      <w:rFonts w:hint="eastAsia"/>
                      <w:color w:val="auto"/>
                      <w:lang w:val="en-US" w:eastAsia="zh-CN"/>
                    </w:rPr>
                    <w:t>/</w:t>
                  </w:r>
                </w:p>
              </w:tc>
              <w:tc>
                <w:tcPr>
                  <w:tcW w:w="2991" w:type="dxa"/>
                  <w:vMerge w:val="restart"/>
                  <w:tcBorders>
                    <w:tl2br w:val="nil"/>
                    <w:tr2bl w:val="nil"/>
                  </w:tcBorders>
                  <w:vAlign w:val="center"/>
                </w:tcPr>
                <w:p w14:paraId="1D3D1C27">
                  <w:pPr>
                    <w:pStyle w:val="42"/>
                    <w:bidi w:val="0"/>
                    <w:jc w:val="center"/>
                    <w:rPr>
                      <w:rFonts w:hint="default"/>
                      <w:color w:val="auto"/>
                      <w:lang w:val="en-US"/>
                    </w:rPr>
                  </w:pPr>
                  <w:r>
                    <w:rPr>
                      <w:rFonts w:hint="eastAsia"/>
                      <w:color w:val="auto"/>
                      <w:lang w:val="en-US" w:eastAsia="zh-CN"/>
                    </w:rPr>
                    <w:t>《锅炉大气污染物排放标准》（GB13271-2014）中表2标准限值要求；</w:t>
                  </w:r>
                </w:p>
              </w:tc>
            </w:tr>
            <w:tr w14:paraId="7415D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jc w:val="center"/>
              </w:trPr>
              <w:tc>
                <w:tcPr>
                  <w:tcW w:w="1338" w:type="dxa"/>
                  <w:vMerge w:val="continue"/>
                  <w:tcBorders>
                    <w:tl2br w:val="nil"/>
                    <w:tr2bl w:val="nil"/>
                  </w:tcBorders>
                  <w:vAlign w:val="center"/>
                </w:tcPr>
                <w:p w14:paraId="14EEFF83">
                  <w:pPr>
                    <w:pStyle w:val="42"/>
                    <w:bidi w:val="0"/>
                    <w:jc w:val="center"/>
                    <w:rPr>
                      <w:color w:val="auto"/>
                    </w:rPr>
                  </w:pPr>
                </w:p>
              </w:tc>
              <w:tc>
                <w:tcPr>
                  <w:tcW w:w="1010" w:type="dxa"/>
                  <w:tcBorders>
                    <w:tl2br w:val="nil"/>
                    <w:tr2bl w:val="nil"/>
                  </w:tcBorders>
                  <w:vAlign w:val="center"/>
                </w:tcPr>
                <w:p w14:paraId="349C3DFA">
                  <w:pPr>
                    <w:pStyle w:val="42"/>
                    <w:bidi w:val="0"/>
                    <w:jc w:val="center"/>
                    <w:rPr>
                      <w:color w:val="auto"/>
                    </w:rPr>
                  </w:pPr>
                  <w:r>
                    <w:rPr>
                      <w:color w:val="auto"/>
                    </w:rPr>
                    <w:t>SO</w:t>
                  </w:r>
                  <w:r>
                    <w:rPr>
                      <w:color w:val="auto"/>
                      <w:vertAlign w:val="subscript"/>
                    </w:rPr>
                    <w:t>2</w:t>
                  </w:r>
                </w:p>
              </w:tc>
              <w:tc>
                <w:tcPr>
                  <w:tcW w:w="1567" w:type="dxa"/>
                  <w:tcBorders>
                    <w:tl2br w:val="nil"/>
                    <w:tr2bl w:val="nil"/>
                  </w:tcBorders>
                  <w:vAlign w:val="center"/>
                </w:tcPr>
                <w:p w14:paraId="0E1EFBB7">
                  <w:pPr>
                    <w:pStyle w:val="42"/>
                    <w:bidi w:val="0"/>
                    <w:jc w:val="center"/>
                    <w:rPr>
                      <w:rFonts w:hint="default" w:eastAsia="宋体"/>
                      <w:color w:val="auto"/>
                      <w:lang w:val="en-US" w:eastAsia="zh-CN"/>
                    </w:rPr>
                  </w:pPr>
                  <w:r>
                    <w:rPr>
                      <w:rFonts w:hint="eastAsia"/>
                      <w:color w:val="auto"/>
                      <w:lang w:val="en-US" w:eastAsia="zh-CN"/>
                    </w:rPr>
                    <w:t>300</w:t>
                  </w:r>
                </w:p>
              </w:tc>
              <w:tc>
                <w:tcPr>
                  <w:tcW w:w="1031" w:type="dxa"/>
                  <w:vMerge w:val="continue"/>
                  <w:tcBorders>
                    <w:tl2br w:val="nil"/>
                    <w:tr2bl w:val="nil"/>
                  </w:tcBorders>
                  <w:vAlign w:val="center"/>
                </w:tcPr>
                <w:p w14:paraId="56053DA3">
                  <w:pPr>
                    <w:pStyle w:val="42"/>
                    <w:bidi w:val="0"/>
                    <w:jc w:val="center"/>
                    <w:rPr>
                      <w:color w:val="auto"/>
                    </w:rPr>
                  </w:pPr>
                </w:p>
              </w:tc>
              <w:tc>
                <w:tcPr>
                  <w:tcW w:w="2991" w:type="dxa"/>
                  <w:vMerge w:val="continue"/>
                  <w:tcBorders>
                    <w:tl2br w:val="nil"/>
                    <w:tr2bl w:val="nil"/>
                  </w:tcBorders>
                  <w:vAlign w:val="center"/>
                </w:tcPr>
                <w:p w14:paraId="320B35DA">
                  <w:pPr>
                    <w:pStyle w:val="42"/>
                    <w:bidi w:val="0"/>
                    <w:jc w:val="center"/>
                    <w:rPr>
                      <w:color w:val="auto"/>
                    </w:rPr>
                  </w:pPr>
                </w:p>
              </w:tc>
            </w:tr>
            <w:tr w14:paraId="11F78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vMerge w:val="continue"/>
                  <w:tcBorders>
                    <w:tl2br w:val="nil"/>
                    <w:tr2bl w:val="nil"/>
                  </w:tcBorders>
                  <w:vAlign w:val="center"/>
                </w:tcPr>
                <w:p w14:paraId="69820B1C">
                  <w:pPr>
                    <w:pStyle w:val="42"/>
                    <w:bidi w:val="0"/>
                    <w:jc w:val="center"/>
                    <w:rPr>
                      <w:color w:val="auto"/>
                    </w:rPr>
                  </w:pPr>
                </w:p>
              </w:tc>
              <w:tc>
                <w:tcPr>
                  <w:tcW w:w="1010" w:type="dxa"/>
                  <w:tcBorders>
                    <w:tl2br w:val="nil"/>
                    <w:tr2bl w:val="nil"/>
                  </w:tcBorders>
                  <w:vAlign w:val="center"/>
                </w:tcPr>
                <w:p w14:paraId="6C7E7F6E">
                  <w:pPr>
                    <w:pStyle w:val="42"/>
                    <w:bidi w:val="0"/>
                    <w:jc w:val="center"/>
                    <w:rPr>
                      <w:color w:val="auto"/>
                    </w:rPr>
                  </w:pPr>
                  <w:r>
                    <w:rPr>
                      <w:color w:val="auto"/>
                    </w:rPr>
                    <w:t>NOx</w:t>
                  </w:r>
                </w:p>
              </w:tc>
              <w:tc>
                <w:tcPr>
                  <w:tcW w:w="1567" w:type="dxa"/>
                  <w:tcBorders>
                    <w:tl2br w:val="nil"/>
                    <w:tr2bl w:val="nil"/>
                  </w:tcBorders>
                  <w:vAlign w:val="center"/>
                </w:tcPr>
                <w:p w14:paraId="53B4F0BE">
                  <w:pPr>
                    <w:pStyle w:val="42"/>
                    <w:bidi w:val="0"/>
                    <w:jc w:val="center"/>
                    <w:rPr>
                      <w:rFonts w:hint="default" w:eastAsia="宋体"/>
                      <w:color w:val="auto"/>
                      <w:lang w:val="en-US" w:eastAsia="zh-CN"/>
                    </w:rPr>
                  </w:pPr>
                  <w:r>
                    <w:rPr>
                      <w:rFonts w:hint="eastAsia" w:eastAsia="宋体"/>
                      <w:color w:val="auto"/>
                      <w:lang w:val="en-US" w:eastAsia="zh-CN"/>
                    </w:rPr>
                    <w:t>300</w:t>
                  </w:r>
                </w:p>
              </w:tc>
              <w:tc>
                <w:tcPr>
                  <w:tcW w:w="1031" w:type="dxa"/>
                  <w:vMerge w:val="continue"/>
                  <w:tcBorders>
                    <w:tl2br w:val="nil"/>
                    <w:tr2bl w:val="nil"/>
                  </w:tcBorders>
                  <w:vAlign w:val="center"/>
                </w:tcPr>
                <w:p w14:paraId="5559BD04">
                  <w:pPr>
                    <w:pStyle w:val="42"/>
                    <w:bidi w:val="0"/>
                    <w:jc w:val="center"/>
                    <w:rPr>
                      <w:color w:val="auto"/>
                    </w:rPr>
                  </w:pPr>
                </w:p>
              </w:tc>
              <w:tc>
                <w:tcPr>
                  <w:tcW w:w="2991" w:type="dxa"/>
                  <w:vMerge w:val="continue"/>
                  <w:tcBorders>
                    <w:tl2br w:val="nil"/>
                    <w:tr2bl w:val="nil"/>
                  </w:tcBorders>
                  <w:vAlign w:val="center"/>
                </w:tcPr>
                <w:p w14:paraId="76E07D62">
                  <w:pPr>
                    <w:pStyle w:val="42"/>
                    <w:bidi w:val="0"/>
                    <w:jc w:val="center"/>
                    <w:rPr>
                      <w:color w:val="auto"/>
                    </w:rPr>
                  </w:pPr>
                </w:p>
              </w:tc>
            </w:tr>
            <w:tr w14:paraId="6CE53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vMerge w:val="continue"/>
                  <w:tcBorders>
                    <w:tl2br w:val="nil"/>
                    <w:tr2bl w:val="nil"/>
                  </w:tcBorders>
                  <w:vAlign w:val="center"/>
                </w:tcPr>
                <w:p w14:paraId="7A3E5A06">
                  <w:pPr>
                    <w:pStyle w:val="42"/>
                    <w:bidi w:val="0"/>
                    <w:jc w:val="center"/>
                    <w:rPr>
                      <w:color w:val="auto"/>
                    </w:rPr>
                  </w:pPr>
                </w:p>
              </w:tc>
              <w:tc>
                <w:tcPr>
                  <w:tcW w:w="1010" w:type="dxa"/>
                  <w:tcBorders>
                    <w:tl2br w:val="nil"/>
                    <w:tr2bl w:val="nil"/>
                  </w:tcBorders>
                  <w:vAlign w:val="center"/>
                </w:tcPr>
                <w:p w14:paraId="5AA94A78">
                  <w:pPr>
                    <w:pStyle w:val="42"/>
                    <w:bidi w:val="0"/>
                    <w:rPr>
                      <w:rFonts w:hint="default"/>
                      <w:color w:val="auto"/>
                      <w:lang w:val="en-US" w:eastAsia="zh-CN"/>
                    </w:rPr>
                  </w:pPr>
                  <w:r>
                    <w:rPr>
                      <w:rFonts w:hint="eastAsia"/>
                      <w:color w:val="auto"/>
                      <w:lang w:val="en-US" w:eastAsia="zh-CN"/>
                    </w:rPr>
                    <w:t>汞及其化合物</w:t>
                  </w:r>
                </w:p>
              </w:tc>
              <w:tc>
                <w:tcPr>
                  <w:tcW w:w="1567" w:type="dxa"/>
                  <w:tcBorders>
                    <w:tl2br w:val="nil"/>
                    <w:tr2bl w:val="nil"/>
                  </w:tcBorders>
                  <w:vAlign w:val="center"/>
                </w:tcPr>
                <w:p w14:paraId="47169C15">
                  <w:pPr>
                    <w:pStyle w:val="42"/>
                    <w:bidi w:val="0"/>
                    <w:rPr>
                      <w:rFonts w:hint="default"/>
                      <w:color w:val="auto"/>
                      <w:lang w:val="en-US" w:eastAsia="zh-CN"/>
                    </w:rPr>
                  </w:pPr>
                  <w:r>
                    <w:rPr>
                      <w:rFonts w:hint="eastAsia"/>
                      <w:color w:val="auto"/>
                      <w:lang w:val="en-US" w:eastAsia="zh-CN"/>
                    </w:rPr>
                    <w:t>0.05</w:t>
                  </w:r>
                </w:p>
              </w:tc>
              <w:tc>
                <w:tcPr>
                  <w:tcW w:w="1031" w:type="dxa"/>
                  <w:vMerge w:val="continue"/>
                  <w:tcBorders>
                    <w:tl2br w:val="nil"/>
                    <w:tr2bl w:val="nil"/>
                  </w:tcBorders>
                  <w:vAlign w:val="center"/>
                </w:tcPr>
                <w:p w14:paraId="12E3D943">
                  <w:pPr>
                    <w:pStyle w:val="42"/>
                    <w:bidi w:val="0"/>
                    <w:jc w:val="center"/>
                    <w:rPr>
                      <w:color w:val="auto"/>
                    </w:rPr>
                  </w:pPr>
                </w:p>
              </w:tc>
              <w:tc>
                <w:tcPr>
                  <w:tcW w:w="2991" w:type="dxa"/>
                  <w:vMerge w:val="continue"/>
                  <w:tcBorders>
                    <w:tl2br w:val="nil"/>
                    <w:tr2bl w:val="nil"/>
                  </w:tcBorders>
                  <w:vAlign w:val="center"/>
                </w:tcPr>
                <w:p w14:paraId="29EAC48F">
                  <w:pPr>
                    <w:pStyle w:val="42"/>
                    <w:bidi w:val="0"/>
                    <w:jc w:val="center"/>
                    <w:rPr>
                      <w:color w:val="auto"/>
                    </w:rPr>
                  </w:pPr>
                </w:p>
              </w:tc>
            </w:tr>
            <w:tr w14:paraId="4B9FD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vMerge w:val="continue"/>
                  <w:tcBorders>
                    <w:tl2br w:val="nil"/>
                    <w:tr2bl w:val="nil"/>
                  </w:tcBorders>
                  <w:vAlign w:val="center"/>
                </w:tcPr>
                <w:p w14:paraId="65B7F6D2">
                  <w:pPr>
                    <w:pStyle w:val="42"/>
                    <w:bidi w:val="0"/>
                    <w:jc w:val="center"/>
                    <w:rPr>
                      <w:color w:val="auto"/>
                    </w:rPr>
                  </w:pPr>
                </w:p>
              </w:tc>
              <w:tc>
                <w:tcPr>
                  <w:tcW w:w="1010" w:type="dxa"/>
                  <w:tcBorders>
                    <w:tl2br w:val="nil"/>
                    <w:tr2bl w:val="nil"/>
                  </w:tcBorders>
                  <w:vAlign w:val="center"/>
                </w:tcPr>
                <w:p w14:paraId="58218F0E">
                  <w:pPr>
                    <w:pStyle w:val="42"/>
                    <w:bidi w:val="0"/>
                    <w:rPr>
                      <w:rFonts w:hint="eastAsia"/>
                      <w:color w:val="auto"/>
                      <w:lang w:val="en-US" w:eastAsia="zh-CN"/>
                    </w:rPr>
                  </w:pPr>
                  <w:r>
                    <w:rPr>
                      <w:rFonts w:hint="eastAsia"/>
                      <w:color w:val="auto"/>
                      <w:lang w:val="en-US" w:eastAsia="zh-CN"/>
                    </w:rPr>
                    <w:t>烟气黑度</w:t>
                  </w:r>
                </w:p>
              </w:tc>
              <w:tc>
                <w:tcPr>
                  <w:tcW w:w="1567" w:type="dxa"/>
                  <w:tcBorders>
                    <w:tl2br w:val="nil"/>
                    <w:tr2bl w:val="nil"/>
                  </w:tcBorders>
                  <w:vAlign w:val="center"/>
                </w:tcPr>
                <w:p w14:paraId="4DA7575B">
                  <w:pPr>
                    <w:pStyle w:val="42"/>
                    <w:bidi w:val="0"/>
                    <w:rPr>
                      <w:rFonts w:hint="default"/>
                      <w:color w:val="auto"/>
                      <w:lang w:val="en-US" w:eastAsia="zh-CN"/>
                    </w:rPr>
                  </w:pPr>
                  <w:r>
                    <w:rPr>
                      <w:rFonts w:hint="eastAsia"/>
                      <w:color w:val="auto"/>
                      <w:lang w:val="en-US" w:eastAsia="zh-CN"/>
                    </w:rPr>
                    <w:t>1</w:t>
                  </w:r>
                </w:p>
              </w:tc>
              <w:tc>
                <w:tcPr>
                  <w:tcW w:w="1031" w:type="dxa"/>
                  <w:tcBorders>
                    <w:tl2br w:val="nil"/>
                    <w:tr2bl w:val="nil"/>
                  </w:tcBorders>
                  <w:vAlign w:val="center"/>
                </w:tcPr>
                <w:p w14:paraId="59EA42FF">
                  <w:pPr>
                    <w:pStyle w:val="42"/>
                    <w:bidi w:val="0"/>
                    <w:jc w:val="center"/>
                    <w:rPr>
                      <w:color w:val="auto"/>
                    </w:rPr>
                  </w:pPr>
                </w:p>
              </w:tc>
              <w:tc>
                <w:tcPr>
                  <w:tcW w:w="2991" w:type="dxa"/>
                  <w:vMerge w:val="continue"/>
                  <w:tcBorders>
                    <w:tl2br w:val="nil"/>
                    <w:tr2bl w:val="nil"/>
                  </w:tcBorders>
                  <w:vAlign w:val="center"/>
                </w:tcPr>
                <w:p w14:paraId="5AE5EEC3">
                  <w:pPr>
                    <w:pStyle w:val="42"/>
                    <w:bidi w:val="0"/>
                    <w:jc w:val="center"/>
                    <w:rPr>
                      <w:color w:val="auto"/>
                    </w:rPr>
                  </w:pPr>
                </w:p>
              </w:tc>
            </w:tr>
            <w:tr w14:paraId="751E1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tcBorders>
                    <w:tl2br w:val="nil"/>
                    <w:tr2bl w:val="nil"/>
                  </w:tcBorders>
                  <w:vAlign w:val="center"/>
                </w:tcPr>
                <w:p w14:paraId="735A9110">
                  <w:pPr>
                    <w:pStyle w:val="42"/>
                    <w:bidi w:val="0"/>
                    <w:jc w:val="center"/>
                    <w:rPr>
                      <w:rFonts w:hint="default" w:eastAsia="宋体"/>
                      <w:color w:val="auto"/>
                      <w:lang w:val="en-US" w:eastAsia="zh-CN"/>
                    </w:rPr>
                  </w:pPr>
                  <w:r>
                    <w:rPr>
                      <w:rFonts w:hint="eastAsia"/>
                      <w:color w:val="auto"/>
                      <w:lang w:val="en-US" w:eastAsia="zh-CN"/>
                    </w:rPr>
                    <w:t>无组织颗粒物</w:t>
                  </w:r>
                </w:p>
              </w:tc>
              <w:tc>
                <w:tcPr>
                  <w:tcW w:w="1010" w:type="dxa"/>
                  <w:tcBorders>
                    <w:tl2br w:val="nil"/>
                    <w:tr2bl w:val="nil"/>
                  </w:tcBorders>
                  <w:vAlign w:val="center"/>
                </w:tcPr>
                <w:p w14:paraId="11ECAA1C">
                  <w:pPr>
                    <w:pStyle w:val="42"/>
                    <w:bidi w:val="0"/>
                    <w:jc w:val="center"/>
                    <w:rPr>
                      <w:rFonts w:hint="default"/>
                      <w:color w:val="auto"/>
                      <w:lang w:val="en-US" w:eastAsia="zh-CN"/>
                    </w:rPr>
                  </w:pPr>
                  <w:r>
                    <w:rPr>
                      <w:rFonts w:hint="eastAsia"/>
                      <w:color w:val="auto"/>
                      <w:lang w:val="en-US" w:eastAsia="zh-CN"/>
                    </w:rPr>
                    <w:t>颗粒物</w:t>
                  </w:r>
                </w:p>
              </w:tc>
              <w:tc>
                <w:tcPr>
                  <w:tcW w:w="1567" w:type="dxa"/>
                  <w:tcBorders>
                    <w:tl2br w:val="nil"/>
                    <w:tr2bl w:val="nil"/>
                  </w:tcBorders>
                  <w:vAlign w:val="center"/>
                </w:tcPr>
                <w:p w14:paraId="104D56B5">
                  <w:pPr>
                    <w:pStyle w:val="42"/>
                    <w:bidi w:val="0"/>
                    <w:jc w:val="center"/>
                    <w:rPr>
                      <w:rFonts w:hint="default" w:eastAsia="宋体"/>
                      <w:color w:val="auto"/>
                      <w:lang w:val="en-US" w:eastAsia="zh-CN"/>
                    </w:rPr>
                  </w:pPr>
                  <w:r>
                    <w:rPr>
                      <w:rFonts w:hint="eastAsia" w:eastAsia="宋体"/>
                      <w:color w:val="auto"/>
                      <w:lang w:val="en-US" w:eastAsia="zh-CN"/>
                    </w:rPr>
                    <w:t>1</w:t>
                  </w:r>
                </w:p>
              </w:tc>
              <w:tc>
                <w:tcPr>
                  <w:tcW w:w="1031" w:type="dxa"/>
                  <w:tcBorders>
                    <w:tl2br w:val="nil"/>
                    <w:tr2bl w:val="nil"/>
                  </w:tcBorders>
                  <w:vAlign w:val="center"/>
                </w:tcPr>
                <w:p w14:paraId="6E9F4678">
                  <w:pPr>
                    <w:pStyle w:val="42"/>
                    <w:bidi w:val="0"/>
                    <w:jc w:val="center"/>
                    <w:rPr>
                      <w:rFonts w:hint="eastAsia" w:eastAsia="宋体"/>
                      <w:color w:val="auto"/>
                      <w:lang w:val="en-US" w:eastAsia="zh-CN"/>
                    </w:rPr>
                  </w:pPr>
                  <w:r>
                    <w:rPr>
                      <w:rFonts w:hint="eastAsia"/>
                      <w:color w:val="auto"/>
                      <w:lang w:val="en-US" w:eastAsia="zh-CN"/>
                    </w:rPr>
                    <w:t>/</w:t>
                  </w:r>
                </w:p>
              </w:tc>
              <w:tc>
                <w:tcPr>
                  <w:tcW w:w="2991" w:type="dxa"/>
                  <w:tcBorders>
                    <w:tl2br w:val="nil"/>
                    <w:tr2bl w:val="nil"/>
                  </w:tcBorders>
                  <w:vAlign w:val="center"/>
                </w:tcPr>
                <w:p w14:paraId="0EAE6851">
                  <w:pPr>
                    <w:pStyle w:val="42"/>
                    <w:bidi w:val="0"/>
                    <w:jc w:val="center"/>
                    <w:rPr>
                      <w:color w:val="auto"/>
                    </w:rPr>
                  </w:pPr>
                  <w:r>
                    <w:rPr>
                      <w:rFonts w:hint="eastAsia"/>
                      <w:color w:val="auto"/>
                      <w:lang w:val="en-US" w:eastAsia="zh-CN"/>
                    </w:rPr>
                    <w:t>大气污染物综合排放标准》（GB16297-1996）表2</w:t>
                  </w:r>
                </w:p>
              </w:tc>
            </w:tr>
          </w:tbl>
          <w:p w14:paraId="194DB8F9">
            <w:pPr>
              <w:pStyle w:val="39"/>
              <w:bidi w:val="0"/>
              <w:rPr>
                <w:rFonts w:hint="eastAsia"/>
                <w:color w:val="auto"/>
                <w:lang w:val="en-US" w:eastAsia="zh-CN"/>
              </w:rPr>
            </w:pPr>
            <w:r>
              <w:rPr>
                <w:rFonts w:hint="eastAsia"/>
                <w:color w:val="auto"/>
                <w:lang w:val="en-US" w:eastAsia="zh-CN"/>
              </w:rPr>
              <w:t>2、本项目无产生废水产生。生活污水执行《污水综合排放标准》（GB8978-1996）表4三级标准。</w:t>
            </w:r>
          </w:p>
          <w:p w14:paraId="1FA803E2">
            <w:pPr>
              <w:pStyle w:val="53"/>
              <w:bidi w:val="0"/>
              <w:rPr>
                <w:rFonts w:hint="default"/>
                <w:color w:val="auto"/>
                <w:lang w:val="en-US" w:eastAsia="zh-CN"/>
              </w:rPr>
            </w:pPr>
            <w:r>
              <w:rPr>
                <w:rFonts w:hint="eastAsia"/>
                <w:color w:val="auto"/>
                <w:lang w:val="en-US" w:eastAsia="zh-CN"/>
              </w:rPr>
              <w:t xml:space="preserve">表3-8   </w:t>
            </w:r>
            <w:r>
              <w:rPr>
                <w:rFonts w:hint="eastAsia"/>
                <w:color w:val="auto"/>
                <w:lang w:eastAsia="zh-CN"/>
              </w:rPr>
              <w:t>《污水综合排放标准》（</w:t>
            </w:r>
            <w:r>
              <w:rPr>
                <w:rFonts w:hint="eastAsia"/>
                <w:color w:val="auto"/>
                <w:lang w:val="en-US" w:eastAsia="zh-CN"/>
              </w:rPr>
              <w:t>GB8978-1996</w:t>
            </w:r>
            <w:r>
              <w:rPr>
                <w:rFonts w:hint="eastAsia"/>
                <w:color w:val="auto"/>
                <w:lang w:eastAsia="zh-CN"/>
              </w:rPr>
              <w:t>）表</w:t>
            </w:r>
            <w:r>
              <w:rPr>
                <w:rFonts w:hint="eastAsia"/>
                <w:color w:val="auto"/>
                <w:lang w:val="en-US" w:eastAsia="zh-CN"/>
              </w:rPr>
              <w:t>4三级标准</w:t>
            </w:r>
          </w:p>
          <w:tbl>
            <w:tblPr>
              <w:tblStyle w:val="31"/>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065"/>
              <w:gridCol w:w="939"/>
              <w:gridCol w:w="1025"/>
              <w:gridCol w:w="1046"/>
              <w:gridCol w:w="1159"/>
              <w:gridCol w:w="1388"/>
            </w:tblGrid>
            <w:tr w14:paraId="3F93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0" w:type="dxa"/>
                  <w:tcBorders>
                    <w:tl2br w:val="nil"/>
                    <w:tr2bl w:val="nil"/>
                  </w:tcBorders>
                  <w:noWrap w:val="0"/>
                  <w:vAlign w:val="center"/>
                </w:tcPr>
                <w:p w14:paraId="2A76C08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b/>
                      <w:caps/>
                      <w:snapToGrid w:val="0"/>
                      <w:color w:val="auto"/>
                      <w:sz w:val="21"/>
                      <w:szCs w:val="21"/>
                      <w:lang w:eastAsia="zh-CN"/>
                    </w:rPr>
                  </w:pPr>
                  <w:r>
                    <w:rPr>
                      <w:rFonts w:hint="eastAsia"/>
                      <w:b/>
                      <w:caps/>
                      <w:snapToGrid w:val="0"/>
                      <w:color w:val="auto"/>
                      <w:sz w:val="21"/>
                      <w:szCs w:val="21"/>
                      <w:lang w:eastAsia="zh-CN"/>
                    </w:rPr>
                    <w:t>指标名称</w:t>
                  </w:r>
                </w:p>
              </w:tc>
              <w:tc>
                <w:tcPr>
                  <w:tcW w:w="1115" w:type="dxa"/>
                  <w:tcBorders>
                    <w:tl2br w:val="nil"/>
                    <w:tr2bl w:val="nil"/>
                  </w:tcBorders>
                  <w:noWrap w:val="0"/>
                  <w:vAlign w:val="center"/>
                </w:tcPr>
                <w:p w14:paraId="0BE3B8C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b/>
                      <w:caps/>
                      <w:snapToGrid w:val="0"/>
                      <w:color w:val="auto"/>
                      <w:sz w:val="21"/>
                      <w:szCs w:val="21"/>
                      <w:lang w:val="en-US" w:eastAsia="zh-CN"/>
                    </w:rPr>
                  </w:pPr>
                  <w:r>
                    <w:rPr>
                      <w:b/>
                      <w:color w:val="auto"/>
                      <w:spacing w:val="-10"/>
                      <w:sz w:val="21"/>
                      <w:szCs w:val="21"/>
                    </w:rPr>
                    <w:t>p</w:t>
                  </w:r>
                  <w:r>
                    <w:rPr>
                      <w:rFonts w:hint="eastAsia"/>
                      <w:b/>
                      <w:color w:val="auto"/>
                      <w:spacing w:val="-10"/>
                      <w:sz w:val="21"/>
                      <w:szCs w:val="21"/>
                    </w:rPr>
                    <w:t>H</w:t>
                  </w:r>
                </w:p>
              </w:tc>
              <w:tc>
                <w:tcPr>
                  <w:tcW w:w="982" w:type="dxa"/>
                  <w:tcBorders>
                    <w:tl2br w:val="nil"/>
                    <w:tr2bl w:val="nil"/>
                  </w:tcBorders>
                  <w:noWrap w:val="0"/>
                  <w:vAlign w:val="center"/>
                </w:tcPr>
                <w:p w14:paraId="418F32C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b/>
                      <w:caps/>
                      <w:snapToGrid w:val="0"/>
                      <w:color w:val="auto"/>
                      <w:sz w:val="21"/>
                      <w:szCs w:val="21"/>
                      <w:lang w:val="en-US" w:eastAsia="zh-CN"/>
                    </w:rPr>
                  </w:pPr>
                  <w:r>
                    <w:rPr>
                      <w:rFonts w:hint="eastAsia"/>
                      <w:b/>
                      <w:caps/>
                      <w:snapToGrid w:val="0"/>
                      <w:color w:val="auto"/>
                      <w:sz w:val="21"/>
                      <w:szCs w:val="21"/>
                      <w:lang w:val="en-US" w:eastAsia="zh-CN"/>
                    </w:rPr>
                    <w:t>COD</w:t>
                  </w:r>
                </w:p>
              </w:tc>
              <w:tc>
                <w:tcPr>
                  <w:tcW w:w="1073" w:type="dxa"/>
                  <w:tcBorders>
                    <w:tl2br w:val="nil"/>
                    <w:tr2bl w:val="nil"/>
                  </w:tcBorders>
                  <w:noWrap w:val="0"/>
                  <w:vAlign w:val="center"/>
                </w:tcPr>
                <w:p w14:paraId="6A91582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b/>
                      <w:caps/>
                      <w:snapToGrid w:val="0"/>
                      <w:color w:val="auto"/>
                      <w:sz w:val="21"/>
                      <w:szCs w:val="21"/>
                      <w:lang w:val="en-US" w:eastAsia="zh-CN"/>
                    </w:rPr>
                  </w:pPr>
                  <w:r>
                    <w:rPr>
                      <w:rFonts w:hint="eastAsia"/>
                      <w:b/>
                      <w:snapToGrid w:val="0"/>
                      <w:color w:val="auto"/>
                      <w:sz w:val="21"/>
                      <w:szCs w:val="21"/>
                      <w:lang w:val="en-US" w:eastAsia="zh-CN"/>
                    </w:rPr>
                    <w:t>B</w:t>
                  </w:r>
                  <w:r>
                    <w:rPr>
                      <w:rFonts w:hint="eastAsia"/>
                      <w:b/>
                      <w:caps/>
                      <w:snapToGrid w:val="0"/>
                      <w:color w:val="auto"/>
                      <w:sz w:val="21"/>
                      <w:szCs w:val="21"/>
                      <w:lang w:val="en-US" w:eastAsia="zh-CN"/>
                    </w:rPr>
                    <w:t>od</w:t>
                  </w:r>
                  <w:r>
                    <w:rPr>
                      <w:rFonts w:hint="eastAsia"/>
                      <w:b/>
                      <w:caps/>
                      <w:snapToGrid w:val="0"/>
                      <w:color w:val="auto"/>
                      <w:sz w:val="21"/>
                      <w:szCs w:val="21"/>
                      <w:vertAlign w:val="subscript"/>
                      <w:lang w:val="en-US" w:eastAsia="zh-CN"/>
                    </w:rPr>
                    <w:t>5</w:t>
                  </w:r>
                </w:p>
              </w:tc>
              <w:tc>
                <w:tcPr>
                  <w:tcW w:w="1095" w:type="dxa"/>
                  <w:tcBorders>
                    <w:tl2br w:val="nil"/>
                    <w:tr2bl w:val="nil"/>
                  </w:tcBorders>
                  <w:noWrap w:val="0"/>
                  <w:vAlign w:val="center"/>
                </w:tcPr>
                <w:p w14:paraId="1502D51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b/>
                      <w:snapToGrid w:val="0"/>
                      <w:color w:val="auto"/>
                      <w:sz w:val="21"/>
                      <w:szCs w:val="21"/>
                      <w:lang w:val="en-US" w:eastAsia="zh-CN"/>
                    </w:rPr>
                  </w:pPr>
                  <w:r>
                    <w:rPr>
                      <w:rFonts w:hint="eastAsia"/>
                      <w:b/>
                      <w:snapToGrid w:val="0"/>
                      <w:color w:val="auto"/>
                      <w:sz w:val="21"/>
                      <w:szCs w:val="21"/>
                      <w:lang w:val="en-US" w:eastAsia="zh-CN"/>
                    </w:rPr>
                    <w:t>氨氮</w:t>
                  </w:r>
                </w:p>
              </w:tc>
              <w:tc>
                <w:tcPr>
                  <w:tcW w:w="1215" w:type="dxa"/>
                  <w:tcBorders>
                    <w:tl2br w:val="nil"/>
                    <w:tr2bl w:val="nil"/>
                  </w:tcBorders>
                  <w:noWrap w:val="0"/>
                  <w:vAlign w:val="center"/>
                </w:tcPr>
                <w:p w14:paraId="6597A31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b/>
                      <w:snapToGrid w:val="0"/>
                      <w:color w:val="auto"/>
                      <w:sz w:val="21"/>
                      <w:szCs w:val="21"/>
                      <w:lang w:val="en-US" w:eastAsia="zh-CN"/>
                    </w:rPr>
                  </w:pPr>
                  <w:r>
                    <w:rPr>
                      <w:rFonts w:hint="eastAsia"/>
                      <w:b/>
                      <w:snapToGrid w:val="0"/>
                      <w:color w:val="auto"/>
                      <w:sz w:val="21"/>
                      <w:szCs w:val="21"/>
                      <w:lang w:val="en-US" w:eastAsia="zh-CN"/>
                    </w:rPr>
                    <w:t>SS</w:t>
                  </w:r>
                </w:p>
              </w:tc>
              <w:tc>
                <w:tcPr>
                  <w:tcW w:w="1456" w:type="dxa"/>
                  <w:tcBorders>
                    <w:tl2br w:val="nil"/>
                    <w:tr2bl w:val="nil"/>
                  </w:tcBorders>
                  <w:noWrap w:val="0"/>
                  <w:vAlign w:val="center"/>
                </w:tcPr>
                <w:p w14:paraId="18F6CEF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b/>
                      <w:snapToGrid w:val="0"/>
                      <w:color w:val="auto"/>
                      <w:sz w:val="21"/>
                      <w:szCs w:val="21"/>
                      <w:lang w:val="en-US" w:eastAsia="zh-CN"/>
                    </w:rPr>
                  </w:pPr>
                  <w:r>
                    <w:rPr>
                      <w:rFonts w:hint="eastAsia"/>
                      <w:b/>
                      <w:snapToGrid w:val="0"/>
                      <w:color w:val="auto"/>
                      <w:sz w:val="21"/>
                      <w:szCs w:val="21"/>
                      <w:lang w:val="en-US" w:eastAsia="zh-CN"/>
                    </w:rPr>
                    <w:t>动植物油</w:t>
                  </w:r>
                </w:p>
              </w:tc>
            </w:tr>
            <w:tr w14:paraId="221C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0" w:type="dxa"/>
                  <w:tcBorders>
                    <w:tl2br w:val="nil"/>
                    <w:tr2bl w:val="nil"/>
                  </w:tcBorders>
                  <w:noWrap w:val="0"/>
                  <w:vAlign w:val="center"/>
                </w:tcPr>
                <w:p w14:paraId="3E01E2F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caps/>
                      <w:snapToGrid w:val="0"/>
                      <w:color w:val="auto"/>
                      <w:sz w:val="21"/>
                      <w:szCs w:val="21"/>
                      <w:lang w:eastAsia="zh-CN"/>
                    </w:rPr>
                  </w:pPr>
                  <w:r>
                    <w:rPr>
                      <w:rFonts w:hint="eastAsia"/>
                      <w:caps/>
                      <w:snapToGrid w:val="0"/>
                      <w:color w:val="auto"/>
                      <w:sz w:val="21"/>
                      <w:szCs w:val="21"/>
                      <w:lang w:eastAsia="zh-CN"/>
                    </w:rPr>
                    <w:t>标准限值</w:t>
                  </w:r>
                </w:p>
              </w:tc>
              <w:tc>
                <w:tcPr>
                  <w:tcW w:w="1115" w:type="dxa"/>
                  <w:tcBorders>
                    <w:tl2br w:val="nil"/>
                    <w:tr2bl w:val="nil"/>
                  </w:tcBorders>
                  <w:noWrap w:val="0"/>
                  <w:vAlign w:val="center"/>
                </w:tcPr>
                <w:p w14:paraId="049711D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6~8</w:t>
                  </w:r>
                </w:p>
              </w:tc>
              <w:tc>
                <w:tcPr>
                  <w:tcW w:w="982" w:type="dxa"/>
                  <w:tcBorders>
                    <w:tl2br w:val="nil"/>
                    <w:tr2bl w:val="nil"/>
                  </w:tcBorders>
                  <w:noWrap w:val="0"/>
                  <w:vAlign w:val="center"/>
                </w:tcPr>
                <w:p w14:paraId="7248F44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500</w:t>
                  </w:r>
                </w:p>
              </w:tc>
              <w:tc>
                <w:tcPr>
                  <w:tcW w:w="1073" w:type="dxa"/>
                  <w:tcBorders>
                    <w:tl2br w:val="nil"/>
                    <w:tr2bl w:val="nil"/>
                  </w:tcBorders>
                  <w:noWrap w:val="0"/>
                  <w:vAlign w:val="center"/>
                </w:tcPr>
                <w:p w14:paraId="6F1DE89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300</w:t>
                  </w:r>
                </w:p>
              </w:tc>
              <w:tc>
                <w:tcPr>
                  <w:tcW w:w="1095" w:type="dxa"/>
                  <w:tcBorders>
                    <w:tl2br w:val="nil"/>
                    <w:tr2bl w:val="nil"/>
                  </w:tcBorders>
                  <w:noWrap w:val="0"/>
                  <w:vAlign w:val="center"/>
                </w:tcPr>
                <w:p w14:paraId="28E8708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caps/>
                      <w:snapToGrid w:val="0"/>
                      <w:color w:val="auto"/>
                      <w:sz w:val="21"/>
                      <w:szCs w:val="21"/>
                      <w:lang w:val="en-US" w:eastAsia="zh-CN"/>
                    </w:rPr>
                  </w:pPr>
                  <w:r>
                    <w:rPr>
                      <w:rFonts w:hint="eastAsia"/>
                      <w:caps/>
                      <w:snapToGrid w:val="0"/>
                      <w:color w:val="auto"/>
                      <w:sz w:val="21"/>
                      <w:szCs w:val="21"/>
                      <w:lang w:val="en-US" w:eastAsia="zh-CN"/>
                    </w:rPr>
                    <w:t>/</w:t>
                  </w:r>
                </w:p>
              </w:tc>
              <w:tc>
                <w:tcPr>
                  <w:tcW w:w="1215" w:type="dxa"/>
                  <w:tcBorders>
                    <w:tl2br w:val="nil"/>
                    <w:tr2bl w:val="nil"/>
                  </w:tcBorders>
                  <w:noWrap w:val="0"/>
                  <w:vAlign w:val="center"/>
                </w:tcPr>
                <w:p w14:paraId="0319D51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400</w:t>
                  </w:r>
                </w:p>
              </w:tc>
              <w:tc>
                <w:tcPr>
                  <w:tcW w:w="1456" w:type="dxa"/>
                  <w:tcBorders>
                    <w:tl2br w:val="nil"/>
                    <w:tr2bl w:val="nil"/>
                  </w:tcBorders>
                  <w:noWrap w:val="0"/>
                  <w:vAlign w:val="center"/>
                </w:tcPr>
                <w:p w14:paraId="02AA918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100</w:t>
                  </w:r>
                </w:p>
              </w:tc>
            </w:tr>
          </w:tbl>
          <w:p w14:paraId="3765FB9C">
            <w:pPr>
              <w:pStyle w:val="39"/>
              <w:bidi w:val="0"/>
              <w:rPr>
                <w:rFonts w:hint="default"/>
                <w:color w:val="auto"/>
                <w:lang w:val="en-US" w:eastAsia="zh-CN"/>
              </w:rPr>
            </w:pPr>
            <w:r>
              <w:rPr>
                <w:rFonts w:hint="eastAsia"/>
                <w:color w:val="auto"/>
                <w:lang w:val="en-US" w:eastAsia="zh-CN"/>
              </w:rPr>
              <w:t>3、施工期噪声执行《建筑施工噪声排放标准》（GB12523-2025）中标准限制；运营期执行《工业企业厂界环境噪声排放标准》（GB12348-2008）中2类标准。</w:t>
            </w:r>
          </w:p>
          <w:p w14:paraId="26FF7AFC">
            <w:pPr>
              <w:pStyle w:val="53"/>
              <w:bidi w:val="0"/>
              <w:rPr>
                <w:rFonts w:hint="default"/>
                <w:color w:val="auto"/>
                <w:lang w:val="en-US" w:eastAsia="zh-CN"/>
              </w:rPr>
            </w:pPr>
            <w:r>
              <w:rPr>
                <w:rFonts w:hint="eastAsia"/>
                <w:color w:val="auto"/>
                <w:lang w:val="en-US" w:eastAsia="zh-CN"/>
              </w:rPr>
              <w:t>表3-7   噪声执行标准   单位：dB（A）</w:t>
            </w:r>
          </w:p>
          <w:tbl>
            <w:tblPr>
              <w:tblStyle w:val="31"/>
              <w:tblW w:w="789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787"/>
              <w:gridCol w:w="3172"/>
            </w:tblGrid>
            <w:tr w14:paraId="18C1D4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893" w:type="dxa"/>
                  <w:gridSpan w:val="3"/>
                  <w:tcBorders>
                    <w:left w:val="single" w:color="auto" w:sz="4" w:space="0"/>
                    <w:right w:val="single" w:color="auto" w:sz="4" w:space="0"/>
                  </w:tcBorders>
                  <w:noWrap w:val="0"/>
                  <w:vAlign w:val="top"/>
                </w:tcPr>
                <w:p w14:paraId="33EF9012">
                  <w:pPr>
                    <w:pStyle w:val="42"/>
                    <w:bidi w:val="0"/>
                    <w:rPr>
                      <w:rFonts w:hint="eastAsia" w:eastAsia="宋体"/>
                      <w:color w:val="auto"/>
                      <w:lang w:val="en-US" w:eastAsia="zh-CN"/>
                    </w:rPr>
                  </w:pPr>
                  <w:r>
                    <w:rPr>
                      <w:rFonts w:hint="eastAsia"/>
                      <w:color w:val="auto"/>
                      <w:lang w:val="en-US" w:eastAsia="zh-CN"/>
                    </w:rPr>
                    <w:t>运营期</w:t>
                  </w:r>
                </w:p>
              </w:tc>
            </w:tr>
            <w:tr w14:paraId="55040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934" w:type="dxa"/>
                  <w:tcBorders>
                    <w:left w:val="single" w:color="auto" w:sz="4" w:space="0"/>
                  </w:tcBorders>
                  <w:noWrap w:val="0"/>
                  <w:vAlign w:val="top"/>
                </w:tcPr>
                <w:p w14:paraId="75CC5155">
                  <w:pPr>
                    <w:pStyle w:val="42"/>
                    <w:bidi w:val="0"/>
                    <w:rPr>
                      <w:color w:val="auto"/>
                    </w:rPr>
                  </w:pPr>
                  <w:r>
                    <w:rPr>
                      <w:color w:val="auto"/>
                    </w:rPr>
                    <w:t>类别</w:t>
                  </w:r>
                </w:p>
              </w:tc>
              <w:tc>
                <w:tcPr>
                  <w:tcW w:w="2787" w:type="dxa"/>
                  <w:noWrap w:val="0"/>
                  <w:vAlign w:val="top"/>
                </w:tcPr>
                <w:p w14:paraId="0123E706">
                  <w:pPr>
                    <w:pStyle w:val="42"/>
                    <w:bidi w:val="0"/>
                    <w:rPr>
                      <w:color w:val="auto"/>
                    </w:rPr>
                  </w:pPr>
                  <w:r>
                    <w:rPr>
                      <w:rFonts w:hint="eastAsia"/>
                      <w:color w:val="auto"/>
                    </w:rPr>
                    <w:t>昼间</w:t>
                  </w:r>
                </w:p>
              </w:tc>
              <w:tc>
                <w:tcPr>
                  <w:tcW w:w="3172" w:type="dxa"/>
                  <w:tcBorders>
                    <w:right w:val="single" w:color="auto" w:sz="4" w:space="0"/>
                  </w:tcBorders>
                  <w:noWrap w:val="0"/>
                  <w:vAlign w:val="top"/>
                </w:tcPr>
                <w:p w14:paraId="772B1F11">
                  <w:pPr>
                    <w:pStyle w:val="42"/>
                    <w:bidi w:val="0"/>
                    <w:rPr>
                      <w:color w:val="auto"/>
                    </w:rPr>
                  </w:pPr>
                  <w:r>
                    <w:rPr>
                      <w:color w:val="auto"/>
                    </w:rPr>
                    <w:t>夜间</w:t>
                  </w:r>
                </w:p>
              </w:tc>
            </w:tr>
            <w:tr w14:paraId="5C259C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34" w:type="dxa"/>
                  <w:tcBorders>
                    <w:left w:val="single" w:color="auto" w:sz="4" w:space="0"/>
                  </w:tcBorders>
                  <w:noWrap w:val="0"/>
                  <w:vAlign w:val="top"/>
                </w:tcPr>
                <w:p w14:paraId="04FF4B90">
                  <w:pPr>
                    <w:pStyle w:val="42"/>
                    <w:bidi w:val="0"/>
                    <w:rPr>
                      <w:color w:val="auto"/>
                    </w:rPr>
                  </w:pPr>
                  <w:r>
                    <w:rPr>
                      <w:rFonts w:hint="eastAsia"/>
                      <w:color w:val="auto"/>
                      <w:lang w:val="en-US" w:eastAsia="zh-CN"/>
                    </w:rPr>
                    <w:t>2</w:t>
                  </w:r>
                  <w:r>
                    <w:rPr>
                      <w:color w:val="auto"/>
                    </w:rPr>
                    <w:t>类</w:t>
                  </w:r>
                </w:p>
              </w:tc>
              <w:tc>
                <w:tcPr>
                  <w:tcW w:w="2787" w:type="dxa"/>
                  <w:noWrap w:val="0"/>
                  <w:vAlign w:val="top"/>
                </w:tcPr>
                <w:p w14:paraId="19FA7B94">
                  <w:pPr>
                    <w:pStyle w:val="42"/>
                    <w:bidi w:val="0"/>
                    <w:rPr>
                      <w:rFonts w:hint="eastAsia"/>
                      <w:color w:val="auto"/>
                      <w:lang w:eastAsia="zh-CN"/>
                    </w:rPr>
                  </w:pPr>
                  <w:r>
                    <w:rPr>
                      <w:rFonts w:hint="eastAsia"/>
                      <w:color w:val="auto"/>
                    </w:rPr>
                    <w:t>6</w:t>
                  </w:r>
                  <w:r>
                    <w:rPr>
                      <w:rFonts w:hint="eastAsia"/>
                      <w:color w:val="auto"/>
                      <w:lang w:val="en-US" w:eastAsia="zh-CN"/>
                    </w:rPr>
                    <w:t>0</w:t>
                  </w:r>
                </w:p>
              </w:tc>
              <w:tc>
                <w:tcPr>
                  <w:tcW w:w="3172" w:type="dxa"/>
                  <w:tcBorders>
                    <w:right w:val="single" w:color="auto" w:sz="4" w:space="0"/>
                  </w:tcBorders>
                  <w:noWrap w:val="0"/>
                  <w:vAlign w:val="top"/>
                </w:tcPr>
                <w:p w14:paraId="4696B5AE">
                  <w:pPr>
                    <w:pStyle w:val="42"/>
                    <w:bidi w:val="0"/>
                    <w:rPr>
                      <w:rFonts w:hint="default" w:eastAsia="宋体"/>
                      <w:color w:val="auto"/>
                      <w:lang w:val="en-US" w:eastAsia="zh-CN"/>
                    </w:rPr>
                  </w:pPr>
                  <w:r>
                    <w:rPr>
                      <w:rFonts w:hint="eastAsia"/>
                      <w:color w:val="auto"/>
                      <w:lang w:val="en-US" w:eastAsia="zh-CN"/>
                    </w:rPr>
                    <w:t>50</w:t>
                  </w:r>
                </w:p>
              </w:tc>
            </w:tr>
          </w:tbl>
          <w:p w14:paraId="57C0063D">
            <w:pPr>
              <w:pStyle w:val="39"/>
              <w:bidi w:val="0"/>
              <w:rPr>
                <w:color w:val="auto"/>
              </w:rPr>
            </w:pPr>
            <w:r>
              <w:rPr>
                <w:rFonts w:hint="eastAsia"/>
                <w:color w:val="auto"/>
                <w:lang w:val="en-US" w:eastAsia="zh-CN"/>
              </w:rPr>
              <w:t>4、《一般工业固体废物贮存和填埋污染控制标准》（</w:t>
            </w:r>
            <w:r>
              <w:rPr>
                <w:rFonts w:hint="default"/>
                <w:color w:val="auto"/>
                <w:lang w:val="en" w:eastAsia="zh-CN"/>
              </w:rPr>
              <w:t>GB18599-20</w:t>
            </w:r>
            <w:r>
              <w:rPr>
                <w:rFonts w:hint="eastAsia"/>
                <w:color w:val="auto"/>
                <w:lang w:val="en-US" w:eastAsia="zh-CN"/>
              </w:rPr>
              <w:t>20）；危险废物执行《危险废物贮存污染控制标准》（GB18597-2023）。</w:t>
            </w:r>
          </w:p>
        </w:tc>
      </w:tr>
      <w:tr w14:paraId="337E7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00" w:type="dxa"/>
            <w:vAlign w:val="center"/>
          </w:tcPr>
          <w:p w14:paraId="2A96A512">
            <w:pPr>
              <w:adjustRightInd w:val="0"/>
              <w:snapToGrid w:val="0"/>
              <w:jc w:val="center"/>
              <w:rPr>
                <w:rFonts w:ascii="宋体" w:hAnsi="宋体" w:cs="宋体"/>
                <w:color w:val="auto"/>
                <w:kern w:val="0"/>
                <w:szCs w:val="21"/>
              </w:rPr>
            </w:pPr>
            <w:r>
              <w:rPr>
                <w:rFonts w:hint="eastAsia" w:ascii="宋体" w:hAnsi="宋体" w:cs="宋体"/>
                <w:color w:val="auto"/>
                <w:kern w:val="0"/>
                <w:szCs w:val="21"/>
              </w:rPr>
              <w:t>总量控制指标</w:t>
            </w:r>
          </w:p>
        </w:tc>
        <w:tc>
          <w:tcPr>
            <w:tcW w:w="8190" w:type="dxa"/>
            <w:vAlign w:val="center"/>
          </w:tcPr>
          <w:p w14:paraId="36112D98">
            <w:pPr>
              <w:pStyle w:val="39"/>
              <w:bidi w:val="0"/>
              <w:rPr>
                <w:rFonts w:hint="default"/>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）废水：</w:t>
            </w:r>
            <w:r>
              <w:rPr>
                <w:rFonts w:hint="eastAsia"/>
                <w:color w:val="auto"/>
                <w:lang w:val="en-US" w:eastAsia="zh-CN"/>
              </w:rPr>
              <w:t>本项目无生产废水产生，生活污水排入化粪池，定期外运，不建议设置总量控制指标。</w:t>
            </w:r>
          </w:p>
          <w:p w14:paraId="2EDA9A4D">
            <w:pPr>
              <w:pStyle w:val="41"/>
              <w:bidi w:val="0"/>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）废气：</w:t>
            </w:r>
            <w:r>
              <w:rPr>
                <w:rFonts w:hint="eastAsia"/>
                <w:color w:val="auto"/>
                <w:highlight w:val="none"/>
                <w:lang w:val="en-US" w:eastAsia="zh-CN"/>
              </w:rPr>
              <w:t>本项目设置总量控制指标，氮氧化物：</w:t>
            </w:r>
            <w:r>
              <w:rPr>
                <w:rFonts w:hint="eastAsia" w:cs="Times New Roman"/>
                <w:color w:val="auto"/>
                <w:sz w:val="24"/>
                <w:szCs w:val="24"/>
                <w:highlight w:val="none"/>
                <w:lang w:val="en-US" w:eastAsia="zh-CN"/>
              </w:rPr>
              <w:t>****</w:t>
            </w:r>
            <w:r>
              <w:rPr>
                <w:rFonts w:hint="eastAsia"/>
                <w:color w:val="auto"/>
                <w:highlight w:val="none"/>
                <w:lang w:val="en-US" w:eastAsia="zh-CN"/>
              </w:rPr>
              <w:t>t/a；颗粒物：</w:t>
            </w:r>
            <w:r>
              <w:rPr>
                <w:rFonts w:hint="eastAsia" w:cs="Times New Roman"/>
                <w:color w:val="auto"/>
                <w:sz w:val="24"/>
                <w:szCs w:val="24"/>
                <w:highlight w:val="none"/>
                <w:lang w:val="en-US" w:eastAsia="zh-CN"/>
              </w:rPr>
              <w:t>****</w:t>
            </w:r>
            <w:r>
              <w:rPr>
                <w:rFonts w:hint="eastAsia"/>
                <w:color w:val="auto"/>
                <w:highlight w:val="none"/>
                <w:lang w:val="en-US" w:eastAsia="zh-CN"/>
              </w:rPr>
              <w:t>t/a；</w:t>
            </w:r>
            <w:r>
              <w:rPr>
                <w:rFonts w:hint="eastAsia"/>
                <w:color w:val="auto"/>
                <w:lang w:val="en-US" w:eastAsia="zh-CN"/>
              </w:rPr>
              <w:t>二氧化硫：</w:t>
            </w:r>
            <w:r>
              <w:rPr>
                <w:rFonts w:hint="eastAsia" w:cs="Times New Roman"/>
                <w:color w:val="auto"/>
                <w:sz w:val="24"/>
                <w:szCs w:val="24"/>
                <w:highlight w:val="none"/>
                <w:lang w:val="en-US" w:eastAsia="zh-CN"/>
              </w:rPr>
              <w:t>****</w:t>
            </w:r>
            <w:r>
              <w:rPr>
                <w:rFonts w:hint="eastAsia"/>
                <w:color w:val="auto"/>
                <w:lang w:val="en-US" w:eastAsia="zh-CN"/>
              </w:rPr>
              <w:t>t/a</w:t>
            </w:r>
            <w:r>
              <w:rPr>
                <w:rFonts w:hint="eastAsia"/>
                <w:color w:val="auto"/>
                <w:highlight w:val="none"/>
                <w:lang w:val="en-US" w:eastAsia="zh-CN"/>
              </w:rPr>
              <w:t>；</w:t>
            </w:r>
          </w:p>
          <w:p w14:paraId="13477AF9">
            <w:pPr>
              <w:pStyle w:val="39"/>
              <w:rPr>
                <w:rFonts w:hint="eastAsia"/>
                <w:color w:val="auto"/>
                <w:lang w:eastAsia="zh-CN"/>
              </w:rPr>
            </w:pPr>
          </w:p>
          <w:p w14:paraId="1C8783F2">
            <w:pPr>
              <w:pStyle w:val="39"/>
              <w:ind w:firstLine="0" w:firstLineChars="0"/>
              <w:rPr>
                <w:rFonts w:hint="eastAsia"/>
                <w:color w:val="auto"/>
                <w:lang w:eastAsia="zh-CN"/>
              </w:rPr>
            </w:pPr>
          </w:p>
          <w:p w14:paraId="68993FD5">
            <w:pPr>
              <w:pStyle w:val="39"/>
              <w:rPr>
                <w:rFonts w:hint="eastAsia"/>
                <w:color w:val="auto"/>
                <w:lang w:eastAsia="zh-CN"/>
              </w:rPr>
            </w:pPr>
          </w:p>
          <w:p w14:paraId="50972899">
            <w:pPr>
              <w:pStyle w:val="39"/>
              <w:rPr>
                <w:rFonts w:hint="eastAsia"/>
                <w:color w:val="auto"/>
                <w:lang w:eastAsia="zh-CN"/>
              </w:rPr>
            </w:pPr>
          </w:p>
          <w:p w14:paraId="10B83184">
            <w:pPr>
              <w:pStyle w:val="39"/>
              <w:rPr>
                <w:rFonts w:hint="eastAsia"/>
                <w:color w:val="auto"/>
                <w:lang w:eastAsia="zh-CN"/>
              </w:rPr>
            </w:pPr>
          </w:p>
          <w:p w14:paraId="70812F36">
            <w:pPr>
              <w:pStyle w:val="39"/>
              <w:rPr>
                <w:rFonts w:hint="eastAsia"/>
                <w:color w:val="auto"/>
                <w:lang w:eastAsia="zh-CN"/>
              </w:rPr>
            </w:pPr>
          </w:p>
          <w:p w14:paraId="1D9E010F">
            <w:pPr>
              <w:pStyle w:val="39"/>
              <w:ind w:left="0" w:leftChars="0" w:firstLine="0" w:firstLineChars="0"/>
              <w:rPr>
                <w:rFonts w:hint="eastAsia"/>
                <w:color w:val="auto"/>
                <w:lang w:eastAsia="zh-CN"/>
              </w:rPr>
            </w:pPr>
          </w:p>
        </w:tc>
      </w:tr>
    </w:tbl>
    <w:p w14:paraId="3ED76F93">
      <w:pPr>
        <w:pStyle w:val="28"/>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bookmarkStart w:id="21" w:name="_Toc27363"/>
      <w:bookmarkStart w:id="22" w:name="_Toc7116"/>
      <w:r>
        <w:rPr>
          <w:rFonts w:hint="eastAsia" w:ascii="黑体" w:hAnsi="黑体" w:eastAsia="黑体"/>
          <w:snapToGrid w:val="0"/>
          <w:color w:val="auto"/>
          <w:sz w:val="36"/>
          <w:szCs w:val="36"/>
        </w:rPr>
        <w:t>四、主要环境影响和保护措施</w:t>
      </w:r>
      <w:bookmarkEnd w:id="21"/>
      <w:bookmarkEnd w:id="22"/>
    </w:p>
    <w:tbl>
      <w:tblPr>
        <w:tblStyle w:val="31"/>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471C7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746" w:type="dxa"/>
            <w:tcMar>
              <w:left w:w="28" w:type="dxa"/>
              <w:right w:w="28" w:type="dxa"/>
            </w:tcMar>
            <w:vAlign w:val="center"/>
          </w:tcPr>
          <w:p w14:paraId="6866102A">
            <w:pPr>
              <w:pStyle w:val="28"/>
              <w:adjustRightInd w:val="0"/>
              <w:snapToGrid w:val="0"/>
              <w:spacing w:before="0" w:beforeAutospacing="0" w:after="0" w:afterAutospacing="0"/>
              <w:jc w:val="center"/>
              <w:rPr>
                <w:rFonts w:hint="eastAsia" w:cs="宋体"/>
                <w:bCs/>
                <w:color w:val="auto"/>
                <w:kern w:val="2"/>
                <w:sz w:val="21"/>
                <w:szCs w:val="21"/>
              </w:rPr>
            </w:pPr>
            <w:r>
              <w:rPr>
                <w:rFonts w:hint="eastAsia" w:cs="宋体"/>
                <w:color w:val="auto"/>
                <w:kern w:val="2"/>
                <w:sz w:val="21"/>
                <w:szCs w:val="21"/>
              </w:rPr>
              <w:t>施工期环境保护措施</w:t>
            </w:r>
          </w:p>
        </w:tc>
        <w:tc>
          <w:tcPr>
            <w:tcW w:w="8162" w:type="dxa"/>
            <w:vAlign w:val="center"/>
          </w:tcPr>
          <w:p w14:paraId="3350D092">
            <w:pPr>
              <w:pStyle w:val="5"/>
              <w:bidi w:val="0"/>
              <w:rPr>
                <w:rFonts w:hint="eastAsia"/>
                <w:color w:val="auto"/>
              </w:rPr>
            </w:pPr>
            <w:bookmarkStart w:id="23" w:name="_Toc16644"/>
            <w:bookmarkStart w:id="24" w:name="_Toc23047"/>
            <w:bookmarkStart w:id="25" w:name="_Toc19506"/>
            <w:r>
              <w:rPr>
                <w:rFonts w:hint="eastAsia"/>
                <w:color w:val="auto"/>
              </w:rPr>
              <w:t>4.1、施工期环境影响分析</w:t>
            </w:r>
            <w:bookmarkEnd w:id="23"/>
            <w:bookmarkEnd w:id="24"/>
            <w:bookmarkEnd w:id="25"/>
          </w:p>
          <w:p w14:paraId="5E312F4D">
            <w:pPr>
              <w:pStyle w:val="39"/>
              <w:rPr>
                <w:rFonts w:hint="default" w:eastAsia="宋体"/>
                <w:color w:val="auto"/>
                <w:lang w:val="en-US" w:eastAsia="zh-CN"/>
              </w:rPr>
            </w:pPr>
          </w:p>
        </w:tc>
      </w:tr>
      <w:tr w14:paraId="563C9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1" w:hRule="atLeast"/>
          <w:jc w:val="center"/>
        </w:trPr>
        <w:tc>
          <w:tcPr>
            <w:tcW w:w="746" w:type="dxa"/>
            <w:tcMar>
              <w:left w:w="28" w:type="dxa"/>
              <w:right w:w="28" w:type="dxa"/>
            </w:tcMar>
            <w:vAlign w:val="center"/>
          </w:tcPr>
          <w:p w14:paraId="79810A0A">
            <w:pPr>
              <w:adjustRightInd w:val="0"/>
              <w:snapToGrid w:val="0"/>
              <w:jc w:val="center"/>
              <w:rPr>
                <w:rFonts w:hint="eastAsia" w:cs="宋体"/>
                <w:color w:val="auto"/>
                <w:kern w:val="2"/>
                <w:sz w:val="21"/>
                <w:szCs w:val="21"/>
              </w:rPr>
            </w:pPr>
            <w:r>
              <w:rPr>
                <w:rFonts w:hint="eastAsia" w:ascii="宋体" w:hAnsi="宋体" w:cs="宋体"/>
                <w:bCs/>
                <w:color w:val="auto"/>
                <w:szCs w:val="21"/>
              </w:rPr>
              <w:t>运营期环境影响和保护措施</w:t>
            </w:r>
          </w:p>
        </w:tc>
        <w:tc>
          <w:tcPr>
            <w:tcW w:w="8162" w:type="dxa"/>
            <w:vAlign w:val="center"/>
          </w:tcPr>
          <w:p w14:paraId="34F550B5">
            <w:pPr>
              <w:pStyle w:val="5"/>
              <w:bidi w:val="0"/>
              <w:rPr>
                <w:color w:val="auto"/>
              </w:rPr>
            </w:pPr>
            <w:bookmarkStart w:id="26" w:name="_Toc22672"/>
            <w:bookmarkStart w:id="27" w:name="_Toc7959"/>
            <w:bookmarkStart w:id="28" w:name="_Toc18920"/>
            <w:r>
              <w:rPr>
                <w:rFonts w:hint="eastAsia"/>
                <w:color w:val="auto"/>
              </w:rPr>
              <w:t>4.2运营期环境影响分析</w:t>
            </w:r>
            <w:bookmarkEnd w:id="26"/>
            <w:bookmarkEnd w:id="27"/>
            <w:bookmarkEnd w:id="28"/>
          </w:p>
          <w:p w14:paraId="1B79BB6D">
            <w:pPr>
              <w:pStyle w:val="5"/>
              <w:bidi w:val="0"/>
              <w:rPr>
                <w:rFonts w:hint="default"/>
                <w:color w:val="auto"/>
                <w:lang w:val="en-US" w:eastAsia="zh-CN"/>
              </w:rPr>
            </w:pPr>
            <w:r>
              <w:rPr>
                <w:rFonts w:hint="eastAsia"/>
                <w:color w:val="auto"/>
                <w:lang w:val="en-US" w:eastAsia="zh-CN"/>
              </w:rPr>
              <w:t>4.2.1</w:t>
            </w:r>
            <w:r>
              <w:rPr>
                <w:rFonts w:hint="default"/>
                <w:color w:val="auto"/>
                <w:lang w:val="en-US" w:eastAsia="zh-CN"/>
              </w:rPr>
              <w:t>废气</w:t>
            </w:r>
          </w:p>
          <w:p w14:paraId="5159B625">
            <w:pPr>
              <w:pStyle w:val="41"/>
              <w:bidi w:val="0"/>
              <w:rPr>
                <w:rFonts w:hint="eastAsia"/>
                <w:color w:val="auto"/>
              </w:rPr>
            </w:pPr>
            <w:r>
              <w:rPr>
                <w:rFonts w:hint="eastAsia"/>
                <w:color w:val="auto"/>
                <w:lang w:val="en-US" w:eastAsia="zh-CN"/>
              </w:rPr>
              <w:t>1、有组织废气（</w:t>
            </w:r>
            <w:r>
              <w:rPr>
                <w:color w:val="auto"/>
              </w:rPr>
              <w:t>锅炉</w:t>
            </w:r>
            <w:r>
              <w:rPr>
                <w:rFonts w:hint="eastAsia"/>
                <w:color w:val="auto"/>
              </w:rPr>
              <w:t>烟气</w:t>
            </w:r>
            <w:r>
              <w:rPr>
                <w:rFonts w:hint="eastAsia"/>
                <w:color w:val="auto"/>
                <w:lang w:val="en-US" w:eastAsia="zh-CN"/>
              </w:rPr>
              <w:t>）</w:t>
            </w:r>
          </w:p>
          <w:p w14:paraId="08E6B929">
            <w:pPr>
              <w:pStyle w:val="41"/>
              <w:bidi w:val="0"/>
              <w:rPr>
                <w:color w:val="auto"/>
              </w:rPr>
            </w:pPr>
            <w:r>
              <w:rPr>
                <w:color w:val="auto"/>
              </w:rPr>
              <w:t>锅炉燃煤产生的烟气是本项目的主要大气污染源，通过对锅炉房排放烟气性质分析，确定其烟气中所含的主要污染因子为</w:t>
            </w:r>
            <w:r>
              <w:rPr>
                <w:rFonts w:hint="eastAsia"/>
                <w:color w:val="auto"/>
                <w:lang w:val="en-US" w:eastAsia="zh-CN"/>
              </w:rPr>
              <w:t>颗粒物</w:t>
            </w:r>
            <w:r>
              <w:rPr>
                <w:color w:val="auto"/>
              </w:rPr>
              <w:t>、SO</w:t>
            </w:r>
            <w:r>
              <w:rPr>
                <w:color w:val="auto"/>
                <w:vertAlign w:val="subscript"/>
              </w:rPr>
              <w:t>2</w:t>
            </w:r>
            <w:r>
              <w:rPr>
                <w:color w:val="auto"/>
              </w:rPr>
              <w:t>、NOx</w:t>
            </w:r>
            <w:r>
              <w:rPr>
                <w:rFonts w:hint="eastAsia"/>
                <w:color w:val="auto"/>
              </w:rPr>
              <w:t>和汞及其化合物</w:t>
            </w:r>
            <w:r>
              <w:rPr>
                <w:color w:val="auto"/>
              </w:rPr>
              <w:t>。</w:t>
            </w:r>
          </w:p>
          <w:p w14:paraId="6CF71919">
            <w:pPr>
              <w:pStyle w:val="41"/>
              <w:bidi w:val="0"/>
              <w:rPr>
                <w:color w:val="auto"/>
              </w:rPr>
            </w:pPr>
            <w:r>
              <w:rPr>
                <w:rFonts w:hint="eastAsia"/>
                <w:color w:val="auto"/>
              </w:rPr>
              <w:t>①</w:t>
            </w:r>
            <w:r>
              <w:rPr>
                <w:color w:val="auto"/>
              </w:rPr>
              <w:t>废气排放总量</w:t>
            </w:r>
          </w:p>
          <w:p w14:paraId="636D0AD5">
            <w:pPr>
              <w:pStyle w:val="41"/>
              <w:bidi w:val="0"/>
              <w:rPr>
                <w:color w:val="auto"/>
              </w:rPr>
            </w:pPr>
            <w:r>
              <w:rPr>
                <w:rFonts w:hint="eastAsia"/>
                <w:color w:val="auto"/>
                <w:lang w:eastAsia="zh-CN"/>
              </w:rPr>
              <w:t>锅炉排污单位</w:t>
            </w:r>
            <w:r>
              <w:rPr>
                <w:rFonts w:hint="eastAsia"/>
                <w:color w:val="auto"/>
                <w:lang w:val="en-US" w:eastAsia="zh-CN"/>
              </w:rPr>
              <w:t>优先</w:t>
            </w:r>
            <w:r>
              <w:rPr>
                <w:rFonts w:hint="eastAsia"/>
                <w:color w:val="auto"/>
                <w:lang w:eastAsia="zh-CN"/>
              </w:rPr>
              <w:t>采用理论公式（以燃料元素分析或组分分析数据为依据）计算基准烟气量，其次采用经验公式（以燃料低位发热量数据为依据）估算基准烟气量。由于无燃料元素分析数据或气体组成成分分析数据，</w:t>
            </w:r>
            <w:r>
              <w:rPr>
                <w:color w:val="auto"/>
              </w:rPr>
              <w:t>根据《排污许可证申请与核发技术规范锅炉》（HJ983-2018）中5.2.3许可排放量5.2.3.2基准烟气量核算方</w:t>
            </w:r>
            <w:r>
              <w:rPr>
                <w:rFonts w:hint="eastAsia"/>
                <w:color w:val="auto"/>
                <w:lang w:val="en-US" w:eastAsia="zh-CN"/>
              </w:rPr>
              <w:t>法</w:t>
            </w:r>
            <w:r>
              <w:rPr>
                <w:color w:val="auto"/>
              </w:rPr>
              <w:t>中推荐的经验公式估算法如下：</w:t>
            </w:r>
          </w:p>
          <w:p w14:paraId="25F8F8EA">
            <w:pPr>
              <w:pStyle w:val="17"/>
              <w:numPr>
                <w:ilvl w:val="0"/>
                <w:numId w:val="0"/>
              </w:numPr>
              <w:jc w:val="center"/>
              <w:rPr>
                <w:rFonts w:hint="eastAsia"/>
                <w:b/>
                <w:bCs/>
                <w:color w:val="auto"/>
              </w:rPr>
            </w:pPr>
            <w:r>
              <w:rPr>
                <w:rFonts w:hint="eastAsia"/>
                <w:b/>
                <w:bCs/>
                <w:color w:val="auto"/>
              </w:rPr>
              <w:t>表</w:t>
            </w:r>
            <w:r>
              <w:rPr>
                <w:rFonts w:hint="eastAsia"/>
                <w:b/>
                <w:bCs/>
                <w:color w:val="auto"/>
                <w:lang w:val="en-US" w:eastAsia="zh-CN"/>
              </w:rPr>
              <w:t xml:space="preserve">4-1   </w:t>
            </w:r>
            <w:r>
              <w:rPr>
                <w:rFonts w:hint="eastAsia"/>
                <w:b/>
                <w:bCs/>
                <w:color w:val="auto"/>
              </w:rPr>
              <w:t>基准烟气量取值表</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2129"/>
              <w:gridCol w:w="1447"/>
              <w:gridCol w:w="2371"/>
              <w:gridCol w:w="945"/>
            </w:tblGrid>
            <w:tr w14:paraId="04CA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949" w:type="dxa"/>
                  <w:gridSpan w:val="3"/>
                  <w:noWrap w:val="0"/>
                  <w:vAlign w:val="center"/>
                </w:tcPr>
                <w:p w14:paraId="415F004F">
                  <w:pPr>
                    <w:pStyle w:val="42"/>
                    <w:tabs>
                      <w:tab w:val="left" w:pos="1535"/>
                      <w:tab w:val="left" w:pos="3105"/>
                      <w:tab w:val="left" w:pos="4676"/>
                      <w:tab w:val="left" w:pos="6247"/>
                      <w:tab w:val="left" w:pos="7740"/>
                      <w:tab w:val="left" w:pos="9288"/>
                    </w:tabs>
                    <w:bidi w:val="0"/>
                    <w:jc w:val="center"/>
                    <w:rPr>
                      <w:rFonts w:hint="eastAsia" w:eastAsia="宋体"/>
                      <w:color w:val="auto"/>
                      <w:lang w:val="en-US" w:eastAsia="zh-CN"/>
                    </w:rPr>
                  </w:pPr>
                  <w:r>
                    <w:rPr>
                      <w:rFonts w:hint="eastAsia"/>
                      <w:color w:val="auto"/>
                      <w:lang w:val="en-US" w:eastAsia="zh-CN"/>
                    </w:rPr>
                    <w:t>锅炉</w:t>
                  </w:r>
                </w:p>
              </w:tc>
              <w:tc>
                <w:tcPr>
                  <w:tcW w:w="2550" w:type="dxa"/>
                  <w:noWrap w:val="0"/>
                  <w:vAlign w:val="center"/>
                </w:tcPr>
                <w:p w14:paraId="751C6D7C">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r>
                    <w:rPr>
                      <w:rFonts w:hint="eastAsia"/>
                      <w:color w:val="auto"/>
                      <w:lang w:val="en-US" w:eastAsia="zh-CN"/>
                    </w:rPr>
                    <w:t>基准烟气量</w:t>
                  </w:r>
                </w:p>
              </w:tc>
              <w:tc>
                <w:tcPr>
                  <w:tcW w:w="1005" w:type="dxa"/>
                  <w:noWrap w:val="0"/>
                  <w:vAlign w:val="center"/>
                </w:tcPr>
                <w:p w14:paraId="78E48E63">
                  <w:pPr>
                    <w:pStyle w:val="42"/>
                    <w:tabs>
                      <w:tab w:val="left" w:pos="1535"/>
                      <w:tab w:val="left" w:pos="3105"/>
                      <w:tab w:val="left" w:pos="4676"/>
                      <w:tab w:val="left" w:pos="6247"/>
                      <w:tab w:val="left" w:pos="7740"/>
                      <w:tab w:val="left" w:pos="9288"/>
                    </w:tabs>
                    <w:bidi w:val="0"/>
                    <w:jc w:val="center"/>
                    <w:rPr>
                      <w:rFonts w:hint="eastAsia" w:eastAsia="宋体"/>
                      <w:color w:val="auto"/>
                      <w:lang w:val="en-US" w:eastAsia="zh-CN"/>
                    </w:rPr>
                  </w:pPr>
                  <w:r>
                    <w:rPr>
                      <w:rFonts w:hint="eastAsia"/>
                      <w:color w:val="auto"/>
                      <w:lang w:val="en-US" w:eastAsia="zh-CN"/>
                    </w:rPr>
                    <w:t>单位</w:t>
                  </w:r>
                </w:p>
              </w:tc>
            </w:tr>
            <w:tr w14:paraId="656B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noWrap w:val="0"/>
                  <w:vAlign w:val="center"/>
                </w:tcPr>
                <w:p w14:paraId="0ECE86E9">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r>
                    <w:rPr>
                      <w:rFonts w:hint="eastAsia"/>
                      <w:color w:val="auto"/>
                      <w:lang w:val="en-US" w:eastAsia="zh-CN"/>
                    </w:rPr>
                    <w:t>燃煤锅炉</w:t>
                  </w:r>
                </w:p>
              </w:tc>
              <w:tc>
                <w:tcPr>
                  <w:tcW w:w="2287" w:type="dxa"/>
                  <w:vMerge w:val="restart"/>
                  <w:noWrap w:val="0"/>
                  <w:vAlign w:val="center"/>
                </w:tcPr>
                <w:p w14:paraId="684B4AEB">
                  <w:pPr>
                    <w:pStyle w:val="42"/>
                    <w:tabs>
                      <w:tab w:val="left" w:pos="1535"/>
                      <w:tab w:val="left" w:pos="3105"/>
                      <w:tab w:val="left" w:pos="4676"/>
                      <w:tab w:val="left" w:pos="6247"/>
                      <w:tab w:val="left" w:pos="7740"/>
                      <w:tab w:val="left" w:pos="9288"/>
                    </w:tabs>
                    <w:bidi w:val="0"/>
                    <w:jc w:val="center"/>
                    <w:rPr>
                      <w:rFonts w:hint="default"/>
                      <w:color w:val="auto"/>
                      <w:lang w:val="en-US" w:eastAsia="zh-CN"/>
                    </w:rPr>
                  </w:pPr>
                  <w:r>
                    <w:rPr>
                      <w:rFonts w:hint="eastAsia"/>
                      <w:color w:val="auto"/>
                      <w:lang w:val="en-US" w:eastAsia="zh-CN"/>
                    </w:rPr>
                    <w:t>Q</w:t>
                  </w:r>
                  <w:r>
                    <w:rPr>
                      <w:rFonts w:hint="eastAsia"/>
                      <w:color w:val="auto"/>
                      <w:vertAlign w:val="subscript"/>
                      <w:lang w:val="en-US" w:eastAsia="zh-CN"/>
                    </w:rPr>
                    <w:t>net</w:t>
                  </w:r>
                  <w:r>
                    <w:rPr>
                      <w:rFonts w:hint="eastAsia"/>
                      <w:color w:val="auto"/>
                      <w:lang w:val="en-US" w:eastAsia="zh-CN"/>
                    </w:rPr>
                    <w:t>，ar≥12.54MJ/Kg</w:t>
                  </w:r>
                </w:p>
              </w:tc>
              <w:tc>
                <w:tcPr>
                  <w:tcW w:w="1549" w:type="dxa"/>
                  <w:noWrap w:val="0"/>
                  <w:vAlign w:val="center"/>
                </w:tcPr>
                <w:p w14:paraId="55ADEE63">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r>
                    <w:rPr>
                      <w:rFonts w:hint="eastAsia"/>
                      <w:color w:val="auto"/>
                      <w:lang w:val="en-US" w:eastAsia="zh-CN"/>
                    </w:rPr>
                    <w:t>Vdaf≥15%</w:t>
                  </w:r>
                </w:p>
              </w:tc>
              <w:tc>
                <w:tcPr>
                  <w:tcW w:w="2550" w:type="dxa"/>
                  <w:noWrap w:val="0"/>
                  <w:vAlign w:val="center"/>
                </w:tcPr>
                <w:p w14:paraId="406B69DD">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r>
                    <w:rPr>
                      <w:rFonts w:hint="eastAsia"/>
                      <w:color w:val="auto"/>
                      <w:lang w:val="en-US" w:eastAsia="zh-CN"/>
                    </w:rPr>
                    <w:t>V</w:t>
                  </w:r>
                  <w:r>
                    <w:rPr>
                      <w:rFonts w:hint="eastAsia"/>
                      <w:color w:val="auto"/>
                      <w:vertAlign w:val="subscript"/>
                      <w:lang w:val="en-US" w:eastAsia="zh-CN"/>
                    </w:rPr>
                    <w:t>gy</w:t>
                  </w:r>
                  <w:r>
                    <w:rPr>
                      <w:rFonts w:hint="eastAsia"/>
                      <w:color w:val="auto"/>
                      <w:lang w:val="en-US" w:eastAsia="zh-CN"/>
                    </w:rPr>
                    <w:t>=0.411Q</w:t>
                  </w:r>
                  <w:r>
                    <w:rPr>
                      <w:rFonts w:hint="eastAsia"/>
                      <w:color w:val="auto"/>
                      <w:vertAlign w:val="subscript"/>
                      <w:lang w:val="en-US" w:eastAsia="zh-CN"/>
                    </w:rPr>
                    <w:t>net</w:t>
                  </w:r>
                  <w:r>
                    <w:rPr>
                      <w:rFonts w:hint="eastAsia"/>
                      <w:color w:val="auto"/>
                      <w:lang w:val="en-US" w:eastAsia="zh-CN"/>
                    </w:rPr>
                    <w:t>，ar+0.918</w:t>
                  </w:r>
                </w:p>
              </w:tc>
              <w:tc>
                <w:tcPr>
                  <w:tcW w:w="1005" w:type="dxa"/>
                  <w:noWrap w:val="0"/>
                  <w:vAlign w:val="center"/>
                </w:tcPr>
                <w:p w14:paraId="1B627925">
                  <w:pPr>
                    <w:pStyle w:val="42"/>
                    <w:tabs>
                      <w:tab w:val="left" w:pos="1535"/>
                      <w:tab w:val="left" w:pos="3105"/>
                      <w:tab w:val="left" w:pos="4676"/>
                      <w:tab w:val="left" w:pos="6247"/>
                      <w:tab w:val="left" w:pos="7740"/>
                      <w:tab w:val="left" w:pos="9288"/>
                    </w:tabs>
                    <w:bidi w:val="0"/>
                    <w:jc w:val="center"/>
                    <w:rPr>
                      <w:rFonts w:hint="default" w:eastAsia="宋体"/>
                      <w:color w:val="auto"/>
                      <w:lang w:val="en-US" w:eastAsia="zh-CN"/>
                    </w:rPr>
                  </w:pPr>
                  <w:r>
                    <w:rPr>
                      <w:rFonts w:hint="eastAsia"/>
                      <w:color w:val="auto"/>
                      <w:lang w:val="en-US" w:eastAsia="zh-CN"/>
                    </w:rPr>
                    <w:t>Nm</w:t>
                  </w:r>
                  <w:r>
                    <w:rPr>
                      <w:rFonts w:hint="eastAsia"/>
                      <w:color w:val="auto"/>
                      <w:vertAlign w:val="superscript"/>
                      <w:lang w:val="en-US" w:eastAsia="zh-CN"/>
                    </w:rPr>
                    <w:t>3</w:t>
                  </w:r>
                  <w:r>
                    <w:rPr>
                      <w:rFonts w:hint="eastAsia"/>
                      <w:color w:val="auto"/>
                      <w:lang w:val="en-US" w:eastAsia="zh-CN"/>
                    </w:rPr>
                    <w:t>/kg</w:t>
                  </w:r>
                </w:p>
              </w:tc>
            </w:tr>
            <w:tr w14:paraId="6DF0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noWrap w:val="0"/>
                  <w:vAlign w:val="center"/>
                </w:tcPr>
                <w:p w14:paraId="158F744B">
                  <w:pPr>
                    <w:pStyle w:val="42"/>
                    <w:tabs>
                      <w:tab w:val="left" w:pos="1535"/>
                      <w:tab w:val="left" w:pos="3105"/>
                      <w:tab w:val="left" w:pos="4676"/>
                      <w:tab w:val="left" w:pos="6247"/>
                      <w:tab w:val="left" w:pos="7740"/>
                      <w:tab w:val="left" w:pos="9288"/>
                    </w:tabs>
                    <w:bidi w:val="0"/>
                    <w:jc w:val="center"/>
                    <w:rPr>
                      <w:color w:val="auto"/>
                    </w:rPr>
                  </w:pPr>
                </w:p>
              </w:tc>
              <w:tc>
                <w:tcPr>
                  <w:tcW w:w="2287" w:type="dxa"/>
                  <w:vMerge w:val="continue"/>
                  <w:noWrap w:val="0"/>
                  <w:vAlign w:val="center"/>
                </w:tcPr>
                <w:p w14:paraId="62C561FB">
                  <w:pPr>
                    <w:pStyle w:val="42"/>
                    <w:tabs>
                      <w:tab w:val="left" w:pos="1535"/>
                      <w:tab w:val="left" w:pos="3105"/>
                      <w:tab w:val="left" w:pos="4676"/>
                      <w:tab w:val="left" w:pos="6247"/>
                      <w:tab w:val="left" w:pos="7740"/>
                      <w:tab w:val="left" w:pos="9288"/>
                    </w:tabs>
                    <w:bidi w:val="0"/>
                    <w:jc w:val="center"/>
                    <w:rPr>
                      <w:color w:val="auto"/>
                    </w:rPr>
                  </w:pPr>
                </w:p>
              </w:tc>
              <w:tc>
                <w:tcPr>
                  <w:tcW w:w="1549" w:type="dxa"/>
                  <w:noWrap w:val="0"/>
                  <w:vAlign w:val="center"/>
                </w:tcPr>
                <w:p w14:paraId="5543FDA7">
                  <w:pPr>
                    <w:pStyle w:val="42"/>
                    <w:tabs>
                      <w:tab w:val="left" w:pos="1535"/>
                      <w:tab w:val="left" w:pos="3105"/>
                      <w:tab w:val="left" w:pos="4676"/>
                      <w:tab w:val="left" w:pos="6247"/>
                      <w:tab w:val="left" w:pos="7740"/>
                      <w:tab w:val="left" w:pos="9288"/>
                    </w:tabs>
                    <w:bidi w:val="0"/>
                    <w:jc w:val="center"/>
                    <w:rPr>
                      <w:rFonts w:hint="default"/>
                      <w:color w:val="auto"/>
                      <w:lang w:val="en-US"/>
                    </w:rPr>
                  </w:pPr>
                  <w:r>
                    <w:rPr>
                      <w:rFonts w:hint="eastAsia"/>
                      <w:color w:val="auto"/>
                      <w:lang w:val="en-US" w:eastAsia="zh-CN"/>
                    </w:rPr>
                    <w:t>Vdaf＜15%</w:t>
                  </w:r>
                </w:p>
              </w:tc>
              <w:tc>
                <w:tcPr>
                  <w:tcW w:w="2550" w:type="dxa"/>
                  <w:noWrap w:val="0"/>
                  <w:vAlign w:val="center"/>
                </w:tcPr>
                <w:p w14:paraId="131D8016">
                  <w:pPr>
                    <w:pStyle w:val="42"/>
                    <w:tabs>
                      <w:tab w:val="left" w:pos="1535"/>
                      <w:tab w:val="left" w:pos="3105"/>
                      <w:tab w:val="left" w:pos="4676"/>
                      <w:tab w:val="left" w:pos="6247"/>
                      <w:tab w:val="left" w:pos="7740"/>
                      <w:tab w:val="left" w:pos="9288"/>
                    </w:tabs>
                    <w:bidi w:val="0"/>
                    <w:jc w:val="center"/>
                    <w:rPr>
                      <w:rFonts w:hint="default"/>
                      <w:color w:val="auto"/>
                      <w:lang w:val="en-US"/>
                    </w:rPr>
                  </w:pPr>
                  <w:r>
                    <w:rPr>
                      <w:rFonts w:hint="eastAsia"/>
                      <w:color w:val="auto"/>
                      <w:lang w:val="en-US" w:eastAsia="zh-CN"/>
                    </w:rPr>
                    <w:t>V</w:t>
                  </w:r>
                  <w:r>
                    <w:rPr>
                      <w:rFonts w:hint="eastAsia"/>
                      <w:color w:val="auto"/>
                      <w:vertAlign w:val="subscript"/>
                      <w:lang w:val="en-US" w:eastAsia="zh-CN"/>
                    </w:rPr>
                    <w:t>gy</w:t>
                  </w:r>
                  <w:r>
                    <w:rPr>
                      <w:rFonts w:hint="eastAsia"/>
                      <w:color w:val="auto"/>
                      <w:lang w:val="en-US" w:eastAsia="zh-CN"/>
                    </w:rPr>
                    <w:t>=0.406Q</w:t>
                  </w:r>
                  <w:r>
                    <w:rPr>
                      <w:rFonts w:hint="eastAsia"/>
                      <w:color w:val="auto"/>
                      <w:vertAlign w:val="subscript"/>
                      <w:lang w:val="en-US" w:eastAsia="zh-CN"/>
                    </w:rPr>
                    <w:t>net</w:t>
                  </w:r>
                  <w:r>
                    <w:rPr>
                      <w:rFonts w:hint="eastAsia"/>
                      <w:color w:val="auto"/>
                      <w:lang w:val="en-US" w:eastAsia="zh-CN"/>
                    </w:rPr>
                    <w:t>，ar+1.157</w:t>
                  </w:r>
                </w:p>
              </w:tc>
              <w:tc>
                <w:tcPr>
                  <w:tcW w:w="1005" w:type="dxa"/>
                  <w:noWrap w:val="0"/>
                  <w:vAlign w:val="center"/>
                </w:tcPr>
                <w:p w14:paraId="74D708CC">
                  <w:pPr>
                    <w:pStyle w:val="42"/>
                    <w:tabs>
                      <w:tab w:val="left" w:pos="1535"/>
                      <w:tab w:val="left" w:pos="3105"/>
                      <w:tab w:val="left" w:pos="4676"/>
                      <w:tab w:val="left" w:pos="6247"/>
                      <w:tab w:val="left" w:pos="7740"/>
                      <w:tab w:val="left" w:pos="9288"/>
                    </w:tabs>
                    <w:bidi w:val="0"/>
                    <w:jc w:val="center"/>
                    <w:rPr>
                      <w:color w:val="auto"/>
                    </w:rPr>
                  </w:pPr>
                  <w:r>
                    <w:rPr>
                      <w:rFonts w:hint="eastAsia"/>
                      <w:color w:val="auto"/>
                      <w:lang w:val="en-US" w:eastAsia="zh-CN"/>
                    </w:rPr>
                    <w:t>Nm</w:t>
                  </w:r>
                  <w:r>
                    <w:rPr>
                      <w:rFonts w:hint="eastAsia"/>
                      <w:color w:val="auto"/>
                      <w:vertAlign w:val="superscript"/>
                      <w:lang w:val="en-US" w:eastAsia="zh-CN"/>
                    </w:rPr>
                    <w:t>3</w:t>
                  </w:r>
                  <w:r>
                    <w:rPr>
                      <w:rFonts w:hint="eastAsia"/>
                      <w:color w:val="auto"/>
                      <w:lang w:val="en-US" w:eastAsia="zh-CN"/>
                    </w:rPr>
                    <w:t>/kg</w:t>
                  </w:r>
                </w:p>
              </w:tc>
            </w:tr>
            <w:tr w14:paraId="7553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noWrap w:val="0"/>
                  <w:vAlign w:val="center"/>
                </w:tcPr>
                <w:p w14:paraId="18E3FA8F">
                  <w:pPr>
                    <w:pStyle w:val="42"/>
                    <w:tabs>
                      <w:tab w:val="left" w:pos="1535"/>
                      <w:tab w:val="left" w:pos="3105"/>
                      <w:tab w:val="left" w:pos="4676"/>
                      <w:tab w:val="left" w:pos="6247"/>
                      <w:tab w:val="left" w:pos="7740"/>
                      <w:tab w:val="left" w:pos="9288"/>
                    </w:tabs>
                    <w:bidi w:val="0"/>
                    <w:jc w:val="center"/>
                    <w:rPr>
                      <w:color w:val="auto"/>
                    </w:rPr>
                  </w:pPr>
                </w:p>
              </w:tc>
              <w:tc>
                <w:tcPr>
                  <w:tcW w:w="3836" w:type="dxa"/>
                  <w:gridSpan w:val="2"/>
                  <w:noWrap w:val="0"/>
                  <w:vAlign w:val="center"/>
                </w:tcPr>
                <w:p w14:paraId="3172C38C">
                  <w:pPr>
                    <w:pStyle w:val="42"/>
                    <w:tabs>
                      <w:tab w:val="left" w:pos="1535"/>
                      <w:tab w:val="left" w:pos="3105"/>
                      <w:tab w:val="left" w:pos="4676"/>
                      <w:tab w:val="left" w:pos="6247"/>
                      <w:tab w:val="left" w:pos="7740"/>
                      <w:tab w:val="left" w:pos="9288"/>
                    </w:tabs>
                    <w:bidi w:val="0"/>
                    <w:jc w:val="center"/>
                    <w:rPr>
                      <w:color w:val="auto"/>
                    </w:rPr>
                  </w:pPr>
                  <w:r>
                    <w:rPr>
                      <w:rFonts w:hint="eastAsia"/>
                      <w:color w:val="auto"/>
                      <w:lang w:val="en-US" w:eastAsia="zh-CN"/>
                    </w:rPr>
                    <w:t>Q</w:t>
                  </w:r>
                  <w:r>
                    <w:rPr>
                      <w:rFonts w:hint="eastAsia"/>
                      <w:color w:val="auto"/>
                      <w:vertAlign w:val="subscript"/>
                      <w:lang w:val="en-US" w:eastAsia="zh-CN"/>
                    </w:rPr>
                    <w:t>net</w:t>
                  </w:r>
                  <w:r>
                    <w:rPr>
                      <w:rFonts w:hint="eastAsia"/>
                      <w:color w:val="auto"/>
                      <w:lang w:val="en-US" w:eastAsia="zh-CN"/>
                    </w:rPr>
                    <w:t>，ar＜12.54MJ/Kg</w:t>
                  </w:r>
                </w:p>
              </w:tc>
              <w:tc>
                <w:tcPr>
                  <w:tcW w:w="2550" w:type="dxa"/>
                  <w:noWrap w:val="0"/>
                  <w:vAlign w:val="center"/>
                </w:tcPr>
                <w:p w14:paraId="68E7D210">
                  <w:pPr>
                    <w:pStyle w:val="42"/>
                    <w:tabs>
                      <w:tab w:val="left" w:pos="1535"/>
                      <w:tab w:val="left" w:pos="3105"/>
                      <w:tab w:val="left" w:pos="4676"/>
                      <w:tab w:val="left" w:pos="6247"/>
                      <w:tab w:val="left" w:pos="7740"/>
                      <w:tab w:val="left" w:pos="9288"/>
                    </w:tabs>
                    <w:bidi w:val="0"/>
                    <w:jc w:val="center"/>
                    <w:rPr>
                      <w:rFonts w:hint="default"/>
                      <w:color w:val="auto"/>
                      <w:lang w:val="en-US"/>
                    </w:rPr>
                  </w:pPr>
                  <w:r>
                    <w:rPr>
                      <w:rFonts w:hint="eastAsia"/>
                      <w:color w:val="auto"/>
                      <w:lang w:val="en-US" w:eastAsia="zh-CN"/>
                    </w:rPr>
                    <w:t>V</w:t>
                  </w:r>
                  <w:r>
                    <w:rPr>
                      <w:rFonts w:hint="eastAsia"/>
                      <w:color w:val="auto"/>
                      <w:vertAlign w:val="subscript"/>
                      <w:lang w:val="en-US" w:eastAsia="zh-CN"/>
                    </w:rPr>
                    <w:t>gy</w:t>
                  </w:r>
                  <w:r>
                    <w:rPr>
                      <w:rFonts w:hint="eastAsia"/>
                      <w:color w:val="auto"/>
                      <w:lang w:val="en-US" w:eastAsia="zh-CN"/>
                    </w:rPr>
                    <w:t>=0.402Q</w:t>
                  </w:r>
                  <w:r>
                    <w:rPr>
                      <w:rFonts w:hint="eastAsia"/>
                      <w:color w:val="auto"/>
                      <w:vertAlign w:val="subscript"/>
                      <w:lang w:val="en-US" w:eastAsia="zh-CN"/>
                    </w:rPr>
                    <w:t>net</w:t>
                  </w:r>
                  <w:r>
                    <w:rPr>
                      <w:rFonts w:hint="eastAsia"/>
                      <w:color w:val="auto"/>
                      <w:lang w:val="en-US" w:eastAsia="zh-CN"/>
                    </w:rPr>
                    <w:t>，ar+0.822</w:t>
                  </w:r>
                </w:p>
              </w:tc>
              <w:tc>
                <w:tcPr>
                  <w:tcW w:w="1005" w:type="dxa"/>
                  <w:noWrap w:val="0"/>
                  <w:vAlign w:val="center"/>
                </w:tcPr>
                <w:p w14:paraId="3FEA5942">
                  <w:pPr>
                    <w:pStyle w:val="42"/>
                    <w:tabs>
                      <w:tab w:val="left" w:pos="1535"/>
                      <w:tab w:val="left" w:pos="3105"/>
                      <w:tab w:val="left" w:pos="4676"/>
                      <w:tab w:val="left" w:pos="6247"/>
                      <w:tab w:val="left" w:pos="7740"/>
                      <w:tab w:val="left" w:pos="9288"/>
                    </w:tabs>
                    <w:bidi w:val="0"/>
                    <w:jc w:val="center"/>
                    <w:rPr>
                      <w:color w:val="auto"/>
                    </w:rPr>
                  </w:pPr>
                  <w:r>
                    <w:rPr>
                      <w:rFonts w:hint="eastAsia"/>
                      <w:color w:val="auto"/>
                      <w:lang w:val="en-US" w:eastAsia="zh-CN"/>
                    </w:rPr>
                    <w:t>Nm</w:t>
                  </w:r>
                  <w:r>
                    <w:rPr>
                      <w:rFonts w:hint="eastAsia"/>
                      <w:color w:val="auto"/>
                      <w:vertAlign w:val="superscript"/>
                      <w:lang w:val="en-US" w:eastAsia="zh-CN"/>
                    </w:rPr>
                    <w:t>3</w:t>
                  </w:r>
                  <w:r>
                    <w:rPr>
                      <w:rFonts w:hint="eastAsia"/>
                      <w:color w:val="auto"/>
                      <w:lang w:val="en-US" w:eastAsia="zh-CN"/>
                    </w:rPr>
                    <w:t>/kg</w:t>
                  </w:r>
                </w:p>
              </w:tc>
            </w:tr>
            <w:tr w14:paraId="6EAD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4" w:type="dxa"/>
                  <w:gridSpan w:val="5"/>
                  <w:noWrap w:val="0"/>
                  <w:vAlign w:val="center"/>
                </w:tcPr>
                <w:p w14:paraId="350299CD">
                  <w:pPr>
                    <w:pStyle w:val="42"/>
                    <w:tabs>
                      <w:tab w:val="left" w:pos="1535"/>
                      <w:tab w:val="left" w:pos="3105"/>
                      <w:tab w:val="left" w:pos="4676"/>
                      <w:tab w:val="left" w:pos="6247"/>
                      <w:tab w:val="left" w:pos="7740"/>
                      <w:tab w:val="left" w:pos="9288"/>
                    </w:tabs>
                    <w:bidi w:val="0"/>
                    <w:jc w:val="left"/>
                    <w:rPr>
                      <w:rFonts w:hint="eastAsia"/>
                      <w:color w:val="auto"/>
                    </w:rPr>
                  </w:pPr>
                  <w:r>
                    <w:rPr>
                      <w:rFonts w:hint="eastAsia"/>
                      <w:color w:val="auto"/>
                    </w:rPr>
                    <w:t>注:1.Vdaf，燃料干燥无灰基挥发分(%);Vgy，基准烟气量(Nm</w:t>
                  </w:r>
                  <w:r>
                    <w:rPr>
                      <w:rFonts w:hint="eastAsia"/>
                      <w:color w:val="auto"/>
                      <w:vertAlign w:val="superscript"/>
                    </w:rPr>
                    <w:t>3</w:t>
                  </w:r>
                  <w:r>
                    <w:rPr>
                      <w:rFonts w:hint="eastAsia"/>
                      <w:color w:val="auto"/>
                    </w:rPr>
                    <w:t>/kg或Nm</w:t>
                  </w:r>
                  <w:r>
                    <w:rPr>
                      <w:rFonts w:hint="eastAsia"/>
                      <w:color w:val="auto"/>
                      <w:vertAlign w:val="superscript"/>
                    </w:rPr>
                    <w:t>3</w:t>
                  </w:r>
                  <w:r>
                    <w:rPr>
                      <w:rFonts w:hint="eastAsia"/>
                      <w:color w:val="auto"/>
                    </w:rPr>
                    <w:t>/m</w:t>
                  </w:r>
                  <w:r>
                    <w:rPr>
                      <w:rFonts w:hint="eastAsia"/>
                      <w:color w:val="auto"/>
                      <w:vertAlign w:val="superscript"/>
                    </w:rPr>
                    <w:t>3</w:t>
                  </w:r>
                  <w:r>
                    <w:rPr>
                      <w:rFonts w:hint="eastAsia"/>
                      <w:color w:val="auto"/>
                    </w:rPr>
                    <w:t>)。</w:t>
                  </w:r>
                </w:p>
                <w:p w14:paraId="3FDAE797">
                  <w:pPr>
                    <w:pStyle w:val="42"/>
                    <w:tabs>
                      <w:tab w:val="left" w:pos="1535"/>
                      <w:tab w:val="left" w:pos="3105"/>
                      <w:tab w:val="left" w:pos="4676"/>
                      <w:tab w:val="left" w:pos="6247"/>
                      <w:tab w:val="left" w:pos="7740"/>
                      <w:tab w:val="left" w:pos="9288"/>
                    </w:tabs>
                    <w:bidi w:val="0"/>
                    <w:jc w:val="left"/>
                    <w:rPr>
                      <w:rFonts w:hint="eastAsia"/>
                      <w:color w:val="auto"/>
                    </w:rPr>
                  </w:pPr>
                  <w:r>
                    <w:rPr>
                      <w:rFonts w:hint="eastAsia"/>
                      <w:color w:val="auto"/>
                    </w:rPr>
                    <w:t>2.Qnet,ar，固体/液体燃料收到基低位发热量(MJ/kg);Qnet，气体燃料低位发热量(MJ/m</w:t>
                  </w:r>
                  <w:r>
                    <w:rPr>
                      <w:rFonts w:hint="eastAsia"/>
                      <w:color w:val="auto"/>
                      <w:vertAlign w:val="superscript"/>
                    </w:rPr>
                    <w:t>3</w:t>
                  </w:r>
                  <w:r>
                    <w:rPr>
                      <w:rFonts w:hint="eastAsia"/>
                      <w:color w:val="auto"/>
                    </w:rPr>
                    <w:t>);按前三年所有批次燃料低位发热量的平均值进行选取，未投运或投运不满一年的锅炉按设计燃料低位发热量进行选取，投运满一年但未满三年的锅炉按运行周期年内所有批次燃料低位发热量的平均值选取。</w:t>
                  </w:r>
                </w:p>
                <w:p w14:paraId="66848533">
                  <w:pPr>
                    <w:pStyle w:val="42"/>
                    <w:tabs>
                      <w:tab w:val="left" w:pos="1535"/>
                      <w:tab w:val="left" w:pos="3105"/>
                      <w:tab w:val="left" w:pos="4676"/>
                      <w:tab w:val="left" w:pos="6247"/>
                      <w:tab w:val="left" w:pos="7740"/>
                      <w:tab w:val="left" w:pos="9288"/>
                    </w:tabs>
                    <w:bidi w:val="0"/>
                    <w:jc w:val="left"/>
                    <w:rPr>
                      <w:color w:val="auto"/>
                    </w:rPr>
                  </w:pPr>
                  <w:r>
                    <w:rPr>
                      <w:rFonts w:hint="eastAsia"/>
                      <w:color w:val="auto"/>
                    </w:rPr>
                    <w:t>3.经验公式估算法不适用于使用型煤、水煤浆、煤矸石、石油焦、油页岩、发生炉煤气、沼气、黄磷尾气、生物质气等燃料的基准烟气量计算。</w:t>
                  </w:r>
                </w:p>
              </w:tc>
            </w:tr>
          </w:tbl>
          <w:p w14:paraId="70245A00">
            <w:pPr>
              <w:pStyle w:val="11"/>
              <w:spacing w:line="338" w:lineRule="auto"/>
              <w:ind w:left="241" w:right="237" w:firstLine="480"/>
              <w:jc w:val="both"/>
              <w:rPr>
                <w:rFonts w:ascii="Times New Roman" w:hAnsi="Times New Roman" w:cs="Times New Roman"/>
                <w:color w:val="auto"/>
                <w:sz w:val="24"/>
                <w:szCs w:val="24"/>
              </w:rPr>
            </w:pPr>
            <w:r>
              <w:rPr>
                <w:rFonts w:ascii="Times New Roman" w:hAnsi="Times New Roman" w:cs="Times New Roman"/>
                <w:color w:val="auto"/>
                <w:sz w:val="24"/>
                <w:szCs w:val="24"/>
              </w:rPr>
              <w:t>经查阅本项目的煤质分析报告，Q</w:t>
            </w:r>
            <w:r>
              <w:rPr>
                <w:rFonts w:ascii="Times New Roman" w:hAnsi="Times New Roman" w:cs="Times New Roman"/>
                <w:color w:val="auto"/>
                <w:sz w:val="24"/>
                <w:szCs w:val="24"/>
                <w:vertAlign w:val="subscript"/>
              </w:rPr>
              <w:t>net·ar</w:t>
            </w:r>
            <w:r>
              <w:rPr>
                <w:rFonts w:ascii="Times New Roman" w:hAnsi="Times New Roman" w:cs="Times New Roman"/>
                <w:color w:val="auto"/>
                <w:sz w:val="24"/>
                <w:szCs w:val="24"/>
              </w:rPr>
              <w:t>=</w:t>
            </w:r>
            <w:r>
              <w:rPr>
                <w:rFonts w:hint="eastAsia" w:cs="Times New Roman"/>
                <w:color w:val="auto"/>
                <w:sz w:val="24"/>
                <w:szCs w:val="24"/>
                <w:lang w:val="en-US" w:eastAsia="zh-CN"/>
              </w:rPr>
              <w:t>22.8</w:t>
            </w:r>
            <w:r>
              <w:rPr>
                <w:rFonts w:ascii="Times New Roman" w:hAnsi="Times New Roman" w:cs="Times New Roman"/>
                <w:color w:val="auto"/>
                <w:sz w:val="24"/>
                <w:szCs w:val="24"/>
              </w:rPr>
              <w:t>MJ/kg。因此本项目的基准烟气量为</w:t>
            </w:r>
            <w:r>
              <w:rPr>
                <w:rFonts w:hint="eastAsia" w:cs="Times New Roman"/>
                <w:color w:val="auto"/>
                <w:sz w:val="24"/>
                <w:szCs w:val="24"/>
                <w:lang w:val="en-US" w:eastAsia="zh-CN"/>
              </w:rPr>
              <w:t>10.41</w:t>
            </w:r>
            <w:r>
              <w:rPr>
                <w:rFonts w:ascii="Times New Roman" w:hAnsi="Times New Roman" w:cs="Times New Roman"/>
                <w:color w:val="auto"/>
                <w:sz w:val="24"/>
                <w:szCs w:val="24"/>
              </w:rPr>
              <w:t>Nm</w:t>
            </w:r>
            <w:r>
              <w:rPr>
                <w:rFonts w:ascii="Times New Roman" w:hAnsi="Times New Roman" w:cs="Times New Roman"/>
                <w:color w:val="auto"/>
                <w:sz w:val="24"/>
                <w:szCs w:val="24"/>
                <w:vertAlign w:val="superscript"/>
              </w:rPr>
              <w:t>3</w:t>
            </w:r>
            <w:r>
              <w:rPr>
                <w:rFonts w:ascii="Times New Roman" w:hAnsi="Times New Roman" w:cs="Times New Roman"/>
                <w:color w:val="auto"/>
                <w:sz w:val="24"/>
                <w:szCs w:val="24"/>
              </w:rPr>
              <w:t>/kg，则</w:t>
            </w:r>
            <w:r>
              <w:rPr>
                <w:rFonts w:hint="eastAsia" w:ascii="Times New Roman" w:hAnsi="Times New Roman" w:cs="Times New Roman"/>
                <w:color w:val="auto"/>
                <w:sz w:val="24"/>
                <w:szCs w:val="24"/>
              </w:rPr>
              <w:t>本项目锅炉</w:t>
            </w:r>
            <w:r>
              <w:rPr>
                <w:rFonts w:ascii="Times New Roman" w:hAnsi="Times New Roman" w:cs="Times New Roman"/>
                <w:color w:val="auto"/>
                <w:sz w:val="24"/>
                <w:szCs w:val="24"/>
              </w:rPr>
              <w:t>的烟气量为</w:t>
            </w:r>
            <w:r>
              <w:rPr>
                <w:rFonts w:hint="eastAsia" w:cs="Times New Roman"/>
                <w:color w:val="auto"/>
                <w:sz w:val="24"/>
                <w:szCs w:val="24"/>
                <w:lang w:val="en-US" w:eastAsia="zh-CN"/>
              </w:rPr>
              <w:t>22902000</w:t>
            </w:r>
            <w:r>
              <w:rPr>
                <w:rFonts w:ascii="Times New Roman" w:hAnsi="Times New Roman" w:cs="Times New Roman"/>
                <w:color w:val="auto"/>
                <w:sz w:val="24"/>
                <w:szCs w:val="24"/>
              </w:rPr>
              <w:t>m</w:t>
            </w:r>
            <w:r>
              <w:rPr>
                <w:rFonts w:ascii="Times New Roman" w:hAnsi="Times New Roman" w:cs="Times New Roman"/>
                <w:color w:val="auto"/>
                <w:sz w:val="24"/>
                <w:szCs w:val="24"/>
                <w:vertAlign w:val="superscript"/>
              </w:rPr>
              <w:t>3</w:t>
            </w:r>
            <w:r>
              <w:rPr>
                <w:rFonts w:ascii="Times New Roman" w:hAnsi="Times New Roman" w:cs="Times New Roman"/>
                <w:color w:val="auto"/>
                <w:sz w:val="24"/>
                <w:szCs w:val="24"/>
              </w:rPr>
              <w:t>/a</w:t>
            </w:r>
            <w:r>
              <w:rPr>
                <w:rFonts w:hint="eastAsia" w:ascii="Times New Roman" w:hAnsi="Times New Roman" w:cs="Times New Roman"/>
                <w:color w:val="auto"/>
                <w:sz w:val="24"/>
                <w:szCs w:val="24"/>
              </w:rPr>
              <w:t>（</w:t>
            </w:r>
            <w:r>
              <w:rPr>
                <w:rFonts w:hint="eastAsia" w:cs="Times New Roman"/>
                <w:color w:val="auto"/>
                <w:sz w:val="24"/>
                <w:szCs w:val="24"/>
                <w:lang w:val="en-US" w:eastAsia="zh-CN"/>
              </w:rPr>
              <w:t>31808</w:t>
            </w:r>
            <w:r>
              <w:rPr>
                <w:rFonts w:ascii="Times New Roman" w:hAnsi="Times New Roman" w:cs="Times New Roman"/>
                <w:color w:val="auto"/>
                <w:sz w:val="24"/>
                <w:szCs w:val="24"/>
              </w:rPr>
              <w:t>m</w:t>
            </w:r>
            <w:r>
              <w:rPr>
                <w:rFonts w:ascii="Times New Roman" w:hAnsi="Times New Roman" w:cs="Times New Roman"/>
                <w:color w:val="auto"/>
                <w:sz w:val="24"/>
                <w:szCs w:val="24"/>
                <w:vertAlign w:val="superscript"/>
              </w:rPr>
              <w:t>3</w:t>
            </w:r>
            <w:r>
              <w:rPr>
                <w:rFonts w:ascii="Times New Roman" w:hAnsi="Times New Roman" w:cs="Times New Roman"/>
                <w:color w:val="auto"/>
                <w:sz w:val="24"/>
                <w:szCs w:val="24"/>
              </w:rPr>
              <w:t>/</w:t>
            </w:r>
            <w:r>
              <w:rPr>
                <w:rFonts w:hint="eastAsia" w:ascii="Times New Roman" w:hAnsi="Times New Roman" w:cs="Times New Roman"/>
                <w:color w:val="auto"/>
                <w:sz w:val="24"/>
                <w:szCs w:val="24"/>
              </w:rPr>
              <w:t>h）</w:t>
            </w:r>
            <w:r>
              <w:rPr>
                <w:rFonts w:ascii="Times New Roman" w:hAnsi="Times New Roman" w:cs="Times New Roman"/>
                <w:color w:val="auto"/>
                <w:sz w:val="24"/>
                <w:szCs w:val="24"/>
              </w:rPr>
              <w:t>。</w:t>
            </w:r>
          </w:p>
          <w:p w14:paraId="41AF383C">
            <w:pPr>
              <w:pStyle w:val="134"/>
              <w:jc w:val="both"/>
              <w:rPr>
                <w:rFonts w:ascii="Times New Roman" w:hAnsi="Times New Roman"/>
                <w:color w:val="auto"/>
                <w:kern w:val="2"/>
              </w:rPr>
            </w:pPr>
            <w:r>
              <w:rPr>
                <w:rFonts w:hint="eastAsia" w:ascii="Times New Roman" w:hAnsi="Times New Roman"/>
                <w:color w:val="auto"/>
                <w:kern w:val="2"/>
              </w:rPr>
              <w:t>②</w:t>
            </w:r>
            <w:r>
              <w:rPr>
                <w:rFonts w:ascii="Times New Roman" w:hAnsi="Times New Roman"/>
                <w:color w:val="auto"/>
                <w:kern w:val="2"/>
              </w:rPr>
              <w:t>废气中SO</w:t>
            </w:r>
            <w:r>
              <w:rPr>
                <w:rFonts w:ascii="Times New Roman" w:hAnsi="Times New Roman"/>
                <w:color w:val="auto"/>
                <w:kern w:val="2"/>
                <w:vertAlign w:val="subscript"/>
              </w:rPr>
              <w:t>2</w:t>
            </w:r>
            <w:r>
              <w:rPr>
                <w:rFonts w:ascii="Times New Roman" w:hAnsi="Times New Roman"/>
                <w:color w:val="auto"/>
                <w:kern w:val="2"/>
              </w:rPr>
              <w:t>排放量计算</w:t>
            </w:r>
          </w:p>
          <w:p w14:paraId="4459EC43">
            <w:pPr>
              <w:spacing w:line="360" w:lineRule="auto"/>
              <w:ind w:firstLine="480" w:firstLineChars="200"/>
              <w:rPr>
                <w:color w:val="auto"/>
                <w:sz w:val="24"/>
                <w:szCs w:val="24"/>
              </w:rPr>
            </w:pPr>
            <w:r>
              <w:rPr>
                <w:color w:val="auto"/>
                <w:sz w:val="24"/>
                <w:szCs w:val="24"/>
              </w:rPr>
              <w:t>根据《污染源源强核算技术指南锅炉》（HJ991-2018），SO</w:t>
            </w:r>
            <w:r>
              <w:rPr>
                <w:color w:val="auto"/>
                <w:sz w:val="24"/>
                <w:szCs w:val="24"/>
                <w:vertAlign w:val="subscript"/>
              </w:rPr>
              <w:t>2</w:t>
            </w:r>
            <w:r>
              <w:rPr>
                <w:color w:val="auto"/>
                <w:sz w:val="24"/>
                <w:szCs w:val="24"/>
              </w:rPr>
              <w:t>排放量按以下公式计算：</w:t>
            </w:r>
          </w:p>
          <w:p w14:paraId="609E5CB7">
            <w:pPr>
              <w:spacing w:line="360" w:lineRule="auto"/>
              <w:ind w:firstLine="480" w:firstLineChars="200"/>
              <w:jc w:val="center"/>
              <w:rPr>
                <w:color w:val="auto"/>
                <w:sz w:val="24"/>
                <w:szCs w:val="24"/>
                <w:vertAlign w:val="subscript"/>
              </w:rPr>
            </w:pPr>
            <w:r>
              <w:rPr>
                <w:color w:val="auto"/>
                <w:position w:val="-28"/>
                <w:sz w:val="24"/>
                <w:szCs w:val="24"/>
                <w:vertAlign w:val="subscript"/>
              </w:rPr>
              <w:object>
                <v:shape id="_x0000_i1025" o:spt="75" type="#_x0000_t75" style="height:36.25pt;width:217.75pt;" o:ole="t" filled="f" o:preferrelative="t" stroked="f" coordsize="21600,21600">
                  <v:path/>
                  <v:fill on="f" focussize="0,0"/>
                  <v:stroke on="f"/>
                  <v:imagedata r:id="rId11" o:title=""/>
                  <o:lock v:ext="edit" aspectratio="t"/>
                  <w10:wrap type="none"/>
                  <w10:anchorlock/>
                </v:shape>
                <o:OLEObject Type="Embed" ProgID="Equation.3" ShapeID="_x0000_i1025" DrawAspect="Content" ObjectID="_1468075725" r:id="rId10">
                  <o:LockedField>false</o:LockedField>
                </o:OLEObject>
              </w:object>
            </w:r>
          </w:p>
          <w:p w14:paraId="2635DD54">
            <w:pPr>
              <w:spacing w:line="360" w:lineRule="auto"/>
              <w:ind w:firstLine="480" w:firstLineChars="200"/>
              <w:jc w:val="left"/>
              <w:rPr>
                <w:color w:val="auto"/>
                <w:sz w:val="24"/>
                <w:szCs w:val="24"/>
              </w:rPr>
            </w:pPr>
            <w:r>
              <w:rPr>
                <w:color w:val="auto"/>
                <w:sz w:val="24"/>
                <w:szCs w:val="24"/>
              </w:rPr>
              <w:t>式中：E</w:t>
            </w:r>
            <w:r>
              <w:rPr>
                <w:color w:val="auto"/>
                <w:sz w:val="24"/>
                <w:szCs w:val="24"/>
                <w:vertAlign w:val="subscript"/>
              </w:rPr>
              <w:t>SO2</w:t>
            </w:r>
            <w:r>
              <w:rPr>
                <w:color w:val="auto"/>
                <w:sz w:val="24"/>
                <w:szCs w:val="24"/>
              </w:rPr>
              <w:t>———核算时段内二氧化硫排放量，t；</w:t>
            </w:r>
          </w:p>
          <w:p w14:paraId="2E64C1BE">
            <w:pPr>
              <w:spacing w:line="360" w:lineRule="auto"/>
              <w:ind w:firstLine="480" w:firstLineChars="200"/>
              <w:jc w:val="left"/>
              <w:rPr>
                <w:color w:val="auto"/>
                <w:sz w:val="24"/>
                <w:szCs w:val="24"/>
              </w:rPr>
            </w:pPr>
            <w:r>
              <w:rPr>
                <w:color w:val="auto"/>
                <w:sz w:val="24"/>
                <w:szCs w:val="24"/>
              </w:rPr>
              <w:t>R———核算时段内锅炉燃烧耗量，t；</w:t>
            </w:r>
          </w:p>
          <w:p w14:paraId="68FE878F">
            <w:pPr>
              <w:spacing w:line="360" w:lineRule="auto"/>
              <w:ind w:firstLine="480" w:firstLineChars="200"/>
              <w:jc w:val="left"/>
              <w:rPr>
                <w:rFonts w:hint="eastAsia" w:eastAsia="宋体"/>
                <w:color w:val="auto"/>
                <w:sz w:val="24"/>
                <w:szCs w:val="24"/>
                <w:lang w:eastAsia="zh-CN"/>
              </w:rPr>
            </w:pPr>
            <w:r>
              <w:rPr>
                <w:color w:val="auto"/>
                <w:sz w:val="24"/>
                <w:szCs w:val="24"/>
              </w:rPr>
              <w:t>S</w:t>
            </w:r>
            <w:r>
              <w:rPr>
                <w:color w:val="auto"/>
                <w:sz w:val="24"/>
                <w:szCs w:val="24"/>
                <w:vertAlign w:val="subscript"/>
              </w:rPr>
              <w:t>ar</w:t>
            </w:r>
            <w:r>
              <w:rPr>
                <w:color w:val="auto"/>
                <w:sz w:val="24"/>
                <w:szCs w:val="24"/>
              </w:rPr>
              <w:t>———收到基硫的质量分数，%；取值0.</w:t>
            </w:r>
            <w:r>
              <w:rPr>
                <w:rFonts w:hint="eastAsia"/>
                <w:color w:val="auto"/>
                <w:sz w:val="24"/>
                <w:szCs w:val="24"/>
                <w:lang w:val="en-US" w:eastAsia="zh-CN"/>
              </w:rPr>
              <w:t>34</w:t>
            </w:r>
            <w:r>
              <w:rPr>
                <w:rFonts w:hint="eastAsia"/>
                <w:color w:val="auto"/>
                <w:sz w:val="24"/>
                <w:szCs w:val="24"/>
              </w:rPr>
              <w:t>；</w:t>
            </w:r>
          </w:p>
          <w:p w14:paraId="0DF4497E">
            <w:pPr>
              <w:pStyle w:val="41"/>
              <w:bidi w:val="0"/>
              <w:rPr>
                <w:rFonts w:hint="eastAsia"/>
              </w:rPr>
            </w:pPr>
            <w:r>
              <w:t>q</w:t>
            </w:r>
            <w:r>
              <w:rPr>
                <w:vertAlign w:val="subscript"/>
              </w:rPr>
              <w:t>4</w:t>
            </w:r>
            <w:r>
              <w:t>———锅炉机械不完全燃烧热损失，%；取值10</w:t>
            </w:r>
            <w:r>
              <w:rPr>
                <w:rFonts w:hint="eastAsia"/>
              </w:rPr>
              <w:t>；</w:t>
            </w:r>
          </w:p>
          <w:p w14:paraId="41998672">
            <w:pPr>
              <w:pStyle w:val="134"/>
              <w:jc w:val="left"/>
              <w:rPr>
                <w:rFonts w:hint="eastAsia" w:ascii="Times New Roman" w:hAnsi="Times New Roman" w:eastAsia="宋体"/>
                <w:color w:val="auto"/>
                <w:lang w:eastAsia="zh-CN"/>
              </w:rPr>
            </w:pPr>
            <w:r>
              <w:rPr>
                <w:rFonts w:ascii="Times New Roman" w:hAnsi="Times New Roman"/>
                <w:color w:val="auto"/>
                <w:lang w:val="de-DE"/>
              </w:rPr>
              <w:t>ηs</w:t>
            </w:r>
            <w:r>
              <w:rPr>
                <w:rFonts w:ascii="Times New Roman" w:hAnsi="Times New Roman"/>
                <w:color w:val="auto"/>
              </w:rPr>
              <w:t>———</w:t>
            </w:r>
            <w:r>
              <w:rPr>
                <w:rFonts w:ascii="Times New Roman" w:hAnsi="Times New Roman"/>
                <w:color w:val="auto"/>
                <w:lang w:val="de-DE"/>
              </w:rPr>
              <w:t>脱硫效率%，取</w:t>
            </w:r>
            <w:r>
              <w:rPr>
                <w:rFonts w:hint="eastAsia" w:ascii="Times New Roman" w:hAnsi="Times New Roman"/>
                <w:color w:val="auto"/>
                <w:lang w:val="en-US" w:eastAsia="zh-CN"/>
              </w:rPr>
              <w:t>92.</w:t>
            </w:r>
            <w:r>
              <w:rPr>
                <w:rFonts w:hint="eastAsia" w:ascii="Times New Roman" w:hAnsi="Times New Roman"/>
                <w:color w:val="auto"/>
              </w:rPr>
              <w:t>5</w:t>
            </w:r>
            <w:r>
              <w:rPr>
                <w:rFonts w:hint="eastAsia" w:ascii="Times New Roman" w:hAnsi="Times New Roman"/>
                <w:color w:val="auto"/>
                <w:lang w:val="de-DE"/>
              </w:rPr>
              <w:t>。</w:t>
            </w:r>
          </w:p>
          <w:p w14:paraId="5F6DABDE">
            <w:pPr>
              <w:pStyle w:val="134"/>
              <w:jc w:val="left"/>
              <w:rPr>
                <w:rFonts w:ascii="Times New Roman" w:hAnsi="Times New Roman"/>
                <w:color w:val="auto"/>
                <w:lang w:val="de-DE"/>
              </w:rPr>
            </w:pPr>
            <w:r>
              <w:rPr>
                <w:rFonts w:ascii="Times New Roman" w:hAnsi="Times New Roman"/>
                <w:color w:val="auto"/>
              </w:rPr>
              <w:t>K———燃料中的硫燃烧后氧化成二氧化硫的份额，量纲一的量；取值0.8</w:t>
            </w:r>
            <w:r>
              <w:rPr>
                <w:rFonts w:hint="eastAsia" w:ascii="Times New Roman" w:hAnsi="Times New Roman"/>
                <w:color w:val="auto"/>
              </w:rPr>
              <w:t>0</w:t>
            </w:r>
            <w:r>
              <w:rPr>
                <w:rFonts w:ascii="Times New Roman" w:hAnsi="Times New Roman"/>
                <w:color w:val="auto"/>
                <w:lang w:val="de-DE"/>
              </w:rPr>
              <w:t>。</w:t>
            </w:r>
          </w:p>
          <w:p w14:paraId="5A9F54E7">
            <w:pPr>
              <w:pStyle w:val="134"/>
              <w:adjustRightInd w:val="0"/>
              <w:snapToGrid w:val="0"/>
              <w:rPr>
                <w:rFonts w:hint="default" w:ascii="Times New Roman" w:hAnsi="Times New Roman" w:eastAsia="宋体"/>
                <w:color w:val="auto"/>
                <w:lang w:val="en-US" w:eastAsia="zh-CN"/>
              </w:rPr>
            </w:pPr>
            <w:r>
              <w:rPr>
                <w:rFonts w:hint="eastAsia" w:ascii="Times New Roman" w:hAnsi="Times New Roman"/>
                <w:color w:val="auto"/>
              </w:rPr>
              <w:t>经计算，</w:t>
            </w:r>
            <w:r>
              <w:rPr>
                <w:rFonts w:ascii="Times New Roman" w:hAnsi="Times New Roman"/>
                <w:color w:val="auto"/>
              </w:rPr>
              <w:t>SO</w:t>
            </w:r>
            <w:r>
              <w:rPr>
                <w:rFonts w:ascii="Times New Roman" w:hAnsi="Times New Roman"/>
                <w:color w:val="auto"/>
                <w:vertAlign w:val="subscript"/>
              </w:rPr>
              <w:t>2</w:t>
            </w:r>
            <w:r>
              <w:rPr>
                <w:rFonts w:ascii="Times New Roman" w:hAnsi="Times New Roman"/>
                <w:color w:val="auto"/>
              </w:rPr>
              <w:t>排放量为</w:t>
            </w:r>
            <w:r>
              <w:rPr>
                <w:rFonts w:hint="eastAsia" w:ascii="Times New Roman" w:hAnsi="Times New Roman"/>
                <w:color w:val="auto"/>
                <w:lang w:val="en-US" w:eastAsia="zh-CN"/>
              </w:rPr>
              <w:t>0.81t/a，1.125kg/h，35.37mg/m³。</w:t>
            </w:r>
          </w:p>
          <w:p w14:paraId="5ABE7052">
            <w:pPr>
              <w:pStyle w:val="134"/>
              <w:adjustRightInd w:val="0"/>
              <w:snapToGrid w:val="0"/>
              <w:jc w:val="both"/>
              <w:rPr>
                <w:rFonts w:ascii="Times New Roman" w:hAnsi="Times New Roman"/>
                <w:color w:val="auto"/>
                <w:kern w:val="2"/>
                <w:lang w:val="de-DE"/>
              </w:rPr>
            </w:pPr>
            <w:r>
              <w:rPr>
                <w:rFonts w:hint="eastAsia" w:ascii="Times New Roman" w:hAnsi="Times New Roman"/>
                <w:color w:val="auto"/>
                <w:kern w:val="2"/>
                <w:lang w:val="de-DE"/>
              </w:rPr>
              <w:t>③</w:t>
            </w:r>
            <w:r>
              <w:rPr>
                <w:rFonts w:hint="eastAsia" w:ascii="Times New Roman" w:hAnsi="Times New Roman"/>
                <w:color w:val="auto"/>
                <w:kern w:val="2"/>
                <w:lang w:val="en-US" w:eastAsia="zh-CN"/>
              </w:rPr>
              <w:t>颗粒物</w:t>
            </w:r>
            <w:r>
              <w:rPr>
                <w:rFonts w:ascii="Times New Roman" w:hAnsi="Times New Roman"/>
                <w:color w:val="auto"/>
                <w:kern w:val="2"/>
                <w:lang w:val="de-DE"/>
              </w:rPr>
              <w:t>排放计算</w:t>
            </w:r>
          </w:p>
          <w:p w14:paraId="1687E042">
            <w:pPr>
              <w:adjustRightInd w:val="0"/>
              <w:snapToGrid w:val="0"/>
              <w:spacing w:line="360" w:lineRule="auto"/>
              <w:ind w:firstLine="480" w:firstLineChars="200"/>
              <w:rPr>
                <w:color w:val="auto"/>
                <w:sz w:val="24"/>
                <w:szCs w:val="24"/>
              </w:rPr>
            </w:pPr>
            <w:r>
              <w:rPr>
                <w:color w:val="auto"/>
                <w:sz w:val="24"/>
                <w:szCs w:val="24"/>
              </w:rPr>
              <w:t>根据《污染源源强核算技术指南锅炉》（HJ991-2018），</w:t>
            </w:r>
            <w:r>
              <w:rPr>
                <w:rFonts w:hint="eastAsia"/>
                <w:color w:val="auto"/>
                <w:sz w:val="24"/>
                <w:szCs w:val="24"/>
                <w:lang w:val="en-US" w:eastAsia="zh-CN"/>
              </w:rPr>
              <w:t>颗粒物</w:t>
            </w:r>
            <w:r>
              <w:rPr>
                <w:color w:val="auto"/>
                <w:sz w:val="24"/>
                <w:szCs w:val="24"/>
              </w:rPr>
              <w:t>排放量按以下公式计算：</w:t>
            </w:r>
          </w:p>
          <w:p w14:paraId="3F740B46">
            <w:pPr>
              <w:adjustRightInd w:val="0"/>
              <w:snapToGrid w:val="0"/>
              <w:spacing w:line="360" w:lineRule="auto"/>
              <w:jc w:val="center"/>
              <w:rPr>
                <w:color w:val="auto"/>
                <w:sz w:val="24"/>
                <w:szCs w:val="24"/>
              </w:rPr>
            </w:pPr>
            <w:r>
              <w:rPr>
                <w:color w:val="auto"/>
                <w:position w:val="-54"/>
                <w:sz w:val="24"/>
                <w:szCs w:val="24"/>
              </w:rPr>
              <w:object>
                <v:shape id="_x0000_i1026" o:spt="75" type="#_x0000_t75" style="height:65.95pt;width:170.05pt;" o:ole="t" filled="f" o:preferrelative="t" stroked="f" coordsize="21600,21600">
                  <v:path/>
                  <v:fill on="f" focussize="0,0"/>
                  <v:stroke on="f"/>
                  <v:imagedata r:id="rId13" o:title=""/>
                  <o:lock v:ext="edit" aspectratio="t"/>
                  <w10:wrap type="none"/>
                  <w10:anchorlock/>
                </v:shape>
                <o:OLEObject Type="Embed" ProgID="Equation.3" ShapeID="_x0000_i1026" DrawAspect="Content" ObjectID="_1468075726" r:id="rId12">
                  <o:LockedField>false</o:LockedField>
                </o:OLEObject>
              </w:object>
            </w:r>
          </w:p>
          <w:p w14:paraId="1C33F0C0">
            <w:pPr>
              <w:adjustRightInd w:val="0"/>
              <w:snapToGrid w:val="0"/>
              <w:spacing w:line="360" w:lineRule="auto"/>
              <w:ind w:firstLine="480" w:firstLineChars="200"/>
              <w:jc w:val="left"/>
              <w:rPr>
                <w:color w:val="auto"/>
                <w:sz w:val="24"/>
                <w:szCs w:val="24"/>
              </w:rPr>
            </w:pPr>
            <w:r>
              <w:rPr>
                <w:color w:val="auto"/>
                <w:sz w:val="24"/>
                <w:szCs w:val="24"/>
              </w:rPr>
              <w:t>式中：E</w:t>
            </w:r>
            <w:r>
              <w:rPr>
                <w:color w:val="auto"/>
                <w:sz w:val="24"/>
                <w:szCs w:val="24"/>
                <w:vertAlign w:val="subscript"/>
              </w:rPr>
              <w:t>A</w:t>
            </w:r>
            <w:r>
              <w:rPr>
                <w:color w:val="auto"/>
                <w:sz w:val="24"/>
                <w:szCs w:val="24"/>
              </w:rPr>
              <w:t>———核算时段内颗粒物（烟尘）排放量，t；</w:t>
            </w:r>
          </w:p>
          <w:p w14:paraId="0760C504">
            <w:pPr>
              <w:adjustRightInd w:val="0"/>
              <w:snapToGrid w:val="0"/>
              <w:spacing w:line="360" w:lineRule="auto"/>
              <w:ind w:firstLine="480" w:firstLineChars="200"/>
              <w:jc w:val="left"/>
              <w:rPr>
                <w:color w:val="auto"/>
                <w:sz w:val="24"/>
                <w:szCs w:val="24"/>
              </w:rPr>
            </w:pPr>
            <w:r>
              <w:rPr>
                <w:color w:val="auto"/>
                <w:sz w:val="24"/>
                <w:szCs w:val="24"/>
              </w:rPr>
              <w:t>R———核算时段内锅炉燃烧耗量，t；</w:t>
            </w:r>
          </w:p>
          <w:p w14:paraId="4E87F900">
            <w:pPr>
              <w:adjustRightInd w:val="0"/>
              <w:snapToGrid w:val="0"/>
              <w:spacing w:line="360" w:lineRule="auto"/>
              <w:ind w:firstLine="480" w:firstLineChars="200"/>
              <w:jc w:val="left"/>
              <w:rPr>
                <w:color w:val="auto"/>
                <w:sz w:val="24"/>
                <w:szCs w:val="24"/>
              </w:rPr>
            </w:pPr>
            <w:r>
              <w:rPr>
                <w:color w:val="auto"/>
                <w:sz w:val="24"/>
                <w:szCs w:val="24"/>
              </w:rPr>
              <w:t>A</w:t>
            </w:r>
            <w:r>
              <w:rPr>
                <w:color w:val="auto"/>
                <w:sz w:val="24"/>
                <w:szCs w:val="24"/>
                <w:vertAlign w:val="subscript"/>
              </w:rPr>
              <w:t>ar</w:t>
            </w:r>
            <w:r>
              <w:rPr>
                <w:color w:val="auto"/>
                <w:sz w:val="24"/>
                <w:szCs w:val="24"/>
              </w:rPr>
              <w:t>———收到基灰分的质量分数，%；取值</w:t>
            </w:r>
            <w:r>
              <w:rPr>
                <w:rFonts w:hint="eastAsia"/>
                <w:color w:val="auto"/>
                <w:sz w:val="24"/>
                <w:szCs w:val="24"/>
                <w:lang w:val="en-US" w:eastAsia="zh-CN"/>
              </w:rPr>
              <w:t>10.58</w:t>
            </w:r>
            <w:r>
              <w:rPr>
                <w:rFonts w:hint="eastAsia"/>
                <w:color w:val="auto"/>
                <w:sz w:val="24"/>
                <w:szCs w:val="24"/>
              </w:rPr>
              <w:t>；</w:t>
            </w:r>
          </w:p>
          <w:p w14:paraId="1E52DB5F">
            <w:pPr>
              <w:adjustRightInd w:val="0"/>
              <w:snapToGrid w:val="0"/>
              <w:spacing w:line="360" w:lineRule="auto"/>
              <w:ind w:firstLine="480" w:firstLineChars="200"/>
              <w:jc w:val="left"/>
              <w:rPr>
                <w:color w:val="auto"/>
                <w:sz w:val="24"/>
                <w:szCs w:val="24"/>
              </w:rPr>
            </w:pPr>
            <w:r>
              <w:rPr>
                <w:color w:val="auto"/>
                <w:sz w:val="24"/>
                <w:szCs w:val="24"/>
              </w:rPr>
              <w:t>d</w:t>
            </w:r>
            <w:r>
              <w:rPr>
                <w:color w:val="auto"/>
                <w:sz w:val="24"/>
                <w:szCs w:val="24"/>
                <w:vertAlign w:val="subscript"/>
              </w:rPr>
              <w:t>fh</w:t>
            </w:r>
            <w:r>
              <w:rPr>
                <w:color w:val="auto"/>
                <w:sz w:val="24"/>
                <w:szCs w:val="24"/>
              </w:rPr>
              <w:t>———锅炉烟气带出的飞灰份额，%；取值</w:t>
            </w:r>
            <w:r>
              <w:rPr>
                <w:rFonts w:hint="eastAsia"/>
                <w:color w:val="auto"/>
                <w:sz w:val="24"/>
                <w:szCs w:val="24"/>
                <w:lang w:val="en-US" w:eastAsia="zh-CN"/>
              </w:rPr>
              <w:t>30.03</w:t>
            </w:r>
            <w:r>
              <w:rPr>
                <w:rFonts w:hint="eastAsia"/>
                <w:color w:val="auto"/>
                <w:sz w:val="24"/>
                <w:szCs w:val="24"/>
              </w:rPr>
              <w:t>；</w:t>
            </w:r>
          </w:p>
          <w:p w14:paraId="54D72FC2">
            <w:pPr>
              <w:pStyle w:val="41"/>
              <w:bidi w:val="0"/>
              <w:rPr>
                <w:rFonts w:hint="eastAsia"/>
                <w:lang w:eastAsia="zh-CN"/>
              </w:rPr>
            </w:pPr>
            <w:r>
              <w:rPr>
                <w:lang w:val="de-DE"/>
              </w:rPr>
              <w:t>η</w:t>
            </w:r>
            <w:r>
              <w:rPr>
                <w:rFonts w:hint="eastAsia"/>
              </w:rPr>
              <w:t>c</w:t>
            </w:r>
            <w:r>
              <w:t>———</w:t>
            </w:r>
            <w:r>
              <w:rPr>
                <w:rFonts w:hint="eastAsia"/>
              </w:rPr>
              <w:t>综合除尘</w:t>
            </w:r>
            <w:r>
              <w:rPr>
                <w:lang w:val="de-DE"/>
              </w:rPr>
              <w:t>效率，取</w:t>
            </w:r>
            <w:r>
              <w:rPr>
                <w:rFonts w:hint="eastAsia"/>
              </w:rPr>
              <w:t>99.</w:t>
            </w:r>
            <w:r>
              <w:rPr>
                <w:rFonts w:hint="eastAsia"/>
                <w:lang w:val="en-US" w:eastAsia="zh-CN"/>
              </w:rPr>
              <w:t>5</w:t>
            </w:r>
            <w:r>
              <w:rPr>
                <w:lang w:val="de-DE"/>
              </w:rPr>
              <w:t>%</w:t>
            </w:r>
            <w:r>
              <w:rPr>
                <w:rFonts w:hint="eastAsia"/>
                <w:lang w:val="de-DE"/>
              </w:rPr>
              <w:t>。</w:t>
            </w:r>
          </w:p>
          <w:p w14:paraId="3FE34BD6">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de-DE"/>
              </w:rPr>
            </w:pPr>
            <w:r>
              <w:rPr>
                <w:color w:val="auto"/>
                <w:sz w:val="24"/>
                <w:szCs w:val="24"/>
              </w:rPr>
              <w:t>C</w:t>
            </w:r>
            <w:r>
              <w:rPr>
                <w:color w:val="auto"/>
                <w:sz w:val="24"/>
                <w:szCs w:val="24"/>
                <w:vertAlign w:val="subscript"/>
              </w:rPr>
              <w:t>fh</w:t>
            </w:r>
            <w:r>
              <w:rPr>
                <w:color w:val="auto"/>
                <w:sz w:val="24"/>
                <w:szCs w:val="24"/>
              </w:rPr>
              <w:t>———飞灰中的可燃物含量，%；本项目为层燃锅炉取值11（工业</w:t>
            </w:r>
            <w:r>
              <w:rPr>
                <w:rFonts w:hint="default" w:ascii="Times New Roman" w:hAnsi="Times New Roman" w:eastAsia="宋体" w:cs="Times New Roman"/>
                <w:color w:val="auto"/>
                <w:sz w:val="24"/>
                <w:szCs w:val="24"/>
              </w:rPr>
              <w:t>锅炉经济运行（GBT/17954-2007）表4）</w:t>
            </w:r>
            <w:r>
              <w:rPr>
                <w:rFonts w:hint="default" w:ascii="Times New Roman" w:hAnsi="Times New Roman" w:eastAsia="宋体" w:cs="Times New Roman"/>
                <w:color w:val="auto"/>
                <w:sz w:val="24"/>
                <w:szCs w:val="24"/>
                <w:lang w:val="de-DE"/>
              </w:rPr>
              <w:t>。</w:t>
            </w:r>
          </w:p>
          <w:p w14:paraId="6878AB6C">
            <w:pPr>
              <w:adjustRightInd w:val="0"/>
              <w:snapToGrid w:val="0"/>
              <w:spacing w:line="360" w:lineRule="auto"/>
              <w:ind w:firstLine="522"/>
              <w:rPr>
                <w:rFonts w:hint="default" w:ascii="Times New Roman" w:hAnsi="Times New Roman" w:eastAsia="宋体" w:cs="Times New Roman"/>
                <w:color w:val="auto"/>
                <w:spacing w:val="-4"/>
                <w:sz w:val="24"/>
                <w:szCs w:val="24"/>
                <w:lang w:val="en-US" w:eastAsia="zh-CN"/>
              </w:rPr>
            </w:pPr>
            <w:r>
              <w:rPr>
                <w:rFonts w:hint="default" w:ascii="Times New Roman" w:hAnsi="Times New Roman" w:eastAsia="宋体" w:cs="Times New Roman"/>
                <w:color w:val="auto"/>
                <w:spacing w:val="-4"/>
                <w:sz w:val="24"/>
                <w:szCs w:val="24"/>
              </w:rPr>
              <w:t>经计算，</w:t>
            </w:r>
            <w:r>
              <w:rPr>
                <w:rFonts w:hint="eastAsia" w:ascii="Times New Roman" w:hAnsi="Times New Roman" w:eastAsia="宋体" w:cs="Times New Roman"/>
                <w:color w:val="auto"/>
                <w:spacing w:val="-4"/>
                <w:sz w:val="24"/>
                <w:szCs w:val="24"/>
                <w:lang w:val="en-US" w:eastAsia="zh-CN"/>
              </w:rPr>
              <w:t>颗粒物</w:t>
            </w:r>
            <w:r>
              <w:rPr>
                <w:rFonts w:hint="default" w:ascii="Times New Roman" w:hAnsi="Times New Roman" w:eastAsia="宋体" w:cs="Times New Roman"/>
                <w:color w:val="auto"/>
                <w:spacing w:val="-4"/>
                <w:sz w:val="24"/>
                <w:szCs w:val="24"/>
              </w:rPr>
              <w:t>产生量为</w:t>
            </w:r>
            <w:r>
              <w:rPr>
                <w:rFonts w:hint="eastAsia" w:ascii="Times New Roman" w:hAnsi="Times New Roman" w:eastAsia="宋体" w:cs="Times New Roman"/>
                <w:color w:val="auto"/>
                <w:spacing w:val="-4"/>
                <w:sz w:val="24"/>
                <w:szCs w:val="24"/>
                <w:lang w:val="en-US" w:eastAsia="zh-CN"/>
              </w:rPr>
              <w:t>0.39</w:t>
            </w:r>
            <w:r>
              <w:rPr>
                <w:rFonts w:hint="default" w:ascii="Times New Roman" w:hAnsi="Times New Roman" w:eastAsia="宋体" w:cs="Times New Roman"/>
                <w:color w:val="auto"/>
                <w:spacing w:val="-4"/>
                <w:sz w:val="24"/>
                <w:szCs w:val="24"/>
              </w:rPr>
              <w:t>t/a，</w:t>
            </w:r>
            <w:r>
              <w:rPr>
                <w:rFonts w:hint="eastAsia" w:ascii="Times New Roman" w:hAnsi="Times New Roman" w:eastAsia="宋体" w:cs="Times New Roman"/>
                <w:color w:val="auto"/>
                <w:spacing w:val="-4"/>
                <w:sz w:val="24"/>
                <w:szCs w:val="24"/>
                <w:lang w:val="en-US" w:eastAsia="zh-CN"/>
              </w:rPr>
              <w:t>0.</w:t>
            </w:r>
            <w:r>
              <w:rPr>
                <w:rFonts w:hint="eastAsia" w:cs="Times New Roman"/>
                <w:color w:val="auto"/>
                <w:spacing w:val="-4"/>
                <w:sz w:val="24"/>
                <w:szCs w:val="24"/>
                <w:lang w:val="en-US" w:eastAsia="zh-CN"/>
              </w:rPr>
              <w:t>54</w:t>
            </w:r>
            <w:r>
              <w:rPr>
                <w:rFonts w:hint="eastAsia" w:ascii="Times New Roman" w:hAnsi="Times New Roman" w:eastAsia="宋体" w:cs="Times New Roman"/>
                <w:color w:val="auto"/>
                <w:spacing w:val="-4"/>
                <w:sz w:val="24"/>
                <w:szCs w:val="24"/>
                <w:lang w:val="en-US" w:eastAsia="zh-CN"/>
              </w:rPr>
              <w:t>kg/h，排放浓度为</w:t>
            </w:r>
            <w:r>
              <w:rPr>
                <w:rFonts w:hint="eastAsia" w:cs="Times New Roman"/>
                <w:color w:val="auto"/>
                <w:spacing w:val="-4"/>
                <w:sz w:val="24"/>
                <w:szCs w:val="24"/>
                <w:lang w:val="en-US" w:eastAsia="zh-CN"/>
              </w:rPr>
              <w:t>16.97</w:t>
            </w:r>
            <w:r>
              <w:rPr>
                <w:rFonts w:hint="default" w:ascii="Times New Roman" w:hAnsi="Times New Roman" w:eastAsia="宋体" w:cs="Times New Roman"/>
                <w:color w:val="auto"/>
                <w:spacing w:val="-4"/>
                <w:sz w:val="24"/>
                <w:szCs w:val="24"/>
              </w:rPr>
              <w:t>mg/m</w:t>
            </w:r>
            <w:r>
              <w:rPr>
                <w:rFonts w:hint="default" w:ascii="Times New Roman" w:hAnsi="Times New Roman" w:eastAsia="宋体" w:cs="Times New Roman"/>
                <w:color w:val="auto"/>
                <w:spacing w:val="-4"/>
                <w:sz w:val="24"/>
                <w:szCs w:val="24"/>
                <w:vertAlign w:val="superscript"/>
              </w:rPr>
              <w:t>3</w:t>
            </w:r>
            <w:r>
              <w:rPr>
                <w:rFonts w:hint="default" w:ascii="Times New Roman" w:hAnsi="Times New Roman" w:eastAsia="宋体" w:cs="Times New Roman"/>
                <w:color w:val="auto"/>
                <w:spacing w:val="-4"/>
                <w:sz w:val="24"/>
                <w:szCs w:val="24"/>
              </w:rPr>
              <w:t>。</w:t>
            </w:r>
          </w:p>
          <w:p w14:paraId="3473D55A">
            <w:pPr>
              <w:pStyle w:val="41"/>
              <w:bidi w:val="0"/>
              <w:rPr>
                <w:rFonts w:hint="default"/>
                <w:lang w:val="de-DE"/>
              </w:rPr>
            </w:pPr>
            <w:r>
              <w:rPr>
                <w:rFonts w:hint="default"/>
                <w:lang w:val="de-DE"/>
              </w:rPr>
              <w:t>④氮氧化物排放的计算</w:t>
            </w:r>
          </w:p>
          <w:p w14:paraId="659824B5">
            <w:pPr>
              <w:pStyle w:val="41"/>
              <w:bidi w:val="0"/>
              <w:rPr>
                <w:rFonts w:hint="default"/>
              </w:rPr>
            </w:pPr>
            <w:r>
              <w:rPr>
                <w:rFonts w:hint="default"/>
                <w:lang w:val="de-DE"/>
              </w:rPr>
              <w:t>根据《排污许可申请与核发技术规范锅炉》（HJ953-2018）中表F.</w:t>
            </w:r>
            <w:r>
              <w:rPr>
                <w:rFonts w:hint="default"/>
              </w:rPr>
              <w:t>1，</w:t>
            </w:r>
          </w:p>
          <w:p w14:paraId="37DC68EE">
            <w:pPr>
              <w:pStyle w:val="41"/>
              <w:bidi w:val="0"/>
              <w:rPr>
                <w:rFonts w:hint="default"/>
                <w:lang w:val="de-DE"/>
              </w:rPr>
            </w:pPr>
            <w:r>
              <w:rPr>
                <w:rFonts w:hint="default"/>
              </w:rPr>
              <w:t>燃煤锅炉氮氧化物的产污系数为2.06kg/吨－原料（低氮燃烧），燃煤锅炉出口锅炉氮氧化物产生量为</w:t>
            </w:r>
            <w:r>
              <w:rPr>
                <w:rFonts w:hint="eastAsia"/>
                <w:lang w:val="en-US" w:eastAsia="zh-CN"/>
              </w:rPr>
              <w:t>4.532</w:t>
            </w:r>
            <w:r>
              <w:rPr>
                <w:rFonts w:hint="default"/>
              </w:rPr>
              <w:t>t/a，本项目锅炉的烟气量为</w:t>
            </w:r>
            <w:r>
              <w:rPr>
                <w:rFonts w:hint="eastAsia" w:cs="Times New Roman"/>
                <w:color w:val="auto"/>
                <w:sz w:val="24"/>
                <w:szCs w:val="24"/>
                <w:lang w:val="en-US" w:eastAsia="zh-CN"/>
              </w:rPr>
              <w:t>22902000m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/a</w:t>
            </w:r>
            <w:r>
              <w:rPr>
                <w:rFonts w:hint="default"/>
              </w:rPr>
              <w:t>，氮氧化物产生浓度为</w:t>
            </w:r>
            <w:r>
              <w:rPr>
                <w:rFonts w:hint="eastAsia"/>
                <w:lang w:val="en-US" w:eastAsia="zh-CN"/>
              </w:rPr>
              <w:t>197.89</w:t>
            </w:r>
            <w:r>
              <w:rPr>
                <w:rFonts w:hint="default"/>
              </w:rPr>
              <w:t>mg/m3。</w:t>
            </w:r>
          </w:p>
          <w:p w14:paraId="0D3788E9">
            <w:pPr>
              <w:pStyle w:val="41"/>
              <w:bidi w:val="0"/>
              <w:rPr>
                <w:rFonts w:hint="default"/>
                <w:lang w:val="de-DE"/>
              </w:rPr>
            </w:pPr>
            <w:r>
              <w:rPr>
                <w:rFonts w:hint="default"/>
                <w:lang w:val="de-DE"/>
              </w:rPr>
              <w:t>根据《污染源源强核算技术指南锅炉》（HJ991-2018），氮氧化物排放量按以下公式计算：</w:t>
            </w:r>
          </w:p>
          <w:p w14:paraId="3621B7F9">
            <w:pPr>
              <w:pStyle w:val="134"/>
              <w:jc w:val="center"/>
              <w:rPr>
                <w:rFonts w:ascii="Times New Roman" w:hAnsi="Times New Roman"/>
                <w:color w:val="auto"/>
                <w:kern w:val="2"/>
                <w:position w:val="-12"/>
                <w:lang w:val="de-DE"/>
              </w:rPr>
            </w:pPr>
            <w:r>
              <w:rPr>
                <w:rFonts w:ascii="Times New Roman" w:hAnsi="Times New Roman"/>
                <w:color w:val="auto"/>
                <w:position w:val="-32"/>
              </w:rPr>
              <w:object>
                <v:shape id="_x0000_i1027" o:spt="75" type="#_x0000_t75" style="height:40.2pt;width:181.15pt;" o:ole="t" filled="f" o:preferrelative="t" stroked="f" coordsize="21600,21600">
                  <v:path/>
                  <v:fill on="f" focussize="0,0"/>
                  <v:stroke on="f"/>
                  <v:imagedata r:id="rId15" o:title=""/>
                  <o:lock v:ext="edit" aspectratio="t"/>
                  <w10:wrap type="none"/>
                  <w10:anchorlock/>
                </v:shape>
                <o:OLEObject Type="Embed" ProgID="Equation.3" ShapeID="_x0000_i1027" DrawAspect="Content" ObjectID="_1468075727" r:id="rId14">
                  <o:LockedField>false</o:LockedField>
                </o:OLEObject>
              </w:object>
            </w:r>
          </w:p>
          <w:p w14:paraId="225AC9C9">
            <w:pPr>
              <w:spacing w:line="360" w:lineRule="auto"/>
              <w:ind w:firstLine="480" w:firstLineChars="200"/>
              <w:jc w:val="left"/>
              <w:rPr>
                <w:color w:val="auto"/>
                <w:sz w:val="24"/>
                <w:szCs w:val="24"/>
              </w:rPr>
            </w:pPr>
            <w:r>
              <w:rPr>
                <w:color w:val="auto"/>
                <w:sz w:val="24"/>
                <w:szCs w:val="24"/>
              </w:rPr>
              <w:t>式中：E</w:t>
            </w:r>
            <w:r>
              <w:rPr>
                <w:color w:val="auto"/>
                <w:sz w:val="24"/>
                <w:szCs w:val="24"/>
                <w:vertAlign w:val="subscript"/>
              </w:rPr>
              <w:t>NOx</w:t>
            </w:r>
            <w:r>
              <w:rPr>
                <w:color w:val="auto"/>
                <w:sz w:val="24"/>
                <w:szCs w:val="24"/>
              </w:rPr>
              <w:t>———核算时段内</w:t>
            </w:r>
            <w:r>
              <w:rPr>
                <w:rFonts w:hint="eastAsia"/>
                <w:color w:val="auto"/>
                <w:sz w:val="24"/>
                <w:szCs w:val="24"/>
              </w:rPr>
              <w:t>氮氧化物</w:t>
            </w:r>
            <w:r>
              <w:rPr>
                <w:color w:val="auto"/>
                <w:sz w:val="24"/>
                <w:szCs w:val="24"/>
              </w:rPr>
              <w:t>排放量，t；</w:t>
            </w:r>
          </w:p>
          <w:p w14:paraId="5FD642BB">
            <w:pPr>
              <w:spacing w:line="360" w:lineRule="auto"/>
              <w:ind w:firstLine="480" w:firstLineChars="200"/>
              <w:jc w:val="left"/>
              <w:rPr>
                <w:color w:val="auto"/>
                <w:sz w:val="24"/>
                <w:szCs w:val="24"/>
              </w:rPr>
            </w:pPr>
            <w:r>
              <w:rPr>
                <w:color w:val="auto"/>
                <w:sz w:val="24"/>
                <w:szCs w:val="24"/>
              </w:rPr>
              <w:t>ρ</w:t>
            </w:r>
            <w:r>
              <w:rPr>
                <w:color w:val="auto"/>
                <w:sz w:val="24"/>
                <w:szCs w:val="24"/>
                <w:vertAlign w:val="subscript"/>
              </w:rPr>
              <w:t>NOx</w:t>
            </w:r>
            <w:r>
              <w:rPr>
                <w:color w:val="auto"/>
                <w:sz w:val="24"/>
                <w:szCs w:val="24"/>
              </w:rPr>
              <w:t>———</w:t>
            </w:r>
            <w:r>
              <w:rPr>
                <w:rFonts w:hint="eastAsia"/>
                <w:color w:val="auto"/>
                <w:sz w:val="24"/>
                <w:szCs w:val="24"/>
              </w:rPr>
              <w:t>锅炉炉膛</w:t>
            </w:r>
            <w:r>
              <w:rPr>
                <w:color w:val="auto"/>
                <w:sz w:val="24"/>
                <w:szCs w:val="24"/>
              </w:rPr>
              <w:t>出口氮氧化物质量浓度，</w:t>
            </w:r>
            <w:r>
              <w:rPr>
                <w:rFonts w:hint="eastAsia"/>
                <w:color w:val="auto"/>
                <w:sz w:val="24"/>
                <w:szCs w:val="24"/>
              </w:rPr>
              <w:t>mg</w:t>
            </w:r>
            <w:r>
              <w:rPr>
                <w:color w:val="auto"/>
                <w:sz w:val="24"/>
                <w:szCs w:val="24"/>
              </w:rPr>
              <w:t>/m</w:t>
            </w:r>
            <w:r>
              <w:rPr>
                <w:color w:val="auto"/>
                <w:sz w:val="24"/>
                <w:szCs w:val="24"/>
                <w:vertAlign w:val="superscript"/>
              </w:rPr>
              <w:t>3</w:t>
            </w:r>
            <w:r>
              <w:rPr>
                <w:color w:val="auto"/>
                <w:sz w:val="24"/>
                <w:szCs w:val="24"/>
              </w:rPr>
              <w:t>；</w:t>
            </w:r>
          </w:p>
          <w:p w14:paraId="368C1877">
            <w:pPr>
              <w:spacing w:line="360" w:lineRule="auto"/>
              <w:ind w:firstLine="480" w:firstLineChars="200"/>
              <w:jc w:val="left"/>
              <w:rPr>
                <w:color w:val="auto"/>
                <w:sz w:val="24"/>
                <w:szCs w:val="24"/>
              </w:rPr>
            </w:pPr>
            <w:r>
              <w:rPr>
                <w:color w:val="auto"/>
                <w:sz w:val="24"/>
                <w:szCs w:val="24"/>
              </w:rPr>
              <w:t>Q———</w:t>
            </w:r>
            <w:r>
              <w:rPr>
                <w:rFonts w:hint="eastAsia"/>
                <w:color w:val="auto"/>
                <w:sz w:val="24"/>
                <w:szCs w:val="24"/>
              </w:rPr>
              <w:t>核算时段内</w:t>
            </w:r>
            <w:r>
              <w:rPr>
                <w:color w:val="auto"/>
                <w:sz w:val="24"/>
                <w:szCs w:val="24"/>
              </w:rPr>
              <w:t>标态干烟气排放量，</w:t>
            </w:r>
            <w:r>
              <w:rPr>
                <w:rFonts w:hint="eastAsia"/>
                <w:color w:val="auto"/>
                <w:sz w:val="24"/>
                <w:szCs w:val="24"/>
              </w:rPr>
              <w:t>m</w:t>
            </w:r>
            <w:r>
              <w:rPr>
                <w:color w:val="auto"/>
                <w:sz w:val="24"/>
                <w:szCs w:val="24"/>
                <w:vertAlign w:val="superscript"/>
              </w:rPr>
              <w:t>3</w:t>
            </w:r>
            <w:r>
              <w:rPr>
                <w:color w:val="auto"/>
                <w:sz w:val="24"/>
                <w:szCs w:val="24"/>
              </w:rPr>
              <w:t>；</w:t>
            </w:r>
          </w:p>
          <w:p w14:paraId="0EF2E7DF">
            <w:pPr>
              <w:pStyle w:val="134"/>
              <w:rPr>
                <w:rFonts w:hint="default" w:ascii="Times New Roman" w:hAnsi="Times New Roman" w:eastAsia="宋体" w:cs="Times New Roman"/>
                <w:color w:val="auto"/>
                <w:lang w:val="de-DE"/>
              </w:rPr>
            </w:pPr>
            <w:r>
              <w:rPr>
                <w:rFonts w:ascii="Times New Roman" w:hAnsi="Times New Roman"/>
                <w:color w:val="auto"/>
                <w:lang w:val="de-DE"/>
              </w:rPr>
              <w:t>η</w:t>
            </w:r>
            <w:r>
              <w:rPr>
                <w:rFonts w:ascii="Times New Roman" w:hAnsi="Times New Roman"/>
                <w:color w:val="auto"/>
                <w:vertAlign w:val="subscript"/>
              </w:rPr>
              <w:t>NOx</w:t>
            </w:r>
            <w:r>
              <w:rPr>
                <w:rFonts w:hint="default" w:ascii="Times New Roman" w:hAnsi="Times New Roman" w:eastAsia="宋体" w:cs="Times New Roman"/>
                <w:color w:val="auto"/>
              </w:rPr>
              <w:t>———脱硝</w:t>
            </w:r>
            <w:r>
              <w:rPr>
                <w:rFonts w:hint="default" w:ascii="Times New Roman" w:hAnsi="Times New Roman" w:eastAsia="宋体" w:cs="Times New Roman"/>
                <w:color w:val="auto"/>
                <w:lang w:val="de-DE"/>
              </w:rPr>
              <w:t>效率，取</w:t>
            </w:r>
            <w:r>
              <w:rPr>
                <w:rFonts w:hint="eastAsia" w:ascii="Times New Roman" w:hAnsi="Times New Roman" w:eastAsia="宋体" w:cs="Times New Roman"/>
                <w:color w:val="auto"/>
                <w:lang w:val="en-US" w:eastAsia="zh-CN"/>
              </w:rPr>
              <w:t>80</w:t>
            </w:r>
            <w:r>
              <w:rPr>
                <w:rFonts w:hint="default" w:ascii="Times New Roman" w:hAnsi="Times New Roman" w:eastAsia="宋体" w:cs="Times New Roman"/>
                <w:color w:val="auto"/>
                <w:lang w:val="de-DE"/>
              </w:rPr>
              <w:t>%。</w:t>
            </w:r>
          </w:p>
          <w:p w14:paraId="22B0D4D8">
            <w:pPr>
              <w:spacing w:line="360" w:lineRule="auto"/>
              <w:ind w:firstLine="522"/>
              <w:rPr>
                <w:rFonts w:hint="default" w:ascii="Times New Roman" w:hAnsi="Times New Roman" w:eastAsia="宋体" w:cs="Times New Roman"/>
                <w:color w:val="auto"/>
                <w:lang w:val="de-DE"/>
              </w:rPr>
            </w:pPr>
            <w:r>
              <w:rPr>
                <w:rFonts w:hint="default" w:ascii="Times New Roman" w:hAnsi="Times New Roman" w:eastAsia="宋体" w:cs="Times New Roman"/>
                <w:color w:val="auto"/>
                <w:spacing w:val="-4"/>
                <w:sz w:val="24"/>
                <w:szCs w:val="24"/>
              </w:rPr>
              <w:t>经计算，氮氧化物排放量为</w:t>
            </w:r>
            <w:r>
              <w:rPr>
                <w:rFonts w:hint="eastAsia" w:ascii="Times New Roman" w:hAnsi="Times New Roman" w:eastAsia="宋体" w:cs="Times New Roman"/>
                <w:color w:val="auto"/>
                <w:spacing w:val="-4"/>
                <w:sz w:val="24"/>
                <w:szCs w:val="24"/>
                <w:lang w:val="en-US" w:eastAsia="zh-CN"/>
              </w:rPr>
              <w:t>0.91t/a，</w:t>
            </w:r>
            <w:r>
              <w:rPr>
                <w:rFonts w:hint="eastAsia" w:cs="Times New Roman"/>
                <w:color w:val="auto"/>
                <w:spacing w:val="-4"/>
                <w:sz w:val="24"/>
                <w:szCs w:val="24"/>
                <w:lang w:val="en-US" w:eastAsia="zh-CN"/>
              </w:rPr>
              <w:t>1.26</w:t>
            </w:r>
            <w:r>
              <w:rPr>
                <w:rFonts w:hint="eastAsia" w:ascii="Times New Roman" w:hAnsi="Times New Roman" w:eastAsia="宋体" w:cs="Times New Roman"/>
                <w:color w:val="auto"/>
                <w:spacing w:val="-4"/>
                <w:sz w:val="24"/>
                <w:szCs w:val="24"/>
                <w:lang w:val="en-US" w:eastAsia="zh-CN"/>
              </w:rPr>
              <w:t>kg/h</w:t>
            </w:r>
            <w:r>
              <w:rPr>
                <w:rFonts w:hint="default" w:ascii="Times New Roman" w:hAnsi="Times New Roman" w:eastAsia="宋体" w:cs="Times New Roman"/>
                <w:color w:val="auto"/>
                <w:spacing w:val="-4"/>
                <w:sz w:val="24"/>
                <w:szCs w:val="24"/>
              </w:rPr>
              <w:t>，排放浓度为</w:t>
            </w:r>
            <w:r>
              <w:rPr>
                <w:rFonts w:hint="eastAsia" w:cs="Times New Roman"/>
                <w:color w:val="auto"/>
                <w:spacing w:val="-4"/>
                <w:sz w:val="24"/>
                <w:szCs w:val="24"/>
                <w:lang w:val="en-US" w:eastAsia="zh-CN"/>
              </w:rPr>
              <w:t>39.61</w:t>
            </w:r>
            <w:r>
              <w:rPr>
                <w:rFonts w:hint="default" w:ascii="Times New Roman" w:hAnsi="Times New Roman" w:eastAsia="宋体" w:cs="Times New Roman"/>
                <w:color w:val="auto"/>
                <w:spacing w:val="-4"/>
                <w:sz w:val="24"/>
                <w:szCs w:val="24"/>
              </w:rPr>
              <w:t>mg/m</w:t>
            </w:r>
            <w:r>
              <w:rPr>
                <w:rFonts w:hint="default" w:ascii="Times New Roman" w:hAnsi="Times New Roman" w:eastAsia="宋体" w:cs="Times New Roman"/>
                <w:color w:val="auto"/>
                <w:spacing w:val="-4"/>
                <w:position w:val="11"/>
                <w:sz w:val="12"/>
                <w:szCs w:val="12"/>
              </w:rPr>
              <w:t>3</w:t>
            </w:r>
            <w:r>
              <w:rPr>
                <w:rFonts w:hint="default" w:ascii="Times New Roman" w:hAnsi="Times New Roman" w:eastAsia="宋体" w:cs="Times New Roman"/>
                <w:color w:val="auto"/>
                <w:spacing w:val="-4"/>
                <w:sz w:val="24"/>
                <w:szCs w:val="24"/>
              </w:rPr>
              <w:t>。</w:t>
            </w:r>
          </w:p>
          <w:p w14:paraId="52C4B3D2">
            <w:pPr>
              <w:pStyle w:val="134"/>
              <w:rPr>
                <w:rFonts w:ascii="Times New Roman" w:hAnsi="Times New Roman"/>
                <w:color w:val="auto"/>
                <w:kern w:val="2"/>
                <w:lang w:val="de-DE"/>
              </w:rPr>
            </w:pPr>
            <w:r>
              <w:rPr>
                <w:rFonts w:hint="eastAsia" w:ascii="Times New Roman" w:hAnsi="Times New Roman"/>
                <w:color w:val="auto"/>
                <w:kern w:val="2"/>
                <w:lang w:val="de-DE"/>
              </w:rPr>
              <w:t>⑤</w:t>
            </w:r>
            <w:r>
              <w:rPr>
                <w:rFonts w:ascii="Times New Roman" w:hAnsi="Times New Roman"/>
                <w:color w:val="auto"/>
                <w:kern w:val="2"/>
                <w:lang w:val="de-DE"/>
              </w:rPr>
              <w:t>汞及其化合物排放量</w:t>
            </w:r>
          </w:p>
          <w:p w14:paraId="1E3F8FCA">
            <w:pPr>
              <w:spacing w:line="360" w:lineRule="auto"/>
              <w:ind w:firstLine="480" w:firstLineChars="200"/>
              <w:rPr>
                <w:color w:val="auto"/>
                <w:sz w:val="24"/>
                <w:szCs w:val="24"/>
              </w:rPr>
            </w:pPr>
            <w:r>
              <w:rPr>
                <w:color w:val="auto"/>
                <w:sz w:val="24"/>
                <w:szCs w:val="24"/>
              </w:rPr>
              <w:t>根据《污染源源强核算技术指南锅炉》（HJ991-2018），汞及其化合物按以下公式计算：</w:t>
            </w:r>
          </w:p>
          <w:p w14:paraId="2751FDF4">
            <w:pPr>
              <w:spacing w:line="360" w:lineRule="auto"/>
              <w:jc w:val="center"/>
              <w:rPr>
                <w:color w:val="auto"/>
                <w:sz w:val="24"/>
                <w:szCs w:val="24"/>
              </w:rPr>
            </w:pPr>
            <w:r>
              <w:rPr>
                <w:color w:val="auto"/>
                <w:position w:val="-32"/>
                <w:sz w:val="24"/>
                <w:szCs w:val="24"/>
              </w:rPr>
              <w:object>
                <v:shape id="_x0000_i1028" o:spt="75" type="#_x0000_t75" style="height:41.5pt;width:180.6pt;" o:ole="t" filled="f" o:preferrelative="t" stroked="f" coordsize="21600,21600">
                  <v:path/>
                  <v:fill on="f" focussize="0,0"/>
                  <v:stroke on="f"/>
                  <v:imagedata r:id="rId17" o:title=""/>
                  <o:lock v:ext="edit" aspectratio="t"/>
                  <w10:wrap type="none"/>
                  <w10:anchorlock/>
                </v:shape>
                <o:OLEObject Type="Embed" ProgID="Equation.3" ShapeID="_x0000_i1028" DrawAspect="Content" ObjectID="_1468075728" r:id="rId16">
                  <o:LockedField>false</o:LockedField>
                </o:OLEObject>
              </w:object>
            </w:r>
          </w:p>
          <w:p w14:paraId="60FE72E4">
            <w:pPr>
              <w:pStyle w:val="41"/>
              <w:bidi w:val="0"/>
            </w:pPr>
            <w:r>
              <w:t>式中：E</w:t>
            </w:r>
            <w:r>
              <w:rPr>
                <w:vertAlign w:val="subscript"/>
              </w:rPr>
              <w:t>Hg</w:t>
            </w:r>
            <w:r>
              <w:t>———核算时段内汞及其化合物排放量（以汞计），t；</w:t>
            </w:r>
          </w:p>
          <w:p w14:paraId="429E0C80">
            <w:pPr>
              <w:pStyle w:val="41"/>
              <w:bidi w:val="0"/>
            </w:pPr>
            <w:r>
              <w:t>R———核算时段内锅炉燃烧耗量，t；</w:t>
            </w:r>
          </w:p>
          <w:p w14:paraId="57700398">
            <w:pPr>
              <w:pStyle w:val="41"/>
              <w:bidi w:val="0"/>
            </w:pPr>
            <w:r>
              <w:t>m</w:t>
            </w:r>
            <w:r>
              <w:rPr>
                <w:vertAlign w:val="subscript"/>
              </w:rPr>
              <w:t>Hgar</w:t>
            </w:r>
            <w:r>
              <w:t>———收到基汞的含量，μg/g；取值0.0</w:t>
            </w:r>
            <w:r>
              <w:rPr>
                <w:rFonts w:hint="eastAsia"/>
              </w:rPr>
              <w:t>543；取自（地球与环境期刊根据《</w:t>
            </w:r>
            <w:r>
              <w:t>新疆原煤中汞含量分布及燃煤大气汞排放量估算</w:t>
            </w:r>
            <w:r>
              <w:rPr>
                <w:rFonts w:hint="eastAsia"/>
              </w:rPr>
              <w:t>》）；</w:t>
            </w:r>
          </w:p>
          <w:p w14:paraId="36D863B4">
            <w:pPr>
              <w:pStyle w:val="41"/>
              <w:bidi w:val="0"/>
            </w:pPr>
            <w:r>
              <w:rPr>
                <w:lang w:val="de-DE"/>
              </w:rPr>
              <w:t>η</w:t>
            </w:r>
            <w:r>
              <w:rPr>
                <w:vertAlign w:val="subscript"/>
              </w:rPr>
              <w:t>Hg</w:t>
            </w:r>
            <w:r>
              <w:t>———</w:t>
            </w:r>
            <w:r>
              <w:rPr>
                <w:rFonts w:hint="eastAsia"/>
              </w:rPr>
              <w:t>汞的协同脱除</w:t>
            </w:r>
            <w:r>
              <w:rPr>
                <w:lang w:val="de-DE"/>
              </w:rPr>
              <w:t>效率，取</w:t>
            </w:r>
            <w:r>
              <w:rPr>
                <w:rFonts w:hint="eastAsia"/>
              </w:rPr>
              <w:t>70</w:t>
            </w:r>
            <w:r>
              <w:rPr>
                <w:lang w:val="de-DE"/>
              </w:rPr>
              <w:t>%</w:t>
            </w:r>
            <w:r>
              <w:rPr>
                <w:rFonts w:hint="eastAsia"/>
                <w:lang w:val="de-DE"/>
              </w:rPr>
              <w:t>。</w:t>
            </w:r>
          </w:p>
          <w:p w14:paraId="0E9B34B5">
            <w:pPr>
              <w:pStyle w:val="41"/>
              <w:bidi w:val="0"/>
              <w:rPr>
                <w:lang w:val="de-DE"/>
              </w:rPr>
            </w:pPr>
            <w:r>
              <w:t>当烟气采用脱硝、除尘和脱硫等环保设施对烟气中的汞具有较高的脱除效率，平均脱除效率一般可达70%</w:t>
            </w:r>
            <w:r>
              <w:rPr>
                <w:lang w:val="de-DE"/>
              </w:rPr>
              <w:t>。</w:t>
            </w:r>
          </w:p>
          <w:p w14:paraId="345D2BE9">
            <w:pPr>
              <w:pStyle w:val="39"/>
              <w:rPr>
                <w:lang w:val="de-DE"/>
              </w:rPr>
            </w:pPr>
            <w:r>
              <w:rPr>
                <w:rFonts w:hint="default" w:ascii="Times New Roman" w:hAnsi="Times New Roman" w:eastAsia="宋体" w:cs="Times New Roman"/>
                <w:color w:val="auto"/>
                <w:spacing w:val="-4"/>
                <w:sz w:val="24"/>
                <w:szCs w:val="24"/>
              </w:rPr>
              <w:t>经计算，</w:t>
            </w:r>
            <w:r>
              <w:rPr>
                <w:rFonts w:hint="eastAsia" w:ascii="Times New Roman" w:hAnsi="Times New Roman" w:eastAsia="宋体" w:cs="Times New Roman"/>
                <w:color w:val="auto"/>
                <w:spacing w:val="-4"/>
                <w:sz w:val="24"/>
                <w:szCs w:val="24"/>
                <w:lang w:val="en-US" w:eastAsia="zh-CN"/>
              </w:rPr>
              <w:t>汞及其化合物</w:t>
            </w:r>
            <w:r>
              <w:rPr>
                <w:rFonts w:hint="default" w:ascii="Times New Roman" w:hAnsi="Times New Roman" w:eastAsia="宋体" w:cs="Times New Roman"/>
                <w:color w:val="auto"/>
                <w:spacing w:val="-4"/>
                <w:sz w:val="24"/>
                <w:szCs w:val="24"/>
              </w:rPr>
              <w:t>排放量为</w:t>
            </w:r>
            <w:r>
              <w:rPr>
                <w:rFonts w:hint="eastAsia" w:ascii="Times New Roman" w:hAnsi="Times New Roman" w:eastAsia="宋体" w:cs="Times New Roman"/>
                <w:color w:val="auto"/>
                <w:spacing w:val="-4"/>
                <w:sz w:val="24"/>
                <w:szCs w:val="24"/>
                <w:lang w:val="en-US" w:eastAsia="zh-CN"/>
              </w:rPr>
              <w:t>0.036kg/a，</w:t>
            </w:r>
            <w:r>
              <w:rPr>
                <w:rFonts w:hint="eastAsia" w:cs="Times New Roman"/>
                <w:color w:val="auto"/>
                <w:spacing w:val="-4"/>
                <w:sz w:val="24"/>
                <w:szCs w:val="24"/>
                <w:lang w:val="en-US" w:eastAsia="zh-CN"/>
              </w:rPr>
              <w:t>5</w:t>
            </w:r>
            <w:r>
              <w:rPr>
                <w:rFonts w:ascii="Times New Roman" w:hAnsi="Times New Roman" w:cs="Times New Roman"/>
                <w:color w:val="auto"/>
              </w:rPr>
              <w:t>×10</w:t>
            </w:r>
            <w:r>
              <w:rPr>
                <w:rFonts w:hint="eastAsia" w:ascii="Times New Roman" w:hAnsi="Times New Roman" w:cs="Times New Roman"/>
                <w:color w:val="auto"/>
                <w:vertAlign w:val="superscript"/>
                <w:lang w:val="en-US" w:eastAsia="zh-CN"/>
              </w:rPr>
              <w:t>-5</w:t>
            </w:r>
            <w:r>
              <w:rPr>
                <w:rFonts w:hint="eastAsia" w:ascii="Times New Roman" w:hAnsi="Times New Roman" w:eastAsia="宋体" w:cs="Times New Roman"/>
                <w:color w:val="auto"/>
                <w:spacing w:val="-4"/>
                <w:sz w:val="24"/>
                <w:szCs w:val="24"/>
                <w:lang w:val="en-US" w:eastAsia="zh-CN"/>
              </w:rPr>
              <w:t>kg/h</w:t>
            </w:r>
            <w:r>
              <w:rPr>
                <w:rFonts w:hint="default" w:ascii="Times New Roman" w:hAnsi="Times New Roman" w:eastAsia="宋体" w:cs="Times New Roman"/>
                <w:color w:val="auto"/>
                <w:spacing w:val="-4"/>
                <w:sz w:val="24"/>
                <w:szCs w:val="24"/>
              </w:rPr>
              <w:t>，排放浓度为</w:t>
            </w:r>
            <w:r>
              <w:rPr>
                <w:rFonts w:hint="eastAsia" w:ascii="Times New Roman" w:hAnsi="Times New Roman" w:eastAsia="宋体" w:cs="Times New Roman"/>
                <w:color w:val="auto"/>
                <w:spacing w:val="-4"/>
                <w:sz w:val="24"/>
                <w:szCs w:val="24"/>
                <w:lang w:val="en-US" w:eastAsia="zh-CN"/>
              </w:rPr>
              <w:t>0.0016</w:t>
            </w:r>
            <w:r>
              <w:rPr>
                <w:rFonts w:hint="default" w:ascii="Times New Roman" w:hAnsi="Times New Roman" w:eastAsia="宋体" w:cs="Times New Roman"/>
                <w:color w:val="auto"/>
                <w:spacing w:val="-4"/>
                <w:sz w:val="24"/>
                <w:szCs w:val="24"/>
              </w:rPr>
              <w:t>mg/m</w:t>
            </w:r>
            <w:r>
              <w:rPr>
                <w:rFonts w:hint="default" w:ascii="Times New Roman" w:hAnsi="Times New Roman" w:eastAsia="宋体" w:cs="Times New Roman"/>
                <w:color w:val="auto"/>
                <w:spacing w:val="-4"/>
                <w:position w:val="11"/>
                <w:sz w:val="12"/>
                <w:szCs w:val="12"/>
              </w:rPr>
              <w:t>3</w:t>
            </w:r>
            <w:r>
              <w:rPr>
                <w:rFonts w:hint="default" w:ascii="Times New Roman" w:hAnsi="Times New Roman" w:eastAsia="宋体" w:cs="Times New Roman"/>
                <w:color w:val="auto"/>
                <w:spacing w:val="-4"/>
                <w:sz w:val="24"/>
                <w:szCs w:val="24"/>
              </w:rPr>
              <w:t>。</w:t>
            </w:r>
          </w:p>
          <w:p w14:paraId="08FB9AEE">
            <w:pPr>
              <w:pStyle w:val="134"/>
              <w:rPr>
                <w:rFonts w:ascii="Times New Roman" w:hAnsi="Times New Roman"/>
                <w:color w:val="auto"/>
                <w:kern w:val="2"/>
                <w:lang w:val="de-DE"/>
              </w:rPr>
            </w:pPr>
            <w:r>
              <w:rPr>
                <w:rFonts w:hint="eastAsia" w:ascii="Times New Roman" w:hAnsi="Times New Roman"/>
                <w:color w:val="auto"/>
                <w:kern w:val="2"/>
                <w:lang w:val="de-DE"/>
              </w:rPr>
              <w:t>⑥</w:t>
            </w:r>
            <w:r>
              <w:rPr>
                <w:rFonts w:ascii="Times New Roman" w:hAnsi="Times New Roman"/>
                <w:color w:val="auto"/>
                <w:kern w:val="2"/>
                <w:lang w:val="de-DE"/>
              </w:rPr>
              <w:t>NH</w:t>
            </w:r>
            <w:r>
              <w:rPr>
                <w:rFonts w:ascii="Times New Roman" w:hAnsi="Times New Roman"/>
                <w:color w:val="auto"/>
                <w:kern w:val="2"/>
                <w:vertAlign w:val="subscript"/>
                <w:lang w:val="de-DE"/>
              </w:rPr>
              <w:t>3</w:t>
            </w:r>
            <w:r>
              <w:rPr>
                <w:rFonts w:ascii="Times New Roman" w:hAnsi="Times New Roman"/>
                <w:color w:val="auto"/>
                <w:kern w:val="2"/>
                <w:lang w:val="de-DE"/>
              </w:rPr>
              <w:t>排放量</w:t>
            </w:r>
          </w:p>
          <w:p w14:paraId="76592F06">
            <w:pPr>
              <w:pStyle w:val="134"/>
              <w:jc w:val="both"/>
              <w:rPr>
                <w:rFonts w:ascii="Times New Roman" w:hAnsi="Times New Roman"/>
                <w:color w:val="auto"/>
                <w:kern w:val="2"/>
                <w:lang w:val="de-DE"/>
              </w:rPr>
            </w:pPr>
            <w:r>
              <w:rPr>
                <w:rFonts w:ascii="Times New Roman" w:hAnsi="Times New Roman"/>
                <w:color w:val="auto"/>
                <w:kern w:val="2"/>
                <w:lang w:val="de-DE"/>
              </w:rPr>
              <w:t>脱硝系统采用尿素做还原剂，NH</w:t>
            </w:r>
            <w:r>
              <w:rPr>
                <w:rFonts w:ascii="Times New Roman" w:hAnsi="Times New Roman"/>
                <w:color w:val="auto"/>
                <w:kern w:val="2"/>
                <w:vertAlign w:val="subscript"/>
                <w:lang w:val="de-DE"/>
              </w:rPr>
              <w:t>3</w:t>
            </w:r>
            <w:r>
              <w:rPr>
                <w:rFonts w:ascii="Times New Roman" w:hAnsi="Times New Roman"/>
                <w:color w:val="auto"/>
                <w:kern w:val="2"/>
                <w:lang w:val="de-DE"/>
              </w:rPr>
              <w:t>逃逸量控制在</w:t>
            </w:r>
            <w:r>
              <w:rPr>
                <w:rFonts w:hint="eastAsia" w:ascii="Times New Roman" w:hAnsi="Times New Roman"/>
                <w:color w:val="auto"/>
                <w:kern w:val="2"/>
              </w:rPr>
              <w:t>5</w:t>
            </w:r>
            <w:r>
              <w:rPr>
                <w:rFonts w:ascii="Times New Roman" w:hAnsi="Times New Roman"/>
                <w:color w:val="auto"/>
                <w:kern w:val="2"/>
                <w:lang w:val="de-DE"/>
              </w:rPr>
              <w:t>ppm以下，SO</w:t>
            </w:r>
            <w:r>
              <w:rPr>
                <w:rFonts w:ascii="Times New Roman" w:hAnsi="Times New Roman"/>
                <w:color w:val="auto"/>
                <w:kern w:val="2"/>
                <w:vertAlign w:val="subscript"/>
                <w:lang w:val="de-DE"/>
              </w:rPr>
              <w:t>2</w:t>
            </w:r>
            <w:r>
              <w:rPr>
                <w:rFonts w:ascii="Times New Roman" w:hAnsi="Times New Roman"/>
                <w:color w:val="auto"/>
                <w:kern w:val="2"/>
                <w:lang w:val="de-DE"/>
              </w:rPr>
              <w:t>向SO</w:t>
            </w:r>
            <w:r>
              <w:rPr>
                <w:rFonts w:ascii="Times New Roman" w:hAnsi="Times New Roman"/>
                <w:color w:val="auto"/>
                <w:kern w:val="2"/>
                <w:vertAlign w:val="subscript"/>
                <w:lang w:val="de-DE"/>
              </w:rPr>
              <w:t>3</w:t>
            </w:r>
            <w:r>
              <w:rPr>
                <w:rFonts w:ascii="Times New Roman" w:hAnsi="Times New Roman"/>
                <w:color w:val="auto"/>
                <w:kern w:val="2"/>
                <w:lang w:val="de-DE"/>
              </w:rPr>
              <w:t>的转化率小于1%。少量逃逸NH</w:t>
            </w:r>
            <w:r>
              <w:rPr>
                <w:rFonts w:ascii="Times New Roman" w:hAnsi="Times New Roman"/>
                <w:color w:val="auto"/>
                <w:kern w:val="2"/>
                <w:vertAlign w:val="subscript"/>
                <w:lang w:val="de-DE"/>
              </w:rPr>
              <w:t>3</w:t>
            </w:r>
            <w:r>
              <w:rPr>
                <w:rFonts w:ascii="Times New Roman" w:hAnsi="Times New Roman"/>
                <w:color w:val="auto"/>
                <w:kern w:val="2"/>
                <w:lang w:val="de-DE"/>
              </w:rPr>
              <w:t>随烟气进入</w:t>
            </w:r>
            <w:r>
              <w:rPr>
                <w:rFonts w:hint="eastAsia" w:ascii="Times New Roman" w:hAnsi="Times New Roman"/>
                <w:color w:val="auto"/>
                <w:kern w:val="2"/>
              </w:rPr>
              <w:t>石灰石—石膏法</w:t>
            </w:r>
            <w:r>
              <w:rPr>
                <w:rFonts w:ascii="Times New Roman" w:hAnsi="Times New Roman"/>
                <w:color w:val="auto"/>
                <w:kern w:val="2"/>
                <w:lang w:val="de-DE"/>
              </w:rPr>
              <w:t>脱硫系统，进入脱硫后NH</w:t>
            </w:r>
            <w:r>
              <w:rPr>
                <w:rFonts w:ascii="Times New Roman" w:hAnsi="Times New Roman"/>
                <w:color w:val="auto"/>
                <w:kern w:val="2"/>
                <w:vertAlign w:val="subscript"/>
                <w:lang w:val="de-DE"/>
              </w:rPr>
              <w:t>3</w:t>
            </w:r>
            <w:r>
              <w:rPr>
                <w:rFonts w:ascii="Times New Roman" w:hAnsi="Times New Roman"/>
                <w:color w:val="auto"/>
                <w:kern w:val="2"/>
                <w:lang w:val="de-DE"/>
              </w:rPr>
              <w:t>易溶于水生成NH</w:t>
            </w:r>
            <w:r>
              <w:rPr>
                <w:rFonts w:ascii="Times New Roman" w:hAnsi="Times New Roman"/>
                <w:color w:val="auto"/>
                <w:kern w:val="2"/>
                <w:vertAlign w:val="subscript"/>
                <w:lang w:val="de-DE"/>
              </w:rPr>
              <w:t>3</w:t>
            </w:r>
            <w:r>
              <w:rPr>
                <w:rFonts w:ascii="Times New Roman" w:hAnsi="Times New Roman"/>
                <w:color w:val="auto"/>
                <w:kern w:val="2"/>
                <w:lang w:val="de-DE"/>
              </w:rPr>
              <w:t>·H</w:t>
            </w:r>
            <w:r>
              <w:rPr>
                <w:rFonts w:ascii="Times New Roman" w:hAnsi="Times New Roman"/>
                <w:color w:val="auto"/>
                <w:kern w:val="2"/>
                <w:vertAlign w:val="subscript"/>
                <w:lang w:val="de-DE"/>
              </w:rPr>
              <w:t>2</w:t>
            </w:r>
            <w:r>
              <w:rPr>
                <w:rFonts w:ascii="Times New Roman" w:hAnsi="Times New Roman"/>
                <w:color w:val="auto"/>
                <w:kern w:val="2"/>
                <w:lang w:val="de-DE"/>
              </w:rPr>
              <w:t>O，并与烟气中SO</w:t>
            </w:r>
            <w:r>
              <w:rPr>
                <w:rFonts w:ascii="Times New Roman" w:hAnsi="Times New Roman"/>
                <w:color w:val="auto"/>
                <w:kern w:val="2"/>
                <w:vertAlign w:val="subscript"/>
                <w:lang w:val="de-DE"/>
              </w:rPr>
              <w:t>2</w:t>
            </w:r>
            <w:r>
              <w:rPr>
                <w:rFonts w:ascii="Times New Roman" w:hAnsi="Times New Roman"/>
                <w:color w:val="auto"/>
                <w:kern w:val="2"/>
                <w:lang w:val="de-DE"/>
              </w:rPr>
              <w:t>、SO</w:t>
            </w:r>
            <w:r>
              <w:rPr>
                <w:rFonts w:ascii="Times New Roman" w:hAnsi="Times New Roman"/>
                <w:color w:val="auto"/>
                <w:kern w:val="2"/>
                <w:vertAlign w:val="subscript"/>
                <w:lang w:val="de-DE"/>
              </w:rPr>
              <w:t>3</w:t>
            </w:r>
            <w:r>
              <w:rPr>
                <w:rFonts w:ascii="Times New Roman" w:hAnsi="Times New Roman"/>
                <w:color w:val="auto"/>
                <w:kern w:val="2"/>
                <w:lang w:val="de-DE"/>
              </w:rPr>
              <w:t>等发生反应生成（NH</w:t>
            </w:r>
            <w:r>
              <w:rPr>
                <w:rFonts w:ascii="Times New Roman" w:hAnsi="Times New Roman"/>
                <w:color w:val="auto"/>
                <w:kern w:val="2"/>
                <w:vertAlign w:val="subscript"/>
                <w:lang w:val="de-DE"/>
              </w:rPr>
              <w:t>4</w:t>
            </w:r>
            <w:r>
              <w:rPr>
                <w:rFonts w:ascii="Times New Roman" w:hAnsi="Times New Roman"/>
                <w:color w:val="auto"/>
                <w:kern w:val="2"/>
                <w:lang w:val="de-DE"/>
              </w:rPr>
              <w:t>）</w:t>
            </w:r>
            <w:r>
              <w:rPr>
                <w:rFonts w:ascii="Times New Roman" w:hAnsi="Times New Roman"/>
                <w:color w:val="auto"/>
                <w:kern w:val="2"/>
                <w:vertAlign w:val="subscript"/>
                <w:lang w:val="de-DE"/>
              </w:rPr>
              <w:t>2</w:t>
            </w:r>
            <w:r>
              <w:rPr>
                <w:rFonts w:ascii="Times New Roman" w:hAnsi="Times New Roman"/>
                <w:color w:val="auto"/>
                <w:kern w:val="2"/>
                <w:lang w:val="de-DE"/>
              </w:rPr>
              <w:t>SO</w:t>
            </w:r>
            <w:r>
              <w:rPr>
                <w:rFonts w:ascii="Times New Roman" w:hAnsi="Times New Roman"/>
                <w:color w:val="auto"/>
                <w:kern w:val="2"/>
                <w:vertAlign w:val="subscript"/>
                <w:lang w:val="de-DE"/>
              </w:rPr>
              <w:t>3</w:t>
            </w:r>
            <w:r>
              <w:rPr>
                <w:rFonts w:ascii="Times New Roman" w:hAnsi="Times New Roman"/>
                <w:color w:val="auto"/>
                <w:kern w:val="2"/>
                <w:lang w:val="de-DE"/>
              </w:rPr>
              <w:t>、NH</w:t>
            </w:r>
            <w:r>
              <w:rPr>
                <w:rFonts w:ascii="Times New Roman" w:hAnsi="Times New Roman"/>
                <w:color w:val="auto"/>
                <w:kern w:val="2"/>
                <w:vertAlign w:val="subscript"/>
                <w:lang w:val="de-DE"/>
              </w:rPr>
              <w:t>4</w:t>
            </w:r>
            <w:r>
              <w:rPr>
                <w:rFonts w:ascii="Times New Roman" w:hAnsi="Times New Roman"/>
                <w:color w:val="auto"/>
                <w:kern w:val="2"/>
                <w:lang w:val="de-DE"/>
              </w:rPr>
              <w:t>HSO</w:t>
            </w:r>
            <w:r>
              <w:rPr>
                <w:rFonts w:ascii="Times New Roman" w:hAnsi="Times New Roman"/>
                <w:color w:val="auto"/>
                <w:kern w:val="2"/>
                <w:vertAlign w:val="subscript"/>
                <w:lang w:val="de-DE"/>
              </w:rPr>
              <w:t>3</w:t>
            </w:r>
            <w:r>
              <w:rPr>
                <w:rFonts w:ascii="Times New Roman" w:hAnsi="Times New Roman"/>
                <w:color w:val="auto"/>
                <w:kern w:val="2"/>
                <w:lang w:val="de-DE"/>
              </w:rPr>
              <w:t>、（NH</w:t>
            </w:r>
            <w:r>
              <w:rPr>
                <w:rFonts w:ascii="Times New Roman" w:hAnsi="Times New Roman"/>
                <w:color w:val="auto"/>
                <w:kern w:val="2"/>
                <w:vertAlign w:val="subscript"/>
                <w:lang w:val="de-DE"/>
              </w:rPr>
              <w:t>4</w:t>
            </w:r>
            <w:r>
              <w:rPr>
                <w:rFonts w:ascii="Times New Roman" w:hAnsi="Times New Roman"/>
                <w:color w:val="auto"/>
                <w:kern w:val="2"/>
                <w:lang w:val="de-DE"/>
              </w:rPr>
              <w:t>）</w:t>
            </w:r>
            <w:r>
              <w:rPr>
                <w:rFonts w:ascii="Times New Roman" w:hAnsi="Times New Roman"/>
                <w:color w:val="auto"/>
                <w:kern w:val="2"/>
                <w:vertAlign w:val="subscript"/>
                <w:lang w:val="de-DE"/>
              </w:rPr>
              <w:t>2</w:t>
            </w:r>
            <w:r>
              <w:rPr>
                <w:rFonts w:ascii="Times New Roman" w:hAnsi="Times New Roman"/>
                <w:color w:val="auto"/>
                <w:kern w:val="2"/>
                <w:lang w:val="de-DE"/>
              </w:rPr>
              <w:t>SO</w:t>
            </w:r>
            <w:r>
              <w:rPr>
                <w:rFonts w:ascii="Times New Roman" w:hAnsi="Times New Roman"/>
                <w:color w:val="auto"/>
                <w:kern w:val="2"/>
                <w:vertAlign w:val="subscript"/>
                <w:lang w:val="de-DE"/>
              </w:rPr>
              <w:t>4</w:t>
            </w:r>
            <w:r>
              <w:rPr>
                <w:rFonts w:ascii="Times New Roman" w:hAnsi="Times New Roman"/>
                <w:color w:val="auto"/>
                <w:kern w:val="2"/>
                <w:lang w:val="de-DE"/>
              </w:rPr>
              <w:t>等，故烟气中NH</w:t>
            </w:r>
            <w:r>
              <w:rPr>
                <w:rFonts w:ascii="Times New Roman" w:hAnsi="Times New Roman"/>
                <w:color w:val="auto"/>
                <w:kern w:val="2"/>
                <w:vertAlign w:val="subscript"/>
                <w:lang w:val="de-DE"/>
              </w:rPr>
              <w:t>3</w:t>
            </w:r>
            <w:r>
              <w:rPr>
                <w:rFonts w:ascii="Times New Roman" w:hAnsi="Times New Roman"/>
                <w:color w:val="auto"/>
                <w:kern w:val="2"/>
                <w:lang w:val="de-DE"/>
              </w:rPr>
              <w:t>进一步吸收后排放浓度≤1mg/m</w:t>
            </w:r>
            <w:r>
              <w:rPr>
                <w:rFonts w:ascii="Times New Roman" w:hAnsi="Times New Roman"/>
                <w:color w:val="auto"/>
                <w:kern w:val="2"/>
                <w:vertAlign w:val="superscript"/>
                <w:lang w:val="de-DE"/>
              </w:rPr>
              <w:t>3</w:t>
            </w:r>
            <w:r>
              <w:rPr>
                <w:rFonts w:ascii="Times New Roman" w:hAnsi="Times New Roman"/>
                <w:color w:val="auto"/>
                <w:kern w:val="2"/>
                <w:lang w:val="de-DE"/>
              </w:rPr>
              <w:t>，由</w:t>
            </w:r>
            <w:r>
              <w:rPr>
                <w:rFonts w:hint="eastAsia" w:ascii="Times New Roman" w:hAnsi="Times New Roman"/>
                <w:color w:val="auto"/>
                <w:kern w:val="2"/>
                <w:lang w:val="en-US" w:eastAsia="zh-CN"/>
              </w:rPr>
              <w:t>烟塔合一的</w:t>
            </w:r>
            <w:r>
              <w:rPr>
                <w:rFonts w:hint="eastAsia" w:ascii="Times New Roman" w:hAnsi="Times New Roman"/>
                <w:color w:val="auto"/>
                <w:kern w:val="2"/>
                <w:highlight w:val="none"/>
                <w:lang w:val="en-US" w:eastAsia="zh-CN"/>
              </w:rPr>
              <w:t>20</w:t>
            </w:r>
            <w:r>
              <w:rPr>
                <w:rFonts w:ascii="Times New Roman" w:hAnsi="Times New Roman"/>
                <w:color w:val="auto"/>
                <w:kern w:val="2"/>
                <w:highlight w:val="none"/>
              </w:rPr>
              <w:t>m</w:t>
            </w:r>
            <w:r>
              <w:rPr>
                <w:rFonts w:ascii="Times New Roman" w:hAnsi="Times New Roman"/>
                <w:color w:val="auto"/>
                <w:kern w:val="2"/>
                <w:lang w:val="de-DE"/>
              </w:rPr>
              <w:t>高</w:t>
            </w:r>
            <w:r>
              <w:rPr>
                <w:rFonts w:hint="eastAsia" w:ascii="Times New Roman" w:hAnsi="Times New Roman"/>
                <w:color w:val="auto"/>
                <w:kern w:val="2"/>
                <w:lang w:val="en-US" w:eastAsia="zh-CN"/>
              </w:rPr>
              <w:t>排口</w:t>
            </w:r>
            <w:r>
              <w:rPr>
                <w:rFonts w:ascii="Times New Roman" w:hAnsi="Times New Roman"/>
                <w:color w:val="auto"/>
                <w:kern w:val="2"/>
                <w:lang w:val="de-DE"/>
              </w:rPr>
              <w:t>排入大气，对环境空气影响小可忽略不计。</w:t>
            </w:r>
          </w:p>
          <w:p w14:paraId="3A967426">
            <w:pPr>
              <w:pStyle w:val="134"/>
              <w:ind w:firstLine="422"/>
              <w:jc w:val="center"/>
              <w:rPr>
                <w:rFonts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eastAsia" w:ascii="Times New Roman" w:hAnsi="Times New Roman" w:cs="Times New Roman"/>
                <w:b/>
                <w:bCs/>
                <w:color w:val="auto"/>
                <w:sz w:val="21"/>
                <w:szCs w:val="21"/>
                <w:lang w:val="en-US" w:eastAsia="zh-CN"/>
              </w:rPr>
              <w:t xml:space="preserve">4-2   </w:t>
            </w:r>
            <w:r>
              <w:rPr>
                <w:rFonts w:hint="default" w:ascii="Times New Roman" w:hAnsi="Times New Roman" w:cs="Times New Roman"/>
                <w:b/>
                <w:bCs/>
                <w:color w:val="auto"/>
                <w:sz w:val="21"/>
                <w:szCs w:val="21"/>
              </w:rPr>
              <w:t>锅炉烟气污染物排放量统计</w:t>
            </w:r>
          </w:p>
          <w:tbl>
            <w:tblPr>
              <w:tblStyle w:val="31"/>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1"/>
              <w:gridCol w:w="765"/>
              <w:gridCol w:w="559"/>
              <w:gridCol w:w="980"/>
              <w:gridCol w:w="702"/>
              <w:gridCol w:w="725"/>
              <w:gridCol w:w="847"/>
              <w:gridCol w:w="737"/>
              <w:gridCol w:w="659"/>
              <w:gridCol w:w="703"/>
              <w:gridCol w:w="639"/>
            </w:tblGrid>
            <w:tr w14:paraId="4FF8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5" w:type="dxa"/>
                  <w:vMerge w:val="restart"/>
                  <w:noWrap w:val="0"/>
                  <w:vAlign w:val="center"/>
                </w:tcPr>
                <w:p w14:paraId="4C3FCFFB">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污染源</w:t>
                  </w:r>
                </w:p>
              </w:tc>
              <w:tc>
                <w:tcPr>
                  <w:tcW w:w="807" w:type="dxa"/>
                  <w:vMerge w:val="restart"/>
                  <w:noWrap w:val="0"/>
                  <w:vAlign w:val="center"/>
                </w:tcPr>
                <w:p w14:paraId="1A0A0A85">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烟气量</w:t>
                  </w:r>
                </w:p>
                <w:p w14:paraId="49213005">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Nm</w:t>
                  </w:r>
                  <w:r>
                    <w:rPr>
                      <w:rFonts w:hint="default"/>
                      <w:color w:val="auto"/>
                      <w:sz w:val="21"/>
                      <w:szCs w:val="21"/>
                      <w:vertAlign w:val="superscript"/>
                    </w:rPr>
                    <w:t>3</w:t>
                  </w:r>
                  <w:r>
                    <w:rPr>
                      <w:rFonts w:hint="default"/>
                      <w:color w:val="auto"/>
                      <w:sz w:val="21"/>
                      <w:szCs w:val="21"/>
                    </w:rPr>
                    <w:t>/h</w:t>
                  </w:r>
                </w:p>
              </w:tc>
              <w:tc>
                <w:tcPr>
                  <w:tcW w:w="590" w:type="dxa"/>
                  <w:vMerge w:val="restart"/>
                  <w:noWrap w:val="0"/>
                  <w:vAlign w:val="center"/>
                </w:tcPr>
                <w:p w14:paraId="0095DA5A">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污染因子</w:t>
                  </w:r>
                </w:p>
              </w:tc>
              <w:tc>
                <w:tcPr>
                  <w:tcW w:w="1034" w:type="dxa"/>
                  <w:vMerge w:val="restart"/>
                  <w:noWrap w:val="0"/>
                  <w:vAlign w:val="center"/>
                </w:tcPr>
                <w:p w14:paraId="40A0A62A">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治理措施</w:t>
                  </w:r>
                </w:p>
              </w:tc>
              <w:tc>
                <w:tcPr>
                  <w:tcW w:w="741" w:type="dxa"/>
                  <w:vMerge w:val="restart"/>
                  <w:noWrap w:val="0"/>
                  <w:vAlign w:val="center"/>
                </w:tcPr>
                <w:p w14:paraId="365B17F3">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浓度mg/m</w:t>
                  </w:r>
                  <w:r>
                    <w:rPr>
                      <w:rFonts w:hint="default"/>
                      <w:color w:val="auto"/>
                      <w:sz w:val="21"/>
                      <w:szCs w:val="21"/>
                      <w:vertAlign w:val="superscript"/>
                    </w:rPr>
                    <w:t>3</w:t>
                  </w:r>
                </w:p>
              </w:tc>
              <w:tc>
                <w:tcPr>
                  <w:tcW w:w="765" w:type="dxa"/>
                  <w:vMerge w:val="restart"/>
                  <w:noWrap w:val="0"/>
                  <w:vAlign w:val="center"/>
                </w:tcPr>
                <w:p w14:paraId="0A568B28">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设计去除效率</w:t>
                  </w:r>
                </w:p>
              </w:tc>
              <w:tc>
                <w:tcPr>
                  <w:tcW w:w="2367" w:type="dxa"/>
                  <w:gridSpan w:val="3"/>
                  <w:noWrap w:val="0"/>
                  <w:vAlign w:val="center"/>
                </w:tcPr>
                <w:p w14:paraId="0A89FA77">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排放量</w:t>
                  </w:r>
                </w:p>
              </w:tc>
              <w:tc>
                <w:tcPr>
                  <w:tcW w:w="742" w:type="dxa"/>
                  <w:vMerge w:val="restart"/>
                  <w:noWrap w:val="0"/>
                  <w:vAlign w:val="center"/>
                </w:tcPr>
                <w:p w14:paraId="17B1BCAB">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排放</w:t>
                  </w:r>
                </w:p>
                <w:p w14:paraId="5C755219">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标准</w:t>
                  </w:r>
                </w:p>
                <w:p w14:paraId="44FD66BA">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mg/m</w:t>
                  </w:r>
                  <w:r>
                    <w:rPr>
                      <w:rFonts w:hint="default"/>
                      <w:color w:val="auto"/>
                      <w:sz w:val="21"/>
                      <w:szCs w:val="21"/>
                      <w:vertAlign w:val="superscript"/>
                    </w:rPr>
                    <w:t>3</w:t>
                  </w:r>
                </w:p>
              </w:tc>
              <w:tc>
                <w:tcPr>
                  <w:tcW w:w="674" w:type="dxa"/>
                  <w:vMerge w:val="restart"/>
                  <w:noWrap w:val="0"/>
                  <w:vAlign w:val="center"/>
                </w:tcPr>
                <w:p w14:paraId="334313BC">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排放方式</w:t>
                  </w:r>
                </w:p>
              </w:tc>
            </w:tr>
            <w:tr w14:paraId="4D8E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655" w:type="dxa"/>
                  <w:vMerge w:val="continue"/>
                  <w:noWrap w:val="0"/>
                  <w:vAlign w:val="center"/>
                </w:tcPr>
                <w:p w14:paraId="7F0429E8">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07" w:type="dxa"/>
                  <w:vMerge w:val="continue"/>
                  <w:noWrap w:val="0"/>
                  <w:vAlign w:val="center"/>
                </w:tcPr>
                <w:p w14:paraId="142DFCD5">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590" w:type="dxa"/>
                  <w:vMerge w:val="continue"/>
                  <w:noWrap w:val="0"/>
                  <w:vAlign w:val="center"/>
                </w:tcPr>
                <w:p w14:paraId="46561D3C">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1034" w:type="dxa"/>
                  <w:vMerge w:val="continue"/>
                  <w:noWrap w:val="0"/>
                  <w:vAlign w:val="center"/>
                </w:tcPr>
                <w:p w14:paraId="28B577D5">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741" w:type="dxa"/>
                  <w:vMerge w:val="continue"/>
                  <w:noWrap w:val="0"/>
                  <w:vAlign w:val="center"/>
                </w:tcPr>
                <w:p w14:paraId="03AB0E8A">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765" w:type="dxa"/>
                  <w:vMerge w:val="continue"/>
                  <w:noWrap w:val="0"/>
                  <w:vAlign w:val="center"/>
                </w:tcPr>
                <w:p w14:paraId="01375E1C">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94" w:type="dxa"/>
                  <w:noWrap w:val="0"/>
                  <w:vAlign w:val="center"/>
                </w:tcPr>
                <w:p w14:paraId="725FF4AD">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浓度mg/m</w:t>
                  </w:r>
                  <w:r>
                    <w:rPr>
                      <w:rFonts w:hint="default"/>
                      <w:color w:val="auto"/>
                      <w:sz w:val="21"/>
                      <w:szCs w:val="21"/>
                      <w:vertAlign w:val="superscript"/>
                    </w:rPr>
                    <w:t>3</w:t>
                  </w:r>
                </w:p>
              </w:tc>
              <w:tc>
                <w:tcPr>
                  <w:tcW w:w="778" w:type="dxa"/>
                  <w:noWrap w:val="0"/>
                  <w:vAlign w:val="center"/>
                </w:tcPr>
                <w:p w14:paraId="6A6D5191">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kg/h</w:t>
                  </w:r>
                </w:p>
              </w:tc>
              <w:tc>
                <w:tcPr>
                  <w:tcW w:w="695" w:type="dxa"/>
                  <w:noWrap w:val="0"/>
                  <w:vAlign w:val="center"/>
                </w:tcPr>
                <w:p w14:paraId="061D5F2F">
                  <w:pPr>
                    <w:pStyle w:val="42"/>
                    <w:tabs>
                      <w:tab w:val="left" w:pos="1535"/>
                      <w:tab w:val="left" w:pos="3105"/>
                      <w:tab w:val="left" w:pos="4676"/>
                      <w:tab w:val="left" w:pos="6247"/>
                      <w:tab w:val="left" w:pos="7740"/>
                      <w:tab w:val="left" w:pos="9288"/>
                    </w:tabs>
                    <w:bidi w:val="0"/>
                    <w:rPr>
                      <w:rFonts w:hint="default"/>
                      <w:color w:val="auto"/>
                      <w:sz w:val="21"/>
                      <w:szCs w:val="21"/>
                    </w:rPr>
                  </w:pPr>
                  <w:r>
                    <w:rPr>
                      <w:rFonts w:hint="default"/>
                      <w:color w:val="auto"/>
                      <w:sz w:val="21"/>
                      <w:szCs w:val="21"/>
                    </w:rPr>
                    <w:t>t/a</w:t>
                  </w:r>
                </w:p>
              </w:tc>
              <w:tc>
                <w:tcPr>
                  <w:tcW w:w="742" w:type="dxa"/>
                  <w:vMerge w:val="continue"/>
                  <w:noWrap w:val="0"/>
                  <w:vAlign w:val="center"/>
                </w:tcPr>
                <w:p w14:paraId="0565063C">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674" w:type="dxa"/>
                  <w:vMerge w:val="continue"/>
                  <w:noWrap w:val="0"/>
                  <w:vAlign w:val="center"/>
                </w:tcPr>
                <w:p w14:paraId="085D43FC">
                  <w:pPr>
                    <w:pStyle w:val="42"/>
                    <w:tabs>
                      <w:tab w:val="left" w:pos="1535"/>
                      <w:tab w:val="left" w:pos="3105"/>
                      <w:tab w:val="left" w:pos="4676"/>
                      <w:tab w:val="left" w:pos="6247"/>
                      <w:tab w:val="left" w:pos="7740"/>
                      <w:tab w:val="left" w:pos="9288"/>
                    </w:tabs>
                    <w:bidi w:val="0"/>
                    <w:rPr>
                      <w:rFonts w:hint="default"/>
                      <w:color w:val="auto"/>
                      <w:sz w:val="21"/>
                      <w:szCs w:val="21"/>
                    </w:rPr>
                  </w:pPr>
                </w:p>
              </w:tc>
            </w:tr>
            <w:tr w14:paraId="3E5C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5" w:type="dxa"/>
                  <w:vMerge w:val="restart"/>
                  <w:noWrap w:val="0"/>
                  <w:vAlign w:val="center"/>
                </w:tcPr>
                <w:p w14:paraId="2B111EAE">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07" w:type="dxa"/>
                  <w:vMerge w:val="restart"/>
                  <w:noWrap w:val="0"/>
                  <w:vAlign w:val="center"/>
                </w:tcPr>
                <w:p w14:paraId="6E7EA9BC">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590" w:type="dxa"/>
                  <w:noWrap w:val="0"/>
                  <w:vAlign w:val="center"/>
                </w:tcPr>
                <w:p w14:paraId="0C6EF2C7">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1034" w:type="dxa"/>
                  <w:noWrap w:val="0"/>
                  <w:vAlign w:val="center"/>
                </w:tcPr>
                <w:p w14:paraId="02CC8B2E">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741" w:type="dxa"/>
                  <w:noWrap w:val="0"/>
                  <w:vAlign w:val="center"/>
                </w:tcPr>
                <w:p w14:paraId="0C10C363">
                  <w:pPr>
                    <w:pStyle w:val="42"/>
                    <w:bidi w:val="0"/>
                    <w:rPr>
                      <w:rFonts w:hint="default"/>
                      <w:sz w:val="21"/>
                      <w:szCs w:val="21"/>
                      <w:lang w:val="en-US" w:eastAsia="zh-CN"/>
                    </w:rPr>
                  </w:pPr>
                </w:p>
              </w:tc>
              <w:tc>
                <w:tcPr>
                  <w:tcW w:w="765" w:type="dxa"/>
                  <w:noWrap w:val="0"/>
                  <w:vAlign w:val="center"/>
                </w:tcPr>
                <w:p w14:paraId="2C0F808A">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94" w:type="dxa"/>
                  <w:noWrap w:val="0"/>
                  <w:vAlign w:val="center"/>
                </w:tcPr>
                <w:p w14:paraId="7C6076EA">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78" w:type="dxa"/>
                  <w:noWrap w:val="0"/>
                  <w:vAlign w:val="center"/>
                </w:tcPr>
                <w:p w14:paraId="69FC9E58">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695" w:type="dxa"/>
                  <w:noWrap w:val="0"/>
                  <w:vAlign w:val="center"/>
                </w:tcPr>
                <w:p w14:paraId="3C1E96DF">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42" w:type="dxa"/>
                  <w:noWrap w:val="0"/>
                  <w:vAlign w:val="center"/>
                </w:tcPr>
                <w:p w14:paraId="0EFE2898">
                  <w:pPr>
                    <w:pStyle w:val="42"/>
                    <w:tabs>
                      <w:tab w:val="left" w:pos="1535"/>
                      <w:tab w:val="left" w:pos="3105"/>
                      <w:tab w:val="left" w:pos="4676"/>
                      <w:tab w:val="left" w:pos="6247"/>
                      <w:tab w:val="left" w:pos="7740"/>
                      <w:tab w:val="left" w:pos="9288"/>
                    </w:tabs>
                    <w:bidi w:val="0"/>
                    <w:rPr>
                      <w:rFonts w:hint="default"/>
                      <w:color w:val="auto"/>
                      <w:sz w:val="21"/>
                      <w:szCs w:val="21"/>
                      <w:lang w:val="en-US"/>
                    </w:rPr>
                  </w:pPr>
                </w:p>
              </w:tc>
              <w:tc>
                <w:tcPr>
                  <w:tcW w:w="674" w:type="dxa"/>
                  <w:vMerge w:val="restart"/>
                  <w:noWrap w:val="0"/>
                  <w:vAlign w:val="center"/>
                </w:tcPr>
                <w:p w14:paraId="3B12A1F7">
                  <w:pPr>
                    <w:pStyle w:val="42"/>
                    <w:tabs>
                      <w:tab w:val="left" w:pos="1535"/>
                      <w:tab w:val="left" w:pos="3105"/>
                      <w:tab w:val="left" w:pos="4676"/>
                      <w:tab w:val="left" w:pos="6247"/>
                      <w:tab w:val="left" w:pos="7740"/>
                      <w:tab w:val="left" w:pos="9288"/>
                    </w:tabs>
                    <w:bidi w:val="0"/>
                    <w:rPr>
                      <w:rFonts w:hint="default"/>
                      <w:color w:val="auto"/>
                      <w:sz w:val="21"/>
                      <w:szCs w:val="21"/>
                    </w:rPr>
                  </w:pPr>
                </w:p>
              </w:tc>
            </w:tr>
            <w:tr w14:paraId="6497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5" w:type="dxa"/>
                  <w:vMerge w:val="continue"/>
                  <w:noWrap w:val="0"/>
                  <w:vAlign w:val="center"/>
                </w:tcPr>
                <w:p w14:paraId="390C2AC9">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07" w:type="dxa"/>
                  <w:vMerge w:val="continue"/>
                  <w:noWrap w:val="0"/>
                  <w:vAlign w:val="center"/>
                </w:tcPr>
                <w:p w14:paraId="6134E432">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590" w:type="dxa"/>
                  <w:noWrap w:val="0"/>
                  <w:vAlign w:val="center"/>
                </w:tcPr>
                <w:p w14:paraId="12A9B21C">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1034" w:type="dxa"/>
                  <w:noWrap w:val="0"/>
                  <w:vAlign w:val="center"/>
                </w:tcPr>
                <w:p w14:paraId="05C8BD84">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741" w:type="dxa"/>
                  <w:noWrap w:val="0"/>
                  <w:vAlign w:val="center"/>
                </w:tcPr>
                <w:p w14:paraId="6DEDB015">
                  <w:pPr>
                    <w:pStyle w:val="42"/>
                    <w:bidi w:val="0"/>
                    <w:rPr>
                      <w:rFonts w:hint="default"/>
                      <w:sz w:val="21"/>
                      <w:szCs w:val="21"/>
                      <w:lang w:val="en-US" w:eastAsia="zh-CN"/>
                    </w:rPr>
                  </w:pPr>
                </w:p>
              </w:tc>
              <w:tc>
                <w:tcPr>
                  <w:tcW w:w="765" w:type="dxa"/>
                  <w:noWrap w:val="0"/>
                  <w:vAlign w:val="center"/>
                </w:tcPr>
                <w:p w14:paraId="19FCE570">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94" w:type="dxa"/>
                  <w:noWrap w:val="0"/>
                  <w:vAlign w:val="center"/>
                </w:tcPr>
                <w:p w14:paraId="2D7A0D1B">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78" w:type="dxa"/>
                  <w:noWrap w:val="0"/>
                  <w:vAlign w:val="center"/>
                </w:tcPr>
                <w:p w14:paraId="7C526934">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695" w:type="dxa"/>
                  <w:noWrap w:val="0"/>
                  <w:vAlign w:val="center"/>
                </w:tcPr>
                <w:p w14:paraId="59AF219A">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42" w:type="dxa"/>
                  <w:noWrap w:val="0"/>
                  <w:vAlign w:val="center"/>
                </w:tcPr>
                <w:p w14:paraId="62F6F2EE">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674" w:type="dxa"/>
                  <w:vMerge w:val="continue"/>
                  <w:noWrap w:val="0"/>
                  <w:vAlign w:val="center"/>
                </w:tcPr>
                <w:p w14:paraId="0A314F05">
                  <w:pPr>
                    <w:pStyle w:val="42"/>
                    <w:tabs>
                      <w:tab w:val="left" w:pos="1535"/>
                      <w:tab w:val="left" w:pos="3105"/>
                      <w:tab w:val="left" w:pos="4676"/>
                      <w:tab w:val="left" w:pos="6247"/>
                      <w:tab w:val="left" w:pos="7740"/>
                      <w:tab w:val="left" w:pos="9288"/>
                    </w:tabs>
                    <w:bidi w:val="0"/>
                    <w:rPr>
                      <w:rFonts w:hint="default"/>
                      <w:color w:val="auto"/>
                      <w:sz w:val="21"/>
                      <w:szCs w:val="21"/>
                    </w:rPr>
                  </w:pPr>
                </w:p>
              </w:tc>
            </w:tr>
            <w:tr w14:paraId="2D51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5" w:type="dxa"/>
                  <w:vMerge w:val="continue"/>
                  <w:noWrap w:val="0"/>
                  <w:vAlign w:val="center"/>
                </w:tcPr>
                <w:p w14:paraId="65BE5457">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07" w:type="dxa"/>
                  <w:vMerge w:val="continue"/>
                  <w:noWrap w:val="0"/>
                  <w:vAlign w:val="center"/>
                </w:tcPr>
                <w:p w14:paraId="2DBF5F7C">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590" w:type="dxa"/>
                  <w:noWrap w:val="0"/>
                  <w:vAlign w:val="center"/>
                </w:tcPr>
                <w:p w14:paraId="63F721E6">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1034" w:type="dxa"/>
                  <w:noWrap w:val="0"/>
                  <w:vAlign w:val="center"/>
                </w:tcPr>
                <w:p w14:paraId="64F2DBA6">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741" w:type="dxa"/>
                  <w:noWrap w:val="0"/>
                  <w:vAlign w:val="center"/>
                </w:tcPr>
                <w:p w14:paraId="233130D3">
                  <w:pPr>
                    <w:pStyle w:val="42"/>
                    <w:bidi w:val="0"/>
                    <w:rPr>
                      <w:rFonts w:hint="default"/>
                      <w:sz w:val="21"/>
                      <w:szCs w:val="21"/>
                      <w:lang w:val="en-US" w:eastAsia="zh-CN"/>
                    </w:rPr>
                  </w:pPr>
                </w:p>
              </w:tc>
              <w:tc>
                <w:tcPr>
                  <w:tcW w:w="765" w:type="dxa"/>
                  <w:noWrap w:val="0"/>
                  <w:vAlign w:val="center"/>
                </w:tcPr>
                <w:p w14:paraId="4F0E9E38">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94" w:type="dxa"/>
                  <w:noWrap w:val="0"/>
                  <w:vAlign w:val="center"/>
                </w:tcPr>
                <w:p w14:paraId="38AB0827">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78" w:type="dxa"/>
                  <w:noWrap w:val="0"/>
                  <w:vAlign w:val="center"/>
                </w:tcPr>
                <w:p w14:paraId="50BCEF81">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695" w:type="dxa"/>
                  <w:noWrap w:val="0"/>
                  <w:vAlign w:val="center"/>
                </w:tcPr>
                <w:p w14:paraId="2352A490">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42" w:type="dxa"/>
                  <w:noWrap w:val="0"/>
                  <w:vAlign w:val="center"/>
                </w:tcPr>
                <w:p w14:paraId="5BBF3786">
                  <w:pPr>
                    <w:pStyle w:val="42"/>
                    <w:tabs>
                      <w:tab w:val="left" w:pos="1535"/>
                      <w:tab w:val="left" w:pos="3105"/>
                      <w:tab w:val="left" w:pos="4676"/>
                      <w:tab w:val="left" w:pos="6247"/>
                      <w:tab w:val="left" w:pos="7740"/>
                      <w:tab w:val="left" w:pos="9288"/>
                    </w:tabs>
                    <w:bidi w:val="0"/>
                    <w:rPr>
                      <w:rFonts w:hint="default"/>
                      <w:color w:val="auto"/>
                      <w:sz w:val="21"/>
                      <w:szCs w:val="21"/>
                      <w:lang w:val="en-US"/>
                    </w:rPr>
                  </w:pPr>
                </w:p>
              </w:tc>
              <w:tc>
                <w:tcPr>
                  <w:tcW w:w="674" w:type="dxa"/>
                  <w:vMerge w:val="continue"/>
                  <w:noWrap w:val="0"/>
                  <w:vAlign w:val="center"/>
                </w:tcPr>
                <w:p w14:paraId="0A9DE98D">
                  <w:pPr>
                    <w:pStyle w:val="42"/>
                    <w:tabs>
                      <w:tab w:val="left" w:pos="1535"/>
                      <w:tab w:val="left" w:pos="3105"/>
                      <w:tab w:val="left" w:pos="4676"/>
                      <w:tab w:val="left" w:pos="6247"/>
                      <w:tab w:val="left" w:pos="7740"/>
                      <w:tab w:val="left" w:pos="9288"/>
                    </w:tabs>
                    <w:bidi w:val="0"/>
                    <w:rPr>
                      <w:rFonts w:hint="default"/>
                      <w:color w:val="auto"/>
                      <w:sz w:val="21"/>
                      <w:szCs w:val="21"/>
                    </w:rPr>
                  </w:pPr>
                </w:p>
              </w:tc>
            </w:tr>
            <w:tr w14:paraId="0B67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5" w:type="dxa"/>
                  <w:vMerge w:val="continue"/>
                  <w:noWrap w:val="0"/>
                  <w:vAlign w:val="center"/>
                </w:tcPr>
                <w:p w14:paraId="29C7B953">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07" w:type="dxa"/>
                  <w:vMerge w:val="continue"/>
                  <w:noWrap w:val="0"/>
                  <w:vAlign w:val="center"/>
                </w:tcPr>
                <w:p w14:paraId="614F40FD">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590" w:type="dxa"/>
                  <w:noWrap w:val="0"/>
                  <w:vAlign w:val="center"/>
                </w:tcPr>
                <w:p w14:paraId="33723305">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1034" w:type="dxa"/>
                  <w:noWrap w:val="0"/>
                  <w:vAlign w:val="center"/>
                </w:tcPr>
                <w:p w14:paraId="06FF121C">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741" w:type="dxa"/>
                  <w:noWrap w:val="0"/>
                  <w:vAlign w:val="center"/>
                </w:tcPr>
                <w:p w14:paraId="2F63FB9C">
                  <w:pPr>
                    <w:pStyle w:val="42"/>
                    <w:bidi w:val="0"/>
                    <w:rPr>
                      <w:rFonts w:hint="default"/>
                      <w:sz w:val="21"/>
                      <w:szCs w:val="21"/>
                      <w:lang w:val="en-US" w:eastAsia="zh-CN"/>
                    </w:rPr>
                  </w:pPr>
                </w:p>
              </w:tc>
              <w:tc>
                <w:tcPr>
                  <w:tcW w:w="765" w:type="dxa"/>
                  <w:noWrap w:val="0"/>
                  <w:vAlign w:val="center"/>
                </w:tcPr>
                <w:p w14:paraId="1286E793">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894" w:type="dxa"/>
                  <w:noWrap w:val="0"/>
                  <w:vAlign w:val="center"/>
                </w:tcPr>
                <w:p w14:paraId="6C839788">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78" w:type="dxa"/>
                  <w:noWrap w:val="0"/>
                  <w:vAlign w:val="center"/>
                </w:tcPr>
                <w:p w14:paraId="15C3241D">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695" w:type="dxa"/>
                  <w:noWrap w:val="0"/>
                  <w:vAlign w:val="center"/>
                </w:tcPr>
                <w:p w14:paraId="01B72A1E">
                  <w:pPr>
                    <w:pStyle w:val="42"/>
                    <w:tabs>
                      <w:tab w:val="left" w:pos="1535"/>
                      <w:tab w:val="left" w:pos="3105"/>
                      <w:tab w:val="left" w:pos="4676"/>
                      <w:tab w:val="left" w:pos="6247"/>
                      <w:tab w:val="left" w:pos="7740"/>
                      <w:tab w:val="left" w:pos="9288"/>
                    </w:tabs>
                    <w:bidi w:val="0"/>
                    <w:rPr>
                      <w:rFonts w:hint="default"/>
                      <w:color w:val="auto"/>
                      <w:sz w:val="21"/>
                      <w:szCs w:val="21"/>
                      <w:lang w:val="en-US" w:eastAsia="zh-CN"/>
                    </w:rPr>
                  </w:pPr>
                </w:p>
              </w:tc>
              <w:tc>
                <w:tcPr>
                  <w:tcW w:w="742" w:type="dxa"/>
                  <w:noWrap w:val="0"/>
                  <w:vAlign w:val="center"/>
                </w:tcPr>
                <w:p w14:paraId="7DDC4839">
                  <w:pPr>
                    <w:pStyle w:val="42"/>
                    <w:tabs>
                      <w:tab w:val="left" w:pos="1535"/>
                      <w:tab w:val="left" w:pos="3105"/>
                      <w:tab w:val="left" w:pos="4676"/>
                      <w:tab w:val="left" w:pos="6247"/>
                      <w:tab w:val="left" w:pos="7740"/>
                      <w:tab w:val="left" w:pos="9288"/>
                    </w:tabs>
                    <w:bidi w:val="0"/>
                    <w:rPr>
                      <w:rFonts w:hint="default"/>
                      <w:color w:val="auto"/>
                      <w:sz w:val="21"/>
                      <w:szCs w:val="21"/>
                    </w:rPr>
                  </w:pPr>
                </w:p>
              </w:tc>
              <w:tc>
                <w:tcPr>
                  <w:tcW w:w="674" w:type="dxa"/>
                  <w:vMerge w:val="continue"/>
                  <w:noWrap w:val="0"/>
                  <w:vAlign w:val="center"/>
                </w:tcPr>
                <w:p w14:paraId="2F6091ED">
                  <w:pPr>
                    <w:pStyle w:val="42"/>
                    <w:tabs>
                      <w:tab w:val="left" w:pos="1535"/>
                      <w:tab w:val="left" w:pos="3105"/>
                      <w:tab w:val="left" w:pos="4676"/>
                      <w:tab w:val="left" w:pos="6247"/>
                      <w:tab w:val="left" w:pos="7740"/>
                      <w:tab w:val="left" w:pos="9288"/>
                    </w:tabs>
                    <w:bidi w:val="0"/>
                    <w:rPr>
                      <w:rFonts w:hint="default"/>
                      <w:color w:val="auto"/>
                      <w:sz w:val="21"/>
                      <w:szCs w:val="21"/>
                    </w:rPr>
                  </w:pPr>
                </w:p>
              </w:tc>
            </w:tr>
          </w:tbl>
          <w:p w14:paraId="1F4DC0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本项目满负荷运行时，汞及其化合物、SO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、NOx及颗粒物均可满足《锅炉大气污染物排放标准》（GB13271-2014）中表2</w:t>
            </w:r>
            <w:r>
              <w:rPr>
                <w:rFonts w:hint="eastAsia" w:ascii="Times New Roman" w:hAnsi="Times New Roman" w:eastAsia="宋体" w:cs="Times New Roman"/>
                <w:color w:val="auto"/>
                <w:sz w:val="24"/>
                <w:szCs w:val="24"/>
                <w:lang w:val="en-US" w:eastAsia="zh-CN"/>
              </w:rPr>
              <w:t>中排放标准限值。</w:t>
            </w:r>
          </w:p>
          <w:p w14:paraId="629451E7">
            <w:pPr>
              <w:pStyle w:val="41"/>
              <w:bidi w:val="0"/>
            </w:pPr>
            <w:r>
              <w:rPr>
                <w:rFonts w:hint="eastAsia"/>
                <w:lang w:val="en-US" w:eastAsia="zh-CN"/>
              </w:rPr>
              <w:t>2、</w:t>
            </w:r>
            <w:r>
              <w:t>无组织废气</w:t>
            </w:r>
          </w:p>
          <w:p w14:paraId="1F1489C6">
            <w:pPr>
              <w:pStyle w:val="41"/>
              <w:bidi w:val="0"/>
              <w:rPr>
                <w:rFonts w:hint="eastAsia"/>
              </w:rPr>
            </w:pPr>
            <w:r>
              <w:t>粉尘产生的环节为</w:t>
            </w:r>
            <w:r>
              <w:rPr>
                <w:rFonts w:hint="eastAsia"/>
                <w:lang w:val="en-US" w:eastAsia="zh-CN"/>
              </w:rPr>
              <w:t>煤场、</w:t>
            </w:r>
            <w:r>
              <w:t>灰渣库、石灰石粉仓装卸、</w:t>
            </w:r>
            <w:r>
              <w:rPr>
                <w:rFonts w:hint="eastAsia"/>
                <w:lang w:val="en-US" w:eastAsia="zh-CN"/>
              </w:rPr>
              <w:t>玉米筛分、装卸粉尘</w:t>
            </w:r>
            <w:r>
              <w:t>环节，工程拟采取如下无组织排放污染控制措施</w:t>
            </w:r>
            <w:r>
              <w:rPr>
                <w:rFonts w:hint="eastAsia"/>
              </w:rPr>
              <w:t>。</w:t>
            </w:r>
          </w:p>
          <w:p w14:paraId="0696E066">
            <w:pPr>
              <w:pStyle w:val="41"/>
              <w:bidi w:val="0"/>
            </w:pPr>
            <w:r>
              <w:rPr>
                <w:rFonts w:hint="eastAsia"/>
              </w:rPr>
              <w:t>（1）</w:t>
            </w:r>
            <w:r>
              <w:t>输煤系统粉尘</w:t>
            </w:r>
          </w:p>
          <w:p w14:paraId="7B67CFA3">
            <w:pPr>
              <w:pStyle w:val="41"/>
              <w:bidi w:val="0"/>
            </w:pPr>
            <w:r>
              <w:t>输煤皮带密闭，在导煤槽上接近落煤管处设置再循环风管，输煤槽采用圆弓形，适当加长、加高；落煤点处加装可调导流挡板；在导煤槽末端装双层挡帘，输送皮带上方设有喷淋水管用于燃料干燥时的加湿，输煤栈桥定期采用水力清扫，原煤为块状，</w:t>
            </w:r>
            <w:r>
              <w:rPr>
                <w:rFonts w:hint="eastAsia"/>
              </w:rPr>
              <w:t>类比调查燃煤锅炉报告，</w:t>
            </w:r>
            <w:r>
              <w:t>颗粒物产生系数取0.1kg/原料·t，颗粒物产生量约为</w:t>
            </w:r>
            <w:r>
              <w:rPr>
                <w:rFonts w:hint="eastAsia"/>
                <w:lang w:val="en-US" w:eastAsia="zh-CN"/>
              </w:rPr>
              <w:t>0.22</w:t>
            </w:r>
            <w:r>
              <w:t>t/a，全封闭输送廊及洒水降尘抑尘效率为9</w:t>
            </w:r>
            <w:r>
              <w:rPr>
                <w:rFonts w:hint="eastAsia"/>
                <w:lang w:val="en-US" w:eastAsia="zh-CN"/>
              </w:rPr>
              <w:t>0</w:t>
            </w:r>
            <w:r>
              <w:t>%，</w:t>
            </w:r>
            <w:r>
              <w:rPr>
                <w:rFonts w:hint="eastAsia"/>
                <w:lang w:val="en-US" w:eastAsia="zh-CN"/>
              </w:rPr>
              <w:t>项目运行时间为720小时，0.022t/a，</w:t>
            </w:r>
            <w:r>
              <w:t>0.0</w:t>
            </w:r>
            <w:r>
              <w:rPr>
                <w:rFonts w:hint="eastAsia"/>
                <w:lang w:val="en-US" w:eastAsia="zh-CN"/>
              </w:rPr>
              <w:t>3</w:t>
            </w:r>
            <w:r>
              <w:t>kg/h。</w:t>
            </w:r>
          </w:p>
          <w:p w14:paraId="14193DA1">
            <w:pPr>
              <w:pStyle w:val="41"/>
              <w:bidi w:val="0"/>
            </w:pPr>
            <w:r>
              <w:rPr>
                <w:rFonts w:hint="eastAsia"/>
              </w:rPr>
              <w:t>（2）</w:t>
            </w:r>
            <w:r>
              <w:t>灰渣输送</w:t>
            </w:r>
            <w:r>
              <w:rPr>
                <w:rFonts w:hint="eastAsia"/>
                <w:lang w:val="en-US" w:eastAsia="zh-CN"/>
              </w:rPr>
              <w:t>及装卸</w:t>
            </w:r>
            <w:r>
              <w:t>粉尘</w:t>
            </w:r>
          </w:p>
          <w:p w14:paraId="6BFF98B1">
            <w:pPr>
              <w:pStyle w:val="41"/>
              <w:bidi w:val="0"/>
            </w:pPr>
            <w:r>
              <w:t>本工程采用浓相气力输灰系统，粉煤灰经锅炉至布袋除尘器收集，再经仓泵输送至灰渣库里的灰库。在整个输灰系统到灰库排灰的过程中都是在密闭状态下进行的，无二次扬尘，在灰渣库采用全封闭形式，锅炉排渣在密闭状态下进行，无二次扬尘产生。</w:t>
            </w:r>
          </w:p>
          <w:p w14:paraId="13F9C5DA">
            <w:pPr>
              <w:pStyle w:val="41"/>
              <w:bidi w:val="0"/>
            </w:pPr>
            <w:r>
              <w:rPr>
                <w:rFonts w:hint="eastAsia"/>
              </w:rPr>
              <w:t>（3）</w:t>
            </w:r>
            <w:r>
              <w:t>石灰石无组织粉尘</w:t>
            </w:r>
          </w:p>
          <w:p w14:paraId="377EC354">
            <w:pPr>
              <w:pStyle w:val="41"/>
              <w:bidi w:val="0"/>
            </w:pPr>
            <w:r>
              <w:t>本项目石灰石采用袋装进厂，使用时直接将石灰石倒入水池中，由于倾倒的高度较低，且每次倾倒量较小，故本次环评不对其进行量化分析。</w:t>
            </w:r>
          </w:p>
          <w:p w14:paraId="4F7605AD">
            <w:pPr>
              <w:pStyle w:val="41"/>
              <w:bidi w:val="0"/>
            </w:pPr>
            <w:r>
              <w:t>（</w:t>
            </w:r>
            <w:r>
              <w:rPr>
                <w:rFonts w:hint="eastAsia"/>
                <w:lang w:val="en-US" w:eastAsia="zh-CN"/>
              </w:rPr>
              <w:t>4</w:t>
            </w:r>
            <w:r>
              <w:t>）</w:t>
            </w:r>
            <w:r>
              <w:rPr>
                <w:rFonts w:hint="eastAsia"/>
              </w:rPr>
              <w:t>煤场</w:t>
            </w:r>
            <w:r>
              <w:rPr>
                <w:rFonts w:hint="eastAsia"/>
                <w:lang w:eastAsia="zh-CN"/>
              </w:rPr>
              <w:t>、</w:t>
            </w:r>
            <w:r>
              <w:rPr>
                <w:rFonts w:hint="eastAsia"/>
                <w:lang w:val="en-US" w:eastAsia="zh-CN"/>
              </w:rPr>
              <w:t>灰渣间</w:t>
            </w:r>
            <w:r>
              <w:t>粉尘</w:t>
            </w:r>
          </w:p>
          <w:p w14:paraId="07A50C92">
            <w:pPr>
              <w:pStyle w:val="41"/>
              <w:bidi w:val="0"/>
              <w:rPr>
                <w:rFonts w:hint="eastAsia"/>
                <w:lang w:val="en-US" w:eastAsia="zh-CN"/>
              </w:rPr>
            </w:pPr>
            <w:r>
              <w:rPr>
                <w:rFonts w:hint="eastAsia"/>
                <w:lang w:eastAsia="zh-CN"/>
              </w:rPr>
              <w:t>煤场、</w:t>
            </w:r>
            <w:r>
              <w:rPr>
                <w:rFonts w:hint="eastAsia"/>
                <w:lang w:val="en-US" w:eastAsia="zh-CN"/>
              </w:rPr>
              <w:t>除渣间</w:t>
            </w:r>
            <w:r>
              <w:rPr>
                <w:rFonts w:hint="eastAsia"/>
              </w:rPr>
              <w:t>的起尘量</w:t>
            </w:r>
            <w:r>
              <w:rPr>
                <w:rFonts w:hint="eastAsia"/>
                <w:lang w:eastAsia="zh-CN"/>
              </w:rPr>
              <w:t>、排放量根据</w:t>
            </w:r>
            <w:r>
              <w:rPr>
                <w:rFonts w:hint="eastAsia"/>
                <w:lang w:val="en-US" w:eastAsia="zh-CN"/>
              </w:rPr>
              <w:t>《排放源统计调查产排污核算方法和系数手册》中固体堆场颗粒物产生和排放核算公式进行核算。</w:t>
            </w:r>
          </w:p>
          <w:p w14:paraId="0FB44445">
            <w:pPr>
              <w:pStyle w:val="41"/>
              <w:bidi w:val="0"/>
              <w:rPr>
                <w:rFonts w:hint="eastAsia"/>
                <w:lang w:val="en-US" w:eastAsia="zh-CN"/>
              </w:rPr>
            </w:pPr>
            <w:r>
              <w:rPr>
                <w:rFonts w:hint="eastAsia"/>
                <w:lang w:val="en-US" w:eastAsia="zh-CN"/>
              </w:rPr>
              <w:t>工业企业固体物料堆场颗粒物产生量核算公式如下：</w:t>
            </w:r>
          </w:p>
          <w:p w14:paraId="131F5D12">
            <w:pPr>
              <w:pStyle w:val="41"/>
              <w:bidi w:val="0"/>
              <w:rPr>
                <w:rFonts w:hint="eastAsia"/>
                <w:lang w:val="en-US" w:eastAsia="zh-CN"/>
              </w:rPr>
            </w:pPr>
            <w:r>
              <w:rPr>
                <w:rFonts w:hint="eastAsia"/>
                <w:lang w:val="en-US" w:eastAsia="zh-CN"/>
              </w:rPr>
              <w:drawing>
                <wp:inline distT="0" distB="0" distL="114300" distR="114300">
                  <wp:extent cx="3505200" cy="350520"/>
                  <wp:effectExtent l="0" t="0" r="0" b="11430"/>
                  <wp:docPr id="16" name="图片 19" descr="1659437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1659437393(1)"/>
                          <pic:cNvPicPr>
                            <a:picLocks noChangeAspect="1"/>
                          </pic:cNvPicPr>
                        </pic:nvPicPr>
                        <pic:blipFill>
                          <a:blip r:embed="rId18"/>
                          <a:stretch>
                            <a:fillRect/>
                          </a:stretch>
                        </pic:blipFill>
                        <pic:spPr>
                          <a:xfrm>
                            <a:off x="0" y="0"/>
                            <a:ext cx="3505200" cy="350520"/>
                          </a:xfrm>
                          <a:prstGeom prst="rect">
                            <a:avLst/>
                          </a:prstGeom>
                          <a:noFill/>
                          <a:ln>
                            <a:noFill/>
                          </a:ln>
                        </pic:spPr>
                      </pic:pic>
                    </a:graphicData>
                  </a:graphic>
                </wp:inline>
              </w:drawing>
            </w:r>
          </w:p>
          <w:p w14:paraId="6DCB2407">
            <w:pPr>
              <w:pStyle w:val="41"/>
              <w:bidi w:val="0"/>
              <w:rPr>
                <w:rFonts w:hint="eastAsia"/>
                <w:lang w:val="en-US" w:eastAsia="zh-CN"/>
              </w:rPr>
            </w:pPr>
            <w:r>
              <w:rPr>
                <w:rFonts w:hint="eastAsia"/>
                <w:lang w:val="en-US" w:eastAsia="zh-CN"/>
              </w:rPr>
              <w:t>式中：P指颗粒物产生量（单位：吨）；</w:t>
            </w:r>
          </w:p>
          <w:p w14:paraId="6083E437">
            <w:pPr>
              <w:pStyle w:val="41"/>
              <w:bidi w:val="0"/>
              <w:rPr>
                <w:rFonts w:hint="eastAsia"/>
                <w:lang w:val="en-US" w:eastAsia="zh-CN"/>
              </w:rPr>
            </w:pPr>
            <w:r>
              <w:rPr>
                <w:rFonts w:hint="eastAsia"/>
                <w:lang w:val="en-US" w:eastAsia="zh-CN"/>
              </w:rPr>
              <w:t>ZCy指装卸扬尘产生量（单位：吨）；</w:t>
            </w:r>
          </w:p>
          <w:p w14:paraId="7D7982C8">
            <w:pPr>
              <w:pStyle w:val="41"/>
              <w:bidi w:val="0"/>
              <w:rPr>
                <w:rFonts w:hint="eastAsia"/>
                <w:lang w:val="en-US" w:eastAsia="zh-CN"/>
              </w:rPr>
            </w:pPr>
            <w:r>
              <w:rPr>
                <w:rFonts w:hint="eastAsia"/>
                <w:lang w:val="en-US" w:eastAsia="zh-CN"/>
              </w:rPr>
              <w:t>FCy指风蚀扬尘产生量（单位：吨）；</w:t>
            </w:r>
          </w:p>
          <w:p w14:paraId="5456E806">
            <w:pPr>
              <w:pStyle w:val="41"/>
              <w:bidi w:val="0"/>
              <w:rPr>
                <w:rFonts w:hint="default"/>
                <w:lang w:val="en-US" w:eastAsia="zh-CN"/>
              </w:rPr>
            </w:pPr>
            <w:r>
              <w:rPr>
                <w:rFonts w:hint="eastAsia"/>
                <w:lang w:val="en-US" w:eastAsia="zh-CN"/>
              </w:rPr>
              <w:t>Nc指年物料运载车次（单位：车）；煤炭：55车次，灰渣中炉渣：10车次；</w:t>
            </w:r>
          </w:p>
          <w:p w14:paraId="2CBBBA41">
            <w:pPr>
              <w:pStyle w:val="41"/>
              <w:bidi w:val="0"/>
              <w:rPr>
                <w:rFonts w:hint="default"/>
                <w:lang w:val="en-US" w:eastAsia="zh-CN"/>
              </w:rPr>
            </w:pPr>
            <w:r>
              <w:rPr>
                <w:rFonts w:hint="eastAsia"/>
                <w:lang w:val="en-US" w:eastAsia="zh-CN"/>
              </w:rPr>
              <w:t>D指单车平均运载量（单位：吨/车）；煤炭40t/车，灰渣25t/车；</w:t>
            </w:r>
          </w:p>
          <w:p w14:paraId="6241CB22">
            <w:pPr>
              <w:pStyle w:val="41"/>
              <w:bidi w:val="0"/>
              <w:rPr>
                <w:rFonts w:hint="default"/>
                <w:lang w:val="en-US" w:eastAsia="zh-CN"/>
              </w:rPr>
            </w:pPr>
            <w:r>
              <w:rPr>
                <w:rFonts w:hint="eastAsia"/>
                <w:lang w:val="en-US" w:eastAsia="zh-CN"/>
              </w:rPr>
              <w:t>（a/b）指装卸扬尘概化系数（单位：千克/吨），a指各省风速概化系数，见附录1，b指物料含水率概化系数，见附录2；a=0.0011，煤炭b=0.0054，炉渣b=0.0005；</w:t>
            </w:r>
          </w:p>
          <w:p w14:paraId="4520350E">
            <w:pPr>
              <w:pStyle w:val="41"/>
              <w:bidi w:val="0"/>
              <w:rPr>
                <w:rFonts w:hint="default"/>
                <w:lang w:val="en-US" w:eastAsia="zh-CN"/>
              </w:rPr>
            </w:pPr>
            <w:r>
              <w:rPr>
                <w:rFonts w:hint="eastAsia"/>
                <w:lang w:val="en-US" w:eastAsia="zh-CN"/>
              </w:rPr>
              <w:t>Ef指堆场风蚀扬尘概化系数，见附录3（单位：千克/平方米）；煤炭Ef=31.1418，炉渣Ef=46.1652；</w:t>
            </w:r>
          </w:p>
          <w:p w14:paraId="3B33AAC1">
            <w:pPr>
              <w:pStyle w:val="41"/>
              <w:bidi w:val="0"/>
              <w:rPr>
                <w:rFonts w:hint="eastAsia"/>
                <w:lang w:val="en-US" w:eastAsia="zh-CN"/>
              </w:rPr>
            </w:pPr>
            <w:r>
              <w:rPr>
                <w:rFonts w:hint="eastAsia"/>
                <w:lang w:val="en-US" w:eastAsia="zh-CN"/>
              </w:rPr>
              <w:t>S指堆场占地面积（单位：平方米）。煤场及灰渣间面积S=546</w:t>
            </w:r>
            <w:r>
              <w:rPr>
                <w:rFonts w:hint="eastAsia"/>
              </w:rPr>
              <w:t>m</w:t>
            </w:r>
            <w:r>
              <w:rPr>
                <w:rFonts w:hint="eastAsia"/>
                <w:vertAlign w:val="superscript"/>
              </w:rPr>
              <w:t>2</w:t>
            </w:r>
            <w:r>
              <w:rPr>
                <w:rFonts w:hint="eastAsia"/>
                <w:lang w:eastAsia="zh-CN"/>
              </w:rPr>
              <w:t>。</w:t>
            </w:r>
          </w:p>
          <w:p w14:paraId="001BC269">
            <w:pPr>
              <w:pStyle w:val="41"/>
              <w:bidi w:val="0"/>
              <w:rPr>
                <w:rFonts w:hint="eastAsia"/>
              </w:rPr>
            </w:pPr>
            <w:r>
              <w:rPr>
                <w:rFonts w:hint="eastAsia"/>
              </w:rPr>
              <w:t>工业企业固体物料堆场颗粒物排放量核算公式如下</w:t>
            </w:r>
            <w:r>
              <w:rPr>
                <w:rFonts w:hint="eastAsia"/>
                <w:lang w:eastAsia="zh-CN"/>
              </w:rPr>
              <w:t>：</w:t>
            </w:r>
          </w:p>
          <w:p w14:paraId="04E55A64">
            <w:pPr>
              <w:pStyle w:val="41"/>
              <w:bidi w:val="0"/>
              <w:rPr>
                <w:rFonts w:hint="eastAsia"/>
              </w:rPr>
            </w:pPr>
            <w:r>
              <w:rPr>
                <w:rFonts w:hint="eastAsia"/>
              </w:rPr>
              <w:drawing>
                <wp:inline distT="0" distB="0" distL="114300" distR="114300">
                  <wp:extent cx="2354580" cy="350520"/>
                  <wp:effectExtent l="0" t="0" r="7620" b="11430"/>
                  <wp:docPr id="24" name="图片 20" descr="1659439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descr="1659439978(1)"/>
                          <pic:cNvPicPr>
                            <a:picLocks noChangeAspect="1"/>
                          </pic:cNvPicPr>
                        </pic:nvPicPr>
                        <pic:blipFill>
                          <a:blip r:embed="rId19"/>
                          <a:stretch>
                            <a:fillRect/>
                          </a:stretch>
                        </pic:blipFill>
                        <pic:spPr>
                          <a:xfrm>
                            <a:off x="0" y="0"/>
                            <a:ext cx="2354580" cy="350520"/>
                          </a:xfrm>
                          <a:prstGeom prst="rect">
                            <a:avLst/>
                          </a:prstGeom>
                          <a:noFill/>
                          <a:ln>
                            <a:noFill/>
                          </a:ln>
                        </pic:spPr>
                      </pic:pic>
                    </a:graphicData>
                  </a:graphic>
                </wp:inline>
              </w:drawing>
            </w:r>
          </w:p>
          <w:p w14:paraId="072A7F3A">
            <w:pPr>
              <w:pStyle w:val="41"/>
              <w:bidi w:val="0"/>
              <w:rPr>
                <w:rFonts w:hint="eastAsia"/>
                <w:lang w:eastAsia="zh-CN"/>
              </w:rPr>
            </w:pPr>
            <w:r>
              <w:rPr>
                <w:rFonts w:hint="eastAsia"/>
              </w:rPr>
              <w:t>式中</w:t>
            </w:r>
            <w:r>
              <w:rPr>
                <w:rFonts w:hint="eastAsia"/>
                <w:lang w:val="en-US" w:eastAsia="zh-CN"/>
              </w:rPr>
              <w:t>：</w:t>
            </w:r>
            <w:r>
              <w:rPr>
                <w:rFonts w:hint="eastAsia"/>
              </w:rPr>
              <w:t>P指颗粒物产生量</w:t>
            </w:r>
            <w:r>
              <w:rPr>
                <w:rFonts w:hint="eastAsia"/>
                <w:lang w:eastAsia="zh-CN"/>
              </w:rPr>
              <w:t>（</w:t>
            </w:r>
            <w:r>
              <w:rPr>
                <w:rFonts w:hint="eastAsia"/>
              </w:rPr>
              <w:t>单位</w:t>
            </w:r>
            <w:r>
              <w:rPr>
                <w:rFonts w:hint="eastAsia"/>
                <w:lang w:val="en-US" w:eastAsia="zh-CN"/>
              </w:rPr>
              <w:t>：</w:t>
            </w:r>
            <w:r>
              <w:rPr>
                <w:rFonts w:hint="eastAsia"/>
              </w:rPr>
              <w:t>吨</w:t>
            </w:r>
            <w:r>
              <w:rPr>
                <w:rFonts w:hint="eastAsia"/>
                <w:lang w:eastAsia="zh-CN"/>
              </w:rPr>
              <w:t>）；</w:t>
            </w:r>
          </w:p>
          <w:p w14:paraId="1E13ABD3">
            <w:pPr>
              <w:pStyle w:val="41"/>
              <w:bidi w:val="0"/>
              <w:rPr>
                <w:rFonts w:hint="eastAsia"/>
                <w:lang w:eastAsia="zh-CN"/>
              </w:rPr>
            </w:pPr>
            <w:r>
              <w:rPr>
                <w:rFonts w:hint="eastAsia"/>
              </w:rPr>
              <w:t>U</w:t>
            </w:r>
            <w:r>
              <w:rPr>
                <w:rFonts w:hint="eastAsia"/>
                <w:lang w:eastAsia="zh-CN"/>
              </w:rPr>
              <w:t>c</w:t>
            </w:r>
            <w:r>
              <w:rPr>
                <w:rFonts w:hint="eastAsia"/>
              </w:rPr>
              <w:t>指颗粒物排放量</w:t>
            </w:r>
            <w:r>
              <w:rPr>
                <w:rFonts w:hint="eastAsia"/>
                <w:lang w:eastAsia="zh-CN"/>
              </w:rPr>
              <w:t>（</w:t>
            </w:r>
            <w:r>
              <w:rPr>
                <w:rFonts w:hint="eastAsia"/>
              </w:rPr>
              <w:t>单位</w:t>
            </w:r>
            <w:r>
              <w:rPr>
                <w:rFonts w:hint="eastAsia"/>
                <w:lang w:eastAsia="zh-CN"/>
              </w:rPr>
              <w:t>：</w:t>
            </w:r>
            <w:r>
              <w:rPr>
                <w:rFonts w:hint="eastAsia"/>
              </w:rPr>
              <w:t>吨</w:t>
            </w:r>
            <w:r>
              <w:rPr>
                <w:rFonts w:hint="eastAsia"/>
                <w:lang w:eastAsia="zh-CN"/>
              </w:rPr>
              <w:t>）；</w:t>
            </w:r>
          </w:p>
          <w:p w14:paraId="406BD0C3">
            <w:pPr>
              <w:pStyle w:val="41"/>
              <w:bidi w:val="0"/>
              <w:rPr>
                <w:rFonts w:hint="default"/>
                <w:lang w:val="en-US" w:eastAsia="zh-CN"/>
              </w:rPr>
            </w:pPr>
            <w:r>
              <w:rPr>
                <w:rFonts w:hint="eastAsia"/>
              </w:rPr>
              <w:t>Cm指颗粒物控制措施控制效率</w:t>
            </w:r>
            <w:r>
              <w:rPr>
                <w:rFonts w:hint="eastAsia"/>
                <w:lang w:eastAsia="zh-CN"/>
              </w:rPr>
              <w:t>（</w:t>
            </w:r>
            <w:r>
              <w:rPr>
                <w:rFonts w:hint="eastAsia"/>
              </w:rPr>
              <w:t>单位</w:t>
            </w:r>
            <w:r>
              <w:rPr>
                <w:rFonts w:hint="eastAsia"/>
                <w:lang w:eastAsia="zh-CN"/>
              </w:rPr>
              <w:t>：</w:t>
            </w:r>
            <w:r>
              <w:rPr>
                <w:rFonts w:hint="eastAsia"/>
              </w:rPr>
              <w:t>%</w:t>
            </w:r>
            <w:r>
              <w:rPr>
                <w:rFonts w:hint="eastAsia"/>
                <w:lang w:eastAsia="zh-CN"/>
              </w:rPr>
              <w:t>）</w:t>
            </w:r>
            <w:r>
              <w:rPr>
                <w:rFonts w:hint="eastAsia"/>
              </w:rPr>
              <w:t>，见附录4</w:t>
            </w:r>
            <w:r>
              <w:rPr>
                <w:rFonts w:hint="eastAsia"/>
                <w:lang w:eastAsia="zh-CN"/>
              </w:rPr>
              <w:t>；</w:t>
            </w:r>
            <w:r>
              <w:rPr>
                <w:rFonts w:hint="eastAsia"/>
                <w:lang w:val="en-US" w:eastAsia="zh-CN"/>
              </w:rPr>
              <w:t>控制效率78%；</w:t>
            </w:r>
          </w:p>
          <w:p w14:paraId="4A303792">
            <w:pPr>
              <w:pStyle w:val="41"/>
              <w:bidi w:val="0"/>
              <w:rPr>
                <w:rFonts w:hint="default"/>
                <w:lang w:val="en-US" w:eastAsia="zh-CN"/>
              </w:rPr>
            </w:pPr>
            <w:r>
              <w:rPr>
                <w:rFonts w:hint="eastAsia"/>
              </w:rPr>
              <w:t>Tm指堆场类型控制效率</w:t>
            </w:r>
            <w:r>
              <w:rPr>
                <w:rFonts w:hint="eastAsia"/>
                <w:lang w:eastAsia="zh-CN"/>
              </w:rPr>
              <w:t>（</w:t>
            </w:r>
            <w:r>
              <w:rPr>
                <w:rFonts w:hint="eastAsia"/>
              </w:rPr>
              <w:t>单位</w:t>
            </w:r>
            <w:r>
              <w:rPr>
                <w:rFonts w:hint="eastAsia"/>
                <w:lang w:eastAsia="zh-CN"/>
              </w:rPr>
              <w:t>：</w:t>
            </w:r>
            <w:r>
              <w:rPr>
                <w:rFonts w:hint="eastAsia"/>
              </w:rPr>
              <w:t>%</w:t>
            </w:r>
            <w:r>
              <w:rPr>
                <w:rFonts w:hint="eastAsia"/>
                <w:lang w:eastAsia="zh-CN"/>
              </w:rPr>
              <w:t>）</w:t>
            </w:r>
            <w:r>
              <w:rPr>
                <w:rFonts w:hint="eastAsia"/>
              </w:rPr>
              <w:t>，见附录5。</w:t>
            </w:r>
            <w:r>
              <w:rPr>
                <w:rFonts w:hint="eastAsia"/>
                <w:lang w:eastAsia="zh-CN"/>
              </w:rPr>
              <w:t>煤场、</w:t>
            </w:r>
            <w:r>
              <w:rPr>
                <w:rFonts w:hint="eastAsia"/>
                <w:lang w:val="en-US" w:eastAsia="zh-CN"/>
              </w:rPr>
              <w:t>除渣间</w:t>
            </w:r>
            <w:r>
              <w:rPr>
                <w:rFonts w:hint="eastAsia"/>
                <w:lang w:eastAsia="zh-CN"/>
              </w:rPr>
              <w:t>均为密闭式，控制效率</w:t>
            </w:r>
            <w:r>
              <w:rPr>
                <w:rFonts w:hint="eastAsia"/>
                <w:lang w:val="en-US" w:eastAsia="zh-CN"/>
              </w:rPr>
              <w:t>99%</w:t>
            </w:r>
          </w:p>
          <w:p w14:paraId="36CA6AFA">
            <w:pPr>
              <w:pStyle w:val="41"/>
              <w:bidi w:val="0"/>
              <w:rPr>
                <w:rFonts w:hint="eastAsia"/>
                <w:lang w:eastAsia="zh-CN"/>
              </w:rPr>
            </w:pPr>
            <w:r>
              <w:rPr>
                <w:rFonts w:hint="eastAsia"/>
                <w:lang w:eastAsia="zh-CN"/>
              </w:rPr>
              <w:t>经计算，</w:t>
            </w:r>
            <w:r>
              <w:rPr>
                <w:rFonts w:hint="eastAsia"/>
              </w:rPr>
              <w:t>煤场</w:t>
            </w:r>
            <w:r>
              <w:rPr>
                <w:rFonts w:hint="eastAsia"/>
                <w:lang w:eastAsia="zh-CN"/>
              </w:rPr>
              <w:t>、</w:t>
            </w:r>
            <w:r>
              <w:rPr>
                <w:rFonts w:hint="eastAsia"/>
                <w:lang w:val="en-US" w:eastAsia="zh-CN"/>
              </w:rPr>
              <w:t>除渣间</w:t>
            </w:r>
            <w:r>
              <w:rPr>
                <w:rFonts w:hint="eastAsia"/>
                <w:lang w:eastAsia="zh-CN"/>
              </w:rPr>
              <w:t>颗粒物排放量为</w:t>
            </w:r>
            <w:r>
              <w:rPr>
                <w:rFonts w:hint="eastAsia"/>
                <w:lang w:val="en-US" w:eastAsia="zh-CN"/>
              </w:rPr>
              <w:t>0.86</w:t>
            </w:r>
            <w:r>
              <w:t>t/a</w:t>
            </w:r>
            <w:r>
              <w:rPr>
                <w:rFonts w:hint="eastAsia"/>
                <w:lang w:eastAsia="zh-CN"/>
              </w:rPr>
              <w:t>。</w:t>
            </w:r>
          </w:p>
          <w:p w14:paraId="55923A44">
            <w:pPr>
              <w:pStyle w:val="41"/>
              <w:bidi w:val="0"/>
              <w:rPr>
                <w:rFonts w:hint="default"/>
                <w:lang w:val="en-US" w:eastAsia="zh-CN"/>
              </w:rPr>
            </w:pPr>
            <w:r>
              <w:rPr>
                <w:rFonts w:hint="eastAsia"/>
                <w:lang w:val="en-US" w:eastAsia="zh-CN"/>
              </w:rPr>
              <w:t>（5）装卸粉尘</w:t>
            </w:r>
          </w:p>
          <w:p w14:paraId="04F3D5B0">
            <w:pPr>
              <w:pStyle w:val="41"/>
              <w:bidi w:val="0"/>
            </w:pPr>
            <w:r>
              <w:rPr>
                <w:rFonts w:hint="eastAsia"/>
              </w:rPr>
              <w:t>项目卸料、入仓、入厂产生的颗粒物，产污系数参考《逸散性工业粉尘控制技术》中“第五章、谷物贮仓”中“三、颗粒特性”，收料卸料颗粒物产生系数为0.3kg/t-原料，</w:t>
            </w:r>
            <w:r>
              <w:rPr>
                <w:rFonts w:hint="eastAsia"/>
                <w:lang w:val="en-US" w:eastAsia="zh-CN"/>
              </w:rPr>
              <w:t>原料玉米用量为48571吨，</w:t>
            </w:r>
            <w:r>
              <w:rPr>
                <w:rFonts w:hint="eastAsia"/>
              </w:rPr>
              <w:t>则卸料、入仓、入厂颗粒物产生量为</w:t>
            </w:r>
            <w:r>
              <w:rPr>
                <w:rFonts w:hint="eastAsia"/>
                <w:lang w:val="en-US" w:eastAsia="zh-CN"/>
              </w:rPr>
              <w:t>14.57</w:t>
            </w:r>
            <w:r>
              <w:rPr>
                <w:rFonts w:hint="eastAsia"/>
              </w:rPr>
              <w:t>t/a</w:t>
            </w:r>
            <w:r>
              <w:rPr>
                <w:rFonts w:hint="eastAsia"/>
                <w:lang w:eastAsia="zh-CN"/>
              </w:rPr>
              <w:t>；</w:t>
            </w:r>
            <w:r>
              <w:rPr>
                <w:rFonts w:hint="eastAsia"/>
              </w:rPr>
              <w:t>根据《污染源统计调查产排污核算方法和系数手册》中的附表2《固体物料堆存颗粒物产排污核算系数手册》中的附录5堆场类型控制效率得知，本项目密闭式仓库控制效率可达到99％，通过加强仓库密闭、加强生产操作管理等措施后卸料、入仓、入厂颗粒物无组织排放量为</w:t>
            </w:r>
            <w:r>
              <w:rPr>
                <w:rFonts w:hint="eastAsia"/>
                <w:lang w:val="en-US" w:eastAsia="zh-CN"/>
              </w:rPr>
              <w:t>0.146</w:t>
            </w:r>
            <w:r>
              <w:rPr>
                <w:rFonts w:hint="eastAsia"/>
              </w:rPr>
              <w:t>t/a。</w:t>
            </w:r>
          </w:p>
          <w:p w14:paraId="1FE3E6F4">
            <w:pPr>
              <w:pStyle w:val="41"/>
              <w:bidi w:val="0"/>
              <w:rPr>
                <w:rFonts w:hint="default"/>
                <w:lang w:val="en-US" w:eastAsia="zh-CN"/>
              </w:rPr>
            </w:pPr>
            <w:r>
              <w:rPr>
                <w:rFonts w:hint="eastAsia"/>
                <w:lang w:val="en-US" w:eastAsia="zh-CN"/>
              </w:rPr>
              <w:t>（6）筛分粉尘</w:t>
            </w:r>
          </w:p>
          <w:p w14:paraId="0A72D739">
            <w:pPr>
              <w:pStyle w:val="41"/>
              <w:bidi w:val="0"/>
              <w:rPr>
                <w:rFonts w:hint="eastAsia"/>
                <w:lang w:val="en-US" w:eastAsia="zh-CN"/>
              </w:rPr>
            </w:pPr>
            <w:r>
              <w:rPr>
                <w:rFonts w:hint="eastAsia"/>
                <w:lang w:val="en-US" w:eastAsia="zh-CN"/>
              </w:rPr>
              <w:t>玉米清理除杂颗粒物参考《排放源统计调查产排污核算方法和系数手册》的公告（公告2021年第24号）中131谷物磨制行业系数手册计算，产污系数见表2-2。</w:t>
            </w:r>
          </w:p>
          <w:p w14:paraId="3546432A">
            <w:pPr>
              <w:pStyle w:val="53"/>
              <w:bidi w:val="0"/>
              <w:rPr>
                <w:rFonts w:hint="default"/>
                <w:lang w:val="en-US" w:eastAsia="zh-CN"/>
              </w:rPr>
            </w:pPr>
            <w:r>
              <w:rPr>
                <w:rFonts w:hint="eastAsia"/>
                <w:lang w:val="en-US" w:eastAsia="zh-CN"/>
              </w:rPr>
              <w:t>表4-3   谷物磨制行业系数表</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240"/>
              <w:gridCol w:w="1318"/>
              <w:gridCol w:w="986"/>
              <w:gridCol w:w="1189"/>
              <w:gridCol w:w="836"/>
              <w:gridCol w:w="1425"/>
            </w:tblGrid>
            <w:tr w14:paraId="5ABF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top"/>
                </w:tcPr>
                <w:p w14:paraId="3530EDD1">
                  <w:pPr>
                    <w:pStyle w:val="42"/>
                    <w:bidi w:val="0"/>
                    <w:rPr>
                      <w:rFonts w:hint="default"/>
                      <w:lang w:val="en-US" w:eastAsia="zh-CN"/>
                    </w:rPr>
                  </w:pPr>
                  <w:r>
                    <w:rPr>
                      <w:rFonts w:hint="eastAsia"/>
                      <w:lang w:val="en-US" w:eastAsia="zh-CN"/>
                    </w:rPr>
                    <w:t>产品名称</w:t>
                  </w:r>
                </w:p>
              </w:tc>
              <w:tc>
                <w:tcPr>
                  <w:tcW w:w="1240" w:type="dxa"/>
                  <w:vAlign w:val="top"/>
                </w:tcPr>
                <w:p w14:paraId="27C1516D">
                  <w:pPr>
                    <w:pStyle w:val="42"/>
                    <w:bidi w:val="0"/>
                    <w:rPr>
                      <w:rFonts w:hint="default"/>
                      <w:lang w:val="en-US" w:eastAsia="zh-CN"/>
                    </w:rPr>
                  </w:pPr>
                  <w:r>
                    <w:rPr>
                      <w:rFonts w:hint="eastAsia"/>
                      <w:lang w:val="en-US" w:eastAsia="zh-CN"/>
                    </w:rPr>
                    <w:t>原料名称</w:t>
                  </w:r>
                </w:p>
              </w:tc>
              <w:tc>
                <w:tcPr>
                  <w:tcW w:w="1318" w:type="dxa"/>
                  <w:vAlign w:val="top"/>
                </w:tcPr>
                <w:p w14:paraId="386F081E">
                  <w:pPr>
                    <w:pStyle w:val="42"/>
                    <w:bidi w:val="0"/>
                    <w:rPr>
                      <w:rFonts w:hint="default"/>
                      <w:lang w:val="en-US" w:eastAsia="zh-CN"/>
                    </w:rPr>
                  </w:pPr>
                  <w:r>
                    <w:rPr>
                      <w:rFonts w:hint="eastAsia"/>
                      <w:lang w:val="en-US" w:eastAsia="zh-CN"/>
                    </w:rPr>
                    <w:t>工艺名称</w:t>
                  </w:r>
                </w:p>
              </w:tc>
              <w:tc>
                <w:tcPr>
                  <w:tcW w:w="986" w:type="dxa"/>
                  <w:vAlign w:val="top"/>
                </w:tcPr>
                <w:p w14:paraId="19F80C46">
                  <w:pPr>
                    <w:pStyle w:val="42"/>
                    <w:bidi w:val="0"/>
                    <w:rPr>
                      <w:rFonts w:hint="default"/>
                      <w:lang w:val="en-US" w:eastAsia="zh-CN"/>
                    </w:rPr>
                  </w:pPr>
                  <w:r>
                    <w:rPr>
                      <w:rFonts w:hint="eastAsia"/>
                      <w:lang w:val="en-US" w:eastAsia="zh-CN"/>
                    </w:rPr>
                    <w:t>污染物指标</w:t>
                  </w:r>
                </w:p>
              </w:tc>
              <w:tc>
                <w:tcPr>
                  <w:tcW w:w="1189" w:type="dxa"/>
                  <w:vAlign w:val="top"/>
                </w:tcPr>
                <w:p w14:paraId="79D79953">
                  <w:pPr>
                    <w:pStyle w:val="42"/>
                    <w:bidi w:val="0"/>
                    <w:rPr>
                      <w:rFonts w:hint="default"/>
                      <w:lang w:val="en-US" w:eastAsia="zh-CN"/>
                    </w:rPr>
                  </w:pPr>
                  <w:r>
                    <w:rPr>
                      <w:rFonts w:hint="eastAsia"/>
                      <w:lang w:val="en-US" w:eastAsia="zh-CN"/>
                    </w:rPr>
                    <w:t>单位</w:t>
                  </w:r>
                </w:p>
              </w:tc>
              <w:tc>
                <w:tcPr>
                  <w:tcW w:w="836" w:type="dxa"/>
                  <w:vAlign w:val="top"/>
                </w:tcPr>
                <w:p w14:paraId="70641086">
                  <w:pPr>
                    <w:pStyle w:val="42"/>
                    <w:bidi w:val="0"/>
                    <w:rPr>
                      <w:rFonts w:hint="default"/>
                      <w:lang w:val="en-US" w:eastAsia="zh-CN"/>
                    </w:rPr>
                  </w:pPr>
                  <w:r>
                    <w:rPr>
                      <w:rFonts w:hint="eastAsia"/>
                      <w:lang w:val="en-US" w:eastAsia="zh-CN"/>
                    </w:rPr>
                    <w:t>产污系数</w:t>
                  </w:r>
                </w:p>
              </w:tc>
              <w:tc>
                <w:tcPr>
                  <w:tcW w:w="1425" w:type="dxa"/>
                  <w:vAlign w:val="top"/>
                </w:tcPr>
                <w:p w14:paraId="7C7B2BF1">
                  <w:pPr>
                    <w:pStyle w:val="42"/>
                    <w:bidi w:val="0"/>
                    <w:rPr>
                      <w:rFonts w:hint="default"/>
                      <w:lang w:val="en-US" w:eastAsia="zh-CN"/>
                    </w:rPr>
                  </w:pPr>
                  <w:r>
                    <w:rPr>
                      <w:rFonts w:hint="eastAsia"/>
                      <w:lang w:val="en-US" w:eastAsia="zh-CN"/>
                    </w:rPr>
                    <w:t>治理技术及去除率</w:t>
                  </w:r>
                </w:p>
              </w:tc>
            </w:tr>
            <w:tr w14:paraId="42F7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top"/>
                </w:tcPr>
                <w:p w14:paraId="7535426C">
                  <w:pPr>
                    <w:pStyle w:val="42"/>
                    <w:bidi w:val="0"/>
                    <w:rPr>
                      <w:rFonts w:hint="default"/>
                      <w:lang w:val="en-US" w:eastAsia="zh-CN"/>
                    </w:rPr>
                  </w:pPr>
                  <w:r>
                    <w:rPr>
                      <w:rFonts w:hint="eastAsia"/>
                      <w:lang w:val="en-US" w:eastAsia="zh-CN"/>
                    </w:rPr>
                    <w:t>玉米</w:t>
                  </w:r>
                </w:p>
              </w:tc>
              <w:tc>
                <w:tcPr>
                  <w:tcW w:w="1240" w:type="dxa"/>
                  <w:vAlign w:val="top"/>
                </w:tcPr>
                <w:p w14:paraId="46580481">
                  <w:pPr>
                    <w:pStyle w:val="42"/>
                    <w:bidi w:val="0"/>
                    <w:rPr>
                      <w:rFonts w:hint="default"/>
                      <w:lang w:val="en-US" w:eastAsia="zh-CN"/>
                    </w:rPr>
                  </w:pPr>
                  <w:r>
                    <w:rPr>
                      <w:rFonts w:hint="eastAsia"/>
                      <w:lang w:val="en-US" w:eastAsia="zh-CN"/>
                    </w:rPr>
                    <w:t>收购玉米</w:t>
                  </w:r>
                </w:p>
              </w:tc>
              <w:tc>
                <w:tcPr>
                  <w:tcW w:w="1318" w:type="dxa"/>
                  <w:vAlign w:val="top"/>
                </w:tcPr>
                <w:p w14:paraId="05CA6458">
                  <w:pPr>
                    <w:pStyle w:val="42"/>
                    <w:bidi w:val="0"/>
                    <w:rPr>
                      <w:rFonts w:hint="default"/>
                      <w:lang w:val="en-US" w:eastAsia="zh-CN"/>
                    </w:rPr>
                  </w:pPr>
                  <w:r>
                    <w:rPr>
                      <w:rFonts w:hint="eastAsia"/>
                      <w:lang w:val="en-US" w:eastAsia="zh-CN"/>
                    </w:rPr>
                    <w:t>清理、除尘</w:t>
                  </w:r>
                </w:p>
              </w:tc>
              <w:tc>
                <w:tcPr>
                  <w:tcW w:w="986" w:type="dxa"/>
                  <w:vAlign w:val="top"/>
                </w:tcPr>
                <w:p w14:paraId="740A64F1">
                  <w:pPr>
                    <w:pStyle w:val="42"/>
                    <w:bidi w:val="0"/>
                    <w:rPr>
                      <w:rFonts w:hint="default"/>
                      <w:lang w:val="en-US" w:eastAsia="zh-CN"/>
                    </w:rPr>
                  </w:pPr>
                  <w:r>
                    <w:rPr>
                      <w:rFonts w:hint="eastAsia"/>
                      <w:lang w:val="en-US" w:eastAsia="zh-CN"/>
                    </w:rPr>
                    <w:t>颗粒物</w:t>
                  </w:r>
                </w:p>
              </w:tc>
              <w:tc>
                <w:tcPr>
                  <w:tcW w:w="1189" w:type="dxa"/>
                  <w:vAlign w:val="top"/>
                </w:tcPr>
                <w:p w14:paraId="1910FA6F">
                  <w:pPr>
                    <w:pStyle w:val="42"/>
                    <w:bidi w:val="0"/>
                    <w:rPr>
                      <w:rFonts w:hint="eastAsia"/>
                      <w:lang w:val="en-US" w:eastAsia="zh-CN"/>
                    </w:rPr>
                  </w:pPr>
                  <w:r>
                    <w:rPr>
                      <w:rFonts w:hint="eastAsia"/>
                      <w:lang w:val="en-US" w:eastAsia="zh-CN"/>
                    </w:rPr>
                    <w:t>kg/吨-产品</w:t>
                  </w:r>
                </w:p>
              </w:tc>
              <w:tc>
                <w:tcPr>
                  <w:tcW w:w="836" w:type="dxa"/>
                  <w:vAlign w:val="top"/>
                </w:tcPr>
                <w:p w14:paraId="67C7BF81">
                  <w:pPr>
                    <w:pStyle w:val="42"/>
                    <w:bidi w:val="0"/>
                    <w:rPr>
                      <w:rFonts w:hint="default"/>
                      <w:lang w:val="en-US" w:eastAsia="zh-CN"/>
                    </w:rPr>
                  </w:pPr>
                  <w:r>
                    <w:rPr>
                      <w:rFonts w:hint="eastAsia"/>
                      <w:lang w:val="en-US" w:eastAsia="zh-CN"/>
                    </w:rPr>
                    <w:t>0.023</w:t>
                  </w:r>
                </w:p>
              </w:tc>
              <w:tc>
                <w:tcPr>
                  <w:tcW w:w="1425" w:type="dxa"/>
                  <w:vAlign w:val="top"/>
                </w:tcPr>
                <w:p w14:paraId="4A283D42">
                  <w:pPr>
                    <w:pStyle w:val="42"/>
                    <w:bidi w:val="0"/>
                    <w:rPr>
                      <w:rFonts w:hint="default"/>
                      <w:lang w:val="en-US" w:eastAsia="zh-CN"/>
                    </w:rPr>
                  </w:pPr>
                  <w:r>
                    <w:rPr>
                      <w:rFonts w:hint="eastAsia"/>
                      <w:lang w:val="en-US" w:eastAsia="zh-CN"/>
                    </w:rPr>
                    <w:t>/</w:t>
                  </w:r>
                </w:p>
              </w:tc>
            </w:tr>
          </w:tbl>
          <w:p w14:paraId="4E288002">
            <w:pPr>
              <w:pStyle w:val="41"/>
              <w:bidi w:val="0"/>
              <w:rPr>
                <w:rFonts w:hint="eastAsia"/>
                <w:lang w:val="en-US" w:eastAsia="zh-CN"/>
              </w:rPr>
            </w:pPr>
            <w:r>
              <w:rPr>
                <w:rFonts w:hint="eastAsia"/>
                <w:lang w:val="en-US" w:eastAsia="zh-CN"/>
              </w:rPr>
              <w:t>根据上表可知，玉米在筛分过程中产生的颗粒物分别为1.12t/a，1.5kg/h。</w:t>
            </w:r>
          </w:p>
          <w:p w14:paraId="6B488A1A">
            <w:pPr>
              <w:pStyle w:val="41"/>
              <w:bidi w:val="0"/>
            </w:pPr>
            <w:r>
              <w:rPr>
                <w:rFonts w:hint="eastAsia"/>
              </w:rPr>
              <w:t>根据《污染源统计调查产排污核算方法和系数手册》中的附表2《固体物料堆存颗粒物产排污核算系数手册》中的附录5堆场类型控制效率得知，本项目密闭式仓库控制效率可达到99％，通过加强仓库密闭、加强生产操作管理等措施后</w:t>
            </w:r>
            <w:r>
              <w:rPr>
                <w:rFonts w:hint="eastAsia"/>
                <w:lang w:val="en-US" w:eastAsia="zh-CN"/>
              </w:rPr>
              <w:t>筛分</w:t>
            </w:r>
            <w:r>
              <w:rPr>
                <w:rFonts w:hint="eastAsia"/>
              </w:rPr>
              <w:t>颗粒物无组织排放量为</w:t>
            </w:r>
            <w:r>
              <w:rPr>
                <w:rFonts w:hint="eastAsia"/>
                <w:lang w:val="en-US" w:eastAsia="zh-CN"/>
              </w:rPr>
              <w:t>0.0112</w:t>
            </w:r>
            <w:r>
              <w:rPr>
                <w:rFonts w:hint="eastAsia"/>
              </w:rPr>
              <w:t>t/a</w:t>
            </w:r>
            <w:r>
              <w:rPr>
                <w:rFonts w:hint="eastAsia"/>
                <w:lang w:eastAsia="zh-CN"/>
              </w:rPr>
              <w:t>，</w:t>
            </w:r>
            <w:r>
              <w:rPr>
                <w:rFonts w:hint="eastAsia"/>
                <w:lang w:val="en-US" w:eastAsia="zh-CN"/>
              </w:rPr>
              <w:t>排放速率为0.015kg/h</w:t>
            </w:r>
            <w:r>
              <w:rPr>
                <w:rFonts w:hint="eastAsia"/>
              </w:rPr>
              <w:t>。</w:t>
            </w:r>
          </w:p>
          <w:p w14:paraId="7840FA34">
            <w:pPr>
              <w:pStyle w:val="39"/>
              <w:bidi w:val="0"/>
              <w:rPr>
                <w:rFonts w:hint="eastAsia"/>
                <w:color w:val="auto"/>
                <w:lang w:val="en-US" w:eastAsia="zh-CN"/>
              </w:rPr>
            </w:pPr>
            <w:r>
              <w:rPr>
                <w:rFonts w:hint="eastAsia"/>
                <w:color w:val="auto"/>
                <w:lang w:val="en-US" w:eastAsia="zh-CN"/>
              </w:rPr>
              <w:t>项目无组织颗粒物排放情况如下：</w:t>
            </w:r>
          </w:p>
          <w:p w14:paraId="0F8D8170">
            <w:pPr>
              <w:pStyle w:val="53"/>
              <w:bidi w:val="0"/>
              <w:rPr>
                <w:rFonts w:hint="default"/>
                <w:color w:val="auto"/>
                <w:lang w:val="en-US" w:eastAsia="zh-CN"/>
              </w:rPr>
            </w:pPr>
            <w:r>
              <w:rPr>
                <w:rFonts w:hint="eastAsia"/>
                <w:color w:val="auto"/>
                <w:lang w:val="en-US" w:eastAsia="zh-CN"/>
              </w:rPr>
              <w:t>表2-3   项目无组织排放情况</w:t>
            </w:r>
          </w:p>
          <w:tbl>
            <w:tblPr>
              <w:tblStyle w:val="3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43"/>
              <w:gridCol w:w="893"/>
              <w:gridCol w:w="936"/>
              <w:gridCol w:w="918"/>
              <w:gridCol w:w="1381"/>
              <w:gridCol w:w="840"/>
              <w:gridCol w:w="942"/>
              <w:gridCol w:w="1083"/>
            </w:tblGrid>
            <w:tr w14:paraId="0764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943" w:type="dxa"/>
                  <w:tcBorders>
                    <w:tl2br w:val="nil"/>
                    <w:tr2bl w:val="nil"/>
                  </w:tcBorders>
                  <w:shd w:val="clear" w:color="auto" w:fill="auto"/>
                  <w:noWrap/>
                  <w:vAlign w:val="center"/>
                </w:tcPr>
                <w:p w14:paraId="1F39BBC9">
                  <w:pPr>
                    <w:pStyle w:val="42"/>
                    <w:bidi w:val="0"/>
                    <w:rPr>
                      <w:rFonts w:hint="default"/>
                      <w:color w:val="auto"/>
                      <w:lang w:val="en-US" w:eastAsia="zh-CN"/>
                    </w:rPr>
                  </w:pPr>
                  <w:r>
                    <w:rPr>
                      <w:rFonts w:hint="eastAsia"/>
                      <w:color w:val="auto"/>
                      <w:lang w:val="en-US" w:eastAsia="zh-CN"/>
                    </w:rPr>
                    <w:t>生产环节</w:t>
                  </w:r>
                </w:p>
              </w:tc>
              <w:tc>
                <w:tcPr>
                  <w:tcW w:w="893" w:type="dxa"/>
                  <w:tcBorders>
                    <w:tl2br w:val="nil"/>
                    <w:tr2bl w:val="nil"/>
                  </w:tcBorders>
                  <w:shd w:val="clear" w:color="auto" w:fill="auto"/>
                  <w:noWrap/>
                  <w:vAlign w:val="center"/>
                </w:tcPr>
                <w:p w14:paraId="25DAC8B2">
                  <w:pPr>
                    <w:pStyle w:val="42"/>
                    <w:bidi w:val="0"/>
                    <w:rPr>
                      <w:rFonts w:hint="eastAsia"/>
                      <w:color w:val="auto"/>
                      <w:lang w:val="en-US" w:eastAsia="zh-CN"/>
                    </w:rPr>
                  </w:pPr>
                  <w:r>
                    <w:rPr>
                      <w:rFonts w:hint="eastAsia"/>
                      <w:color w:val="auto"/>
                      <w:lang w:val="en-US" w:eastAsia="zh-CN"/>
                    </w:rPr>
                    <w:t>污染物</w:t>
                  </w:r>
                </w:p>
              </w:tc>
              <w:tc>
                <w:tcPr>
                  <w:tcW w:w="936" w:type="dxa"/>
                  <w:tcBorders>
                    <w:tl2br w:val="nil"/>
                    <w:tr2bl w:val="nil"/>
                  </w:tcBorders>
                  <w:shd w:val="clear" w:color="auto" w:fill="auto"/>
                  <w:noWrap/>
                  <w:vAlign w:val="center"/>
                </w:tcPr>
                <w:p w14:paraId="1B4076F4">
                  <w:pPr>
                    <w:pStyle w:val="42"/>
                    <w:bidi w:val="0"/>
                    <w:rPr>
                      <w:rFonts w:hint="eastAsia"/>
                      <w:color w:val="auto"/>
                    </w:rPr>
                  </w:pPr>
                  <w:r>
                    <w:rPr>
                      <w:rFonts w:hint="eastAsia"/>
                      <w:color w:val="auto"/>
                      <w:lang w:val="en-US" w:eastAsia="zh-CN"/>
                    </w:rPr>
                    <w:t>产生量t/a</w:t>
                  </w:r>
                </w:p>
              </w:tc>
              <w:tc>
                <w:tcPr>
                  <w:tcW w:w="918" w:type="dxa"/>
                  <w:tcBorders>
                    <w:tl2br w:val="nil"/>
                    <w:tr2bl w:val="nil"/>
                  </w:tcBorders>
                  <w:shd w:val="clear" w:color="auto" w:fill="auto"/>
                  <w:noWrap/>
                  <w:vAlign w:val="center"/>
                </w:tcPr>
                <w:p w14:paraId="29A2FAED">
                  <w:pPr>
                    <w:pStyle w:val="42"/>
                    <w:bidi w:val="0"/>
                    <w:rPr>
                      <w:rFonts w:hint="default"/>
                      <w:color w:val="auto"/>
                      <w:lang w:val="en-US"/>
                    </w:rPr>
                  </w:pPr>
                  <w:r>
                    <w:rPr>
                      <w:rFonts w:hint="eastAsia"/>
                      <w:color w:val="auto"/>
                      <w:lang w:val="en-US" w:eastAsia="zh-CN"/>
                    </w:rPr>
                    <w:t>排放速率kg/h</w:t>
                  </w:r>
                </w:p>
              </w:tc>
              <w:tc>
                <w:tcPr>
                  <w:tcW w:w="1381" w:type="dxa"/>
                  <w:tcBorders>
                    <w:tl2br w:val="nil"/>
                    <w:tr2bl w:val="nil"/>
                  </w:tcBorders>
                  <w:shd w:val="clear" w:color="auto" w:fill="auto"/>
                  <w:noWrap/>
                  <w:vAlign w:val="center"/>
                </w:tcPr>
                <w:p w14:paraId="1685518A">
                  <w:pPr>
                    <w:pStyle w:val="42"/>
                    <w:bidi w:val="0"/>
                    <w:rPr>
                      <w:rFonts w:hint="default"/>
                      <w:color w:val="auto"/>
                      <w:lang w:val="en-US" w:eastAsia="zh-CN"/>
                    </w:rPr>
                  </w:pPr>
                  <w:r>
                    <w:rPr>
                      <w:rFonts w:hint="eastAsia"/>
                      <w:color w:val="auto"/>
                      <w:lang w:val="en-US" w:eastAsia="zh-CN"/>
                    </w:rPr>
                    <w:t>治理措施</w:t>
                  </w:r>
                </w:p>
              </w:tc>
              <w:tc>
                <w:tcPr>
                  <w:tcW w:w="840" w:type="dxa"/>
                  <w:tcBorders>
                    <w:tl2br w:val="nil"/>
                    <w:tr2bl w:val="nil"/>
                  </w:tcBorders>
                  <w:shd w:val="clear" w:color="auto" w:fill="auto"/>
                  <w:noWrap/>
                  <w:vAlign w:val="center"/>
                </w:tcPr>
                <w:p w14:paraId="0733003B">
                  <w:pPr>
                    <w:pStyle w:val="42"/>
                    <w:bidi w:val="0"/>
                    <w:rPr>
                      <w:rFonts w:hint="eastAsia"/>
                      <w:color w:val="auto"/>
                    </w:rPr>
                  </w:pPr>
                  <w:r>
                    <w:rPr>
                      <w:rFonts w:hint="eastAsia"/>
                      <w:color w:val="auto"/>
                      <w:lang w:val="en-US" w:eastAsia="zh-CN"/>
                    </w:rPr>
                    <w:t>产生量t/a</w:t>
                  </w:r>
                </w:p>
              </w:tc>
              <w:tc>
                <w:tcPr>
                  <w:tcW w:w="942" w:type="dxa"/>
                  <w:tcBorders>
                    <w:tl2br w:val="nil"/>
                    <w:tr2bl w:val="nil"/>
                  </w:tcBorders>
                  <w:shd w:val="clear" w:color="auto" w:fill="auto"/>
                  <w:noWrap/>
                  <w:vAlign w:val="center"/>
                </w:tcPr>
                <w:p w14:paraId="047B83BB">
                  <w:pPr>
                    <w:pStyle w:val="42"/>
                    <w:bidi w:val="0"/>
                    <w:rPr>
                      <w:rFonts w:hint="eastAsia"/>
                      <w:color w:val="auto"/>
                    </w:rPr>
                  </w:pPr>
                  <w:r>
                    <w:rPr>
                      <w:rFonts w:hint="eastAsia"/>
                      <w:color w:val="auto"/>
                      <w:lang w:val="en-US" w:eastAsia="zh-CN"/>
                    </w:rPr>
                    <w:t>排放速率kg/h</w:t>
                  </w:r>
                </w:p>
              </w:tc>
              <w:tc>
                <w:tcPr>
                  <w:tcW w:w="1083" w:type="dxa"/>
                  <w:tcBorders>
                    <w:tl2br w:val="nil"/>
                    <w:tr2bl w:val="nil"/>
                  </w:tcBorders>
                  <w:shd w:val="clear" w:color="auto" w:fill="auto"/>
                  <w:noWrap/>
                  <w:vAlign w:val="center"/>
                </w:tcPr>
                <w:p w14:paraId="179BF061">
                  <w:pPr>
                    <w:pStyle w:val="42"/>
                    <w:bidi w:val="0"/>
                    <w:rPr>
                      <w:rFonts w:hint="default"/>
                      <w:color w:val="auto"/>
                      <w:lang w:val="en-US" w:eastAsia="zh-CN"/>
                    </w:rPr>
                  </w:pPr>
                  <w:r>
                    <w:rPr>
                      <w:rFonts w:hint="eastAsia"/>
                      <w:color w:val="auto"/>
                      <w:lang w:val="en-US" w:eastAsia="zh-CN"/>
                    </w:rPr>
                    <w:t>排放浓度mg/m3</w:t>
                  </w:r>
                </w:p>
              </w:tc>
            </w:tr>
            <w:tr w14:paraId="6B63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43" w:type="dxa"/>
                  <w:tcBorders>
                    <w:tl2br w:val="nil"/>
                    <w:tr2bl w:val="nil"/>
                  </w:tcBorders>
                  <w:shd w:val="clear" w:color="auto" w:fill="auto"/>
                  <w:noWrap/>
                  <w:vAlign w:val="center"/>
                </w:tcPr>
                <w:p w14:paraId="558A74C2">
                  <w:pPr>
                    <w:pStyle w:val="42"/>
                    <w:bidi w:val="0"/>
                    <w:rPr>
                      <w:rFonts w:hint="default"/>
                      <w:color w:val="auto"/>
                      <w:lang w:val="en-US" w:eastAsia="zh-CN"/>
                    </w:rPr>
                  </w:pPr>
                </w:p>
              </w:tc>
              <w:tc>
                <w:tcPr>
                  <w:tcW w:w="893" w:type="dxa"/>
                  <w:tcBorders>
                    <w:tl2br w:val="nil"/>
                    <w:tr2bl w:val="nil"/>
                  </w:tcBorders>
                  <w:shd w:val="clear" w:color="auto" w:fill="auto"/>
                  <w:noWrap/>
                  <w:vAlign w:val="center"/>
                </w:tcPr>
                <w:p w14:paraId="28F1A17D">
                  <w:pPr>
                    <w:pStyle w:val="42"/>
                    <w:bidi w:val="0"/>
                    <w:rPr>
                      <w:rFonts w:hint="eastAsia"/>
                      <w:color w:val="auto"/>
                      <w:lang w:val="en-US" w:eastAsia="zh-CN"/>
                    </w:rPr>
                  </w:pPr>
                </w:p>
              </w:tc>
              <w:tc>
                <w:tcPr>
                  <w:tcW w:w="936" w:type="dxa"/>
                  <w:tcBorders>
                    <w:tl2br w:val="nil"/>
                    <w:tr2bl w:val="nil"/>
                  </w:tcBorders>
                  <w:shd w:val="clear" w:color="auto" w:fill="auto"/>
                  <w:noWrap/>
                  <w:vAlign w:val="center"/>
                </w:tcPr>
                <w:p w14:paraId="116D2B04">
                  <w:pPr>
                    <w:pStyle w:val="42"/>
                    <w:bidi w:val="0"/>
                    <w:rPr>
                      <w:rFonts w:hint="default"/>
                      <w:color w:val="auto"/>
                      <w:lang w:val="en-US" w:eastAsia="zh-CN"/>
                    </w:rPr>
                  </w:pPr>
                </w:p>
              </w:tc>
              <w:tc>
                <w:tcPr>
                  <w:tcW w:w="918" w:type="dxa"/>
                  <w:tcBorders>
                    <w:tl2br w:val="nil"/>
                    <w:tr2bl w:val="nil"/>
                  </w:tcBorders>
                  <w:shd w:val="clear" w:color="auto" w:fill="auto"/>
                  <w:noWrap/>
                  <w:vAlign w:val="center"/>
                </w:tcPr>
                <w:p w14:paraId="00C52276">
                  <w:pPr>
                    <w:pStyle w:val="42"/>
                    <w:bidi w:val="0"/>
                    <w:rPr>
                      <w:rFonts w:hint="default" w:eastAsia="宋体"/>
                      <w:color w:val="auto"/>
                      <w:lang w:val="en-US" w:eastAsia="zh-CN"/>
                    </w:rPr>
                  </w:pPr>
                </w:p>
              </w:tc>
              <w:tc>
                <w:tcPr>
                  <w:tcW w:w="1381" w:type="dxa"/>
                  <w:tcBorders>
                    <w:tl2br w:val="nil"/>
                    <w:tr2bl w:val="nil"/>
                  </w:tcBorders>
                  <w:shd w:val="clear" w:color="auto" w:fill="auto"/>
                  <w:noWrap/>
                  <w:vAlign w:val="center"/>
                </w:tcPr>
                <w:p w14:paraId="1B98EE16">
                  <w:pPr>
                    <w:pStyle w:val="42"/>
                    <w:bidi w:val="0"/>
                    <w:rPr>
                      <w:rFonts w:hint="default"/>
                      <w:color w:val="auto"/>
                      <w:lang w:val="en-US" w:eastAsia="zh-CN"/>
                    </w:rPr>
                  </w:pPr>
                </w:p>
              </w:tc>
              <w:tc>
                <w:tcPr>
                  <w:tcW w:w="840" w:type="dxa"/>
                  <w:tcBorders>
                    <w:tl2br w:val="nil"/>
                    <w:tr2bl w:val="nil"/>
                  </w:tcBorders>
                  <w:shd w:val="clear" w:color="auto" w:fill="auto"/>
                  <w:noWrap/>
                  <w:vAlign w:val="center"/>
                </w:tcPr>
                <w:p w14:paraId="3E1F5C10">
                  <w:pPr>
                    <w:pStyle w:val="42"/>
                    <w:bidi w:val="0"/>
                    <w:rPr>
                      <w:rFonts w:hint="default"/>
                      <w:color w:val="auto"/>
                      <w:lang w:val="en-US" w:eastAsia="zh-CN"/>
                    </w:rPr>
                  </w:pPr>
                </w:p>
              </w:tc>
              <w:tc>
                <w:tcPr>
                  <w:tcW w:w="942" w:type="dxa"/>
                  <w:tcBorders>
                    <w:tl2br w:val="nil"/>
                    <w:tr2bl w:val="nil"/>
                  </w:tcBorders>
                  <w:shd w:val="clear" w:color="auto" w:fill="auto"/>
                  <w:noWrap/>
                  <w:vAlign w:val="center"/>
                </w:tcPr>
                <w:p w14:paraId="5EA29971">
                  <w:pPr>
                    <w:pStyle w:val="42"/>
                    <w:bidi w:val="0"/>
                    <w:rPr>
                      <w:rFonts w:hint="default"/>
                      <w:color w:val="auto"/>
                      <w:lang w:val="en-US" w:eastAsia="zh-CN"/>
                    </w:rPr>
                  </w:pPr>
                </w:p>
              </w:tc>
              <w:tc>
                <w:tcPr>
                  <w:tcW w:w="1083" w:type="dxa"/>
                  <w:tcBorders>
                    <w:tl2br w:val="nil"/>
                    <w:tr2bl w:val="nil"/>
                  </w:tcBorders>
                  <w:shd w:val="clear" w:color="auto" w:fill="auto"/>
                  <w:noWrap/>
                  <w:vAlign w:val="center"/>
                </w:tcPr>
                <w:p w14:paraId="0674354F">
                  <w:pPr>
                    <w:pStyle w:val="42"/>
                    <w:bidi w:val="0"/>
                    <w:rPr>
                      <w:rFonts w:hint="default"/>
                      <w:color w:val="auto"/>
                      <w:lang w:val="en-US" w:eastAsia="zh-CN"/>
                    </w:rPr>
                  </w:pPr>
                </w:p>
              </w:tc>
            </w:tr>
            <w:tr w14:paraId="4472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43" w:type="dxa"/>
                  <w:tcBorders>
                    <w:tl2br w:val="nil"/>
                    <w:tr2bl w:val="nil"/>
                  </w:tcBorders>
                  <w:shd w:val="clear" w:color="auto" w:fill="auto"/>
                  <w:noWrap/>
                  <w:vAlign w:val="center"/>
                </w:tcPr>
                <w:p w14:paraId="211ADAA7">
                  <w:pPr>
                    <w:pStyle w:val="42"/>
                    <w:bidi w:val="0"/>
                    <w:rPr>
                      <w:rFonts w:hint="default"/>
                      <w:color w:val="auto"/>
                      <w:lang w:val="en-US" w:eastAsia="zh-CN"/>
                    </w:rPr>
                  </w:pPr>
                </w:p>
              </w:tc>
              <w:tc>
                <w:tcPr>
                  <w:tcW w:w="893" w:type="dxa"/>
                  <w:tcBorders>
                    <w:tl2br w:val="nil"/>
                    <w:tr2bl w:val="nil"/>
                  </w:tcBorders>
                  <w:shd w:val="clear" w:color="auto" w:fill="auto"/>
                  <w:noWrap/>
                  <w:vAlign w:val="center"/>
                </w:tcPr>
                <w:p w14:paraId="181C63AD">
                  <w:pPr>
                    <w:pStyle w:val="42"/>
                    <w:bidi w:val="0"/>
                    <w:rPr>
                      <w:rFonts w:hint="eastAsia"/>
                      <w:color w:val="auto"/>
                      <w:lang w:val="en-US" w:eastAsia="zh-CN"/>
                    </w:rPr>
                  </w:pPr>
                </w:p>
              </w:tc>
              <w:tc>
                <w:tcPr>
                  <w:tcW w:w="936" w:type="dxa"/>
                  <w:tcBorders>
                    <w:tl2br w:val="nil"/>
                    <w:tr2bl w:val="nil"/>
                  </w:tcBorders>
                  <w:shd w:val="clear" w:color="auto" w:fill="auto"/>
                  <w:noWrap/>
                  <w:vAlign w:val="center"/>
                </w:tcPr>
                <w:p w14:paraId="68C680CF">
                  <w:pPr>
                    <w:pStyle w:val="42"/>
                    <w:bidi w:val="0"/>
                    <w:rPr>
                      <w:rFonts w:hint="default" w:eastAsia="宋体"/>
                      <w:color w:val="auto"/>
                      <w:lang w:val="en-US" w:eastAsia="zh-CN"/>
                    </w:rPr>
                  </w:pPr>
                </w:p>
              </w:tc>
              <w:tc>
                <w:tcPr>
                  <w:tcW w:w="918" w:type="dxa"/>
                  <w:tcBorders>
                    <w:tl2br w:val="nil"/>
                    <w:tr2bl w:val="nil"/>
                  </w:tcBorders>
                  <w:shd w:val="clear" w:color="auto" w:fill="auto"/>
                  <w:noWrap/>
                  <w:vAlign w:val="center"/>
                </w:tcPr>
                <w:p w14:paraId="31C928E4">
                  <w:pPr>
                    <w:pStyle w:val="42"/>
                    <w:bidi w:val="0"/>
                    <w:rPr>
                      <w:rFonts w:hint="default" w:eastAsia="宋体"/>
                      <w:color w:val="auto"/>
                      <w:lang w:val="en-US" w:eastAsia="zh-CN"/>
                    </w:rPr>
                  </w:pPr>
                </w:p>
              </w:tc>
              <w:tc>
                <w:tcPr>
                  <w:tcW w:w="1381" w:type="dxa"/>
                  <w:tcBorders>
                    <w:tl2br w:val="nil"/>
                    <w:tr2bl w:val="nil"/>
                  </w:tcBorders>
                  <w:shd w:val="clear" w:color="auto" w:fill="auto"/>
                  <w:noWrap/>
                  <w:vAlign w:val="center"/>
                </w:tcPr>
                <w:p w14:paraId="5EBA5A68">
                  <w:pPr>
                    <w:pStyle w:val="42"/>
                    <w:bidi w:val="0"/>
                    <w:rPr>
                      <w:rFonts w:hint="eastAsia"/>
                      <w:color w:val="auto"/>
                      <w:lang w:val="en-US" w:eastAsia="zh-CN"/>
                    </w:rPr>
                  </w:pPr>
                </w:p>
              </w:tc>
              <w:tc>
                <w:tcPr>
                  <w:tcW w:w="840" w:type="dxa"/>
                  <w:tcBorders>
                    <w:tl2br w:val="nil"/>
                    <w:tr2bl w:val="nil"/>
                  </w:tcBorders>
                  <w:shd w:val="clear" w:color="auto" w:fill="auto"/>
                  <w:noWrap/>
                  <w:vAlign w:val="center"/>
                </w:tcPr>
                <w:p w14:paraId="28BBDDB0">
                  <w:pPr>
                    <w:pStyle w:val="42"/>
                    <w:bidi w:val="0"/>
                    <w:rPr>
                      <w:rFonts w:hint="default"/>
                      <w:color w:val="auto"/>
                      <w:lang w:val="en-US" w:eastAsia="zh-CN"/>
                    </w:rPr>
                  </w:pPr>
                </w:p>
              </w:tc>
              <w:tc>
                <w:tcPr>
                  <w:tcW w:w="942" w:type="dxa"/>
                  <w:tcBorders>
                    <w:tl2br w:val="nil"/>
                    <w:tr2bl w:val="nil"/>
                  </w:tcBorders>
                  <w:shd w:val="clear" w:color="auto" w:fill="auto"/>
                  <w:noWrap/>
                  <w:vAlign w:val="center"/>
                </w:tcPr>
                <w:p w14:paraId="69D719DA">
                  <w:pPr>
                    <w:pStyle w:val="42"/>
                    <w:bidi w:val="0"/>
                    <w:rPr>
                      <w:rFonts w:hint="default"/>
                      <w:color w:val="auto"/>
                      <w:lang w:val="en-US" w:eastAsia="zh-CN"/>
                    </w:rPr>
                  </w:pPr>
                </w:p>
              </w:tc>
              <w:tc>
                <w:tcPr>
                  <w:tcW w:w="1083" w:type="dxa"/>
                  <w:tcBorders>
                    <w:tl2br w:val="nil"/>
                    <w:tr2bl w:val="nil"/>
                  </w:tcBorders>
                  <w:shd w:val="clear" w:color="auto" w:fill="auto"/>
                  <w:noWrap/>
                  <w:vAlign w:val="center"/>
                </w:tcPr>
                <w:p w14:paraId="757D3CB9">
                  <w:pPr>
                    <w:pStyle w:val="42"/>
                    <w:bidi w:val="0"/>
                    <w:rPr>
                      <w:rFonts w:hint="default"/>
                      <w:color w:val="auto"/>
                      <w:lang w:val="en-US" w:eastAsia="zh-CN"/>
                    </w:rPr>
                  </w:pPr>
                </w:p>
              </w:tc>
            </w:tr>
            <w:tr w14:paraId="14FE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43" w:type="dxa"/>
                  <w:tcBorders>
                    <w:tl2br w:val="nil"/>
                    <w:tr2bl w:val="nil"/>
                  </w:tcBorders>
                  <w:shd w:val="clear" w:color="auto" w:fill="auto"/>
                  <w:noWrap/>
                  <w:vAlign w:val="center"/>
                </w:tcPr>
                <w:p w14:paraId="6911C7E5">
                  <w:pPr>
                    <w:pStyle w:val="42"/>
                    <w:bidi w:val="0"/>
                    <w:rPr>
                      <w:rFonts w:hint="default"/>
                      <w:color w:val="auto"/>
                      <w:lang w:val="en-US" w:eastAsia="zh-CN"/>
                    </w:rPr>
                  </w:pPr>
                </w:p>
              </w:tc>
              <w:tc>
                <w:tcPr>
                  <w:tcW w:w="893" w:type="dxa"/>
                  <w:tcBorders>
                    <w:tl2br w:val="nil"/>
                    <w:tr2bl w:val="nil"/>
                  </w:tcBorders>
                  <w:shd w:val="clear" w:color="auto" w:fill="auto"/>
                  <w:noWrap/>
                  <w:vAlign w:val="center"/>
                </w:tcPr>
                <w:p w14:paraId="3890D0F2">
                  <w:pPr>
                    <w:pStyle w:val="42"/>
                    <w:bidi w:val="0"/>
                    <w:rPr>
                      <w:rFonts w:hint="eastAsia"/>
                      <w:color w:val="auto"/>
                      <w:lang w:val="en-US" w:eastAsia="zh-CN"/>
                    </w:rPr>
                  </w:pPr>
                </w:p>
              </w:tc>
              <w:tc>
                <w:tcPr>
                  <w:tcW w:w="936" w:type="dxa"/>
                  <w:tcBorders>
                    <w:tl2br w:val="nil"/>
                    <w:tr2bl w:val="nil"/>
                  </w:tcBorders>
                  <w:shd w:val="clear" w:color="auto" w:fill="auto"/>
                  <w:noWrap/>
                  <w:vAlign w:val="center"/>
                </w:tcPr>
                <w:p w14:paraId="6F55AACE">
                  <w:pPr>
                    <w:pStyle w:val="42"/>
                    <w:bidi w:val="0"/>
                    <w:rPr>
                      <w:rFonts w:hint="default" w:eastAsia="宋体"/>
                      <w:color w:val="auto"/>
                      <w:lang w:val="en-US" w:eastAsia="zh-CN"/>
                    </w:rPr>
                  </w:pPr>
                </w:p>
              </w:tc>
              <w:tc>
                <w:tcPr>
                  <w:tcW w:w="918" w:type="dxa"/>
                  <w:tcBorders>
                    <w:tl2br w:val="nil"/>
                    <w:tr2bl w:val="nil"/>
                  </w:tcBorders>
                  <w:shd w:val="clear" w:color="auto" w:fill="auto"/>
                  <w:noWrap/>
                  <w:vAlign w:val="center"/>
                </w:tcPr>
                <w:p w14:paraId="2E507FFE">
                  <w:pPr>
                    <w:pStyle w:val="42"/>
                    <w:bidi w:val="0"/>
                    <w:rPr>
                      <w:rFonts w:hint="default" w:eastAsia="宋体"/>
                      <w:color w:val="auto"/>
                      <w:lang w:val="en-US" w:eastAsia="zh-CN"/>
                    </w:rPr>
                  </w:pPr>
                </w:p>
              </w:tc>
              <w:tc>
                <w:tcPr>
                  <w:tcW w:w="1381" w:type="dxa"/>
                  <w:tcBorders>
                    <w:tl2br w:val="nil"/>
                    <w:tr2bl w:val="nil"/>
                  </w:tcBorders>
                  <w:shd w:val="clear" w:color="auto" w:fill="auto"/>
                  <w:noWrap/>
                  <w:vAlign w:val="center"/>
                </w:tcPr>
                <w:p w14:paraId="0430D418">
                  <w:pPr>
                    <w:pStyle w:val="42"/>
                    <w:bidi w:val="0"/>
                    <w:rPr>
                      <w:rFonts w:hint="default"/>
                      <w:color w:val="auto"/>
                      <w:lang w:val="en-US" w:eastAsia="zh-CN"/>
                    </w:rPr>
                  </w:pPr>
                </w:p>
              </w:tc>
              <w:tc>
                <w:tcPr>
                  <w:tcW w:w="840" w:type="dxa"/>
                  <w:tcBorders>
                    <w:tl2br w:val="nil"/>
                    <w:tr2bl w:val="nil"/>
                  </w:tcBorders>
                  <w:shd w:val="clear" w:color="auto" w:fill="auto"/>
                  <w:noWrap/>
                  <w:vAlign w:val="center"/>
                </w:tcPr>
                <w:p w14:paraId="18133AFF">
                  <w:pPr>
                    <w:pStyle w:val="42"/>
                    <w:bidi w:val="0"/>
                    <w:rPr>
                      <w:rFonts w:hint="default"/>
                      <w:color w:val="auto"/>
                      <w:lang w:val="en-US" w:eastAsia="zh-CN"/>
                    </w:rPr>
                  </w:pPr>
                </w:p>
              </w:tc>
              <w:tc>
                <w:tcPr>
                  <w:tcW w:w="942" w:type="dxa"/>
                  <w:tcBorders>
                    <w:tl2br w:val="nil"/>
                    <w:tr2bl w:val="nil"/>
                  </w:tcBorders>
                  <w:shd w:val="clear" w:color="auto" w:fill="auto"/>
                  <w:noWrap/>
                  <w:vAlign w:val="center"/>
                </w:tcPr>
                <w:p w14:paraId="536569EB">
                  <w:pPr>
                    <w:pStyle w:val="42"/>
                    <w:bidi w:val="0"/>
                    <w:rPr>
                      <w:rFonts w:hint="default"/>
                      <w:color w:val="auto"/>
                      <w:lang w:val="en-US" w:eastAsia="zh-CN"/>
                    </w:rPr>
                  </w:pPr>
                </w:p>
              </w:tc>
              <w:tc>
                <w:tcPr>
                  <w:tcW w:w="1083" w:type="dxa"/>
                  <w:tcBorders>
                    <w:tl2br w:val="nil"/>
                    <w:tr2bl w:val="nil"/>
                  </w:tcBorders>
                  <w:shd w:val="clear" w:color="auto" w:fill="auto"/>
                  <w:noWrap/>
                  <w:vAlign w:val="center"/>
                </w:tcPr>
                <w:p w14:paraId="6CB8161A">
                  <w:pPr>
                    <w:pStyle w:val="42"/>
                    <w:bidi w:val="0"/>
                    <w:rPr>
                      <w:rFonts w:hint="default"/>
                      <w:color w:val="auto"/>
                      <w:lang w:val="en-US" w:eastAsia="zh-CN"/>
                    </w:rPr>
                  </w:pPr>
                </w:p>
              </w:tc>
            </w:tr>
            <w:tr w14:paraId="33A2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43" w:type="dxa"/>
                  <w:tcBorders>
                    <w:tl2br w:val="nil"/>
                    <w:tr2bl w:val="nil"/>
                  </w:tcBorders>
                  <w:shd w:val="clear" w:color="auto" w:fill="auto"/>
                  <w:noWrap/>
                  <w:vAlign w:val="center"/>
                </w:tcPr>
                <w:p w14:paraId="53257CFE">
                  <w:pPr>
                    <w:pStyle w:val="42"/>
                    <w:bidi w:val="0"/>
                    <w:rPr>
                      <w:rFonts w:hint="default"/>
                      <w:color w:val="auto"/>
                      <w:lang w:val="en-US" w:eastAsia="zh-CN"/>
                    </w:rPr>
                  </w:pPr>
                </w:p>
              </w:tc>
              <w:tc>
                <w:tcPr>
                  <w:tcW w:w="893" w:type="dxa"/>
                  <w:tcBorders>
                    <w:tl2br w:val="nil"/>
                    <w:tr2bl w:val="nil"/>
                  </w:tcBorders>
                  <w:shd w:val="clear" w:color="auto" w:fill="auto"/>
                  <w:noWrap/>
                  <w:vAlign w:val="center"/>
                </w:tcPr>
                <w:p w14:paraId="221CC7C0">
                  <w:pPr>
                    <w:pStyle w:val="42"/>
                    <w:bidi w:val="0"/>
                    <w:rPr>
                      <w:rFonts w:hint="default"/>
                      <w:color w:val="auto"/>
                      <w:lang w:val="en-US" w:eastAsia="zh-CN"/>
                    </w:rPr>
                  </w:pPr>
                </w:p>
              </w:tc>
              <w:tc>
                <w:tcPr>
                  <w:tcW w:w="936" w:type="dxa"/>
                  <w:tcBorders>
                    <w:tl2br w:val="nil"/>
                    <w:tr2bl w:val="nil"/>
                  </w:tcBorders>
                  <w:shd w:val="clear" w:color="auto" w:fill="auto"/>
                  <w:noWrap/>
                  <w:vAlign w:val="center"/>
                </w:tcPr>
                <w:p w14:paraId="70F7D300">
                  <w:pPr>
                    <w:pStyle w:val="42"/>
                    <w:bidi w:val="0"/>
                    <w:rPr>
                      <w:rFonts w:hint="default"/>
                      <w:color w:val="auto"/>
                      <w:lang w:val="en-US" w:eastAsia="zh-CN"/>
                    </w:rPr>
                  </w:pPr>
                </w:p>
              </w:tc>
              <w:tc>
                <w:tcPr>
                  <w:tcW w:w="918" w:type="dxa"/>
                  <w:tcBorders>
                    <w:tl2br w:val="nil"/>
                    <w:tr2bl w:val="nil"/>
                  </w:tcBorders>
                  <w:shd w:val="clear" w:color="auto" w:fill="auto"/>
                  <w:noWrap/>
                  <w:vAlign w:val="center"/>
                </w:tcPr>
                <w:p w14:paraId="563EC3EA">
                  <w:pPr>
                    <w:pStyle w:val="42"/>
                    <w:bidi w:val="0"/>
                    <w:rPr>
                      <w:rFonts w:hint="default"/>
                      <w:color w:val="auto"/>
                      <w:lang w:val="en-US" w:eastAsia="zh-CN"/>
                    </w:rPr>
                  </w:pPr>
                </w:p>
              </w:tc>
              <w:tc>
                <w:tcPr>
                  <w:tcW w:w="1381" w:type="dxa"/>
                  <w:tcBorders>
                    <w:tl2br w:val="nil"/>
                    <w:tr2bl w:val="nil"/>
                  </w:tcBorders>
                  <w:shd w:val="clear" w:color="auto" w:fill="auto"/>
                  <w:noWrap/>
                  <w:vAlign w:val="center"/>
                </w:tcPr>
                <w:p w14:paraId="2666701C">
                  <w:pPr>
                    <w:pStyle w:val="42"/>
                    <w:bidi w:val="0"/>
                    <w:rPr>
                      <w:rFonts w:hint="default"/>
                      <w:color w:val="auto"/>
                      <w:lang w:val="en-US" w:eastAsia="zh-CN"/>
                    </w:rPr>
                  </w:pPr>
                </w:p>
              </w:tc>
              <w:tc>
                <w:tcPr>
                  <w:tcW w:w="840" w:type="dxa"/>
                  <w:tcBorders>
                    <w:tl2br w:val="nil"/>
                    <w:tr2bl w:val="nil"/>
                  </w:tcBorders>
                  <w:shd w:val="clear" w:color="auto" w:fill="auto"/>
                  <w:noWrap/>
                  <w:vAlign w:val="center"/>
                </w:tcPr>
                <w:p w14:paraId="614B6A79">
                  <w:pPr>
                    <w:pStyle w:val="42"/>
                    <w:bidi w:val="0"/>
                    <w:rPr>
                      <w:rFonts w:hint="default"/>
                      <w:color w:val="auto"/>
                      <w:lang w:val="en-US" w:eastAsia="zh-CN"/>
                    </w:rPr>
                  </w:pPr>
                </w:p>
              </w:tc>
              <w:tc>
                <w:tcPr>
                  <w:tcW w:w="942" w:type="dxa"/>
                  <w:tcBorders>
                    <w:tl2br w:val="nil"/>
                    <w:tr2bl w:val="nil"/>
                  </w:tcBorders>
                  <w:shd w:val="clear" w:color="auto" w:fill="auto"/>
                  <w:noWrap/>
                  <w:vAlign w:val="center"/>
                </w:tcPr>
                <w:p w14:paraId="7B5534CD">
                  <w:pPr>
                    <w:pStyle w:val="42"/>
                    <w:bidi w:val="0"/>
                    <w:rPr>
                      <w:rFonts w:hint="default"/>
                      <w:color w:val="auto"/>
                      <w:lang w:val="en-US" w:eastAsia="zh-CN"/>
                    </w:rPr>
                  </w:pPr>
                </w:p>
              </w:tc>
              <w:tc>
                <w:tcPr>
                  <w:tcW w:w="1083" w:type="dxa"/>
                  <w:tcBorders>
                    <w:tl2br w:val="nil"/>
                    <w:tr2bl w:val="nil"/>
                  </w:tcBorders>
                  <w:shd w:val="clear" w:color="auto" w:fill="auto"/>
                  <w:noWrap/>
                  <w:vAlign w:val="center"/>
                </w:tcPr>
                <w:p w14:paraId="29494094">
                  <w:pPr>
                    <w:pStyle w:val="42"/>
                    <w:bidi w:val="0"/>
                    <w:rPr>
                      <w:rFonts w:hint="default"/>
                      <w:color w:val="auto"/>
                      <w:lang w:val="en-US" w:eastAsia="zh-CN"/>
                    </w:rPr>
                  </w:pPr>
                </w:p>
              </w:tc>
            </w:tr>
          </w:tbl>
          <w:p w14:paraId="0DDE1D04">
            <w:pPr>
              <w:pStyle w:val="41"/>
              <w:bidi w:val="0"/>
            </w:pPr>
            <w:r>
              <w:rPr>
                <w:rFonts w:hint="eastAsia"/>
                <w:lang w:val="en-US" w:eastAsia="zh-CN"/>
              </w:rPr>
              <w:t>3、</w:t>
            </w:r>
            <w:r>
              <w:rPr>
                <w:rFonts w:hint="eastAsia"/>
              </w:rPr>
              <w:t>大气污染防治措施及达标分析</w:t>
            </w:r>
          </w:p>
          <w:p w14:paraId="533D94EB">
            <w:pPr>
              <w:pStyle w:val="41"/>
              <w:bidi w:val="0"/>
              <w:rPr>
                <w:rFonts w:hint="default"/>
                <w:lang w:val="en-US"/>
              </w:rPr>
            </w:pPr>
            <w:r>
              <w:rPr>
                <w:rFonts w:hint="eastAsia"/>
                <w:lang w:val="en-US"/>
              </w:rPr>
              <w:t>玉米、燃料</w:t>
            </w:r>
            <w:r>
              <w:rPr>
                <w:rFonts w:hint="eastAsia"/>
                <w:lang w:val="en-US" w:eastAsia="zh-CN"/>
              </w:rPr>
              <w:t>、灰渣</w:t>
            </w:r>
            <w:r>
              <w:rPr>
                <w:rFonts w:hint="eastAsia"/>
                <w:lang w:val="en-US"/>
              </w:rPr>
              <w:t>等原辅料在运输过程中，要求全密闭覆盖措施，防止沿途洒漏造成扬尘污染；除尘灰清理过程中，车辆进入车间内，关门封闭后，再进行装卸，装卸过程洒水降尘；运输车辆进出厂区进行冲洗，厂区内运输车辆低速运行，厂区内道路定期洒水，以降低扬尘的产生。</w:t>
            </w:r>
          </w:p>
          <w:p w14:paraId="39659E2B">
            <w:pPr>
              <w:pStyle w:val="41"/>
              <w:bidi w:val="0"/>
            </w:pPr>
            <w:r>
              <w:rPr>
                <w:rFonts w:hint="eastAsia"/>
                <w:lang w:val="en-US"/>
              </w:rPr>
              <w:t>项目热风炉采取低氮燃烧器+</w:t>
            </w:r>
            <w:r>
              <w:rPr>
                <w:rFonts w:hint="eastAsia"/>
              </w:rPr>
              <w:t>SNCR</w:t>
            </w:r>
            <w:r>
              <w:rPr>
                <w:rFonts w:hint="eastAsia"/>
                <w:lang w:val="en-US" w:eastAsia="zh-CN"/>
              </w:rPr>
              <w:t>-</w:t>
            </w:r>
            <w:r>
              <w:rPr>
                <w:rFonts w:hint="eastAsia"/>
              </w:rPr>
              <w:t>SCR</w:t>
            </w:r>
            <w:r>
              <w:rPr>
                <w:rFonts w:hint="eastAsia"/>
                <w:lang w:val="en-US" w:eastAsia="zh-CN"/>
              </w:rPr>
              <w:t>联合脱销</w:t>
            </w:r>
            <w:r>
              <w:rPr>
                <w:rFonts w:hint="eastAsia"/>
                <w:lang w:val="en-US"/>
              </w:rPr>
              <w:t>+袋式除尘，经处理后，通过</w:t>
            </w:r>
            <w:r>
              <w:rPr>
                <w:rFonts w:hint="eastAsia"/>
                <w:lang w:val="en-US" w:eastAsia="zh-CN"/>
              </w:rPr>
              <w:t>2</w:t>
            </w:r>
            <w:r>
              <w:rPr>
                <w:rFonts w:hint="eastAsia"/>
                <w:lang w:val="en-US"/>
              </w:rPr>
              <w:t>0m高排气筒排放；项目玉米装卸、筛分过程均值平仓放内进行，</w:t>
            </w:r>
            <w:r>
              <w:rPr>
                <w:rFonts w:hint="eastAsia"/>
              </w:rPr>
              <w:t>炉渣、收尘灰暂存封闭库房内，大气污染物达标符合性分析如下：</w:t>
            </w:r>
          </w:p>
          <w:p w14:paraId="19EF253F">
            <w:pPr>
              <w:pStyle w:val="53"/>
              <w:spacing w:beforeLines="0" w:afterLines="0" w:line="360" w:lineRule="auto"/>
            </w:pPr>
            <w:r>
              <w:rPr>
                <w:rFonts w:hint="eastAsia"/>
              </w:rPr>
              <w:t>表</w:t>
            </w:r>
            <w:r>
              <w:rPr>
                <w:rFonts w:hint="eastAsia"/>
                <w:lang w:val="en-US" w:eastAsia="zh-CN"/>
              </w:rPr>
              <w:t>4-4</w:t>
            </w:r>
            <w:r>
              <w:rPr>
                <w:rFonts w:hint="eastAsia"/>
              </w:rPr>
              <w:t xml:space="preserve">   大气污染物达标性分析</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39"/>
              <w:gridCol w:w="1816"/>
              <w:gridCol w:w="807"/>
              <w:gridCol w:w="773"/>
              <w:gridCol w:w="681"/>
              <w:gridCol w:w="717"/>
              <w:gridCol w:w="1529"/>
            </w:tblGrid>
            <w:tr w14:paraId="1F9E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Align w:val="center"/>
                </w:tcPr>
                <w:p w14:paraId="25EF0721">
                  <w:pPr>
                    <w:pStyle w:val="42"/>
                    <w:rPr>
                      <w:sz w:val="21"/>
                      <w:szCs w:val="21"/>
                    </w:rPr>
                  </w:pPr>
                  <w:r>
                    <w:rPr>
                      <w:rFonts w:hint="eastAsia"/>
                      <w:sz w:val="21"/>
                      <w:szCs w:val="21"/>
                    </w:rPr>
                    <w:t>产污点</w:t>
                  </w:r>
                </w:p>
              </w:tc>
              <w:tc>
                <w:tcPr>
                  <w:tcW w:w="939" w:type="dxa"/>
                  <w:vAlign w:val="center"/>
                </w:tcPr>
                <w:p w14:paraId="64822D41">
                  <w:pPr>
                    <w:pStyle w:val="42"/>
                    <w:rPr>
                      <w:sz w:val="21"/>
                      <w:szCs w:val="21"/>
                    </w:rPr>
                  </w:pPr>
                  <w:r>
                    <w:rPr>
                      <w:rFonts w:hint="eastAsia"/>
                      <w:sz w:val="21"/>
                      <w:szCs w:val="21"/>
                    </w:rPr>
                    <w:t>污染物</w:t>
                  </w:r>
                </w:p>
              </w:tc>
              <w:tc>
                <w:tcPr>
                  <w:tcW w:w="1816" w:type="dxa"/>
                  <w:vAlign w:val="center"/>
                </w:tcPr>
                <w:p w14:paraId="037EEC28">
                  <w:pPr>
                    <w:pStyle w:val="42"/>
                    <w:rPr>
                      <w:sz w:val="21"/>
                      <w:szCs w:val="21"/>
                    </w:rPr>
                  </w:pPr>
                  <w:r>
                    <w:rPr>
                      <w:rFonts w:hint="eastAsia"/>
                      <w:sz w:val="21"/>
                      <w:szCs w:val="21"/>
                    </w:rPr>
                    <w:t>治理措施</w:t>
                  </w:r>
                </w:p>
              </w:tc>
              <w:tc>
                <w:tcPr>
                  <w:tcW w:w="807" w:type="dxa"/>
                  <w:vAlign w:val="center"/>
                </w:tcPr>
                <w:p w14:paraId="3E875784">
                  <w:pPr>
                    <w:pStyle w:val="42"/>
                    <w:tabs>
                      <w:tab w:val="left" w:pos="1535"/>
                      <w:tab w:val="left" w:pos="3105"/>
                      <w:tab w:val="left" w:pos="4676"/>
                      <w:tab w:val="left" w:pos="6247"/>
                      <w:tab w:val="left" w:pos="7740"/>
                      <w:tab w:val="left" w:pos="9288"/>
                    </w:tabs>
                    <w:bidi w:val="0"/>
                    <w:ind w:firstLine="0" w:firstLineChars="0"/>
                    <w:rPr>
                      <w:sz w:val="21"/>
                      <w:szCs w:val="21"/>
                    </w:rPr>
                  </w:pPr>
                  <w:r>
                    <w:rPr>
                      <w:rFonts w:hint="default"/>
                      <w:color w:val="auto"/>
                      <w:sz w:val="21"/>
                      <w:szCs w:val="21"/>
                    </w:rPr>
                    <w:t>浓度mg/m</w:t>
                  </w:r>
                  <w:r>
                    <w:rPr>
                      <w:rFonts w:hint="default"/>
                      <w:color w:val="auto"/>
                      <w:sz w:val="21"/>
                      <w:szCs w:val="21"/>
                      <w:vertAlign w:val="superscript"/>
                    </w:rPr>
                    <w:t>3</w:t>
                  </w:r>
                </w:p>
              </w:tc>
              <w:tc>
                <w:tcPr>
                  <w:tcW w:w="773" w:type="dxa"/>
                  <w:vAlign w:val="center"/>
                </w:tcPr>
                <w:p w14:paraId="304E4AF6">
                  <w:pPr>
                    <w:pStyle w:val="42"/>
                    <w:tabs>
                      <w:tab w:val="left" w:pos="1535"/>
                      <w:tab w:val="left" w:pos="3105"/>
                      <w:tab w:val="left" w:pos="4676"/>
                      <w:tab w:val="left" w:pos="6247"/>
                      <w:tab w:val="left" w:pos="7740"/>
                      <w:tab w:val="left" w:pos="9288"/>
                    </w:tabs>
                    <w:bidi w:val="0"/>
                    <w:ind w:firstLine="0" w:firstLineChars="0"/>
                    <w:rPr>
                      <w:sz w:val="21"/>
                      <w:szCs w:val="21"/>
                    </w:rPr>
                  </w:pPr>
                  <w:r>
                    <w:rPr>
                      <w:rFonts w:hint="default"/>
                      <w:color w:val="auto"/>
                      <w:sz w:val="21"/>
                      <w:szCs w:val="21"/>
                    </w:rPr>
                    <w:t>kg/h</w:t>
                  </w:r>
                </w:p>
              </w:tc>
              <w:tc>
                <w:tcPr>
                  <w:tcW w:w="681" w:type="dxa"/>
                  <w:vAlign w:val="center"/>
                </w:tcPr>
                <w:p w14:paraId="3EF8CB58">
                  <w:pPr>
                    <w:pStyle w:val="42"/>
                    <w:tabs>
                      <w:tab w:val="left" w:pos="1535"/>
                      <w:tab w:val="left" w:pos="3105"/>
                      <w:tab w:val="left" w:pos="4676"/>
                      <w:tab w:val="left" w:pos="6247"/>
                      <w:tab w:val="left" w:pos="7740"/>
                      <w:tab w:val="left" w:pos="9288"/>
                    </w:tabs>
                    <w:bidi w:val="0"/>
                    <w:ind w:firstLine="0" w:firstLineChars="0"/>
                    <w:rPr>
                      <w:sz w:val="21"/>
                      <w:szCs w:val="21"/>
                    </w:rPr>
                  </w:pPr>
                  <w:r>
                    <w:rPr>
                      <w:rFonts w:hint="default"/>
                      <w:color w:val="auto"/>
                      <w:sz w:val="21"/>
                      <w:szCs w:val="21"/>
                    </w:rPr>
                    <w:t>t/a</w:t>
                  </w:r>
                </w:p>
              </w:tc>
              <w:tc>
                <w:tcPr>
                  <w:tcW w:w="717" w:type="dxa"/>
                  <w:vAlign w:val="center"/>
                </w:tcPr>
                <w:p w14:paraId="7368E5A0">
                  <w:pPr>
                    <w:pStyle w:val="42"/>
                    <w:rPr>
                      <w:sz w:val="21"/>
                      <w:szCs w:val="21"/>
                    </w:rPr>
                  </w:pPr>
                  <w:r>
                    <w:rPr>
                      <w:rFonts w:hint="eastAsia"/>
                      <w:sz w:val="21"/>
                      <w:szCs w:val="21"/>
                    </w:rPr>
                    <w:t>达标分析</w:t>
                  </w:r>
                </w:p>
              </w:tc>
              <w:tc>
                <w:tcPr>
                  <w:tcW w:w="1529" w:type="dxa"/>
                  <w:vAlign w:val="center"/>
                </w:tcPr>
                <w:p w14:paraId="6A9D14D6">
                  <w:pPr>
                    <w:pStyle w:val="42"/>
                    <w:rPr>
                      <w:sz w:val="21"/>
                      <w:szCs w:val="21"/>
                    </w:rPr>
                  </w:pPr>
                  <w:r>
                    <w:rPr>
                      <w:rFonts w:hint="eastAsia"/>
                      <w:sz w:val="21"/>
                      <w:szCs w:val="21"/>
                    </w:rPr>
                    <w:t>标准来源</w:t>
                  </w:r>
                </w:p>
              </w:tc>
            </w:tr>
            <w:tr w14:paraId="7972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5" w:type="dxa"/>
                  <w:vMerge w:val="restart"/>
                  <w:vAlign w:val="center"/>
                </w:tcPr>
                <w:p w14:paraId="4DF8FB44">
                  <w:pPr>
                    <w:pStyle w:val="42"/>
                    <w:rPr>
                      <w:sz w:val="21"/>
                      <w:szCs w:val="21"/>
                    </w:rPr>
                  </w:pPr>
                </w:p>
              </w:tc>
              <w:tc>
                <w:tcPr>
                  <w:tcW w:w="939" w:type="dxa"/>
                  <w:vAlign w:val="center"/>
                </w:tcPr>
                <w:p w14:paraId="1FB2C5D0">
                  <w:pPr>
                    <w:pStyle w:val="42"/>
                    <w:rPr>
                      <w:sz w:val="21"/>
                      <w:szCs w:val="21"/>
                    </w:rPr>
                  </w:pPr>
                </w:p>
              </w:tc>
              <w:tc>
                <w:tcPr>
                  <w:tcW w:w="1816" w:type="dxa"/>
                  <w:vMerge w:val="restart"/>
                  <w:vAlign w:val="center"/>
                </w:tcPr>
                <w:p w14:paraId="08AC7662">
                  <w:pPr>
                    <w:pStyle w:val="42"/>
                    <w:rPr>
                      <w:sz w:val="21"/>
                      <w:szCs w:val="21"/>
                    </w:rPr>
                  </w:pPr>
                </w:p>
              </w:tc>
              <w:tc>
                <w:tcPr>
                  <w:tcW w:w="807" w:type="dxa"/>
                  <w:vAlign w:val="center"/>
                </w:tcPr>
                <w:p w14:paraId="68A02509">
                  <w:pPr>
                    <w:pStyle w:val="42"/>
                    <w:tabs>
                      <w:tab w:val="left" w:pos="1535"/>
                      <w:tab w:val="left" w:pos="3105"/>
                      <w:tab w:val="left" w:pos="4676"/>
                      <w:tab w:val="left" w:pos="6247"/>
                      <w:tab w:val="left" w:pos="7740"/>
                      <w:tab w:val="left" w:pos="9288"/>
                    </w:tabs>
                    <w:bidi w:val="0"/>
                    <w:ind w:firstLine="0" w:firstLineChars="0"/>
                    <w:rPr>
                      <w:rFonts w:hint="default"/>
                      <w:sz w:val="21"/>
                      <w:szCs w:val="21"/>
                      <w:lang w:val="en-US"/>
                    </w:rPr>
                  </w:pPr>
                </w:p>
              </w:tc>
              <w:tc>
                <w:tcPr>
                  <w:tcW w:w="773" w:type="dxa"/>
                  <w:vAlign w:val="center"/>
                </w:tcPr>
                <w:p w14:paraId="2969B834">
                  <w:pPr>
                    <w:pStyle w:val="42"/>
                    <w:tabs>
                      <w:tab w:val="left" w:pos="1535"/>
                      <w:tab w:val="left" w:pos="3105"/>
                      <w:tab w:val="left" w:pos="4676"/>
                      <w:tab w:val="left" w:pos="6247"/>
                      <w:tab w:val="left" w:pos="7740"/>
                      <w:tab w:val="left" w:pos="9288"/>
                    </w:tabs>
                    <w:bidi w:val="0"/>
                    <w:ind w:firstLine="0" w:firstLineChars="0"/>
                    <w:rPr>
                      <w:rFonts w:hint="default"/>
                      <w:sz w:val="21"/>
                      <w:szCs w:val="21"/>
                      <w:lang w:val="en-US"/>
                    </w:rPr>
                  </w:pPr>
                </w:p>
              </w:tc>
              <w:tc>
                <w:tcPr>
                  <w:tcW w:w="681" w:type="dxa"/>
                  <w:vAlign w:val="center"/>
                </w:tcPr>
                <w:p w14:paraId="4B11B184">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17" w:type="dxa"/>
                  <w:vAlign w:val="center"/>
                </w:tcPr>
                <w:p w14:paraId="110CAD89">
                  <w:pPr>
                    <w:pStyle w:val="42"/>
                    <w:rPr>
                      <w:sz w:val="21"/>
                      <w:szCs w:val="21"/>
                    </w:rPr>
                  </w:pPr>
                </w:p>
              </w:tc>
              <w:tc>
                <w:tcPr>
                  <w:tcW w:w="1529" w:type="dxa"/>
                  <w:vMerge w:val="restart"/>
                  <w:vAlign w:val="center"/>
                </w:tcPr>
                <w:p w14:paraId="4CAD5447">
                  <w:pPr>
                    <w:pStyle w:val="42"/>
                    <w:rPr>
                      <w:sz w:val="21"/>
                      <w:szCs w:val="21"/>
                    </w:rPr>
                  </w:pPr>
                </w:p>
              </w:tc>
            </w:tr>
            <w:tr w14:paraId="26D7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5" w:type="dxa"/>
                  <w:vMerge w:val="continue"/>
                  <w:vAlign w:val="center"/>
                </w:tcPr>
                <w:p w14:paraId="54CB3267">
                  <w:pPr>
                    <w:pStyle w:val="42"/>
                    <w:rPr>
                      <w:sz w:val="21"/>
                      <w:szCs w:val="21"/>
                    </w:rPr>
                  </w:pPr>
                </w:p>
              </w:tc>
              <w:tc>
                <w:tcPr>
                  <w:tcW w:w="939" w:type="dxa"/>
                  <w:vAlign w:val="center"/>
                </w:tcPr>
                <w:p w14:paraId="736F8411">
                  <w:pPr>
                    <w:pStyle w:val="42"/>
                    <w:rPr>
                      <w:sz w:val="21"/>
                      <w:szCs w:val="21"/>
                    </w:rPr>
                  </w:pPr>
                </w:p>
              </w:tc>
              <w:tc>
                <w:tcPr>
                  <w:tcW w:w="1816" w:type="dxa"/>
                  <w:vMerge w:val="continue"/>
                  <w:vAlign w:val="center"/>
                </w:tcPr>
                <w:p w14:paraId="68392B8D">
                  <w:pPr>
                    <w:pStyle w:val="42"/>
                    <w:rPr>
                      <w:sz w:val="21"/>
                      <w:szCs w:val="21"/>
                    </w:rPr>
                  </w:pPr>
                </w:p>
              </w:tc>
              <w:tc>
                <w:tcPr>
                  <w:tcW w:w="807" w:type="dxa"/>
                  <w:vAlign w:val="center"/>
                </w:tcPr>
                <w:p w14:paraId="02D0A572">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73" w:type="dxa"/>
                  <w:vAlign w:val="center"/>
                </w:tcPr>
                <w:p w14:paraId="3586CC33">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681" w:type="dxa"/>
                  <w:vAlign w:val="center"/>
                </w:tcPr>
                <w:p w14:paraId="5C799260">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17" w:type="dxa"/>
                  <w:vAlign w:val="center"/>
                </w:tcPr>
                <w:p w14:paraId="11B863D5">
                  <w:pPr>
                    <w:pStyle w:val="42"/>
                    <w:rPr>
                      <w:sz w:val="21"/>
                      <w:szCs w:val="21"/>
                    </w:rPr>
                  </w:pPr>
                </w:p>
              </w:tc>
              <w:tc>
                <w:tcPr>
                  <w:tcW w:w="1529" w:type="dxa"/>
                  <w:vMerge w:val="continue"/>
                  <w:vAlign w:val="center"/>
                </w:tcPr>
                <w:p w14:paraId="2344EA7F">
                  <w:pPr>
                    <w:pStyle w:val="42"/>
                    <w:rPr>
                      <w:sz w:val="21"/>
                      <w:szCs w:val="21"/>
                    </w:rPr>
                  </w:pPr>
                </w:p>
              </w:tc>
            </w:tr>
            <w:tr w14:paraId="512D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5" w:type="dxa"/>
                  <w:vMerge w:val="continue"/>
                  <w:vAlign w:val="center"/>
                </w:tcPr>
                <w:p w14:paraId="64CB2D4F">
                  <w:pPr>
                    <w:pStyle w:val="42"/>
                    <w:rPr>
                      <w:sz w:val="21"/>
                      <w:szCs w:val="21"/>
                    </w:rPr>
                  </w:pPr>
                </w:p>
              </w:tc>
              <w:tc>
                <w:tcPr>
                  <w:tcW w:w="939" w:type="dxa"/>
                  <w:vAlign w:val="center"/>
                </w:tcPr>
                <w:p w14:paraId="34D37984">
                  <w:pPr>
                    <w:pStyle w:val="42"/>
                    <w:rPr>
                      <w:sz w:val="21"/>
                      <w:szCs w:val="21"/>
                    </w:rPr>
                  </w:pPr>
                </w:p>
              </w:tc>
              <w:tc>
                <w:tcPr>
                  <w:tcW w:w="1816" w:type="dxa"/>
                  <w:vMerge w:val="continue"/>
                  <w:vAlign w:val="center"/>
                </w:tcPr>
                <w:p w14:paraId="4C6D2C10">
                  <w:pPr>
                    <w:pStyle w:val="42"/>
                    <w:rPr>
                      <w:sz w:val="21"/>
                      <w:szCs w:val="21"/>
                    </w:rPr>
                  </w:pPr>
                </w:p>
              </w:tc>
              <w:tc>
                <w:tcPr>
                  <w:tcW w:w="807" w:type="dxa"/>
                  <w:vAlign w:val="center"/>
                </w:tcPr>
                <w:p w14:paraId="3BF085C2">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73" w:type="dxa"/>
                  <w:vAlign w:val="center"/>
                </w:tcPr>
                <w:p w14:paraId="09AAB41C">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681" w:type="dxa"/>
                  <w:vAlign w:val="center"/>
                </w:tcPr>
                <w:p w14:paraId="417167BD">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17" w:type="dxa"/>
                  <w:vAlign w:val="center"/>
                </w:tcPr>
                <w:p w14:paraId="723C571D">
                  <w:pPr>
                    <w:pStyle w:val="42"/>
                    <w:rPr>
                      <w:sz w:val="21"/>
                      <w:szCs w:val="21"/>
                    </w:rPr>
                  </w:pPr>
                </w:p>
              </w:tc>
              <w:tc>
                <w:tcPr>
                  <w:tcW w:w="1529" w:type="dxa"/>
                  <w:vMerge w:val="continue"/>
                  <w:vAlign w:val="center"/>
                </w:tcPr>
                <w:p w14:paraId="51D8AB87">
                  <w:pPr>
                    <w:pStyle w:val="42"/>
                    <w:rPr>
                      <w:sz w:val="21"/>
                      <w:szCs w:val="21"/>
                    </w:rPr>
                  </w:pPr>
                </w:p>
              </w:tc>
            </w:tr>
            <w:tr w14:paraId="17DC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5" w:type="dxa"/>
                  <w:vMerge w:val="continue"/>
                  <w:vAlign w:val="center"/>
                </w:tcPr>
                <w:p w14:paraId="18B82180">
                  <w:pPr>
                    <w:pStyle w:val="42"/>
                    <w:rPr>
                      <w:sz w:val="21"/>
                      <w:szCs w:val="21"/>
                    </w:rPr>
                  </w:pPr>
                </w:p>
              </w:tc>
              <w:tc>
                <w:tcPr>
                  <w:tcW w:w="939" w:type="dxa"/>
                  <w:vAlign w:val="center"/>
                </w:tcPr>
                <w:p w14:paraId="3538E331">
                  <w:pPr>
                    <w:pStyle w:val="42"/>
                    <w:rPr>
                      <w:sz w:val="21"/>
                      <w:szCs w:val="21"/>
                    </w:rPr>
                  </w:pPr>
                </w:p>
              </w:tc>
              <w:tc>
                <w:tcPr>
                  <w:tcW w:w="1816" w:type="dxa"/>
                  <w:vMerge w:val="continue"/>
                  <w:vAlign w:val="center"/>
                </w:tcPr>
                <w:p w14:paraId="21593F06">
                  <w:pPr>
                    <w:pStyle w:val="42"/>
                    <w:rPr>
                      <w:sz w:val="21"/>
                      <w:szCs w:val="21"/>
                    </w:rPr>
                  </w:pPr>
                </w:p>
              </w:tc>
              <w:tc>
                <w:tcPr>
                  <w:tcW w:w="807" w:type="dxa"/>
                  <w:vAlign w:val="center"/>
                </w:tcPr>
                <w:p w14:paraId="7000939A">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73" w:type="dxa"/>
                  <w:vAlign w:val="center"/>
                </w:tcPr>
                <w:p w14:paraId="32AEBC66">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681" w:type="dxa"/>
                  <w:vAlign w:val="center"/>
                </w:tcPr>
                <w:p w14:paraId="189F3CDE">
                  <w:pPr>
                    <w:pStyle w:val="42"/>
                    <w:tabs>
                      <w:tab w:val="left" w:pos="1535"/>
                      <w:tab w:val="left" w:pos="3105"/>
                      <w:tab w:val="left" w:pos="4676"/>
                      <w:tab w:val="left" w:pos="6247"/>
                      <w:tab w:val="left" w:pos="7740"/>
                      <w:tab w:val="left" w:pos="9288"/>
                    </w:tabs>
                    <w:bidi w:val="0"/>
                    <w:ind w:firstLine="0" w:firstLineChars="0"/>
                    <w:rPr>
                      <w:sz w:val="21"/>
                      <w:szCs w:val="21"/>
                    </w:rPr>
                  </w:pPr>
                </w:p>
              </w:tc>
              <w:tc>
                <w:tcPr>
                  <w:tcW w:w="717" w:type="dxa"/>
                  <w:vAlign w:val="center"/>
                </w:tcPr>
                <w:p w14:paraId="20E6593E">
                  <w:pPr>
                    <w:pStyle w:val="42"/>
                    <w:rPr>
                      <w:sz w:val="21"/>
                      <w:szCs w:val="21"/>
                    </w:rPr>
                  </w:pPr>
                </w:p>
              </w:tc>
              <w:tc>
                <w:tcPr>
                  <w:tcW w:w="1529" w:type="dxa"/>
                  <w:vMerge w:val="continue"/>
                  <w:vAlign w:val="center"/>
                </w:tcPr>
                <w:p w14:paraId="7F3593A0">
                  <w:pPr>
                    <w:pStyle w:val="42"/>
                    <w:rPr>
                      <w:sz w:val="21"/>
                      <w:szCs w:val="21"/>
                    </w:rPr>
                  </w:pPr>
                </w:p>
              </w:tc>
            </w:tr>
            <w:tr w14:paraId="4A70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5" w:type="dxa"/>
                  <w:vAlign w:val="center"/>
                </w:tcPr>
                <w:p w14:paraId="4F5D63D7">
                  <w:pPr>
                    <w:pStyle w:val="42"/>
                    <w:bidi w:val="0"/>
                    <w:ind w:firstLine="0" w:firstLineChars="0"/>
                    <w:rPr>
                      <w:rFonts w:hint="eastAsia" w:eastAsia="宋体"/>
                      <w:sz w:val="21"/>
                      <w:szCs w:val="21"/>
                      <w:lang w:eastAsia="zh-CN"/>
                    </w:rPr>
                  </w:pPr>
                </w:p>
              </w:tc>
              <w:tc>
                <w:tcPr>
                  <w:tcW w:w="939" w:type="dxa"/>
                  <w:vAlign w:val="center"/>
                </w:tcPr>
                <w:p w14:paraId="56C2080C">
                  <w:pPr>
                    <w:pStyle w:val="42"/>
                    <w:bidi w:val="0"/>
                    <w:ind w:firstLine="0" w:firstLineChars="0"/>
                    <w:rPr>
                      <w:sz w:val="21"/>
                      <w:szCs w:val="21"/>
                    </w:rPr>
                  </w:pPr>
                </w:p>
              </w:tc>
              <w:tc>
                <w:tcPr>
                  <w:tcW w:w="1816" w:type="dxa"/>
                  <w:vMerge w:val="restart"/>
                  <w:vAlign w:val="center"/>
                </w:tcPr>
                <w:p w14:paraId="40D6C085">
                  <w:pPr>
                    <w:pStyle w:val="42"/>
                    <w:rPr>
                      <w:rFonts w:hint="eastAsia" w:eastAsia="宋体"/>
                      <w:sz w:val="21"/>
                      <w:szCs w:val="21"/>
                      <w:lang w:val="en-US" w:eastAsia="zh-CN"/>
                    </w:rPr>
                  </w:pPr>
                </w:p>
              </w:tc>
              <w:tc>
                <w:tcPr>
                  <w:tcW w:w="807" w:type="dxa"/>
                  <w:vAlign w:val="center"/>
                </w:tcPr>
                <w:p w14:paraId="7CAFC182">
                  <w:pPr>
                    <w:pStyle w:val="42"/>
                    <w:ind w:firstLine="0" w:firstLineChars="0"/>
                    <w:rPr>
                      <w:rFonts w:hint="default" w:eastAsia="宋体"/>
                      <w:sz w:val="21"/>
                      <w:szCs w:val="21"/>
                      <w:lang w:val="en-US" w:eastAsia="zh-CN"/>
                    </w:rPr>
                  </w:pPr>
                </w:p>
              </w:tc>
              <w:tc>
                <w:tcPr>
                  <w:tcW w:w="773" w:type="dxa"/>
                  <w:vAlign w:val="center"/>
                </w:tcPr>
                <w:p w14:paraId="737B701E">
                  <w:pPr>
                    <w:pStyle w:val="42"/>
                    <w:rPr>
                      <w:rFonts w:hint="eastAsia" w:eastAsia="宋体"/>
                      <w:sz w:val="21"/>
                      <w:szCs w:val="21"/>
                      <w:lang w:eastAsia="zh-CN"/>
                    </w:rPr>
                  </w:pPr>
                </w:p>
              </w:tc>
              <w:tc>
                <w:tcPr>
                  <w:tcW w:w="681" w:type="dxa"/>
                  <w:vAlign w:val="center"/>
                </w:tcPr>
                <w:p w14:paraId="085A0B65">
                  <w:pPr>
                    <w:pStyle w:val="42"/>
                    <w:bidi w:val="0"/>
                    <w:ind w:firstLine="0" w:firstLineChars="0"/>
                    <w:rPr>
                      <w:sz w:val="21"/>
                      <w:szCs w:val="21"/>
                    </w:rPr>
                  </w:pPr>
                </w:p>
              </w:tc>
              <w:tc>
                <w:tcPr>
                  <w:tcW w:w="717" w:type="dxa"/>
                  <w:vAlign w:val="center"/>
                </w:tcPr>
                <w:p w14:paraId="3FF36813">
                  <w:pPr>
                    <w:pStyle w:val="42"/>
                    <w:rPr>
                      <w:sz w:val="21"/>
                      <w:szCs w:val="21"/>
                    </w:rPr>
                  </w:pPr>
                </w:p>
              </w:tc>
              <w:tc>
                <w:tcPr>
                  <w:tcW w:w="1529" w:type="dxa"/>
                  <w:vMerge w:val="restart"/>
                  <w:vAlign w:val="center"/>
                </w:tcPr>
                <w:p w14:paraId="789AAA56">
                  <w:pPr>
                    <w:pStyle w:val="42"/>
                    <w:rPr>
                      <w:sz w:val="21"/>
                      <w:szCs w:val="21"/>
                    </w:rPr>
                  </w:pPr>
                </w:p>
              </w:tc>
            </w:tr>
            <w:tr w14:paraId="1465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5" w:type="dxa"/>
                  <w:vAlign w:val="center"/>
                </w:tcPr>
                <w:p w14:paraId="7F2C762D">
                  <w:pPr>
                    <w:pStyle w:val="42"/>
                    <w:bidi w:val="0"/>
                    <w:ind w:firstLine="0" w:firstLineChars="0"/>
                    <w:rPr>
                      <w:rFonts w:hint="eastAsia" w:eastAsia="宋体"/>
                      <w:sz w:val="21"/>
                      <w:szCs w:val="21"/>
                      <w:lang w:val="en-US" w:eastAsia="zh-CN"/>
                    </w:rPr>
                  </w:pPr>
                </w:p>
              </w:tc>
              <w:tc>
                <w:tcPr>
                  <w:tcW w:w="939" w:type="dxa"/>
                  <w:vAlign w:val="center"/>
                </w:tcPr>
                <w:p w14:paraId="15CF1BCC">
                  <w:pPr>
                    <w:pStyle w:val="42"/>
                    <w:bidi w:val="0"/>
                    <w:ind w:firstLine="0" w:firstLineChars="0"/>
                    <w:rPr>
                      <w:rFonts w:hint="eastAsia" w:eastAsia="宋体"/>
                      <w:sz w:val="21"/>
                      <w:szCs w:val="21"/>
                      <w:lang w:val="en-US" w:eastAsia="zh-CN"/>
                    </w:rPr>
                  </w:pPr>
                </w:p>
              </w:tc>
              <w:tc>
                <w:tcPr>
                  <w:tcW w:w="1816" w:type="dxa"/>
                  <w:vMerge w:val="continue"/>
                  <w:vAlign w:val="center"/>
                </w:tcPr>
                <w:p w14:paraId="57D81954">
                  <w:pPr>
                    <w:pStyle w:val="42"/>
                    <w:rPr>
                      <w:rFonts w:hint="default" w:eastAsia="宋体"/>
                      <w:sz w:val="21"/>
                      <w:szCs w:val="21"/>
                      <w:lang w:val="en-US" w:eastAsia="zh-CN"/>
                    </w:rPr>
                  </w:pPr>
                </w:p>
              </w:tc>
              <w:tc>
                <w:tcPr>
                  <w:tcW w:w="807" w:type="dxa"/>
                  <w:vAlign w:val="center"/>
                </w:tcPr>
                <w:p w14:paraId="1875AD15">
                  <w:pPr>
                    <w:pStyle w:val="42"/>
                    <w:ind w:firstLine="0" w:firstLineChars="0"/>
                    <w:rPr>
                      <w:rFonts w:hint="default" w:eastAsia="宋体"/>
                      <w:sz w:val="21"/>
                      <w:szCs w:val="21"/>
                      <w:lang w:val="en-US" w:eastAsia="zh-CN"/>
                    </w:rPr>
                  </w:pPr>
                </w:p>
              </w:tc>
              <w:tc>
                <w:tcPr>
                  <w:tcW w:w="773" w:type="dxa"/>
                  <w:vAlign w:val="center"/>
                </w:tcPr>
                <w:p w14:paraId="11DCE7F4">
                  <w:pPr>
                    <w:pStyle w:val="42"/>
                    <w:rPr>
                      <w:rFonts w:hint="eastAsia" w:eastAsia="宋体"/>
                      <w:sz w:val="21"/>
                      <w:szCs w:val="21"/>
                      <w:lang w:val="en-US" w:eastAsia="zh-CN"/>
                    </w:rPr>
                  </w:pPr>
                </w:p>
              </w:tc>
              <w:tc>
                <w:tcPr>
                  <w:tcW w:w="681" w:type="dxa"/>
                  <w:vAlign w:val="center"/>
                </w:tcPr>
                <w:p w14:paraId="1BDA5834">
                  <w:pPr>
                    <w:pStyle w:val="42"/>
                    <w:bidi w:val="0"/>
                    <w:ind w:firstLine="0" w:firstLineChars="0"/>
                    <w:rPr>
                      <w:rFonts w:hint="eastAsia" w:eastAsia="宋体"/>
                      <w:sz w:val="21"/>
                      <w:szCs w:val="21"/>
                      <w:lang w:val="en-US" w:eastAsia="zh-CN"/>
                    </w:rPr>
                  </w:pPr>
                </w:p>
              </w:tc>
              <w:tc>
                <w:tcPr>
                  <w:tcW w:w="717" w:type="dxa"/>
                  <w:vAlign w:val="center"/>
                </w:tcPr>
                <w:p w14:paraId="7F934B91">
                  <w:pPr>
                    <w:pStyle w:val="42"/>
                    <w:rPr>
                      <w:rFonts w:hint="eastAsia" w:eastAsia="宋体"/>
                      <w:sz w:val="21"/>
                      <w:szCs w:val="21"/>
                      <w:lang w:val="en-US" w:eastAsia="zh-CN"/>
                    </w:rPr>
                  </w:pPr>
                </w:p>
              </w:tc>
              <w:tc>
                <w:tcPr>
                  <w:tcW w:w="1529" w:type="dxa"/>
                  <w:vMerge w:val="continue"/>
                  <w:vAlign w:val="center"/>
                </w:tcPr>
                <w:p w14:paraId="26C9A511">
                  <w:pPr>
                    <w:pStyle w:val="42"/>
                    <w:rPr>
                      <w:rFonts w:hint="eastAsia"/>
                      <w:sz w:val="21"/>
                      <w:szCs w:val="21"/>
                    </w:rPr>
                  </w:pPr>
                </w:p>
              </w:tc>
            </w:tr>
            <w:tr w14:paraId="6E52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CBA9672">
                  <w:pPr>
                    <w:pStyle w:val="42"/>
                    <w:bidi w:val="0"/>
                    <w:ind w:firstLine="0" w:firstLineChars="0"/>
                    <w:rPr>
                      <w:rFonts w:hint="default"/>
                      <w:sz w:val="21"/>
                      <w:szCs w:val="21"/>
                      <w:lang w:val="en-US" w:eastAsia="zh-CN"/>
                    </w:rPr>
                  </w:pPr>
                </w:p>
              </w:tc>
              <w:tc>
                <w:tcPr>
                  <w:tcW w:w="939" w:type="dxa"/>
                  <w:vAlign w:val="center"/>
                </w:tcPr>
                <w:p w14:paraId="515A2F44">
                  <w:pPr>
                    <w:pStyle w:val="42"/>
                    <w:bidi w:val="0"/>
                    <w:ind w:firstLine="0" w:firstLineChars="0"/>
                    <w:rPr>
                      <w:rFonts w:hint="default"/>
                      <w:sz w:val="21"/>
                      <w:szCs w:val="21"/>
                      <w:lang w:val="en-US" w:eastAsia="zh-CN"/>
                    </w:rPr>
                  </w:pPr>
                </w:p>
              </w:tc>
              <w:tc>
                <w:tcPr>
                  <w:tcW w:w="1816" w:type="dxa"/>
                  <w:vMerge w:val="continue"/>
                  <w:vAlign w:val="center"/>
                </w:tcPr>
                <w:p w14:paraId="3F8898BC">
                  <w:pPr>
                    <w:pStyle w:val="42"/>
                    <w:rPr>
                      <w:rFonts w:hint="default"/>
                      <w:sz w:val="21"/>
                      <w:szCs w:val="21"/>
                      <w:lang w:val="en-US" w:eastAsia="zh-CN"/>
                    </w:rPr>
                  </w:pPr>
                </w:p>
              </w:tc>
              <w:tc>
                <w:tcPr>
                  <w:tcW w:w="807" w:type="dxa"/>
                  <w:vAlign w:val="center"/>
                </w:tcPr>
                <w:p w14:paraId="4FD610EC">
                  <w:pPr>
                    <w:pStyle w:val="42"/>
                    <w:ind w:firstLine="0" w:firstLineChars="0"/>
                    <w:rPr>
                      <w:rFonts w:hint="default"/>
                      <w:sz w:val="21"/>
                      <w:szCs w:val="21"/>
                      <w:lang w:val="en-US" w:eastAsia="zh-CN"/>
                    </w:rPr>
                  </w:pPr>
                </w:p>
              </w:tc>
              <w:tc>
                <w:tcPr>
                  <w:tcW w:w="773" w:type="dxa"/>
                  <w:vAlign w:val="center"/>
                </w:tcPr>
                <w:p w14:paraId="7933B372">
                  <w:pPr>
                    <w:pStyle w:val="42"/>
                    <w:rPr>
                      <w:rFonts w:hint="eastAsia" w:eastAsia="宋体"/>
                      <w:sz w:val="21"/>
                      <w:szCs w:val="21"/>
                      <w:lang w:val="en-US" w:eastAsia="zh-CN"/>
                    </w:rPr>
                  </w:pPr>
                </w:p>
              </w:tc>
              <w:tc>
                <w:tcPr>
                  <w:tcW w:w="681" w:type="dxa"/>
                  <w:vAlign w:val="center"/>
                </w:tcPr>
                <w:p w14:paraId="06759533">
                  <w:pPr>
                    <w:pStyle w:val="42"/>
                    <w:bidi w:val="0"/>
                    <w:ind w:firstLine="0" w:firstLineChars="0"/>
                    <w:rPr>
                      <w:rFonts w:hint="default" w:eastAsia="宋体"/>
                      <w:sz w:val="21"/>
                      <w:szCs w:val="21"/>
                      <w:lang w:val="en-US" w:eastAsia="zh-CN"/>
                    </w:rPr>
                  </w:pPr>
                </w:p>
              </w:tc>
              <w:tc>
                <w:tcPr>
                  <w:tcW w:w="717" w:type="dxa"/>
                  <w:vAlign w:val="center"/>
                </w:tcPr>
                <w:p w14:paraId="0853E212">
                  <w:pPr>
                    <w:pStyle w:val="42"/>
                    <w:rPr>
                      <w:rFonts w:hint="eastAsia" w:eastAsia="宋体"/>
                      <w:sz w:val="21"/>
                      <w:szCs w:val="21"/>
                      <w:lang w:val="en-US" w:eastAsia="zh-CN"/>
                    </w:rPr>
                  </w:pPr>
                </w:p>
              </w:tc>
              <w:tc>
                <w:tcPr>
                  <w:tcW w:w="1529" w:type="dxa"/>
                  <w:vMerge w:val="continue"/>
                  <w:vAlign w:val="center"/>
                </w:tcPr>
                <w:p w14:paraId="4A6FAFD4">
                  <w:pPr>
                    <w:pStyle w:val="42"/>
                    <w:rPr>
                      <w:rFonts w:hint="eastAsia"/>
                      <w:sz w:val="21"/>
                      <w:szCs w:val="21"/>
                    </w:rPr>
                  </w:pPr>
                </w:p>
              </w:tc>
            </w:tr>
            <w:tr w14:paraId="3B56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66230F1A">
                  <w:pPr>
                    <w:pStyle w:val="42"/>
                    <w:bidi w:val="0"/>
                    <w:ind w:firstLine="0" w:firstLineChars="0"/>
                    <w:rPr>
                      <w:rFonts w:hint="default"/>
                      <w:sz w:val="21"/>
                      <w:szCs w:val="21"/>
                      <w:lang w:val="en-US" w:eastAsia="zh-CN"/>
                    </w:rPr>
                  </w:pPr>
                </w:p>
              </w:tc>
              <w:tc>
                <w:tcPr>
                  <w:tcW w:w="939" w:type="dxa"/>
                  <w:vAlign w:val="center"/>
                </w:tcPr>
                <w:p w14:paraId="45786880">
                  <w:pPr>
                    <w:pStyle w:val="42"/>
                    <w:bidi w:val="0"/>
                    <w:ind w:firstLine="0" w:firstLineChars="0"/>
                    <w:rPr>
                      <w:rFonts w:hint="default"/>
                      <w:sz w:val="21"/>
                      <w:szCs w:val="21"/>
                      <w:lang w:val="en-US" w:eastAsia="zh-CN"/>
                    </w:rPr>
                  </w:pPr>
                </w:p>
              </w:tc>
              <w:tc>
                <w:tcPr>
                  <w:tcW w:w="1816" w:type="dxa"/>
                  <w:vMerge w:val="continue"/>
                  <w:vAlign w:val="center"/>
                </w:tcPr>
                <w:p w14:paraId="3ED73DA7">
                  <w:pPr>
                    <w:pStyle w:val="42"/>
                    <w:rPr>
                      <w:rFonts w:hint="default"/>
                      <w:sz w:val="21"/>
                      <w:szCs w:val="21"/>
                      <w:lang w:val="en-US" w:eastAsia="zh-CN"/>
                    </w:rPr>
                  </w:pPr>
                </w:p>
              </w:tc>
              <w:tc>
                <w:tcPr>
                  <w:tcW w:w="807" w:type="dxa"/>
                  <w:vAlign w:val="center"/>
                </w:tcPr>
                <w:p w14:paraId="226230C8">
                  <w:pPr>
                    <w:pStyle w:val="42"/>
                    <w:ind w:firstLine="0" w:firstLineChars="0"/>
                    <w:rPr>
                      <w:rFonts w:hint="default"/>
                      <w:sz w:val="21"/>
                      <w:szCs w:val="21"/>
                      <w:lang w:val="en-US" w:eastAsia="zh-CN"/>
                    </w:rPr>
                  </w:pPr>
                </w:p>
              </w:tc>
              <w:tc>
                <w:tcPr>
                  <w:tcW w:w="773" w:type="dxa"/>
                  <w:vAlign w:val="center"/>
                </w:tcPr>
                <w:p w14:paraId="7228FA7C">
                  <w:pPr>
                    <w:pStyle w:val="42"/>
                    <w:rPr>
                      <w:rFonts w:hint="default" w:eastAsia="宋体"/>
                      <w:sz w:val="21"/>
                      <w:szCs w:val="21"/>
                      <w:lang w:val="en-US" w:eastAsia="zh-CN"/>
                    </w:rPr>
                  </w:pPr>
                </w:p>
              </w:tc>
              <w:tc>
                <w:tcPr>
                  <w:tcW w:w="681" w:type="dxa"/>
                  <w:vAlign w:val="center"/>
                </w:tcPr>
                <w:p w14:paraId="6C283CA0">
                  <w:pPr>
                    <w:pStyle w:val="42"/>
                    <w:bidi w:val="0"/>
                    <w:ind w:firstLine="0" w:firstLineChars="0"/>
                    <w:rPr>
                      <w:rFonts w:hint="default" w:eastAsia="宋体"/>
                      <w:sz w:val="21"/>
                      <w:szCs w:val="21"/>
                      <w:lang w:val="en-US" w:eastAsia="zh-CN"/>
                    </w:rPr>
                  </w:pPr>
                </w:p>
              </w:tc>
              <w:tc>
                <w:tcPr>
                  <w:tcW w:w="717" w:type="dxa"/>
                  <w:vAlign w:val="center"/>
                </w:tcPr>
                <w:p w14:paraId="54F321FD">
                  <w:pPr>
                    <w:pStyle w:val="42"/>
                    <w:rPr>
                      <w:rFonts w:hint="eastAsia" w:eastAsia="宋体"/>
                      <w:sz w:val="21"/>
                      <w:szCs w:val="21"/>
                      <w:lang w:val="en-US" w:eastAsia="zh-CN"/>
                    </w:rPr>
                  </w:pPr>
                </w:p>
              </w:tc>
              <w:tc>
                <w:tcPr>
                  <w:tcW w:w="1529" w:type="dxa"/>
                  <w:vMerge w:val="continue"/>
                  <w:vAlign w:val="center"/>
                </w:tcPr>
                <w:p w14:paraId="7453C256">
                  <w:pPr>
                    <w:pStyle w:val="42"/>
                    <w:rPr>
                      <w:rFonts w:hint="eastAsia"/>
                      <w:sz w:val="21"/>
                      <w:szCs w:val="21"/>
                    </w:rPr>
                  </w:pPr>
                </w:p>
              </w:tc>
            </w:tr>
          </w:tbl>
          <w:p w14:paraId="5786C310">
            <w:pPr>
              <w:pStyle w:val="41"/>
              <w:rPr>
                <w:rFonts w:hint="eastAsia"/>
              </w:rPr>
            </w:pPr>
          </w:p>
          <w:p w14:paraId="19CAABA5">
            <w:pPr>
              <w:pStyle w:val="41"/>
              <w:rPr>
                <w:rFonts w:hint="eastAsia"/>
              </w:rPr>
            </w:pPr>
            <w:r>
              <w:rPr>
                <w:rFonts w:hint="eastAsia"/>
              </w:rPr>
              <w:t>由上表可知，</w:t>
            </w:r>
            <w:r>
              <w:rPr>
                <w:lang w:val="zh-CN"/>
              </w:rPr>
              <w:t>项目</w:t>
            </w:r>
            <w:r>
              <w:rPr>
                <w:rFonts w:hint="eastAsia"/>
                <w:lang w:val="en-US" w:eastAsia="zh-CN"/>
              </w:rPr>
              <w:t>热风炉</w:t>
            </w:r>
            <w:r>
              <w:rPr>
                <w:rFonts w:hint="eastAsia"/>
                <w:lang w:val="zh-CN"/>
              </w:rPr>
              <w:t>废气</w:t>
            </w:r>
            <w:r>
              <w:rPr>
                <w:lang w:val="zh-CN"/>
              </w:rPr>
              <w:t>排放</w:t>
            </w:r>
            <w:r>
              <w:rPr>
                <w:rFonts w:hint="eastAsia"/>
                <w:lang w:val="zh-CN"/>
              </w:rPr>
              <w:t>满足</w:t>
            </w:r>
            <w:r>
              <w:rPr>
                <w:lang w:val="zh-CN"/>
              </w:rPr>
              <w:t>《锅炉大气污染物排放标准》</w:t>
            </w:r>
            <w:r>
              <w:rPr>
                <w:rFonts w:hint="eastAsia"/>
                <w:lang w:val="zh-CN"/>
              </w:rPr>
              <w:t>（</w:t>
            </w:r>
            <w:r>
              <w:rPr>
                <w:lang w:val="zh-CN"/>
              </w:rPr>
              <w:t>GB13271-2014）</w:t>
            </w:r>
            <w:r>
              <w:rPr>
                <w:rFonts w:hint="eastAsia"/>
              </w:rPr>
              <w:t>表</w:t>
            </w:r>
            <w:r>
              <w:rPr>
                <w:rFonts w:hint="eastAsia"/>
                <w:lang w:val="en-US" w:eastAsia="zh-CN"/>
              </w:rPr>
              <w:t>2</w:t>
            </w:r>
            <w:r>
              <w:rPr>
                <w:rFonts w:hint="eastAsia"/>
              </w:rPr>
              <w:t>大气污染物排放限制要求</w:t>
            </w:r>
            <w:r>
              <w:rPr>
                <w:rFonts w:hint="eastAsia"/>
                <w:lang w:val="zh-CN"/>
              </w:rPr>
              <w:t>（</w:t>
            </w:r>
            <w:r>
              <w:rPr>
                <w:lang w:val="zh-CN"/>
              </w:rPr>
              <w:t>颗粒物</w:t>
            </w:r>
            <w:r>
              <w:rPr>
                <w:rFonts w:hint="eastAsia"/>
                <w:lang w:val="zh-CN"/>
              </w:rPr>
              <w:t>：</w:t>
            </w:r>
            <w:r>
              <w:rPr>
                <w:rFonts w:hint="eastAsia"/>
                <w:lang w:val="en-US" w:eastAsia="zh-CN"/>
              </w:rPr>
              <w:t>50</w:t>
            </w:r>
            <w:r>
              <w:rPr>
                <w:lang w:val="zh-CN"/>
              </w:rPr>
              <w:t>mg/m</w:t>
            </w:r>
            <w:r>
              <w:rPr>
                <w:vertAlign w:val="superscript"/>
                <w:lang w:val="zh-CN"/>
              </w:rPr>
              <w:t>3</w:t>
            </w:r>
            <w:r>
              <w:rPr>
                <w:lang w:val="zh-CN"/>
              </w:rPr>
              <w:t>，</w:t>
            </w:r>
            <w:r>
              <w:rPr>
                <w:rFonts w:hint="eastAsia"/>
              </w:rPr>
              <w:t>SO</w:t>
            </w:r>
            <w:r>
              <w:rPr>
                <w:rFonts w:hint="eastAsia"/>
                <w:vertAlign w:val="subscript"/>
              </w:rPr>
              <w:t>2</w:t>
            </w:r>
            <w:r>
              <w:rPr>
                <w:rFonts w:hint="eastAsia"/>
                <w:lang w:val="zh-CN"/>
              </w:rPr>
              <w:t>：</w:t>
            </w:r>
            <w:r>
              <w:rPr>
                <w:rFonts w:hint="eastAsia"/>
                <w:lang w:val="en-US" w:eastAsia="zh-CN"/>
              </w:rPr>
              <w:t>300</w:t>
            </w:r>
            <w:r>
              <w:rPr>
                <w:lang w:val="zh-CN"/>
              </w:rPr>
              <w:t>mg/m</w:t>
            </w:r>
            <w:r>
              <w:rPr>
                <w:vertAlign w:val="superscript"/>
                <w:lang w:val="zh-CN"/>
              </w:rPr>
              <w:t>3</w:t>
            </w:r>
            <w:r>
              <w:rPr>
                <w:lang w:val="zh-CN"/>
              </w:rPr>
              <w:t>，</w:t>
            </w:r>
            <w:r>
              <w:rPr>
                <w:rFonts w:hint="eastAsia"/>
              </w:rPr>
              <w:t>NO</w:t>
            </w:r>
            <w:r>
              <w:rPr>
                <w:rFonts w:hint="eastAsia"/>
                <w:vertAlign w:val="subscript"/>
              </w:rPr>
              <w:t>X</w:t>
            </w:r>
            <w:r>
              <w:rPr>
                <w:rFonts w:hint="eastAsia"/>
                <w:lang w:val="zh-CN"/>
              </w:rPr>
              <w:t>：</w:t>
            </w:r>
            <w:r>
              <w:rPr>
                <w:rFonts w:hint="eastAsia"/>
                <w:lang w:val="en-US" w:eastAsia="zh-CN"/>
              </w:rPr>
              <w:t>30</w:t>
            </w:r>
            <w:r>
              <w:rPr>
                <w:rFonts w:hint="eastAsia"/>
              </w:rPr>
              <w:t>0</w:t>
            </w:r>
            <w:r>
              <w:rPr>
                <w:lang w:val="zh-CN"/>
              </w:rPr>
              <w:t>mg/m</w:t>
            </w:r>
            <w:r>
              <w:rPr>
                <w:vertAlign w:val="superscript"/>
                <w:lang w:val="zh-CN"/>
              </w:rPr>
              <w:t>3</w:t>
            </w:r>
            <w:r>
              <w:rPr>
                <w:lang w:val="zh-CN"/>
              </w:rPr>
              <w:t>，</w:t>
            </w:r>
            <w:r>
              <w:rPr>
                <w:rFonts w:hint="eastAsia"/>
              </w:rPr>
              <w:t>汞及其化合物</w:t>
            </w:r>
            <w:r>
              <w:rPr>
                <w:rFonts w:hint="eastAsia"/>
                <w:lang w:val="zh-CN"/>
              </w:rPr>
              <w:t>：</w:t>
            </w:r>
            <w:r>
              <w:rPr>
                <w:rFonts w:hint="eastAsia"/>
              </w:rPr>
              <w:t>0.05</w:t>
            </w:r>
            <w:r>
              <w:rPr>
                <w:lang w:val="zh-CN"/>
              </w:rPr>
              <w:t>mg/m</w:t>
            </w:r>
            <w:r>
              <w:rPr>
                <w:vertAlign w:val="superscript"/>
                <w:lang w:val="zh-CN"/>
              </w:rPr>
              <w:t>3</w:t>
            </w:r>
            <w:r>
              <w:rPr>
                <w:lang w:val="zh-CN"/>
              </w:rPr>
              <w:t>）</w:t>
            </w:r>
            <w:r>
              <w:rPr>
                <w:rFonts w:hint="eastAsia"/>
              </w:rPr>
              <w:t>。</w:t>
            </w:r>
            <w:r>
              <w:rPr>
                <w:rFonts w:hint="eastAsia"/>
                <w:lang w:val="en-US" w:eastAsia="zh-CN"/>
              </w:rPr>
              <w:t>项目装卸、筛分过程均在平仓房内进行，炉渣</w:t>
            </w:r>
            <w:r>
              <w:rPr>
                <w:rFonts w:hint="eastAsia"/>
              </w:rPr>
              <w:t>暂存在封闭库房内，产生的扬尘可达到《大气污染物综合排放标准》</w:t>
            </w:r>
            <w:r>
              <w:rPr>
                <w:rFonts w:hint="eastAsia"/>
                <w:lang w:eastAsia="zh-CN"/>
              </w:rPr>
              <w:t>（</w:t>
            </w:r>
            <w:r>
              <w:rPr>
                <w:rFonts w:hint="eastAsia"/>
              </w:rPr>
              <w:t>GB16297-1996）表2中无组织浓度限值要求。</w:t>
            </w:r>
          </w:p>
          <w:p w14:paraId="290E45CC">
            <w:pPr>
              <w:pStyle w:val="41"/>
            </w:pPr>
            <w:r>
              <w:rPr>
                <w:rFonts w:hint="eastAsia"/>
              </w:rPr>
              <w:t>根据《排污许可证申请与核发技术规范 锅炉》</w:t>
            </w:r>
            <w:r>
              <w:rPr>
                <w:rFonts w:hint="eastAsia"/>
                <w:lang w:eastAsia="zh-CN"/>
              </w:rPr>
              <w:t>（</w:t>
            </w:r>
            <w:r>
              <w:t>HJ953</w:t>
            </w:r>
            <w:r>
              <w:rPr>
                <w:rFonts w:hint="eastAsia"/>
              </w:rPr>
              <w:t>-</w:t>
            </w:r>
            <w:r>
              <w:t>2018</w:t>
            </w:r>
            <w:r>
              <w:rPr>
                <w:rFonts w:hint="eastAsia"/>
              </w:rPr>
              <w:t>）中“表7锅炉烟气污染防治可行技术”，与本项目采取的治理措施对比，详见下表。</w:t>
            </w:r>
          </w:p>
          <w:p w14:paraId="51D6C0CD">
            <w:pPr>
              <w:pStyle w:val="53"/>
              <w:spacing w:before="24" w:after="24"/>
            </w:pPr>
            <w:r>
              <w:t>表</w:t>
            </w:r>
            <w:r>
              <w:rPr>
                <w:rFonts w:hint="eastAsia"/>
                <w:lang w:val="en-US" w:eastAsia="zh-CN"/>
              </w:rPr>
              <w:t>4-5</w:t>
            </w:r>
            <w:r>
              <w:rPr>
                <w:rFonts w:hint="eastAsia"/>
                <w:lang w:eastAsia="zh-CN"/>
              </w:rPr>
              <w:t>热风炉</w:t>
            </w:r>
            <w:r>
              <w:rPr>
                <w:rFonts w:hint="eastAsia"/>
              </w:rPr>
              <w:t>烟气污染防治可行技术对比表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969"/>
              <w:gridCol w:w="2705"/>
              <w:gridCol w:w="1355"/>
              <w:gridCol w:w="969"/>
              <w:gridCol w:w="777"/>
            </w:tblGrid>
            <w:tr w14:paraId="5E3B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2" w:type="pct"/>
                  <w:tcBorders>
                    <w:tl2br w:val="nil"/>
                    <w:tr2bl w:val="nil"/>
                  </w:tcBorders>
                  <w:noWrap/>
                  <w:vAlign w:val="center"/>
                </w:tcPr>
                <w:p w14:paraId="1A7FD26C">
                  <w:pPr>
                    <w:pStyle w:val="42"/>
                  </w:pPr>
                  <w:r>
                    <w:rPr>
                      <w:rFonts w:hint="eastAsia"/>
                    </w:rPr>
                    <w:t>污染物</w:t>
                  </w:r>
                </w:p>
              </w:tc>
              <w:tc>
                <w:tcPr>
                  <w:tcW w:w="610" w:type="pct"/>
                  <w:tcBorders>
                    <w:tl2br w:val="nil"/>
                    <w:tr2bl w:val="nil"/>
                  </w:tcBorders>
                  <w:noWrap/>
                  <w:vAlign w:val="center"/>
                </w:tcPr>
                <w:p w14:paraId="52FB7BD1">
                  <w:pPr>
                    <w:pStyle w:val="42"/>
                  </w:pPr>
                  <w:r>
                    <w:rPr>
                      <w:rFonts w:hint="eastAsia"/>
                    </w:rPr>
                    <w:t>燃料类型</w:t>
                  </w:r>
                </w:p>
              </w:tc>
              <w:tc>
                <w:tcPr>
                  <w:tcW w:w="1704" w:type="pct"/>
                  <w:tcBorders>
                    <w:tl2br w:val="nil"/>
                    <w:tr2bl w:val="nil"/>
                  </w:tcBorders>
                  <w:noWrap/>
                  <w:vAlign w:val="center"/>
                </w:tcPr>
                <w:p w14:paraId="634B49ED">
                  <w:pPr>
                    <w:pStyle w:val="42"/>
                  </w:pPr>
                  <w:r>
                    <w:rPr>
                      <w:rFonts w:hint="eastAsia"/>
                    </w:rPr>
                    <w:t>技术规范可行性技术</w:t>
                  </w:r>
                </w:p>
              </w:tc>
              <w:tc>
                <w:tcPr>
                  <w:tcW w:w="853" w:type="pct"/>
                  <w:tcBorders>
                    <w:tl2br w:val="nil"/>
                    <w:tr2bl w:val="nil"/>
                  </w:tcBorders>
                  <w:noWrap/>
                  <w:vAlign w:val="center"/>
                </w:tcPr>
                <w:p w14:paraId="634D8668">
                  <w:pPr>
                    <w:pStyle w:val="42"/>
                  </w:pPr>
                  <w:r>
                    <w:rPr>
                      <w:rFonts w:hint="eastAsia"/>
                    </w:rPr>
                    <w:t>本项目</w:t>
                  </w:r>
                </w:p>
              </w:tc>
              <w:tc>
                <w:tcPr>
                  <w:tcW w:w="610" w:type="pct"/>
                  <w:tcBorders>
                    <w:tl2br w:val="nil"/>
                    <w:tr2bl w:val="nil"/>
                  </w:tcBorders>
                  <w:noWrap/>
                  <w:vAlign w:val="center"/>
                </w:tcPr>
                <w:p w14:paraId="00DB7E58">
                  <w:pPr>
                    <w:pStyle w:val="42"/>
                  </w:pPr>
                  <w:r>
                    <w:rPr>
                      <w:rFonts w:hint="eastAsia"/>
                    </w:rPr>
                    <w:t>处理效率</w:t>
                  </w:r>
                </w:p>
              </w:tc>
              <w:tc>
                <w:tcPr>
                  <w:tcW w:w="489" w:type="pct"/>
                  <w:tcBorders>
                    <w:tl2br w:val="nil"/>
                    <w:tr2bl w:val="nil"/>
                  </w:tcBorders>
                  <w:noWrap/>
                  <w:vAlign w:val="center"/>
                </w:tcPr>
                <w:p w14:paraId="33F0C8D3">
                  <w:pPr>
                    <w:pStyle w:val="42"/>
                  </w:pPr>
                  <w:r>
                    <w:rPr>
                      <w:rFonts w:hint="eastAsia"/>
                    </w:rPr>
                    <w:t>可行性</w:t>
                  </w:r>
                </w:p>
              </w:tc>
            </w:tr>
            <w:tr w14:paraId="0C2A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2" w:type="pct"/>
                  <w:tcBorders>
                    <w:tl2br w:val="nil"/>
                    <w:tr2bl w:val="nil"/>
                  </w:tcBorders>
                  <w:noWrap/>
                  <w:vAlign w:val="center"/>
                </w:tcPr>
                <w:p w14:paraId="089BD421">
                  <w:pPr>
                    <w:pStyle w:val="42"/>
                  </w:pPr>
                  <w:r>
                    <w:rPr>
                      <w:rFonts w:hint="eastAsia"/>
                    </w:rPr>
                    <w:t>颗粒物、汞</w:t>
                  </w:r>
                </w:p>
              </w:tc>
              <w:tc>
                <w:tcPr>
                  <w:tcW w:w="610" w:type="pct"/>
                  <w:vMerge w:val="restart"/>
                  <w:tcBorders>
                    <w:tl2br w:val="nil"/>
                    <w:tr2bl w:val="nil"/>
                  </w:tcBorders>
                  <w:noWrap/>
                  <w:vAlign w:val="center"/>
                </w:tcPr>
                <w:p w14:paraId="5703ECB7">
                  <w:pPr>
                    <w:pStyle w:val="42"/>
                    <w:rPr>
                      <w:rFonts w:hint="eastAsia" w:eastAsia="宋体"/>
                      <w:lang w:eastAsia="zh-CN"/>
                    </w:rPr>
                  </w:pPr>
                  <w:r>
                    <w:rPr>
                      <w:rFonts w:hint="eastAsia"/>
                      <w:lang w:val="en-US" w:eastAsia="zh-CN"/>
                    </w:rPr>
                    <w:t>燃煤</w:t>
                  </w:r>
                </w:p>
              </w:tc>
              <w:tc>
                <w:tcPr>
                  <w:tcW w:w="1704" w:type="pct"/>
                  <w:tcBorders>
                    <w:tl2br w:val="nil"/>
                    <w:tr2bl w:val="nil"/>
                  </w:tcBorders>
                  <w:noWrap/>
                  <w:vAlign w:val="center"/>
                </w:tcPr>
                <w:p w14:paraId="72157952">
                  <w:pPr>
                    <w:pStyle w:val="42"/>
                  </w:pPr>
                  <w:r>
                    <w:rPr>
                      <w:rFonts w:hint="eastAsia"/>
                    </w:rPr>
                    <w:t>袋式除尘组合技术</w:t>
                  </w:r>
                </w:p>
              </w:tc>
              <w:tc>
                <w:tcPr>
                  <w:tcW w:w="853" w:type="pct"/>
                  <w:tcBorders>
                    <w:tl2br w:val="nil"/>
                    <w:tr2bl w:val="nil"/>
                  </w:tcBorders>
                  <w:noWrap/>
                  <w:vAlign w:val="center"/>
                </w:tcPr>
                <w:p w14:paraId="70E6109B">
                  <w:pPr>
                    <w:pStyle w:val="42"/>
                  </w:pPr>
                  <w:r>
                    <w:rPr>
                      <w:rFonts w:hint="eastAsia"/>
                    </w:rPr>
                    <w:t>袋式除尘技术</w:t>
                  </w:r>
                </w:p>
              </w:tc>
              <w:tc>
                <w:tcPr>
                  <w:tcW w:w="610" w:type="pct"/>
                  <w:tcBorders>
                    <w:tl2br w:val="nil"/>
                    <w:tr2bl w:val="nil"/>
                  </w:tcBorders>
                  <w:noWrap/>
                  <w:vAlign w:val="center"/>
                </w:tcPr>
                <w:p w14:paraId="4AA831A3">
                  <w:pPr>
                    <w:pStyle w:val="42"/>
                  </w:pPr>
                  <w:r>
                    <w:rPr>
                      <w:rFonts w:hint="eastAsia"/>
                    </w:rPr>
                    <w:t>99.</w:t>
                  </w:r>
                  <w:r>
                    <w:rPr>
                      <w:rFonts w:hint="eastAsia"/>
                      <w:lang w:val="en-US" w:eastAsia="zh-CN"/>
                    </w:rPr>
                    <w:t>5</w:t>
                  </w:r>
                  <w:r>
                    <w:rPr>
                      <w:rFonts w:hint="eastAsia"/>
                    </w:rPr>
                    <w:t>%</w:t>
                  </w:r>
                </w:p>
              </w:tc>
              <w:tc>
                <w:tcPr>
                  <w:tcW w:w="489" w:type="pct"/>
                  <w:tcBorders>
                    <w:tl2br w:val="nil"/>
                    <w:tr2bl w:val="nil"/>
                  </w:tcBorders>
                  <w:noWrap/>
                  <w:vAlign w:val="center"/>
                </w:tcPr>
                <w:p w14:paraId="785D6DD4">
                  <w:pPr>
                    <w:pStyle w:val="42"/>
                  </w:pPr>
                  <w:r>
                    <w:rPr>
                      <w:rFonts w:hint="eastAsia"/>
                    </w:rPr>
                    <w:t>可行</w:t>
                  </w:r>
                </w:p>
              </w:tc>
            </w:tr>
            <w:tr w14:paraId="42A8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2" w:type="pct"/>
                  <w:tcBorders>
                    <w:tl2br w:val="nil"/>
                    <w:tr2bl w:val="nil"/>
                  </w:tcBorders>
                  <w:noWrap/>
                  <w:vAlign w:val="center"/>
                </w:tcPr>
                <w:p w14:paraId="5639B3BD">
                  <w:pPr>
                    <w:pStyle w:val="42"/>
                    <w:rPr>
                      <w:rFonts w:hint="eastAsia" w:eastAsia="宋体"/>
                      <w:lang w:val="en-US" w:eastAsia="zh-CN"/>
                    </w:rPr>
                  </w:pPr>
                  <w:r>
                    <w:rPr>
                      <w:rFonts w:hint="eastAsia"/>
                      <w:lang w:val="en-US" w:eastAsia="zh-CN"/>
                    </w:rPr>
                    <w:t>二氧化硫</w:t>
                  </w:r>
                </w:p>
              </w:tc>
              <w:tc>
                <w:tcPr>
                  <w:tcW w:w="610" w:type="pct"/>
                  <w:vMerge w:val="continue"/>
                  <w:tcBorders>
                    <w:tl2br w:val="nil"/>
                    <w:tr2bl w:val="nil"/>
                  </w:tcBorders>
                  <w:noWrap/>
                  <w:vAlign w:val="center"/>
                </w:tcPr>
                <w:p w14:paraId="60075716">
                  <w:pPr>
                    <w:pStyle w:val="42"/>
                  </w:pPr>
                </w:p>
              </w:tc>
              <w:tc>
                <w:tcPr>
                  <w:tcW w:w="1704" w:type="pct"/>
                  <w:tcBorders>
                    <w:tl2br w:val="nil"/>
                    <w:tr2bl w:val="nil"/>
                  </w:tcBorders>
                  <w:noWrap/>
                  <w:vAlign w:val="center"/>
                </w:tcPr>
                <w:p w14:paraId="0E8E1199">
                  <w:pPr>
                    <w:pStyle w:val="42"/>
                    <w:rPr>
                      <w:rFonts w:hint="eastAsia"/>
                      <w:lang w:val="en-US" w:eastAsia="zh-CN"/>
                    </w:rPr>
                  </w:pPr>
                  <w:r>
                    <w:rPr>
                      <w:rFonts w:hint="eastAsia"/>
                      <w:lang w:val="en-US" w:eastAsia="zh-CN"/>
                    </w:rPr>
                    <w:t>脱硫(石灰石/石灰-石膏湿法、氧化镁法、钠碱法、氨法)</w:t>
                  </w:r>
                </w:p>
              </w:tc>
              <w:tc>
                <w:tcPr>
                  <w:tcW w:w="853" w:type="pct"/>
                  <w:tcBorders>
                    <w:tl2br w:val="nil"/>
                    <w:tr2bl w:val="nil"/>
                  </w:tcBorders>
                  <w:noWrap/>
                  <w:vAlign w:val="center"/>
                </w:tcPr>
                <w:p w14:paraId="23BE746D">
                  <w:pPr>
                    <w:pStyle w:val="42"/>
                    <w:rPr>
                      <w:rFonts w:hint="eastAsia"/>
                      <w:lang w:val="en-US" w:eastAsia="zh-CN"/>
                    </w:rPr>
                  </w:pPr>
                  <w:r>
                    <w:rPr>
                      <w:rFonts w:hint="eastAsia"/>
                      <w:color w:val="auto"/>
                    </w:rPr>
                    <w:t>石灰石－石膏法脱硫</w:t>
                  </w:r>
                </w:p>
              </w:tc>
              <w:tc>
                <w:tcPr>
                  <w:tcW w:w="610" w:type="pct"/>
                  <w:tcBorders>
                    <w:tl2br w:val="nil"/>
                    <w:tr2bl w:val="nil"/>
                  </w:tcBorders>
                  <w:noWrap/>
                  <w:vAlign w:val="center"/>
                </w:tcPr>
                <w:p w14:paraId="58F9917F">
                  <w:pPr>
                    <w:pStyle w:val="42"/>
                    <w:rPr>
                      <w:rFonts w:hint="default"/>
                      <w:lang w:val="en-US" w:eastAsia="zh-CN"/>
                    </w:rPr>
                  </w:pPr>
                  <w:r>
                    <w:rPr>
                      <w:rFonts w:hint="eastAsia"/>
                      <w:lang w:val="en-US" w:eastAsia="zh-CN"/>
                    </w:rPr>
                    <w:t>92.5</w:t>
                  </w:r>
                </w:p>
              </w:tc>
              <w:tc>
                <w:tcPr>
                  <w:tcW w:w="489" w:type="pct"/>
                  <w:tcBorders>
                    <w:tl2br w:val="nil"/>
                    <w:tr2bl w:val="nil"/>
                  </w:tcBorders>
                  <w:noWrap/>
                  <w:vAlign w:val="center"/>
                </w:tcPr>
                <w:p w14:paraId="0BACB171">
                  <w:pPr>
                    <w:pStyle w:val="42"/>
                    <w:rPr>
                      <w:rFonts w:hint="default"/>
                      <w:lang w:val="en-US" w:eastAsia="zh-CN"/>
                    </w:rPr>
                  </w:pPr>
                  <w:r>
                    <w:rPr>
                      <w:rFonts w:hint="eastAsia"/>
                      <w:lang w:val="en-US" w:eastAsia="zh-CN"/>
                    </w:rPr>
                    <w:t>可行</w:t>
                  </w:r>
                </w:p>
              </w:tc>
            </w:tr>
          </w:tbl>
          <w:p w14:paraId="2389E7C9">
            <w:pPr>
              <w:pStyle w:val="41"/>
              <w:bidi w:val="0"/>
            </w:pPr>
            <w:r>
              <w:rPr>
                <w:rFonts w:hint="eastAsia"/>
                <w:lang w:val="en-US" w:eastAsia="zh-CN"/>
              </w:rPr>
              <w:t>4、</w:t>
            </w:r>
            <w:r>
              <w:rPr>
                <w:rFonts w:hint="eastAsia"/>
              </w:rPr>
              <w:t>排放口基本情况</w:t>
            </w:r>
          </w:p>
          <w:p w14:paraId="177C91AE">
            <w:pPr>
              <w:pStyle w:val="41"/>
              <w:bidi w:val="0"/>
            </w:pPr>
            <w:r>
              <w:rPr>
                <w:rFonts w:hint="eastAsia"/>
              </w:rPr>
              <w:t>本项目有组织废气排放口情况如下：</w:t>
            </w:r>
          </w:p>
          <w:p w14:paraId="72E9655B">
            <w:pPr>
              <w:pStyle w:val="53"/>
              <w:spacing w:before="24" w:after="24"/>
            </w:pPr>
            <w:r>
              <w:t>表</w:t>
            </w:r>
            <w:r>
              <w:rPr>
                <w:rFonts w:hint="eastAsia"/>
                <w:lang w:val="en-US" w:eastAsia="zh-CN"/>
              </w:rPr>
              <w:t>4-6</w:t>
            </w:r>
            <w:r>
              <w:rPr>
                <w:rFonts w:hint="eastAsia"/>
              </w:rPr>
              <w:t xml:space="preserve">   排放口基本情况一览表</w:t>
            </w:r>
          </w:p>
          <w:tbl>
            <w:tblPr>
              <w:tblStyle w:val="31"/>
              <w:tblW w:w="48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890"/>
              <w:gridCol w:w="890"/>
              <w:gridCol w:w="951"/>
              <w:gridCol w:w="733"/>
              <w:gridCol w:w="1089"/>
              <w:gridCol w:w="1073"/>
              <w:gridCol w:w="1054"/>
            </w:tblGrid>
            <w:tr w14:paraId="3955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23" w:type="pct"/>
                  <w:vMerge w:val="restart"/>
                  <w:tcBorders>
                    <w:tl2br w:val="nil"/>
                    <w:tr2bl w:val="nil"/>
                  </w:tcBorders>
                  <w:noWrap/>
                  <w:tcMar>
                    <w:left w:w="0" w:type="dxa"/>
                    <w:right w:w="0" w:type="dxa"/>
                  </w:tcMar>
                  <w:vAlign w:val="center"/>
                </w:tcPr>
                <w:p w14:paraId="49E3120C">
                  <w:pPr>
                    <w:adjustRightInd w:val="0"/>
                    <w:jc w:val="center"/>
                    <w:textAlignment w:val="center"/>
                    <w:rPr>
                      <w:szCs w:val="21"/>
                    </w:rPr>
                  </w:pPr>
                  <w:r>
                    <w:rPr>
                      <w:rFonts w:hint="eastAsia"/>
                      <w:szCs w:val="21"/>
                    </w:rPr>
                    <w:t>排气筒名称</w:t>
                  </w:r>
                </w:p>
              </w:tc>
              <w:tc>
                <w:tcPr>
                  <w:tcW w:w="583" w:type="pct"/>
                  <w:vMerge w:val="restart"/>
                  <w:tcBorders>
                    <w:tl2br w:val="nil"/>
                    <w:tr2bl w:val="nil"/>
                  </w:tcBorders>
                  <w:noWrap/>
                  <w:tcMar>
                    <w:left w:w="0" w:type="dxa"/>
                    <w:right w:w="0" w:type="dxa"/>
                  </w:tcMar>
                  <w:vAlign w:val="center"/>
                </w:tcPr>
                <w:p w14:paraId="2A17E952">
                  <w:pPr>
                    <w:adjustRightInd w:val="0"/>
                    <w:jc w:val="center"/>
                    <w:textAlignment w:val="center"/>
                    <w:rPr>
                      <w:szCs w:val="21"/>
                    </w:rPr>
                  </w:pPr>
                  <w:r>
                    <w:rPr>
                      <w:rFonts w:hint="eastAsia"/>
                      <w:szCs w:val="21"/>
                    </w:rPr>
                    <w:t>编号</w:t>
                  </w:r>
                </w:p>
              </w:tc>
              <w:tc>
                <w:tcPr>
                  <w:tcW w:w="583" w:type="pct"/>
                  <w:vMerge w:val="restart"/>
                  <w:tcBorders>
                    <w:tl2br w:val="nil"/>
                    <w:tr2bl w:val="nil"/>
                  </w:tcBorders>
                  <w:noWrap/>
                  <w:tcMar>
                    <w:left w:w="0" w:type="dxa"/>
                    <w:right w:w="0" w:type="dxa"/>
                  </w:tcMar>
                  <w:vAlign w:val="center"/>
                </w:tcPr>
                <w:p w14:paraId="5D9E0B99">
                  <w:pPr>
                    <w:adjustRightInd w:val="0"/>
                    <w:jc w:val="center"/>
                    <w:textAlignment w:val="center"/>
                  </w:pPr>
                  <w:r>
                    <w:rPr>
                      <w:szCs w:val="21"/>
                    </w:rPr>
                    <w:t>高度</w:t>
                  </w:r>
                </w:p>
              </w:tc>
              <w:tc>
                <w:tcPr>
                  <w:tcW w:w="623" w:type="pct"/>
                  <w:vMerge w:val="restart"/>
                  <w:tcBorders>
                    <w:tl2br w:val="nil"/>
                    <w:tr2bl w:val="nil"/>
                  </w:tcBorders>
                  <w:noWrap/>
                  <w:tcMar>
                    <w:left w:w="0" w:type="dxa"/>
                    <w:right w:w="0" w:type="dxa"/>
                  </w:tcMar>
                  <w:vAlign w:val="center"/>
                </w:tcPr>
                <w:p w14:paraId="675F4F68">
                  <w:pPr>
                    <w:adjustRightInd w:val="0"/>
                    <w:jc w:val="center"/>
                    <w:textAlignment w:val="center"/>
                  </w:pPr>
                  <w:r>
                    <w:rPr>
                      <w:szCs w:val="21"/>
                    </w:rPr>
                    <w:t>排气筒内径</w:t>
                  </w:r>
                </w:p>
              </w:tc>
              <w:tc>
                <w:tcPr>
                  <w:tcW w:w="480" w:type="pct"/>
                  <w:vMerge w:val="restart"/>
                  <w:tcBorders>
                    <w:tl2br w:val="nil"/>
                    <w:tr2bl w:val="nil"/>
                  </w:tcBorders>
                  <w:noWrap/>
                  <w:tcMar>
                    <w:left w:w="0" w:type="dxa"/>
                    <w:right w:w="0" w:type="dxa"/>
                  </w:tcMar>
                  <w:vAlign w:val="center"/>
                </w:tcPr>
                <w:p w14:paraId="6BB2BD21">
                  <w:pPr>
                    <w:adjustRightInd w:val="0"/>
                    <w:jc w:val="center"/>
                    <w:textAlignment w:val="center"/>
                  </w:pPr>
                  <w:r>
                    <w:rPr>
                      <w:szCs w:val="21"/>
                    </w:rPr>
                    <w:t>温度</w:t>
                  </w:r>
                </w:p>
              </w:tc>
              <w:tc>
                <w:tcPr>
                  <w:tcW w:w="713" w:type="pct"/>
                  <w:vMerge w:val="restart"/>
                  <w:tcBorders>
                    <w:tl2br w:val="nil"/>
                    <w:tr2bl w:val="nil"/>
                  </w:tcBorders>
                  <w:noWrap/>
                  <w:tcMar>
                    <w:left w:w="0" w:type="dxa"/>
                    <w:right w:w="0" w:type="dxa"/>
                  </w:tcMar>
                  <w:vAlign w:val="center"/>
                </w:tcPr>
                <w:p w14:paraId="346F0829">
                  <w:pPr>
                    <w:adjustRightInd w:val="0"/>
                    <w:jc w:val="center"/>
                    <w:textAlignment w:val="center"/>
                  </w:pPr>
                  <w:r>
                    <w:rPr>
                      <w:rFonts w:hint="eastAsia"/>
                      <w:szCs w:val="21"/>
                    </w:rPr>
                    <w:t>类型</w:t>
                  </w:r>
                </w:p>
              </w:tc>
              <w:tc>
                <w:tcPr>
                  <w:tcW w:w="1393" w:type="pct"/>
                  <w:gridSpan w:val="2"/>
                  <w:tcBorders>
                    <w:tl2br w:val="nil"/>
                    <w:tr2bl w:val="nil"/>
                  </w:tcBorders>
                  <w:noWrap/>
                  <w:tcMar>
                    <w:left w:w="0" w:type="dxa"/>
                    <w:right w:w="0" w:type="dxa"/>
                  </w:tcMar>
                  <w:vAlign w:val="center"/>
                </w:tcPr>
                <w:p w14:paraId="05A63CD8">
                  <w:pPr>
                    <w:adjustRightInd w:val="0"/>
                    <w:jc w:val="center"/>
                    <w:textAlignment w:val="center"/>
                    <w:rPr>
                      <w:szCs w:val="21"/>
                    </w:rPr>
                  </w:pPr>
                  <w:r>
                    <w:rPr>
                      <w:rFonts w:hint="eastAsia"/>
                      <w:szCs w:val="21"/>
                    </w:rPr>
                    <w:t>地理坐标</w:t>
                  </w:r>
                </w:p>
              </w:tc>
            </w:tr>
            <w:tr w14:paraId="2680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23" w:type="pct"/>
                  <w:vMerge w:val="continue"/>
                  <w:tcBorders>
                    <w:tl2br w:val="nil"/>
                    <w:tr2bl w:val="nil"/>
                  </w:tcBorders>
                  <w:noWrap/>
                  <w:tcMar>
                    <w:left w:w="0" w:type="dxa"/>
                    <w:right w:w="0" w:type="dxa"/>
                  </w:tcMar>
                  <w:vAlign w:val="center"/>
                </w:tcPr>
                <w:p w14:paraId="20A96951">
                  <w:pPr>
                    <w:adjustRightInd w:val="0"/>
                    <w:jc w:val="center"/>
                    <w:textAlignment w:val="center"/>
                  </w:pPr>
                </w:p>
              </w:tc>
              <w:tc>
                <w:tcPr>
                  <w:tcW w:w="583" w:type="pct"/>
                  <w:vMerge w:val="continue"/>
                  <w:tcBorders>
                    <w:tl2br w:val="nil"/>
                    <w:tr2bl w:val="nil"/>
                  </w:tcBorders>
                  <w:noWrap/>
                  <w:tcMar>
                    <w:left w:w="0" w:type="dxa"/>
                    <w:right w:w="0" w:type="dxa"/>
                  </w:tcMar>
                  <w:vAlign w:val="center"/>
                </w:tcPr>
                <w:p w14:paraId="5D951712">
                  <w:pPr>
                    <w:adjustRightInd w:val="0"/>
                    <w:jc w:val="center"/>
                    <w:textAlignment w:val="center"/>
                  </w:pPr>
                </w:p>
              </w:tc>
              <w:tc>
                <w:tcPr>
                  <w:tcW w:w="583" w:type="pct"/>
                  <w:vMerge w:val="continue"/>
                  <w:tcBorders>
                    <w:tl2br w:val="nil"/>
                    <w:tr2bl w:val="nil"/>
                  </w:tcBorders>
                  <w:noWrap/>
                  <w:tcMar>
                    <w:left w:w="0" w:type="dxa"/>
                    <w:right w:w="0" w:type="dxa"/>
                  </w:tcMar>
                  <w:vAlign w:val="center"/>
                </w:tcPr>
                <w:p w14:paraId="318A9970">
                  <w:pPr>
                    <w:adjustRightInd w:val="0"/>
                    <w:jc w:val="center"/>
                    <w:textAlignment w:val="center"/>
                  </w:pPr>
                </w:p>
              </w:tc>
              <w:tc>
                <w:tcPr>
                  <w:tcW w:w="623" w:type="pct"/>
                  <w:vMerge w:val="continue"/>
                  <w:tcBorders>
                    <w:tl2br w:val="nil"/>
                    <w:tr2bl w:val="nil"/>
                  </w:tcBorders>
                  <w:noWrap/>
                  <w:tcMar>
                    <w:left w:w="0" w:type="dxa"/>
                    <w:right w:w="0" w:type="dxa"/>
                  </w:tcMar>
                  <w:vAlign w:val="center"/>
                </w:tcPr>
                <w:p w14:paraId="719FCCF2">
                  <w:pPr>
                    <w:adjustRightInd w:val="0"/>
                    <w:jc w:val="center"/>
                    <w:textAlignment w:val="center"/>
                  </w:pPr>
                </w:p>
              </w:tc>
              <w:tc>
                <w:tcPr>
                  <w:tcW w:w="480" w:type="pct"/>
                  <w:vMerge w:val="continue"/>
                  <w:tcBorders>
                    <w:tl2br w:val="nil"/>
                    <w:tr2bl w:val="nil"/>
                  </w:tcBorders>
                  <w:noWrap/>
                  <w:tcMar>
                    <w:left w:w="0" w:type="dxa"/>
                    <w:right w:w="0" w:type="dxa"/>
                  </w:tcMar>
                  <w:vAlign w:val="center"/>
                </w:tcPr>
                <w:p w14:paraId="20C56BE4">
                  <w:pPr>
                    <w:adjustRightInd w:val="0"/>
                    <w:jc w:val="center"/>
                    <w:textAlignment w:val="center"/>
                  </w:pPr>
                </w:p>
              </w:tc>
              <w:tc>
                <w:tcPr>
                  <w:tcW w:w="713" w:type="pct"/>
                  <w:vMerge w:val="continue"/>
                  <w:tcBorders>
                    <w:tl2br w:val="nil"/>
                    <w:tr2bl w:val="nil"/>
                  </w:tcBorders>
                  <w:noWrap/>
                  <w:tcMar>
                    <w:left w:w="0" w:type="dxa"/>
                    <w:right w:w="0" w:type="dxa"/>
                  </w:tcMar>
                  <w:vAlign w:val="center"/>
                </w:tcPr>
                <w:p w14:paraId="23C8075C">
                  <w:pPr>
                    <w:adjustRightInd w:val="0"/>
                    <w:jc w:val="center"/>
                    <w:textAlignment w:val="center"/>
                  </w:pPr>
                </w:p>
              </w:tc>
              <w:tc>
                <w:tcPr>
                  <w:tcW w:w="703" w:type="pct"/>
                  <w:tcBorders>
                    <w:tl2br w:val="nil"/>
                    <w:tr2bl w:val="nil"/>
                  </w:tcBorders>
                  <w:noWrap/>
                  <w:tcMar>
                    <w:left w:w="0" w:type="dxa"/>
                    <w:right w:w="0" w:type="dxa"/>
                  </w:tcMar>
                  <w:vAlign w:val="center"/>
                </w:tcPr>
                <w:p w14:paraId="51724CB2">
                  <w:pPr>
                    <w:adjustRightInd w:val="0"/>
                    <w:jc w:val="center"/>
                    <w:textAlignment w:val="center"/>
                    <w:rPr>
                      <w:szCs w:val="21"/>
                    </w:rPr>
                  </w:pPr>
                  <w:r>
                    <w:rPr>
                      <w:rFonts w:hint="eastAsia"/>
                    </w:rPr>
                    <w:t>经度</w:t>
                  </w:r>
                </w:p>
              </w:tc>
              <w:tc>
                <w:tcPr>
                  <w:tcW w:w="689" w:type="pct"/>
                  <w:tcBorders>
                    <w:tl2br w:val="nil"/>
                    <w:tr2bl w:val="nil"/>
                  </w:tcBorders>
                  <w:noWrap/>
                  <w:tcMar>
                    <w:left w:w="0" w:type="dxa"/>
                    <w:right w:w="0" w:type="dxa"/>
                  </w:tcMar>
                  <w:vAlign w:val="center"/>
                </w:tcPr>
                <w:p w14:paraId="44353976">
                  <w:pPr>
                    <w:adjustRightInd w:val="0"/>
                    <w:jc w:val="center"/>
                    <w:textAlignment w:val="center"/>
                    <w:rPr>
                      <w:szCs w:val="21"/>
                    </w:rPr>
                  </w:pPr>
                  <w:r>
                    <w:rPr>
                      <w:rFonts w:hint="eastAsia"/>
                    </w:rPr>
                    <w:t>纬度</w:t>
                  </w:r>
                </w:p>
              </w:tc>
            </w:tr>
            <w:tr w14:paraId="02F8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tcMar>
                    <w:left w:w="0" w:type="dxa"/>
                    <w:right w:w="0" w:type="dxa"/>
                  </w:tcMar>
                  <w:vAlign w:val="center"/>
                </w:tcPr>
                <w:p w14:paraId="18DD8289">
                  <w:pPr>
                    <w:adjustRightInd w:val="0"/>
                    <w:jc w:val="center"/>
                    <w:textAlignment w:val="center"/>
                  </w:pPr>
                  <w:r>
                    <w:rPr>
                      <w:rFonts w:hint="eastAsia"/>
                    </w:rPr>
                    <w:t>排气筒P1</w:t>
                  </w:r>
                </w:p>
              </w:tc>
              <w:tc>
                <w:tcPr>
                  <w:tcW w:w="583" w:type="pct"/>
                  <w:tcBorders>
                    <w:tl2br w:val="nil"/>
                    <w:tr2bl w:val="nil"/>
                  </w:tcBorders>
                  <w:noWrap/>
                  <w:tcMar>
                    <w:left w:w="0" w:type="dxa"/>
                    <w:right w:w="0" w:type="dxa"/>
                  </w:tcMar>
                  <w:vAlign w:val="center"/>
                </w:tcPr>
                <w:p w14:paraId="43661E80">
                  <w:pPr>
                    <w:adjustRightInd w:val="0"/>
                    <w:jc w:val="center"/>
                    <w:textAlignment w:val="center"/>
                  </w:pPr>
                  <w:r>
                    <w:rPr>
                      <w:rFonts w:hint="eastAsia"/>
                    </w:rPr>
                    <w:t>DA001</w:t>
                  </w:r>
                </w:p>
              </w:tc>
              <w:tc>
                <w:tcPr>
                  <w:tcW w:w="583" w:type="pct"/>
                  <w:tcBorders>
                    <w:tl2br w:val="nil"/>
                    <w:tr2bl w:val="nil"/>
                  </w:tcBorders>
                  <w:noWrap/>
                  <w:tcMar>
                    <w:left w:w="0" w:type="dxa"/>
                    <w:right w:w="0" w:type="dxa"/>
                  </w:tcMar>
                  <w:vAlign w:val="center"/>
                </w:tcPr>
                <w:p w14:paraId="31FA492C">
                  <w:pPr>
                    <w:adjustRightInd w:val="0"/>
                    <w:jc w:val="center"/>
                    <w:textAlignment w:val="center"/>
                    <w:rPr>
                      <w:rFonts w:hint="default"/>
                      <w:szCs w:val="21"/>
                      <w:lang w:val="en-US"/>
                    </w:rPr>
                  </w:pPr>
                  <w:r>
                    <w:rPr>
                      <w:rFonts w:hint="eastAsia"/>
                      <w:szCs w:val="21"/>
                      <w:lang w:val="en-US" w:eastAsia="zh-CN"/>
                    </w:rPr>
                    <w:t>20m</w:t>
                  </w:r>
                </w:p>
              </w:tc>
              <w:tc>
                <w:tcPr>
                  <w:tcW w:w="623" w:type="pct"/>
                  <w:tcBorders>
                    <w:tl2br w:val="nil"/>
                    <w:tr2bl w:val="nil"/>
                  </w:tcBorders>
                  <w:noWrap/>
                  <w:tcMar>
                    <w:left w:w="0" w:type="dxa"/>
                    <w:right w:w="0" w:type="dxa"/>
                  </w:tcMar>
                  <w:vAlign w:val="center"/>
                </w:tcPr>
                <w:p w14:paraId="12ECEBF8">
                  <w:pPr>
                    <w:adjustRightInd w:val="0"/>
                    <w:jc w:val="center"/>
                    <w:textAlignment w:val="center"/>
                  </w:pPr>
                  <w:r>
                    <w:rPr>
                      <w:rFonts w:hint="eastAsia"/>
                    </w:rPr>
                    <w:t>0.5</w:t>
                  </w:r>
                </w:p>
              </w:tc>
              <w:tc>
                <w:tcPr>
                  <w:tcW w:w="480" w:type="pct"/>
                  <w:tcBorders>
                    <w:tl2br w:val="nil"/>
                    <w:tr2bl w:val="nil"/>
                  </w:tcBorders>
                  <w:noWrap/>
                  <w:tcMar>
                    <w:left w:w="0" w:type="dxa"/>
                    <w:right w:w="0" w:type="dxa"/>
                  </w:tcMar>
                  <w:vAlign w:val="center"/>
                </w:tcPr>
                <w:p w14:paraId="28E616F4">
                  <w:pPr>
                    <w:adjustRightInd w:val="0"/>
                    <w:jc w:val="center"/>
                    <w:textAlignment w:val="center"/>
                  </w:pPr>
                  <w:r>
                    <w:rPr>
                      <w:rFonts w:hint="eastAsia"/>
                    </w:rPr>
                    <w:t>50</w:t>
                  </w:r>
                  <w:r>
                    <w:rPr>
                      <w:sz w:val="24"/>
                    </w:rPr>
                    <w:t>℃</w:t>
                  </w:r>
                </w:p>
              </w:tc>
              <w:tc>
                <w:tcPr>
                  <w:tcW w:w="713" w:type="pct"/>
                  <w:tcBorders>
                    <w:tl2br w:val="nil"/>
                    <w:tr2bl w:val="nil"/>
                  </w:tcBorders>
                  <w:noWrap/>
                  <w:tcMar>
                    <w:left w:w="0" w:type="dxa"/>
                    <w:right w:w="0" w:type="dxa"/>
                  </w:tcMar>
                  <w:vAlign w:val="center"/>
                </w:tcPr>
                <w:p w14:paraId="0E8BF975">
                  <w:pPr>
                    <w:adjustRightInd w:val="0"/>
                    <w:jc w:val="center"/>
                    <w:textAlignment w:val="center"/>
                  </w:pPr>
                  <w:r>
                    <w:rPr>
                      <w:rFonts w:hint="eastAsia"/>
                    </w:rPr>
                    <w:t>一般排放口</w:t>
                  </w:r>
                </w:p>
              </w:tc>
              <w:tc>
                <w:tcPr>
                  <w:tcW w:w="703" w:type="pct"/>
                  <w:tcBorders>
                    <w:tl2br w:val="nil"/>
                    <w:tr2bl w:val="nil"/>
                  </w:tcBorders>
                  <w:noWrap/>
                  <w:tcMar>
                    <w:left w:w="0" w:type="dxa"/>
                    <w:right w:w="0" w:type="dxa"/>
                  </w:tcMar>
                  <w:vAlign w:val="center"/>
                </w:tcPr>
                <w:p w14:paraId="6E69B65C">
                  <w:pPr>
                    <w:pStyle w:val="42"/>
                  </w:pPr>
                  <w:r>
                    <w:rPr>
                      <w:rFonts w:hint="eastAsia"/>
                    </w:rPr>
                    <w:t>83.0903621</w:t>
                  </w:r>
                </w:p>
              </w:tc>
              <w:tc>
                <w:tcPr>
                  <w:tcW w:w="689" w:type="pct"/>
                  <w:tcBorders>
                    <w:tl2br w:val="nil"/>
                    <w:tr2bl w:val="nil"/>
                  </w:tcBorders>
                  <w:noWrap/>
                  <w:tcMar>
                    <w:left w:w="0" w:type="dxa"/>
                    <w:right w:w="0" w:type="dxa"/>
                  </w:tcMar>
                  <w:vAlign w:val="center"/>
                </w:tcPr>
                <w:p w14:paraId="21F05687">
                  <w:pPr>
                    <w:pStyle w:val="42"/>
                  </w:pPr>
                  <w:r>
                    <w:rPr>
                      <w:rFonts w:hint="eastAsia"/>
                    </w:rPr>
                    <w:t>46.2017684</w:t>
                  </w:r>
                </w:p>
              </w:tc>
            </w:tr>
          </w:tbl>
          <w:p w14:paraId="7355DCF5">
            <w:pPr>
              <w:pStyle w:val="41"/>
              <w:bidi w:val="0"/>
            </w:pPr>
            <w:r>
              <w:rPr>
                <w:rFonts w:hint="eastAsia"/>
                <w:lang w:val="en-US" w:eastAsia="zh-CN"/>
              </w:rPr>
              <w:t>5、</w:t>
            </w:r>
            <w:r>
              <w:rPr>
                <w:rFonts w:hint="eastAsia"/>
              </w:rPr>
              <w:t>大气污染源监测计划</w:t>
            </w:r>
          </w:p>
          <w:p w14:paraId="15D61F7C">
            <w:pPr>
              <w:pStyle w:val="41"/>
              <w:bidi w:val="0"/>
            </w:pPr>
            <w:r>
              <w:rPr>
                <w:rFonts w:hint="eastAsia"/>
                <w:lang w:val="en-US" w:eastAsia="zh-CN"/>
              </w:rPr>
              <w:t>根据《排污企业自行监测技术规范》，</w:t>
            </w:r>
            <w:r>
              <w:t>项目自行监测委托有资质的第三方检测机构完成，监测方法由第三方机构根据相关规范确定。建设方要求第三方检测公司按《固定污染源监测质量保证与质量控制技术规范</w:t>
            </w:r>
            <w:r>
              <w:rPr>
                <w:rFonts w:hint="eastAsia"/>
                <w:lang w:eastAsia="zh-CN"/>
              </w:rPr>
              <w:t>（</w:t>
            </w:r>
            <w:r>
              <w:t>试行）》</w:t>
            </w:r>
            <w:r>
              <w:rPr>
                <w:rFonts w:hint="eastAsia"/>
                <w:lang w:eastAsia="zh-CN"/>
              </w:rPr>
              <w:t>（</w:t>
            </w:r>
            <w:r>
              <w:t>HJ/373）执行相关监测操作。</w:t>
            </w:r>
          </w:p>
          <w:p w14:paraId="31436C71">
            <w:pPr>
              <w:pStyle w:val="41"/>
              <w:bidi w:val="0"/>
            </w:pPr>
            <w:r>
              <w:t>监测数据记录、整理、存档要求：应当定期记录开展手工监测的日期、时间、污染物排放口和监测点位、监测方法、监测频次、监测仪器及型号、采样方法、监测结果等，并建立台账记录报告。本项目自行监测相关要求见下表。</w:t>
            </w:r>
          </w:p>
          <w:p w14:paraId="2D608561">
            <w:pPr>
              <w:pStyle w:val="53"/>
              <w:spacing w:before="24" w:after="24"/>
            </w:pPr>
            <w:r>
              <w:rPr>
                <w:rFonts w:hint="eastAsia"/>
              </w:rPr>
              <w:t>表</w:t>
            </w:r>
            <w:r>
              <w:rPr>
                <w:rFonts w:hint="eastAsia"/>
                <w:lang w:val="en-US" w:eastAsia="zh-CN"/>
              </w:rPr>
              <w:t>4-7</w:t>
            </w:r>
            <w:r>
              <w:rPr>
                <w:rFonts w:hint="eastAsia"/>
              </w:rPr>
              <w:t xml:space="preserve">   大气污染物自行监测及记录信息表</w:t>
            </w:r>
          </w:p>
          <w:p w14:paraId="288FDDA4">
            <w:pPr>
              <w:pStyle w:val="39"/>
              <w:bidi w:val="0"/>
            </w:pPr>
            <w:r>
              <w:rPr>
                <w:rFonts w:hint="eastAsia"/>
                <w:lang w:val="en-US" w:eastAsia="zh-CN"/>
              </w:rPr>
              <w:t>6、</w:t>
            </w:r>
            <w:r>
              <w:rPr>
                <w:rFonts w:hint="eastAsia"/>
              </w:rPr>
              <w:t>污染源排放清单</w:t>
            </w:r>
          </w:p>
          <w:p w14:paraId="4BCD86A4">
            <w:pPr>
              <w:pStyle w:val="39"/>
              <w:bidi w:val="0"/>
            </w:pPr>
            <w:r>
              <w:rPr>
                <w:rFonts w:hint="eastAsia"/>
              </w:rPr>
              <w:t>本项目污染源排放清单如下：</w:t>
            </w:r>
          </w:p>
          <w:p w14:paraId="310C7258">
            <w:pPr>
              <w:pStyle w:val="53"/>
              <w:spacing w:beforeLines="0" w:afterLines="0" w:line="360" w:lineRule="auto"/>
              <w:rPr>
                <w:rFonts w:hint="eastAsia"/>
              </w:rPr>
            </w:pPr>
            <w:r>
              <w:rPr>
                <w:rFonts w:hint="eastAsia"/>
              </w:rPr>
              <w:t>表</w:t>
            </w:r>
            <w:r>
              <w:rPr>
                <w:rFonts w:hint="eastAsia"/>
                <w:lang w:val="en-US" w:eastAsia="zh-CN"/>
              </w:rPr>
              <w:t>4-8</w:t>
            </w:r>
            <w:r>
              <w:rPr>
                <w:rFonts w:hint="eastAsia"/>
              </w:rPr>
              <w:t xml:space="preserve">   项目污染源排放清单</w:t>
            </w:r>
          </w:p>
          <w:p w14:paraId="20B70D97">
            <w:pPr>
              <w:pStyle w:val="41"/>
              <w:bidi w:val="0"/>
            </w:pPr>
            <w:r>
              <w:rPr>
                <w:rFonts w:hint="eastAsia"/>
                <w:lang w:val="en-US" w:eastAsia="zh-CN"/>
              </w:rPr>
              <w:t>7</w:t>
            </w:r>
            <w:r>
              <w:rPr>
                <w:rFonts w:hint="eastAsia"/>
              </w:rPr>
              <w:t>.非正常工况分析</w:t>
            </w:r>
          </w:p>
          <w:p w14:paraId="019DB53E">
            <w:pPr>
              <w:pStyle w:val="41"/>
              <w:bidi w:val="0"/>
            </w:pPr>
            <w:r>
              <w:t>项目非正常排放指生产设备在开、停车状态，检修状态或者部分设备未能完全运行状态下污染物的排放情况，本项目开车、停车、检修等非正常情况设定为治理设施达不到正常处理效率及处理装置出现故障状态下废气排放。</w:t>
            </w:r>
          </w:p>
          <w:p w14:paraId="5A6C3E3E">
            <w:pPr>
              <w:pStyle w:val="41"/>
              <w:bidi w:val="0"/>
            </w:pPr>
            <w:r>
              <w:t>废气非正常工况排放源强详见</w:t>
            </w:r>
            <w:r>
              <w:rPr>
                <w:rFonts w:hint="eastAsia"/>
                <w:lang w:val="en-US" w:eastAsia="zh-CN"/>
              </w:rPr>
              <w:t>下</w:t>
            </w:r>
            <w:r>
              <w:t>表。</w:t>
            </w:r>
          </w:p>
          <w:p w14:paraId="35EC0CF0">
            <w:pPr>
              <w:pStyle w:val="48"/>
              <w:bidi w:val="0"/>
            </w:pPr>
            <w:r>
              <w:t>表</w:t>
            </w:r>
            <w:r>
              <w:rPr>
                <w:rFonts w:hint="eastAsia"/>
                <w:lang w:val="en-US" w:eastAsia="zh-CN"/>
              </w:rPr>
              <w:t xml:space="preserve">4-9   </w:t>
            </w:r>
            <w:r>
              <w:t>项目非正常排放情况汇总表</w:t>
            </w:r>
          </w:p>
          <w:p w14:paraId="50F4CE36">
            <w:pPr>
              <w:pStyle w:val="39"/>
              <w:bidi w:val="0"/>
              <w:rPr>
                <w:rFonts w:hint="default"/>
                <w:lang w:val="en-US" w:eastAsia="zh-CN"/>
              </w:rPr>
            </w:pPr>
            <w:r>
              <w:rPr>
                <w:rFonts w:hint="eastAsia"/>
                <w:lang w:val="en-US"/>
              </w:rPr>
              <w:t>主要采取以下措施：</w:t>
            </w:r>
          </w:p>
          <w:p w14:paraId="5A03FE17">
            <w:pPr>
              <w:pStyle w:val="39"/>
              <w:bidi w:val="0"/>
            </w:pPr>
            <w:r>
              <w:t>启停阶段做好严格操作管理，开启生产设备前，提前开启处理装置，避免因设备启、停阶段带来的污染排放；设备运行时加强管理避免出现超负荷运转及低负荷运行状态，企业应加强在岗人员培训和对工艺设备运行的管理，尽量降低、避免非正常情况的发生，当废气处理设施出现故障不能短时间恢复时，应</w:t>
            </w:r>
            <w:r>
              <w:rPr>
                <w:rFonts w:hint="eastAsia"/>
                <w:lang w:val="en-US" w:eastAsia="zh-CN"/>
              </w:rPr>
              <w:t>立即</w:t>
            </w:r>
            <w:r>
              <w:t>停车检修。</w:t>
            </w:r>
          </w:p>
          <w:p w14:paraId="6CBF82B6">
            <w:pPr>
              <w:pStyle w:val="39"/>
              <w:bidi w:val="0"/>
              <w:rPr>
                <w:rFonts w:hint="default"/>
                <w:lang w:val="en-US" w:eastAsia="zh-CN"/>
              </w:rPr>
            </w:pPr>
            <w:r>
              <w:rPr>
                <w:rFonts w:hint="eastAsia"/>
                <w:lang w:val="en-US" w:eastAsia="zh-CN"/>
              </w:rPr>
              <w:t>8</w:t>
            </w:r>
            <w:r>
              <w:rPr>
                <w:rFonts w:hint="eastAsia"/>
              </w:rPr>
              <w:t>项目</w:t>
            </w:r>
            <w:r>
              <w:rPr>
                <w:rFonts w:hint="eastAsia"/>
                <w:lang w:eastAsia="zh-CN"/>
              </w:rPr>
              <w:t>污染物总量指标</w:t>
            </w:r>
            <w:r>
              <w:rPr>
                <w:rFonts w:hint="eastAsia"/>
              </w:rPr>
              <w:t>分析</w:t>
            </w:r>
          </w:p>
          <w:p w14:paraId="3108CA99">
            <w:pPr>
              <w:pStyle w:val="39"/>
              <w:bidi w:val="0"/>
              <w:rPr>
                <w:rFonts w:hint="default"/>
              </w:rPr>
            </w:pPr>
            <w:r>
              <w:rPr>
                <w:rFonts w:hint="default"/>
                <w:lang w:val="en-US" w:eastAsia="zh-CN"/>
              </w:rPr>
              <w:t>根据项目所在区域环境特征，结合项目污染物排放特征，建议本项目实施总量控制的污染物如下：</w:t>
            </w:r>
          </w:p>
          <w:p w14:paraId="3E0A551E">
            <w:pPr>
              <w:pStyle w:val="39"/>
              <w:bidi w:val="0"/>
              <w:rPr>
                <w:rFonts w:hint="default"/>
                <w:lang w:val="en-US" w:eastAsia="zh-CN"/>
              </w:rPr>
            </w:pPr>
            <w:r>
              <w:rPr>
                <w:rFonts w:hint="default"/>
                <w:lang w:val="en-US" w:eastAsia="zh-CN"/>
              </w:rPr>
              <w:t>废气污染物</w:t>
            </w:r>
            <w:r>
              <w:rPr>
                <w:rFonts w:hint="eastAsia"/>
                <w:lang w:val="en-US" w:eastAsia="zh-CN"/>
              </w:rPr>
              <w:t>（</w:t>
            </w:r>
            <w:r>
              <w:rPr>
                <w:rFonts w:hint="default"/>
                <w:lang w:val="en-US" w:eastAsia="zh-CN"/>
              </w:rPr>
              <w:t>有组织排放废气）：</w:t>
            </w:r>
            <w:r>
              <w:rPr>
                <w:rFonts w:hint="eastAsia"/>
                <w:lang w:val="en-US" w:eastAsia="zh-CN"/>
              </w:rPr>
              <w:t>颗粒物0.39</w:t>
            </w:r>
            <w:r>
              <w:rPr>
                <w:rFonts w:hint="default"/>
                <w:lang w:val="en-US" w:eastAsia="zh-CN"/>
              </w:rPr>
              <w:t>t/a</w:t>
            </w:r>
            <w:r>
              <w:rPr>
                <w:rFonts w:hint="eastAsia"/>
                <w:lang w:val="en-US" w:eastAsia="zh-CN"/>
              </w:rPr>
              <w:t>、二氧化硫0.81</w:t>
            </w:r>
            <w:r>
              <w:rPr>
                <w:rFonts w:hint="default"/>
                <w:lang w:val="en-US" w:eastAsia="zh-CN"/>
              </w:rPr>
              <w:t>t/a</w:t>
            </w:r>
            <w:r>
              <w:rPr>
                <w:rFonts w:hint="eastAsia"/>
                <w:lang w:val="en-US" w:eastAsia="zh-CN"/>
              </w:rPr>
              <w:t>、</w:t>
            </w:r>
            <w:r>
              <w:rPr>
                <w:rFonts w:hint="default"/>
                <w:lang w:val="en-US" w:eastAsia="zh-CN"/>
              </w:rPr>
              <w:t>氮氧化物</w:t>
            </w:r>
            <w:r>
              <w:rPr>
                <w:rFonts w:hint="eastAsia"/>
                <w:lang w:val="en-US" w:eastAsia="zh-CN"/>
              </w:rPr>
              <w:t>0.91</w:t>
            </w:r>
            <w:r>
              <w:rPr>
                <w:rFonts w:hint="default"/>
                <w:lang w:val="en-US" w:eastAsia="zh-CN"/>
              </w:rPr>
              <w:t>t/a。</w:t>
            </w:r>
          </w:p>
          <w:p w14:paraId="43B97ADF">
            <w:pPr>
              <w:pStyle w:val="5"/>
              <w:bidi w:val="0"/>
              <w:rPr>
                <w:color w:val="auto"/>
              </w:rPr>
            </w:pPr>
            <w:r>
              <w:rPr>
                <w:rFonts w:hint="eastAsia"/>
                <w:color w:val="auto"/>
                <w:lang w:val="en-US" w:eastAsia="zh-CN"/>
              </w:rPr>
              <w:t>4.2.2</w:t>
            </w:r>
            <w:r>
              <w:rPr>
                <w:color w:val="auto"/>
              </w:rPr>
              <w:t>废水污染物产排污情况</w:t>
            </w:r>
          </w:p>
          <w:p w14:paraId="08BE6C3E">
            <w:pPr>
              <w:pStyle w:val="41"/>
              <w:bidi w:val="0"/>
              <w:spacing w:line="360" w:lineRule="auto"/>
              <w:rPr>
                <w:rFonts w:hint="default"/>
                <w:color w:val="auto"/>
                <w:lang w:val="en-US" w:eastAsia="zh-CN"/>
              </w:rPr>
            </w:pPr>
            <w:r>
              <w:rPr>
                <w:rFonts w:hint="eastAsia"/>
                <w:color w:val="auto"/>
                <w:lang w:val="en-US" w:eastAsia="zh-CN"/>
              </w:rPr>
              <w:t>项目无生产废水，产生的废水主要为生活污水。</w:t>
            </w:r>
          </w:p>
          <w:p w14:paraId="28BD2FCB">
            <w:pPr>
              <w:pStyle w:val="39"/>
              <w:bidi w:val="0"/>
              <w:rPr>
                <w:rFonts w:hint="default"/>
                <w:lang w:val="en-US" w:eastAsia="zh-CN"/>
              </w:rPr>
            </w:pPr>
            <w:r>
              <w:rPr>
                <w:rFonts w:hint="eastAsia"/>
                <w:lang w:val="en-US" w:eastAsia="zh-CN"/>
              </w:rPr>
              <w:t>1、废水产生量</w:t>
            </w:r>
          </w:p>
          <w:p w14:paraId="5D5908ED">
            <w:pPr>
              <w:pStyle w:val="39"/>
              <w:bidi w:val="0"/>
              <w:rPr>
                <w:rFonts w:hint="eastAsia"/>
                <w:color w:val="auto"/>
                <w:lang w:val="en-US" w:eastAsia="zh-CN"/>
              </w:rPr>
            </w:pPr>
            <w:r>
              <w:rPr>
                <w:rFonts w:hint="eastAsia"/>
                <w:lang w:val="en-US" w:eastAsia="zh-CN"/>
              </w:rPr>
              <w:t>本项目工作人员</w:t>
            </w:r>
            <w:r>
              <w:rPr>
                <w:rFonts w:hint="eastAsia"/>
                <w:color w:val="auto"/>
                <w:lang w:val="en-US" w:eastAsia="zh-CN"/>
              </w:rPr>
              <w:t>用水量为1.4m</w:t>
            </w:r>
            <w:r>
              <w:rPr>
                <w:rFonts w:hint="eastAsia"/>
                <w:color w:val="auto"/>
                <w:vertAlign w:val="superscript"/>
                <w:lang w:val="en-US" w:eastAsia="zh-CN"/>
              </w:rPr>
              <w:t>3</w:t>
            </w:r>
            <w:r>
              <w:rPr>
                <w:rFonts w:hint="eastAsia"/>
                <w:color w:val="auto"/>
                <w:lang w:val="en-US" w:eastAsia="zh-CN"/>
              </w:rPr>
              <w:t>/d（459m</w:t>
            </w:r>
            <w:r>
              <w:rPr>
                <w:rFonts w:hint="eastAsia"/>
                <w:color w:val="auto"/>
                <w:vertAlign w:val="superscript"/>
                <w:lang w:val="en-US" w:eastAsia="zh-CN"/>
              </w:rPr>
              <w:t>3</w:t>
            </w:r>
            <w:r>
              <w:rPr>
                <w:rFonts w:hint="eastAsia"/>
                <w:color w:val="auto"/>
                <w:lang w:val="en-US" w:eastAsia="zh-CN"/>
              </w:rPr>
              <w:t>/a），生活污水产生量按用水量的80%计，则生活污水产生量为1.11m</w:t>
            </w:r>
            <w:r>
              <w:rPr>
                <w:rFonts w:hint="eastAsia"/>
                <w:color w:val="auto"/>
                <w:vertAlign w:val="superscript"/>
                <w:lang w:val="en-US" w:eastAsia="zh-CN"/>
              </w:rPr>
              <w:t>3</w:t>
            </w:r>
            <w:r>
              <w:rPr>
                <w:rFonts w:hint="eastAsia"/>
                <w:color w:val="auto"/>
                <w:lang w:val="en-US" w:eastAsia="zh-CN"/>
              </w:rPr>
              <w:t>/d（367.2m</w:t>
            </w:r>
            <w:r>
              <w:rPr>
                <w:rFonts w:hint="eastAsia"/>
                <w:color w:val="auto"/>
                <w:vertAlign w:val="superscript"/>
                <w:lang w:val="en-US" w:eastAsia="zh-CN"/>
              </w:rPr>
              <w:t>3</w:t>
            </w:r>
            <w:r>
              <w:rPr>
                <w:rFonts w:hint="eastAsia"/>
                <w:color w:val="auto"/>
                <w:lang w:val="en-US" w:eastAsia="zh-CN"/>
              </w:rPr>
              <w:t>/a），生活污水中成分较为简单，不含有毒害物质，主要为COD、BOD</w:t>
            </w:r>
            <w:r>
              <w:rPr>
                <w:rFonts w:hint="eastAsia"/>
                <w:color w:val="auto"/>
                <w:vertAlign w:val="subscript"/>
                <w:lang w:val="en-US" w:eastAsia="zh-CN"/>
              </w:rPr>
              <w:t>5</w:t>
            </w:r>
            <w:r>
              <w:rPr>
                <w:rFonts w:hint="eastAsia"/>
                <w:color w:val="auto"/>
                <w:lang w:val="en-US" w:eastAsia="zh-CN"/>
              </w:rPr>
              <w:t>、氨氮及SS等，污染物产生及排放量如下：</w:t>
            </w:r>
          </w:p>
          <w:p w14:paraId="038825B7">
            <w:pPr>
              <w:pStyle w:val="48"/>
              <w:bidi w:val="0"/>
              <w:rPr>
                <w:rFonts w:hint="eastAsia"/>
                <w:color w:val="auto"/>
                <w:lang w:val="en-US" w:eastAsia="zh-CN"/>
              </w:rPr>
            </w:pPr>
            <w:r>
              <w:rPr>
                <w:rFonts w:hint="eastAsia"/>
                <w:color w:val="auto"/>
                <w:lang w:val="en-US" w:eastAsia="zh-CN"/>
              </w:rPr>
              <w:t>表4-1   生活污水中污染物产生及排放情况一览表</w:t>
            </w:r>
          </w:p>
          <w:p w14:paraId="06891F93">
            <w:pPr>
              <w:pStyle w:val="39"/>
              <w:bidi w:val="0"/>
              <w:rPr>
                <w:rFonts w:hint="eastAsia"/>
                <w:color w:val="auto"/>
                <w:lang w:val="en-US" w:eastAsia="zh-CN"/>
              </w:rPr>
            </w:pPr>
            <w:r>
              <w:rPr>
                <w:rFonts w:hint="eastAsia"/>
                <w:color w:val="auto"/>
                <w:lang w:val="en-US" w:eastAsia="zh-CN"/>
              </w:rPr>
              <w:t>2、防治措施</w:t>
            </w:r>
          </w:p>
          <w:p w14:paraId="5789DF37">
            <w:pPr>
              <w:pStyle w:val="39"/>
              <w:bidi w:val="0"/>
              <w:rPr>
                <w:rFonts w:hint="default"/>
                <w:color w:val="auto"/>
                <w:lang w:val="en-US" w:eastAsia="zh-CN"/>
              </w:rPr>
            </w:pPr>
            <w:r>
              <w:rPr>
                <w:rFonts w:hint="eastAsia"/>
                <w:color w:val="auto"/>
                <w:lang w:val="en-US" w:eastAsia="zh-CN"/>
              </w:rPr>
              <w:t>生活污水水质较为简单，主要污染物为COD、BOD</w:t>
            </w:r>
            <w:r>
              <w:rPr>
                <w:rFonts w:hint="eastAsia"/>
                <w:color w:val="auto"/>
                <w:vertAlign w:val="subscript"/>
                <w:lang w:val="en-US" w:eastAsia="zh-CN"/>
              </w:rPr>
              <w:t>5</w:t>
            </w:r>
            <w:r>
              <w:rPr>
                <w:rFonts w:hint="eastAsia"/>
                <w:color w:val="auto"/>
                <w:lang w:val="en-US" w:eastAsia="zh-CN"/>
              </w:rPr>
              <w:t>、SS、NH</w:t>
            </w:r>
            <w:r>
              <w:rPr>
                <w:rFonts w:hint="eastAsia"/>
                <w:color w:val="auto"/>
                <w:vertAlign w:val="subscript"/>
                <w:lang w:val="en-US" w:eastAsia="zh-CN"/>
              </w:rPr>
              <w:t>3</w:t>
            </w:r>
            <w:r>
              <w:rPr>
                <w:rFonts w:hint="eastAsia"/>
                <w:color w:val="auto"/>
                <w:lang w:val="en-US" w:eastAsia="zh-CN"/>
              </w:rPr>
              <w:t>-N，排入化粪池，化粪池采用玻璃钢材质，防渗能力可满足Mb≥6.0m，K≤1.0</w:t>
            </w:r>
            <w:r>
              <w:rPr>
                <w:rFonts w:hint="default"/>
                <w:color w:val="auto"/>
                <w:lang w:val="en-US" w:eastAsia="zh-CN"/>
              </w:rPr>
              <w:t>×</w:t>
            </w:r>
            <w:r>
              <w:rPr>
                <w:rFonts w:hint="eastAsia"/>
                <w:color w:val="auto"/>
                <w:lang w:val="en-US" w:eastAsia="zh-CN"/>
              </w:rPr>
              <w:t>10</w:t>
            </w:r>
            <w:r>
              <w:rPr>
                <w:rFonts w:hint="eastAsia"/>
                <w:color w:val="auto"/>
                <w:vertAlign w:val="superscript"/>
                <w:lang w:val="en-US" w:eastAsia="zh-CN"/>
              </w:rPr>
              <w:t>-7</w:t>
            </w:r>
            <w:r>
              <w:rPr>
                <w:rFonts w:hint="eastAsia"/>
                <w:color w:val="auto"/>
                <w:lang w:val="en-US" w:eastAsia="zh-CN"/>
              </w:rPr>
              <w:t>cm/s的要求，容积约为20m³，定期拉运至裕民县污水处理厂处置。</w:t>
            </w:r>
          </w:p>
          <w:p w14:paraId="16C4E043">
            <w:pPr>
              <w:pStyle w:val="41"/>
              <w:bidi w:val="0"/>
              <w:rPr>
                <w:rFonts w:hint="default"/>
                <w:color w:val="auto"/>
              </w:rPr>
            </w:pPr>
            <w:r>
              <w:rPr>
                <w:rFonts w:hint="eastAsia"/>
                <w:color w:val="auto"/>
                <w:lang w:val="en-US" w:eastAsia="zh-CN"/>
              </w:rPr>
              <w:t>3、</w:t>
            </w:r>
            <w:r>
              <w:rPr>
                <w:rFonts w:hint="default"/>
                <w:color w:val="auto"/>
              </w:rPr>
              <w:t>污水处理依托可行性</w:t>
            </w:r>
          </w:p>
          <w:p w14:paraId="1EC82736">
            <w:pPr>
              <w:pStyle w:val="5"/>
              <w:bidi w:val="0"/>
              <w:rPr>
                <w:color w:val="auto"/>
              </w:rPr>
            </w:pPr>
            <w:r>
              <w:rPr>
                <w:rFonts w:hint="eastAsia"/>
                <w:color w:val="auto"/>
                <w:lang w:val="en-US" w:eastAsia="zh-CN"/>
              </w:rPr>
              <w:t>4.2.3</w:t>
            </w:r>
            <w:r>
              <w:rPr>
                <w:color w:val="auto"/>
              </w:rPr>
              <w:t>噪声污染源</w:t>
            </w:r>
          </w:p>
          <w:p w14:paraId="5AD027C9">
            <w:pPr>
              <w:pStyle w:val="41"/>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color w:val="auto"/>
              </w:rPr>
              <w:t>噪声污染源源强产排放情况</w:t>
            </w:r>
          </w:p>
          <w:p w14:paraId="059D5257">
            <w:pPr>
              <w:pStyle w:val="41"/>
              <w:bidi w:val="0"/>
              <w:rPr>
                <w:rFonts w:hint="eastAsia"/>
                <w:color w:val="auto"/>
                <w:lang w:val="en-US" w:eastAsia="zh-CN"/>
              </w:rPr>
            </w:pPr>
            <w:r>
              <w:rPr>
                <w:color w:val="auto"/>
              </w:rPr>
              <w:t>本项目营运期噪声主要是风机</w:t>
            </w:r>
            <w:r>
              <w:rPr>
                <w:rFonts w:hint="eastAsia"/>
                <w:color w:val="auto"/>
                <w:lang w:eastAsia="zh-CN"/>
              </w:rPr>
              <w:t>、</w:t>
            </w:r>
            <w:r>
              <w:rPr>
                <w:rFonts w:hint="eastAsia"/>
                <w:color w:val="auto"/>
                <w:lang w:val="en-US" w:eastAsia="zh-CN"/>
              </w:rPr>
              <w:t>筛分机</w:t>
            </w:r>
            <w:r>
              <w:rPr>
                <w:color w:val="auto"/>
              </w:rPr>
              <w:t>等设备的运行噪声</w:t>
            </w:r>
            <w:r>
              <w:rPr>
                <w:rFonts w:hint="eastAsia"/>
                <w:color w:val="auto"/>
                <w:lang w:eastAsia="zh-CN"/>
              </w:rPr>
              <w:t>，</w:t>
            </w:r>
            <w:r>
              <w:rPr>
                <w:rFonts w:hint="eastAsia"/>
                <w:color w:val="auto"/>
                <w:lang w:val="en-US" w:eastAsia="zh-CN"/>
              </w:rPr>
              <w:t>根据刘惠玲主编《噪声控制技术》（2002年10月第1版），采用隔声间（室）技术措施，降噪效果可达20~40dB（A），项目按25dB（A）计；减振处理，降噪效果可达5~25dB（A），项目按5dB（A）计。项目生产设备均安装在室内，经过墙体隔音降噪效果，隔音量取30dB（A）。</w:t>
            </w:r>
          </w:p>
          <w:p w14:paraId="6F3B1675">
            <w:pPr>
              <w:pStyle w:val="41"/>
              <w:bidi w:val="0"/>
              <w:rPr>
                <w:color w:val="auto"/>
              </w:rPr>
            </w:pPr>
            <w:r>
              <w:rPr>
                <w:color w:val="auto"/>
              </w:rPr>
              <w:t>上述各噪声源的噪声源强详见下表。</w:t>
            </w:r>
          </w:p>
          <w:p w14:paraId="3447BB32">
            <w:pPr>
              <w:pStyle w:val="53"/>
              <w:bidi w:val="0"/>
              <w:rPr>
                <w:color w:val="auto"/>
              </w:rPr>
            </w:pPr>
            <w:r>
              <w:rPr>
                <w:color w:val="auto"/>
              </w:rPr>
              <w:t>表4-</w:t>
            </w:r>
            <w:r>
              <w:rPr>
                <w:rFonts w:hint="eastAsia"/>
                <w:color w:val="auto"/>
                <w:lang w:val="en-US" w:eastAsia="zh-CN"/>
              </w:rPr>
              <w:t>2</w:t>
            </w:r>
            <w:r>
              <w:rPr>
                <w:color w:val="auto"/>
              </w:rPr>
              <w:t xml:space="preserve"> </w:t>
            </w:r>
            <w:r>
              <w:rPr>
                <w:rFonts w:hint="eastAsia"/>
                <w:color w:val="auto"/>
                <w:lang w:val="en-US" w:eastAsia="zh-CN"/>
              </w:rPr>
              <w:t xml:space="preserve"> </w:t>
            </w:r>
            <w:r>
              <w:rPr>
                <w:color w:val="auto"/>
              </w:rPr>
              <w:t xml:space="preserve"> 设备噪声叠加一览表</w:t>
            </w:r>
          </w:p>
          <w:p w14:paraId="6CF22FF9">
            <w:pPr>
              <w:pStyle w:val="41"/>
              <w:bidi w:val="0"/>
              <w:rPr>
                <w:rFonts w:hint="eastAsia"/>
                <w:color w:val="auto"/>
                <w:lang w:val="en-US" w:eastAsia="zh-CN"/>
              </w:rPr>
            </w:pPr>
            <w:r>
              <w:rPr>
                <w:rFonts w:hint="default" w:ascii="Times New Roman" w:hAnsi="Times New Roman" w:eastAsia="宋体" w:cs="Times New Roman"/>
                <w:color w:val="auto"/>
                <w:sz w:val="24"/>
                <w:szCs w:val="24"/>
              </w:rPr>
              <w:t>采取上述预测方法，该项目营运后厂界外1m处的噪声预测结果见表4-</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w:t>
            </w:r>
          </w:p>
          <w:p w14:paraId="6AD0E344">
            <w:pPr>
              <w:pStyle w:val="53"/>
              <w:bidi w:val="0"/>
              <w:rPr>
                <w:color w:val="auto"/>
              </w:rPr>
            </w:pPr>
            <w:r>
              <w:rPr>
                <w:color w:val="auto"/>
              </w:rPr>
              <w:t>4-</w:t>
            </w:r>
            <w:r>
              <w:rPr>
                <w:rFonts w:hint="eastAsia"/>
                <w:color w:val="auto"/>
                <w:lang w:val="en-US" w:eastAsia="zh-CN"/>
              </w:rPr>
              <w:t>3</w:t>
            </w:r>
            <w:r>
              <w:rPr>
                <w:color w:val="auto"/>
              </w:rPr>
              <w:t xml:space="preserve">  </w:t>
            </w:r>
            <w:r>
              <w:rPr>
                <w:rFonts w:hint="eastAsia"/>
                <w:color w:val="auto"/>
                <w:lang w:val="en-US" w:eastAsia="zh-CN"/>
              </w:rPr>
              <w:t xml:space="preserve"> </w:t>
            </w:r>
            <w:r>
              <w:rPr>
                <w:color w:val="auto"/>
              </w:rPr>
              <w:t>各类机械设备的噪声对厂界影响结果表</w:t>
            </w:r>
          </w:p>
          <w:p w14:paraId="275A6070">
            <w:pPr>
              <w:pStyle w:val="41"/>
              <w:bidi w:val="0"/>
              <w:rPr>
                <w:color w:val="auto"/>
              </w:rPr>
            </w:pPr>
            <w:r>
              <w:rPr>
                <w:color w:val="auto"/>
              </w:rPr>
              <w:t>由上表可知，经处理后，再经厂房的隔声以及距离的衰减，项目营运期噪声源对项目周围声环境质量影响较小，能够保证项目边界噪声排放达到《工业企业厂界环境噪声排放标准》</w:t>
            </w:r>
            <w:r>
              <w:rPr>
                <w:rFonts w:hint="eastAsia"/>
                <w:color w:val="auto"/>
                <w:lang w:eastAsia="zh-CN"/>
              </w:rPr>
              <w:t>（</w:t>
            </w:r>
            <w:r>
              <w:rPr>
                <w:color w:val="auto"/>
              </w:rPr>
              <w:t>GB12348-2008）</w:t>
            </w:r>
            <w:r>
              <w:rPr>
                <w:rFonts w:hint="eastAsia"/>
                <w:color w:val="auto"/>
                <w:lang w:val="en-US" w:eastAsia="zh-CN"/>
              </w:rPr>
              <w:t>2</w:t>
            </w:r>
            <w:r>
              <w:rPr>
                <w:color w:val="auto"/>
              </w:rPr>
              <w:t>类标准，项目50米范围内无声环境保护目标，故项目营运期间生产噪声对周围环境影响不大。</w:t>
            </w:r>
          </w:p>
          <w:p w14:paraId="5F255C39">
            <w:pPr>
              <w:pStyle w:val="41"/>
              <w:bidi w:val="0"/>
              <w:rPr>
                <w:rFonts w:hint="eastAsia"/>
                <w:color w:val="auto"/>
                <w:lang w:val="en-US" w:eastAsia="zh-CN"/>
              </w:rPr>
            </w:pPr>
            <w:r>
              <w:rPr>
                <w:rFonts w:hint="eastAsia"/>
                <w:color w:val="auto"/>
                <w:lang w:val="en-US" w:eastAsia="zh-CN"/>
              </w:rPr>
              <w:t>（3）项目营运期主要噪声治理措施</w:t>
            </w:r>
          </w:p>
          <w:p w14:paraId="278F0652">
            <w:pPr>
              <w:pStyle w:val="41"/>
              <w:bidi w:val="0"/>
              <w:rPr>
                <w:rFonts w:hint="eastAsia"/>
                <w:color w:val="auto"/>
                <w:lang w:val="en-US" w:eastAsia="zh-CN"/>
              </w:rPr>
            </w:pPr>
            <w:r>
              <w:rPr>
                <w:rFonts w:hint="eastAsia"/>
                <w:color w:val="auto"/>
                <w:lang w:val="en-US" w:eastAsia="zh-CN"/>
              </w:rPr>
              <w:t>项目声环境评价范围内无环境敏感目标，为确保厂界噪声能达到相应的排放标准，项目建成投产后，建设单位拟采取以下防护措施：</w:t>
            </w:r>
          </w:p>
          <w:p w14:paraId="5C48EC49">
            <w:pPr>
              <w:pStyle w:val="41"/>
              <w:bidi w:val="0"/>
              <w:rPr>
                <w:rFonts w:hint="eastAsia"/>
                <w:color w:val="auto"/>
                <w:lang w:val="en-US" w:eastAsia="zh-CN"/>
              </w:rPr>
            </w:pPr>
            <w:r>
              <w:rPr>
                <w:rFonts w:hint="eastAsia"/>
                <w:color w:val="auto"/>
                <w:lang w:val="en-US" w:eastAsia="zh-CN"/>
              </w:rPr>
              <w:t>1）合理布局，重视总平面布置</w:t>
            </w:r>
          </w:p>
          <w:p w14:paraId="7F1FF940">
            <w:pPr>
              <w:pStyle w:val="41"/>
              <w:bidi w:val="0"/>
              <w:rPr>
                <w:rFonts w:hint="eastAsia"/>
                <w:color w:val="auto"/>
                <w:lang w:val="en-US" w:eastAsia="zh-CN"/>
              </w:rPr>
            </w:pPr>
            <w:r>
              <w:rPr>
                <w:rFonts w:hint="eastAsia"/>
                <w:color w:val="auto"/>
                <w:lang w:val="en-US" w:eastAsia="zh-CN"/>
              </w:rPr>
              <w:t>尽量将高噪声设备布置在厂房中间，远离厂界，厂界四周设置绿化带、原料库，利用树林及构筑物降低噪声的传播和干扰；对有强噪声的车间，考虑利用建筑物、构筑物来阻隔声波的传播，减少对周围环境的影响。</w:t>
            </w:r>
          </w:p>
          <w:p w14:paraId="2A297558">
            <w:pPr>
              <w:pStyle w:val="41"/>
              <w:bidi w:val="0"/>
              <w:rPr>
                <w:rFonts w:hint="eastAsia"/>
                <w:color w:val="auto"/>
                <w:lang w:val="en-US" w:eastAsia="zh-CN"/>
              </w:rPr>
            </w:pPr>
            <w:r>
              <w:rPr>
                <w:rFonts w:hint="eastAsia"/>
                <w:color w:val="auto"/>
                <w:lang w:val="en-US" w:eastAsia="zh-CN"/>
              </w:rPr>
              <w:t>2）设备选型及厂房使用状况</w:t>
            </w:r>
          </w:p>
          <w:p w14:paraId="6A11CCB9">
            <w:pPr>
              <w:pStyle w:val="41"/>
              <w:bidi w:val="0"/>
              <w:rPr>
                <w:rFonts w:hint="eastAsia"/>
                <w:color w:val="auto"/>
                <w:lang w:val="en-US" w:eastAsia="zh-CN"/>
              </w:rPr>
            </w:pPr>
            <w:r>
              <w:rPr>
                <w:rFonts w:hint="eastAsia"/>
                <w:color w:val="auto"/>
                <w:lang w:val="en-US" w:eastAsia="zh-CN"/>
              </w:rPr>
              <w:t>①在设备选型方面，在满足工艺生产的前提下，选用精度高、装配质量好、噪声低的设备；对于某些设备运行时由振动产生的噪声，应对设备基础进行隔振、减震。</w:t>
            </w:r>
          </w:p>
          <w:p w14:paraId="0A64A99B">
            <w:pPr>
              <w:pStyle w:val="41"/>
              <w:bidi w:val="0"/>
              <w:rPr>
                <w:rFonts w:hint="eastAsia"/>
                <w:color w:val="auto"/>
                <w:lang w:val="en-US" w:eastAsia="zh-CN"/>
              </w:rPr>
            </w:pPr>
            <w:r>
              <w:rPr>
                <w:rFonts w:hint="eastAsia"/>
                <w:color w:val="auto"/>
                <w:lang w:val="en-US" w:eastAsia="zh-CN"/>
              </w:rPr>
              <w:t>②重视厂房的使用状况，尽量采用密闭形式，少开门窗，防止噪声对外传 播，其中靠厂界的厂房其一侧墙壁应避免打开门窗；厂房内使用隔声材料进行降噪，并在其表面铺覆一层吸声材料，可进一步削减噪声强度。</w:t>
            </w:r>
          </w:p>
          <w:p w14:paraId="6F752285">
            <w:pPr>
              <w:pStyle w:val="41"/>
              <w:bidi w:val="0"/>
              <w:rPr>
                <w:rFonts w:hint="eastAsia"/>
                <w:color w:val="auto"/>
                <w:lang w:val="en-US" w:eastAsia="zh-CN"/>
              </w:rPr>
            </w:pPr>
            <w:r>
              <w:rPr>
                <w:rFonts w:hint="eastAsia"/>
                <w:color w:val="auto"/>
                <w:lang w:val="en-US" w:eastAsia="zh-CN"/>
              </w:rPr>
              <w:t>3）加强管理制度</w:t>
            </w:r>
          </w:p>
          <w:p w14:paraId="7D81913C">
            <w:pPr>
              <w:pStyle w:val="41"/>
              <w:bidi w:val="0"/>
              <w:rPr>
                <w:rFonts w:hint="eastAsia"/>
                <w:color w:val="auto"/>
                <w:lang w:val="en-US" w:eastAsia="zh-CN"/>
              </w:rPr>
            </w:pPr>
            <w:r>
              <w:rPr>
                <w:rFonts w:hint="eastAsia"/>
                <w:color w:val="auto"/>
                <w:lang w:val="en-US" w:eastAsia="zh-CN"/>
              </w:rPr>
              <w:t>加强管理建立设备定期维护、保养的管理制度，以防止设备故障形成的非生产噪声，同时确保环保措施发挥最有效的功能；加强职工环保意识教育，提倡文明生产，防止人为噪声；对于厂区内流动声源（汽车），应强化行车管理制度，严禁鸣号，进入厂区低速行使，最大限度减少流动噪声源。</w:t>
            </w:r>
          </w:p>
          <w:p w14:paraId="1CBCB344">
            <w:pPr>
              <w:pStyle w:val="41"/>
              <w:bidi w:val="0"/>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color w:val="auto"/>
              </w:rPr>
              <w:t>监测计划</w:t>
            </w:r>
          </w:p>
          <w:p w14:paraId="030D9FD3">
            <w:pPr>
              <w:pStyle w:val="41"/>
              <w:bidi w:val="0"/>
              <w:rPr>
                <w:color w:val="auto"/>
              </w:rPr>
            </w:pPr>
            <w:r>
              <w:rPr>
                <w:color w:val="auto"/>
              </w:rPr>
              <w:t>根据《排污单位自行监测技术指南 总则》</w:t>
            </w:r>
            <w:r>
              <w:rPr>
                <w:rFonts w:hint="eastAsia"/>
                <w:color w:val="auto"/>
                <w:lang w:eastAsia="zh-CN"/>
              </w:rPr>
              <w:t>（</w:t>
            </w:r>
            <w:r>
              <w:rPr>
                <w:color w:val="auto"/>
              </w:rPr>
              <w:t>HJ819-2017</w:t>
            </w:r>
            <w:r>
              <w:rPr>
                <w:rFonts w:hint="eastAsia"/>
                <w:color w:val="auto"/>
                <w:lang w:eastAsia="zh-CN"/>
              </w:rPr>
              <w:t>）</w:t>
            </w:r>
            <w:r>
              <w:rPr>
                <w:color w:val="auto"/>
              </w:rPr>
              <w:t>、《排污许可证申请与核发技术规范 总则》</w:t>
            </w:r>
            <w:r>
              <w:rPr>
                <w:rFonts w:hint="eastAsia"/>
                <w:color w:val="auto"/>
                <w:lang w:eastAsia="zh-CN"/>
              </w:rPr>
              <w:t>（</w:t>
            </w:r>
            <w:r>
              <w:rPr>
                <w:color w:val="auto"/>
              </w:rPr>
              <w:t>HJ942-2018</w:t>
            </w:r>
            <w:r>
              <w:rPr>
                <w:rFonts w:hint="eastAsia"/>
                <w:color w:val="auto"/>
                <w:lang w:eastAsia="zh-CN"/>
              </w:rPr>
              <w:t>）</w:t>
            </w:r>
            <w:r>
              <w:rPr>
                <w:color w:val="auto"/>
              </w:rPr>
              <w:t>，项目噪声监测计划如下所示:</w:t>
            </w:r>
          </w:p>
          <w:p w14:paraId="23643B46">
            <w:pPr>
              <w:pStyle w:val="53"/>
              <w:bidi w:val="0"/>
              <w:rPr>
                <w:rFonts w:hint="eastAsia"/>
                <w:color w:val="auto"/>
                <w:lang w:val="en-US" w:eastAsia="zh-CN"/>
              </w:rPr>
            </w:pPr>
            <w:r>
              <w:rPr>
                <w:color w:val="auto"/>
              </w:rPr>
              <w:t>表4-</w:t>
            </w:r>
            <w:r>
              <w:rPr>
                <w:rFonts w:hint="eastAsia"/>
                <w:color w:val="auto"/>
                <w:lang w:val="en-US" w:eastAsia="zh-CN"/>
              </w:rPr>
              <w:t>4</w:t>
            </w:r>
            <w:r>
              <w:rPr>
                <w:color w:val="auto"/>
              </w:rPr>
              <w:t xml:space="preserve"> </w:t>
            </w:r>
            <w:r>
              <w:rPr>
                <w:rFonts w:hint="eastAsia"/>
                <w:color w:val="auto"/>
                <w:lang w:val="en-US" w:eastAsia="zh-CN"/>
              </w:rPr>
              <w:t xml:space="preserve"> </w:t>
            </w:r>
            <w:r>
              <w:rPr>
                <w:color w:val="auto"/>
              </w:rPr>
              <w:t xml:space="preserve"> 项目噪声源环保监测一览表</w:t>
            </w:r>
          </w:p>
          <w:p w14:paraId="6BB88E52">
            <w:pPr>
              <w:pStyle w:val="5"/>
              <w:bidi w:val="0"/>
              <w:rPr>
                <w:color w:val="auto"/>
              </w:rPr>
            </w:pPr>
            <w:r>
              <w:rPr>
                <w:rFonts w:hint="eastAsia"/>
                <w:color w:val="auto"/>
                <w:lang w:val="en-US" w:eastAsia="zh-CN"/>
              </w:rPr>
              <w:t>4.2.4</w:t>
            </w:r>
            <w:r>
              <w:rPr>
                <w:color w:val="auto"/>
              </w:rPr>
              <w:t>固体废物污染源</w:t>
            </w:r>
          </w:p>
          <w:p w14:paraId="794930D7">
            <w:pPr>
              <w:pStyle w:val="41"/>
              <w:bidi w:val="0"/>
              <w:rPr>
                <w:rFonts w:hint="eastAsia"/>
                <w:color w:val="auto"/>
              </w:rPr>
            </w:pPr>
            <w:r>
              <w:rPr>
                <w:rFonts w:hint="eastAsia"/>
                <w:color w:val="auto"/>
                <w:lang w:val="en-US" w:eastAsia="zh-CN"/>
              </w:rPr>
              <w:t>1、</w:t>
            </w:r>
            <w:r>
              <w:rPr>
                <w:rFonts w:hint="eastAsia"/>
                <w:color w:val="auto"/>
              </w:rPr>
              <w:t>固废量核算</w:t>
            </w:r>
          </w:p>
          <w:p w14:paraId="26AAE204">
            <w:pPr>
              <w:pStyle w:val="41"/>
              <w:bidi w:val="0"/>
              <w:rPr>
                <w:rFonts w:hint="eastAsia"/>
                <w:color w:val="auto"/>
              </w:rPr>
            </w:pPr>
            <w:r>
              <w:rPr>
                <w:rFonts w:hint="eastAsia"/>
                <w:color w:val="auto"/>
              </w:rPr>
              <w:t>本项目固体废弃物主要有清理除杂工段产生的生活垃圾</w:t>
            </w:r>
            <w:r>
              <w:rPr>
                <w:rFonts w:hint="eastAsia"/>
                <w:color w:val="auto"/>
                <w:lang w:eastAsia="zh-CN"/>
              </w:rPr>
              <w:t>，</w:t>
            </w:r>
            <w:r>
              <w:rPr>
                <w:rFonts w:hint="eastAsia"/>
                <w:color w:val="auto"/>
              </w:rPr>
              <w:t>玉米杂质以及机械检修过程产生的废机油等。</w:t>
            </w:r>
          </w:p>
          <w:p w14:paraId="5DED9496">
            <w:pPr>
              <w:pStyle w:val="41"/>
              <w:bidi w:val="0"/>
              <w:rPr>
                <w:rFonts w:hint="eastAsia"/>
                <w:color w:val="auto"/>
              </w:rPr>
            </w:pPr>
            <w:r>
              <w:rPr>
                <w:rFonts w:hint="eastAsia"/>
                <w:color w:val="auto"/>
                <w:lang w:eastAsia="zh-CN"/>
              </w:rPr>
              <w:t>（</w:t>
            </w:r>
            <w:r>
              <w:rPr>
                <w:rFonts w:hint="eastAsia"/>
                <w:color w:val="auto"/>
              </w:rPr>
              <w:t>1）生活垃圾</w:t>
            </w:r>
          </w:p>
          <w:p w14:paraId="4CA686CF">
            <w:pPr>
              <w:pStyle w:val="41"/>
              <w:bidi w:val="0"/>
              <w:rPr>
                <w:rFonts w:hint="eastAsia"/>
                <w:color w:val="auto"/>
              </w:rPr>
            </w:pPr>
            <w:r>
              <w:rPr>
                <w:rFonts w:hint="eastAsia"/>
                <w:color w:val="auto"/>
              </w:rPr>
              <w:t>本项目职工生活垃圾产生量约为0.5kg/人.d</w:t>
            </w:r>
            <w:r>
              <w:rPr>
                <w:rFonts w:hint="eastAsia"/>
                <w:color w:val="auto"/>
                <w:lang w:eastAsia="zh-CN"/>
              </w:rPr>
              <w:t>（</w:t>
            </w:r>
            <w:r>
              <w:rPr>
                <w:rFonts w:hint="eastAsia"/>
                <w:color w:val="auto"/>
                <w:lang w:val="en-US" w:eastAsia="zh-CN"/>
              </w:rPr>
              <w:t>4.05</w:t>
            </w:r>
            <w:r>
              <w:rPr>
                <w:rFonts w:hint="eastAsia"/>
                <w:color w:val="auto"/>
              </w:rPr>
              <w:t>t/a）。员工生活垃圾分类集中收集后，定期清运至</w:t>
            </w:r>
            <w:r>
              <w:rPr>
                <w:rFonts w:hint="eastAsia"/>
                <w:color w:val="auto"/>
                <w:lang w:val="en-US" w:eastAsia="zh-CN"/>
              </w:rPr>
              <w:t>裕民县</w:t>
            </w:r>
            <w:r>
              <w:rPr>
                <w:rFonts w:hint="eastAsia"/>
                <w:color w:val="auto"/>
              </w:rPr>
              <w:t>生活垃圾填埋场。</w:t>
            </w:r>
          </w:p>
          <w:p w14:paraId="0B9A66EE">
            <w:pPr>
              <w:pStyle w:val="41"/>
              <w:bidi w:val="0"/>
              <w:rPr>
                <w:rFonts w:hint="eastAsia"/>
                <w:color w:val="auto"/>
              </w:rPr>
            </w:pPr>
            <w:r>
              <w:rPr>
                <w:rFonts w:hint="eastAsia"/>
                <w:color w:val="auto"/>
                <w:lang w:eastAsia="zh-CN"/>
              </w:rPr>
              <w:t>（</w:t>
            </w:r>
            <w:r>
              <w:rPr>
                <w:rFonts w:hint="eastAsia"/>
                <w:color w:val="auto"/>
              </w:rPr>
              <w:t>2）一般工业固体废物</w:t>
            </w:r>
          </w:p>
          <w:p w14:paraId="62DF90B6">
            <w:pPr>
              <w:pStyle w:val="41"/>
              <w:bidi w:val="0"/>
              <w:rPr>
                <w:rFonts w:hint="default"/>
                <w:color w:val="auto"/>
                <w:lang w:val="en-US" w:eastAsia="zh-CN"/>
              </w:rPr>
            </w:pPr>
            <w:r>
              <w:rPr>
                <w:rFonts w:hint="eastAsia"/>
                <w:color w:val="auto"/>
              </w:rPr>
              <w:t>玉米清理除杂时产生的杂质，主要为砂石、玉米糠麸，参考《排放源统计调查产排污核算方法和系数手册》</w:t>
            </w:r>
            <w:r>
              <w:rPr>
                <w:rFonts w:hint="eastAsia"/>
                <w:color w:val="auto"/>
                <w:lang w:eastAsia="zh-CN"/>
              </w:rPr>
              <w:t>（</w:t>
            </w:r>
            <w:r>
              <w:rPr>
                <w:rFonts w:hint="eastAsia"/>
                <w:color w:val="auto"/>
              </w:rPr>
              <w:t>生态环境部公告2021年第24号）131谷物磨制行业排放系数表，</w:t>
            </w:r>
            <w:r>
              <w:rPr>
                <w:rFonts w:hint="eastAsia"/>
                <w:color w:val="auto"/>
                <w:lang w:val="en-US" w:eastAsia="zh-CN"/>
              </w:rPr>
              <w:t>玉米</w:t>
            </w:r>
            <w:r>
              <w:rPr>
                <w:rFonts w:hint="eastAsia"/>
                <w:color w:val="auto"/>
              </w:rPr>
              <w:t>一般工业固废产生系数为0.04</w:t>
            </w:r>
            <w:r>
              <w:rPr>
                <w:rFonts w:hint="eastAsia"/>
                <w:color w:val="auto"/>
                <w:lang w:val="en-US" w:eastAsia="zh-CN"/>
              </w:rPr>
              <w:t>t</w:t>
            </w:r>
            <w:r>
              <w:rPr>
                <w:rFonts w:hint="eastAsia"/>
                <w:color w:val="auto"/>
              </w:rPr>
              <w:t>/t，产生量为</w:t>
            </w:r>
            <w:r>
              <w:rPr>
                <w:rFonts w:hint="eastAsia"/>
                <w:color w:val="auto"/>
                <w:lang w:val="en-US" w:eastAsia="zh-CN"/>
              </w:rPr>
              <w:t>194.3</w:t>
            </w:r>
            <w:r>
              <w:rPr>
                <w:rFonts w:hint="eastAsia"/>
                <w:color w:val="auto"/>
              </w:rPr>
              <w:t>t/a</w:t>
            </w:r>
            <w:r>
              <w:rPr>
                <w:rFonts w:hint="eastAsia"/>
                <w:color w:val="auto"/>
                <w:lang w:val="en-US" w:eastAsia="zh-CN"/>
              </w:rPr>
              <w:t>。</w:t>
            </w:r>
          </w:p>
          <w:p w14:paraId="2EE66E6B">
            <w:pPr>
              <w:pStyle w:val="41"/>
              <w:bidi w:val="0"/>
              <w:rPr>
                <w:rFonts w:hint="eastAsia"/>
                <w:color w:val="auto"/>
              </w:rPr>
            </w:pPr>
            <w:r>
              <w:rPr>
                <w:rFonts w:hint="eastAsia"/>
                <w:color w:val="auto"/>
                <w:lang w:val="en-US" w:eastAsia="zh-CN"/>
              </w:rPr>
              <w:t>根据《固体废物分类与代码目录》（公告2024年第4号），清理的玉米杂质属于农业废物SW80，废物代码为010-099-S80，</w:t>
            </w:r>
            <w:r>
              <w:rPr>
                <w:rFonts w:hint="eastAsia"/>
                <w:color w:val="auto"/>
              </w:rPr>
              <w:t>属于一般固废，暂存于一般固废暂存场，当做饲料定期外售。</w:t>
            </w:r>
          </w:p>
          <w:p w14:paraId="56D643AB">
            <w:pPr>
              <w:pStyle w:val="41"/>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lang w:val="en-US" w:eastAsia="zh-CN"/>
              </w:rPr>
              <w:t>热风炉</w:t>
            </w:r>
            <w:r>
              <w:rPr>
                <w:color w:val="auto"/>
              </w:rPr>
              <w:t>灰渣</w:t>
            </w:r>
          </w:p>
          <w:p w14:paraId="50D8BA8A">
            <w:pPr>
              <w:pStyle w:val="41"/>
              <w:rPr>
                <w:color w:val="auto"/>
                <w:szCs w:val="24"/>
              </w:rPr>
            </w:pPr>
            <w:r>
              <w:rPr>
                <w:color w:val="auto"/>
              </w:rPr>
              <w:t>根据《污染源源强核算技术指南 锅炉》（HJ 991—2018）固体废物源强核算方法，</w:t>
            </w:r>
            <w:r>
              <w:rPr>
                <w:rFonts w:hint="eastAsia"/>
                <w:color w:val="auto"/>
                <w:lang w:val="en-US" w:eastAsia="zh-CN"/>
              </w:rPr>
              <w:t>热风炉</w:t>
            </w:r>
            <w:r>
              <w:rPr>
                <w:rFonts w:hint="eastAsia"/>
                <w:color w:val="auto"/>
              </w:rPr>
              <w:t>灰渣产生量可根据灰渣平衡按下列方式计算：</w:t>
            </w:r>
          </w:p>
          <w:p w14:paraId="1097DABB">
            <w:pPr>
              <w:autoSpaceDE w:val="0"/>
              <w:autoSpaceDN w:val="0"/>
              <w:adjustRightInd w:val="0"/>
              <w:ind w:firstLine="420" w:firstLineChars="200"/>
              <w:rPr>
                <w:color w:val="auto"/>
              </w:rPr>
            </w:pPr>
            <w:r>
              <w:rPr>
                <w:color w:val="auto"/>
                <w:position w:val="-28"/>
              </w:rPr>
              <w:object>
                <v:shape id="_x0000_i1029" o:spt="75" type="#_x0000_t75" style="height:33.8pt;width:147.15pt;" o:ole="t" filled="f" o:preferrelative="t" stroked="f" coordsize="21600,21600">
                  <v:path/>
                  <v:fill on="f" focussize="0,0"/>
                  <v:stroke on="f" joinstyle="miter"/>
                  <v:imagedata r:id="rId21" o:title=""/>
                  <o:lock v:ext="edit" aspectratio="t"/>
                  <w10:wrap type="none"/>
                  <w10:anchorlock/>
                </v:shape>
                <o:OLEObject Type="Embed" ProgID="Equation.3" ShapeID="_x0000_i1029" DrawAspect="Content" ObjectID="_1468075729" r:id="rId20">
                  <o:LockedField>false</o:LockedField>
                </o:OLEObject>
              </w:object>
            </w:r>
          </w:p>
          <w:p w14:paraId="31DF2FCA">
            <w:pPr>
              <w:pStyle w:val="41"/>
              <w:rPr>
                <w:color w:val="auto"/>
              </w:rPr>
            </w:pPr>
            <w:r>
              <w:rPr>
                <w:rFonts w:hint="eastAsia"/>
                <w:color w:val="auto"/>
              </w:rPr>
              <w:t>式中：</w:t>
            </w:r>
            <w:r>
              <w:rPr>
                <w:color w:val="auto"/>
              </w:rPr>
              <w:t>Ehz</w:t>
            </w:r>
            <w:r>
              <w:rPr>
                <w:rFonts w:hint="eastAsia"/>
                <w:color w:val="auto"/>
              </w:rPr>
              <w:t>—核算时段内灰渣产生量，</w:t>
            </w:r>
            <w:r>
              <w:rPr>
                <w:color w:val="auto"/>
              </w:rPr>
              <w:t>t</w:t>
            </w:r>
            <w:r>
              <w:rPr>
                <w:rFonts w:hint="eastAsia"/>
                <w:color w:val="auto"/>
              </w:rPr>
              <w:t>；</w:t>
            </w:r>
          </w:p>
          <w:p w14:paraId="75FEC546">
            <w:pPr>
              <w:pStyle w:val="41"/>
              <w:rPr>
                <w:rFonts w:hint="eastAsia"/>
                <w:color w:val="auto"/>
                <w:lang w:val="en-US" w:eastAsia="zh-CN"/>
              </w:rPr>
            </w:pPr>
            <w:r>
              <w:rPr>
                <w:rFonts w:hint="eastAsia"/>
                <w:color w:val="auto"/>
              </w:rPr>
              <w:t>R—核算时段内锅炉燃料耗量，t；R=</w:t>
            </w:r>
            <w:r>
              <w:rPr>
                <w:rFonts w:hint="eastAsia"/>
                <w:color w:val="auto"/>
                <w:lang w:val="en-US" w:eastAsia="zh-CN"/>
              </w:rPr>
              <w:t>2200</w:t>
            </w:r>
          </w:p>
          <w:p w14:paraId="486DA891">
            <w:pPr>
              <w:pStyle w:val="41"/>
              <w:rPr>
                <w:color w:val="auto"/>
              </w:rPr>
            </w:pPr>
            <w:r>
              <w:rPr>
                <w:rFonts w:hint="eastAsia"/>
                <w:color w:val="auto"/>
              </w:rPr>
              <w:t>Aar—收到基灰分的质量分数，%；Aar=3.18</w:t>
            </w:r>
          </w:p>
          <w:p w14:paraId="2765AD10">
            <w:pPr>
              <w:pStyle w:val="41"/>
              <w:rPr>
                <w:color w:val="auto"/>
              </w:rPr>
            </w:pPr>
            <w:r>
              <w:rPr>
                <w:rFonts w:hint="eastAsia"/>
                <w:color w:val="auto"/>
              </w:rPr>
              <w:t>q4—锅炉机械不完全燃烧热损失，%；q4=15</w:t>
            </w:r>
          </w:p>
          <w:p w14:paraId="2BD3432C">
            <w:pPr>
              <w:pStyle w:val="41"/>
              <w:rPr>
                <w:color w:val="auto"/>
              </w:rPr>
            </w:pPr>
            <w:r>
              <w:rPr>
                <w:rFonts w:hint="eastAsia"/>
                <w:color w:val="auto"/>
              </w:rPr>
              <w:t>Qnet,ar—收到基低位发热量，kJ/kg。Qnet,ar=17.54</w:t>
            </w:r>
          </w:p>
          <w:p w14:paraId="57B98DC6">
            <w:pPr>
              <w:pStyle w:val="41"/>
              <w:rPr>
                <w:color w:val="auto"/>
              </w:rPr>
            </w:pPr>
            <w:r>
              <w:rPr>
                <w:color w:val="auto"/>
              </w:rPr>
              <w:t>根据公式计算，灰渣产生量为：Ehz=</w:t>
            </w:r>
            <w:r>
              <w:rPr>
                <w:rFonts w:hint="eastAsia"/>
                <w:color w:val="auto"/>
                <w:lang w:val="en-US" w:eastAsia="zh-CN"/>
              </w:rPr>
              <w:t>226.4</w:t>
            </w:r>
            <w:r>
              <w:rPr>
                <w:color w:val="auto"/>
              </w:rPr>
              <w:t>t/a。</w:t>
            </w:r>
          </w:p>
          <w:p w14:paraId="1B0C726E">
            <w:pPr>
              <w:pStyle w:val="41"/>
              <w:rPr>
                <w:rFonts w:hint="default"/>
                <w:color w:val="auto"/>
                <w:lang w:val="en-US" w:eastAsia="zh-CN"/>
              </w:rPr>
            </w:pPr>
            <w:r>
              <w:rPr>
                <w:rFonts w:hint="eastAsia"/>
                <w:color w:val="auto"/>
                <w:lang w:val="en-US" w:eastAsia="zh-CN"/>
              </w:rPr>
              <w:t>根据《固体废物分类与代码目录》（公告2024年第4号），炉渣属于SW03炉渣中900-099-S03其他炉渣。</w:t>
            </w:r>
          </w:p>
          <w:p w14:paraId="45537903">
            <w:pPr>
              <w:pStyle w:val="41"/>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除尘灰</w:t>
            </w:r>
          </w:p>
          <w:p w14:paraId="3426416A">
            <w:pPr>
              <w:pStyle w:val="41"/>
              <w:rPr>
                <w:color w:val="auto"/>
              </w:rPr>
            </w:pPr>
            <w:r>
              <w:rPr>
                <w:rFonts w:hint="eastAsia"/>
                <w:color w:val="auto"/>
              </w:rPr>
              <w:t>废气中烟尘</w:t>
            </w:r>
            <w:r>
              <w:rPr>
                <w:color w:val="auto"/>
              </w:rPr>
              <w:t>采用布袋除尘进行处理，</w:t>
            </w:r>
            <w:r>
              <w:rPr>
                <w:rFonts w:hint="eastAsia"/>
                <w:color w:val="auto"/>
              </w:rPr>
              <w:t>除尘</w:t>
            </w:r>
            <w:r>
              <w:rPr>
                <w:color w:val="auto"/>
              </w:rPr>
              <w:t>效率99%，则</w:t>
            </w:r>
            <w:r>
              <w:rPr>
                <w:rFonts w:hint="eastAsia"/>
                <w:color w:val="auto"/>
                <w:lang w:eastAsia="zh-CN"/>
              </w:rPr>
              <w:t>热风炉</w:t>
            </w:r>
            <w:r>
              <w:rPr>
                <w:color w:val="auto"/>
              </w:rPr>
              <w:t>除尘器收集的除尘灰</w:t>
            </w:r>
            <w:r>
              <w:rPr>
                <w:rFonts w:hint="eastAsia"/>
                <w:color w:val="auto"/>
              </w:rPr>
              <w:t>约</w:t>
            </w:r>
            <w:r>
              <w:rPr>
                <w:rFonts w:hint="eastAsia"/>
                <w:color w:val="auto"/>
                <w:lang w:val="en-US" w:eastAsia="zh-CN"/>
              </w:rPr>
              <w:t>77.61</w:t>
            </w:r>
            <w:r>
              <w:rPr>
                <w:color w:val="auto"/>
              </w:rPr>
              <w:t>t/a</w:t>
            </w:r>
            <w:r>
              <w:rPr>
                <w:rFonts w:hint="eastAsia"/>
                <w:color w:val="auto"/>
              </w:rPr>
              <w:t>。</w:t>
            </w:r>
            <w:r>
              <w:rPr>
                <w:rFonts w:hint="eastAsia"/>
                <w:color w:val="auto"/>
                <w:lang w:val="en-US" w:eastAsia="zh-CN"/>
              </w:rPr>
              <w:t>根据《固体废物分类与代码目录》（公告2024年第4号），炉渣属于SW03炉渣中900-099-S03其他炉渣。</w:t>
            </w:r>
          </w:p>
          <w:p w14:paraId="0133B2EA">
            <w:pPr>
              <w:pStyle w:val="41"/>
              <w:bidi w:val="0"/>
              <w:rPr>
                <w:rFonts w:hint="eastAsia"/>
                <w:color w:val="auto"/>
              </w:rPr>
            </w:pPr>
            <w:r>
              <w:rPr>
                <w:rFonts w:hint="eastAsia"/>
                <w:color w:val="auto"/>
                <w:lang w:eastAsia="zh-CN"/>
              </w:rPr>
              <w:t>（</w:t>
            </w:r>
            <w:r>
              <w:rPr>
                <w:rFonts w:hint="eastAsia"/>
                <w:color w:val="auto"/>
                <w:lang w:val="en-US" w:eastAsia="zh-CN"/>
              </w:rPr>
              <w:t>5</w:t>
            </w:r>
            <w:r>
              <w:rPr>
                <w:rFonts w:hint="eastAsia"/>
                <w:color w:val="auto"/>
              </w:rPr>
              <w:t>）危险废物</w:t>
            </w:r>
          </w:p>
          <w:p w14:paraId="33143E08">
            <w:pPr>
              <w:pStyle w:val="41"/>
              <w:bidi w:val="0"/>
              <w:rPr>
                <w:rFonts w:hint="eastAsia"/>
                <w:color w:val="auto"/>
              </w:rPr>
            </w:pPr>
            <w:r>
              <w:rPr>
                <w:rFonts w:hint="eastAsia"/>
                <w:color w:val="auto"/>
              </w:rPr>
              <w:t>项目机械检修过程中会产生一定的废机油、废润滑油，每年检修约产生0.</w:t>
            </w:r>
            <w:r>
              <w:rPr>
                <w:rFonts w:hint="eastAsia"/>
                <w:color w:val="auto"/>
                <w:lang w:val="en-US" w:eastAsia="zh-CN"/>
              </w:rPr>
              <w:t>1</w:t>
            </w:r>
            <w:r>
              <w:rPr>
                <w:rFonts w:hint="eastAsia"/>
                <w:color w:val="auto"/>
              </w:rPr>
              <w:t>t/a，废机油、废润滑油属于《国家危险废物名录</w:t>
            </w:r>
            <w:r>
              <w:rPr>
                <w:rFonts w:hint="eastAsia"/>
                <w:color w:val="auto"/>
                <w:lang w:eastAsia="zh-CN"/>
              </w:rPr>
              <w:t>（</w:t>
            </w:r>
            <w:r>
              <w:rPr>
                <w:rFonts w:hint="eastAsia"/>
                <w:color w:val="auto"/>
              </w:rPr>
              <w:t>202</w:t>
            </w:r>
            <w:r>
              <w:rPr>
                <w:rFonts w:hint="eastAsia"/>
                <w:color w:val="auto"/>
                <w:lang w:val="en-US" w:eastAsia="zh-CN"/>
              </w:rPr>
              <w:t>5</w:t>
            </w:r>
            <w:r>
              <w:rPr>
                <w:rFonts w:hint="eastAsia"/>
                <w:color w:val="auto"/>
              </w:rPr>
              <w:t>版）》“废矿物油与含矿物油废物”类危险废物，危废代码为900-214-08。废机油、废润滑油收集于带标志的废油桶中暂于在危废暂存间，定期由有资质的单位进行处置。</w:t>
            </w:r>
          </w:p>
          <w:p w14:paraId="3B0A81C8">
            <w:pPr>
              <w:pStyle w:val="41"/>
              <w:bidi w:val="0"/>
              <w:rPr>
                <w:color w:val="auto"/>
              </w:rPr>
            </w:pPr>
            <w:r>
              <w:rPr>
                <w:rFonts w:hint="eastAsia"/>
                <w:color w:val="auto"/>
              </w:rPr>
              <w:t>本项目固废产生处置情况详见表4-</w:t>
            </w:r>
            <w:r>
              <w:rPr>
                <w:rFonts w:hint="eastAsia"/>
                <w:color w:val="auto"/>
                <w:lang w:val="en-US" w:eastAsia="zh-CN"/>
              </w:rPr>
              <w:t>6</w:t>
            </w:r>
            <w:r>
              <w:rPr>
                <w:rFonts w:hint="eastAsia"/>
                <w:color w:val="auto"/>
              </w:rPr>
              <w:t>。</w:t>
            </w:r>
          </w:p>
          <w:p w14:paraId="3114DA30">
            <w:pPr>
              <w:pStyle w:val="53"/>
              <w:bidi w:val="0"/>
              <w:rPr>
                <w:color w:val="auto"/>
              </w:rPr>
            </w:pPr>
            <w:r>
              <w:rPr>
                <w:color w:val="auto"/>
              </w:rPr>
              <w:t>表4-</w:t>
            </w:r>
            <w:r>
              <w:rPr>
                <w:rFonts w:hint="eastAsia"/>
                <w:color w:val="auto"/>
                <w:lang w:val="en-US" w:eastAsia="zh-CN"/>
              </w:rPr>
              <w:t>6</w:t>
            </w:r>
            <w:r>
              <w:rPr>
                <w:color w:val="auto"/>
              </w:rPr>
              <w:t xml:space="preserve"> </w:t>
            </w:r>
            <w:r>
              <w:rPr>
                <w:rFonts w:hint="eastAsia"/>
                <w:color w:val="auto"/>
                <w:lang w:val="en-US" w:eastAsia="zh-CN"/>
              </w:rPr>
              <w:t xml:space="preserve"> </w:t>
            </w:r>
            <w:r>
              <w:rPr>
                <w:color w:val="auto"/>
              </w:rPr>
              <w:t xml:space="preserve"> 项目固体废物产生情况汇总</w:t>
            </w:r>
          </w:p>
          <w:p w14:paraId="1A3542AD">
            <w:pPr>
              <w:pStyle w:val="41"/>
              <w:bidi w:val="0"/>
              <w:rPr>
                <w:rFonts w:hint="eastAsia"/>
                <w:color w:val="auto"/>
                <w:lang w:val="en-US" w:eastAsia="zh-CN"/>
              </w:rPr>
            </w:pPr>
            <w:r>
              <w:rPr>
                <w:rFonts w:hint="eastAsia"/>
                <w:color w:val="auto"/>
                <w:lang w:val="en-US" w:eastAsia="zh-CN"/>
              </w:rPr>
              <w:t>2、环境管理要求</w:t>
            </w:r>
          </w:p>
          <w:p w14:paraId="28022BCC">
            <w:pPr>
              <w:pStyle w:val="41"/>
              <w:bidi w:val="0"/>
              <w:rPr>
                <w:rFonts w:hint="eastAsia"/>
                <w:color w:val="auto"/>
                <w:lang w:val="en-US" w:eastAsia="zh-CN"/>
              </w:rPr>
            </w:pPr>
            <w:r>
              <w:rPr>
                <w:rFonts w:hint="eastAsia"/>
                <w:color w:val="auto"/>
                <w:lang w:val="en-US" w:eastAsia="zh-CN"/>
              </w:rPr>
              <w:t>（1）一般工业固废环境管理要求</w:t>
            </w:r>
          </w:p>
          <w:p w14:paraId="1523E5CC">
            <w:pPr>
              <w:pStyle w:val="41"/>
              <w:bidi w:val="0"/>
              <w:rPr>
                <w:rFonts w:hint="eastAsia"/>
                <w:color w:val="auto"/>
                <w:lang w:val="en-US" w:eastAsia="zh-CN"/>
              </w:rPr>
            </w:pPr>
            <w:r>
              <w:rPr>
                <w:rFonts w:hint="eastAsia"/>
                <w:color w:val="auto"/>
                <w:lang w:val="en-US" w:eastAsia="zh-CN"/>
              </w:rPr>
              <w:t>本项目产生的一般固体废物分类收集于一般固废暂存处后再定期处置，要求一般固废暂存处应参照《一般工业固体废物贮存和填埋污染控制标准》（GB18599-2020）相关要求规范化建设，应满足如下要求：</w:t>
            </w:r>
          </w:p>
          <w:p w14:paraId="29CB0A0F">
            <w:pPr>
              <w:pStyle w:val="41"/>
              <w:bidi w:val="0"/>
              <w:rPr>
                <w:rFonts w:hint="eastAsia"/>
                <w:color w:val="auto"/>
                <w:lang w:val="en-US" w:eastAsia="zh-CN"/>
              </w:rPr>
            </w:pPr>
            <w:r>
              <w:rPr>
                <w:rFonts w:hint="eastAsia"/>
                <w:color w:val="auto"/>
                <w:lang w:val="en-US" w:eastAsia="zh-CN"/>
              </w:rPr>
              <w:t>①地面应采取硬化措施并满足承载力要求，必要时采取相应措施防止地基下沉；</w:t>
            </w:r>
          </w:p>
          <w:p w14:paraId="436E2E9F">
            <w:pPr>
              <w:pStyle w:val="41"/>
              <w:bidi w:val="0"/>
              <w:rPr>
                <w:rFonts w:hint="eastAsia"/>
                <w:color w:val="auto"/>
                <w:lang w:val="en-US" w:eastAsia="zh-CN"/>
              </w:rPr>
            </w:pPr>
            <w:r>
              <w:rPr>
                <w:rFonts w:hint="eastAsia"/>
                <w:color w:val="auto"/>
                <w:lang w:val="en-US" w:eastAsia="zh-CN"/>
              </w:rPr>
              <w:t>②要求设置必要的防风、防雨、防晒措施；</w:t>
            </w:r>
          </w:p>
          <w:p w14:paraId="6ED43A60">
            <w:pPr>
              <w:pStyle w:val="41"/>
              <w:bidi w:val="0"/>
              <w:rPr>
                <w:rFonts w:hint="eastAsia"/>
                <w:color w:val="auto"/>
                <w:lang w:val="en-US" w:eastAsia="zh-CN"/>
              </w:rPr>
            </w:pPr>
            <w:r>
              <w:rPr>
                <w:rFonts w:hint="eastAsia"/>
                <w:color w:val="auto"/>
                <w:lang w:val="en-US" w:eastAsia="zh-CN"/>
              </w:rPr>
              <w:t>③按《环境保护图形标识 固体废物贮存（处置）场》（GB15562.2-1995）以及《关于印发排放口标志牌技术规格的通知》（环办[2003]95 号规定的图形及技术规格要求设置环境保护图形标志。</w:t>
            </w:r>
          </w:p>
          <w:p w14:paraId="60886674">
            <w:pPr>
              <w:pStyle w:val="39"/>
              <w:rPr>
                <w:rFonts w:hint="eastAsia"/>
                <w:color w:val="auto"/>
                <w:lang w:val="en-US" w:eastAsia="zh-CN"/>
              </w:rPr>
            </w:pPr>
            <w:r>
              <w:rPr>
                <w:rFonts w:hint="eastAsia"/>
                <w:color w:val="auto"/>
                <w:lang w:val="en-US" w:eastAsia="zh-CN"/>
              </w:rPr>
              <w:t>（2）危险废物</w:t>
            </w:r>
          </w:p>
          <w:p w14:paraId="2EDDD811">
            <w:pPr>
              <w:pStyle w:val="39"/>
              <w:rPr>
                <w:rFonts w:hint="eastAsia"/>
                <w:color w:val="auto"/>
                <w:lang w:val="en-US" w:eastAsia="zh-CN"/>
              </w:rPr>
            </w:pPr>
            <w:r>
              <w:rPr>
                <w:rFonts w:hint="eastAsia"/>
                <w:color w:val="auto"/>
                <w:lang w:val="en-US" w:eastAsia="zh-CN"/>
              </w:rPr>
              <w:t>项目产生的废机油属于危险废物，经集中收集后交有危险废物经营许可证的单位处理，并执行危险废物转移联单制度。</w:t>
            </w:r>
          </w:p>
          <w:p w14:paraId="2BD548BB">
            <w:pPr>
              <w:pStyle w:val="39"/>
              <w:rPr>
                <w:rFonts w:hint="eastAsia"/>
                <w:color w:val="auto"/>
                <w:lang w:val="en-US" w:eastAsia="zh-CN"/>
              </w:rPr>
            </w:pPr>
            <w:r>
              <w:rPr>
                <w:rFonts w:hint="eastAsia"/>
                <w:color w:val="auto"/>
                <w:lang w:val="en-US" w:eastAsia="zh-CN"/>
              </w:rPr>
              <w:t>危险废物须严格按《危险废物贮存污染控制标准》（GB18597-2023）中的有关要求管理。加强对危险废物的管理，对危险废物的产生、利用、收集、运输、贮存、处置等环节建立追踪性的账</w:t>
            </w:r>
            <w:bookmarkStart w:id="40" w:name="_GoBack"/>
            <w:bookmarkEnd w:id="40"/>
            <w:r>
              <w:rPr>
                <w:rFonts w:hint="eastAsia"/>
                <w:color w:val="auto"/>
                <w:lang w:val="en-US" w:eastAsia="zh-CN"/>
              </w:rPr>
              <w:t>目和手续，并纳入环保部门的监督管理。</w:t>
            </w:r>
          </w:p>
          <w:p w14:paraId="7269717F">
            <w:pPr>
              <w:pStyle w:val="41"/>
              <w:bidi w:val="0"/>
              <w:rPr>
                <w:rFonts w:hint="eastAsia"/>
                <w:color w:val="auto"/>
                <w:lang w:val="en-US" w:eastAsia="zh-CN"/>
              </w:rPr>
            </w:pPr>
            <w:r>
              <w:rPr>
                <w:color w:val="auto"/>
              </w:rPr>
              <w:t>3、环境影响评价结论</w:t>
            </w:r>
          </w:p>
          <w:p w14:paraId="139B143C">
            <w:pPr>
              <w:pStyle w:val="41"/>
              <w:bidi w:val="0"/>
              <w:rPr>
                <w:color w:val="auto"/>
              </w:rPr>
            </w:pPr>
            <w:r>
              <w:rPr>
                <w:color w:val="auto"/>
              </w:rPr>
              <w:t>项目运营后产生的固体废物种类明确，各类固体废物处置去向明确，切实可行，不会造成二次污染。因此，采取上述措施后一般工业固体废物在场内采用库房或包装工具贮存，贮存过程满足相应防渗漏、防雨、防扬尘等环境保护要求。危险废物的处理措施和处置方案满足《危险废物贮存污染控制标准》</w:t>
            </w:r>
            <w:r>
              <w:rPr>
                <w:rFonts w:hint="eastAsia"/>
                <w:color w:val="auto"/>
                <w:lang w:eastAsia="zh-CN"/>
              </w:rPr>
              <w:t>（</w:t>
            </w:r>
            <w:r>
              <w:rPr>
                <w:color w:val="auto"/>
              </w:rPr>
              <w:t>GB18597-2023</w:t>
            </w:r>
            <w:r>
              <w:rPr>
                <w:rFonts w:hint="eastAsia"/>
                <w:color w:val="auto"/>
                <w:lang w:eastAsia="zh-CN"/>
              </w:rPr>
              <w:t>）</w:t>
            </w:r>
            <w:r>
              <w:rPr>
                <w:color w:val="auto"/>
              </w:rPr>
              <w:t>要求，对周围环境影响较小。</w:t>
            </w:r>
          </w:p>
          <w:p w14:paraId="4BB65375">
            <w:pPr>
              <w:pStyle w:val="39"/>
              <w:bidi w:val="0"/>
              <w:ind w:left="0" w:leftChars="0" w:firstLine="0" w:firstLineChars="0"/>
              <w:rPr>
                <w:rFonts w:hint="eastAsia"/>
                <w:color w:val="auto"/>
              </w:rPr>
            </w:pPr>
          </w:p>
          <w:p w14:paraId="43E715E7">
            <w:pPr>
              <w:pStyle w:val="39"/>
              <w:bidi w:val="0"/>
              <w:ind w:left="0" w:leftChars="0" w:firstLine="0" w:firstLineChars="0"/>
              <w:rPr>
                <w:rFonts w:hint="eastAsia"/>
                <w:color w:val="auto"/>
              </w:rPr>
            </w:pPr>
          </w:p>
        </w:tc>
      </w:tr>
    </w:tbl>
    <w:p w14:paraId="761D6F68">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332CA92">
      <w:pPr>
        <w:pStyle w:val="28"/>
        <w:jc w:val="center"/>
        <w:outlineLvl w:val="0"/>
        <w:rPr>
          <w:rFonts w:ascii="黑体" w:hAnsi="黑体" w:eastAsia="黑体"/>
          <w:snapToGrid w:val="0"/>
          <w:color w:val="auto"/>
          <w:sz w:val="30"/>
          <w:szCs w:val="30"/>
        </w:rPr>
      </w:pPr>
      <w:bookmarkStart w:id="29" w:name="_Toc16192"/>
      <w:bookmarkStart w:id="30" w:name="_Toc15748"/>
      <w:r>
        <w:rPr>
          <w:rFonts w:hint="eastAsia" w:ascii="黑体" w:hAnsi="黑体" w:eastAsia="黑体"/>
          <w:snapToGrid w:val="0"/>
          <w:color w:val="auto"/>
          <w:sz w:val="30"/>
          <w:szCs w:val="30"/>
        </w:rPr>
        <w:t>五、</w:t>
      </w:r>
      <w:bookmarkStart w:id="31" w:name="_Hlk54167917"/>
      <w:r>
        <w:rPr>
          <w:rFonts w:hint="eastAsia" w:ascii="黑体" w:hAnsi="黑体" w:eastAsia="黑体"/>
          <w:snapToGrid w:val="0"/>
          <w:color w:val="auto"/>
          <w:sz w:val="30"/>
          <w:szCs w:val="30"/>
        </w:rPr>
        <w:t>环境保护措施监督检查清单</w:t>
      </w:r>
      <w:bookmarkEnd w:id="29"/>
      <w:bookmarkEnd w:id="30"/>
      <w:bookmarkEnd w:id="31"/>
    </w:p>
    <w:tbl>
      <w:tblPr>
        <w:tblStyle w:val="31"/>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360"/>
        <w:gridCol w:w="1401"/>
        <w:gridCol w:w="2216"/>
        <w:gridCol w:w="2483"/>
      </w:tblGrid>
      <w:tr w14:paraId="37A7C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tcBorders>
              <w:tl2br w:val="single" w:color="auto" w:sz="4" w:space="0"/>
            </w:tcBorders>
            <w:vAlign w:val="top"/>
          </w:tcPr>
          <w:p w14:paraId="4D319B51">
            <w:pPr>
              <w:pStyle w:val="42"/>
              <w:bidi w:val="0"/>
              <w:rPr>
                <w:color w:val="auto"/>
              </w:rPr>
            </w:pPr>
            <w:r>
              <w:rPr>
                <w:color w:val="auto"/>
              </w:rPr>
              <w:t>内容</w:t>
            </w:r>
          </w:p>
          <w:p w14:paraId="0AE1CC4F">
            <w:pPr>
              <w:pStyle w:val="42"/>
              <w:bidi w:val="0"/>
              <w:rPr>
                <w:color w:val="auto"/>
              </w:rPr>
            </w:pPr>
            <w:r>
              <w:rPr>
                <w:color w:val="auto"/>
              </w:rPr>
              <w:t>要素</w:t>
            </w:r>
          </w:p>
        </w:tc>
        <w:tc>
          <w:tcPr>
            <w:tcW w:w="1360" w:type="dxa"/>
            <w:vAlign w:val="center"/>
          </w:tcPr>
          <w:p w14:paraId="12C8EF0F">
            <w:pPr>
              <w:pStyle w:val="42"/>
              <w:bidi w:val="0"/>
              <w:rPr>
                <w:color w:val="auto"/>
              </w:rPr>
            </w:pPr>
            <w:r>
              <w:rPr>
                <w:color w:val="auto"/>
              </w:rPr>
              <w:t>排放口</w:t>
            </w:r>
            <w:r>
              <w:rPr>
                <w:rFonts w:hint="eastAsia"/>
                <w:color w:val="auto"/>
                <w:lang w:eastAsia="zh-CN"/>
              </w:rPr>
              <w:t>（</w:t>
            </w:r>
            <w:r>
              <w:rPr>
                <w:color w:val="auto"/>
              </w:rPr>
              <w:t>编号、名称</w:t>
            </w:r>
            <w:r>
              <w:rPr>
                <w:rFonts w:hint="eastAsia"/>
                <w:color w:val="auto"/>
                <w:lang w:eastAsia="zh-CN"/>
              </w:rPr>
              <w:t>）</w:t>
            </w:r>
            <w:r>
              <w:rPr>
                <w:color w:val="auto"/>
              </w:rPr>
              <w:t>/污染源</w:t>
            </w:r>
          </w:p>
        </w:tc>
        <w:tc>
          <w:tcPr>
            <w:tcW w:w="1401" w:type="dxa"/>
            <w:vAlign w:val="center"/>
          </w:tcPr>
          <w:p w14:paraId="09BC4B80">
            <w:pPr>
              <w:pStyle w:val="42"/>
              <w:bidi w:val="0"/>
              <w:rPr>
                <w:color w:val="auto"/>
              </w:rPr>
            </w:pPr>
            <w:r>
              <w:rPr>
                <w:color w:val="auto"/>
              </w:rPr>
              <w:t>污染物项目</w:t>
            </w:r>
          </w:p>
        </w:tc>
        <w:tc>
          <w:tcPr>
            <w:tcW w:w="2216" w:type="dxa"/>
            <w:vAlign w:val="center"/>
          </w:tcPr>
          <w:p w14:paraId="3C0295CB">
            <w:pPr>
              <w:pStyle w:val="42"/>
              <w:bidi w:val="0"/>
              <w:rPr>
                <w:color w:val="auto"/>
              </w:rPr>
            </w:pPr>
            <w:r>
              <w:rPr>
                <w:color w:val="auto"/>
              </w:rPr>
              <w:t>环境保护措施</w:t>
            </w:r>
          </w:p>
        </w:tc>
        <w:tc>
          <w:tcPr>
            <w:tcW w:w="2483" w:type="dxa"/>
            <w:vAlign w:val="center"/>
          </w:tcPr>
          <w:p w14:paraId="6DAFE4B0">
            <w:pPr>
              <w:pStyle w:val="42"/>
              <w:bidi w:val="0"/>
              <w:rPr>
                <w:color w:val="auto"/>
              </w:rPr>
            </w:pPr>
            <w:r>
              <w:rPr>
                <w:color w:val="auto"/>
              </w:rPr>
              <w:t>执行标准</w:t>
            </w:r>
          </w:p>
        </w:tc>
      </w:tr>
      <w:tr w14:paraId="47A2A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327" w:type="dxa"/>
            <w:vMerge w:val="restart"/>
            <w:vAlign w:val="center"/>
          </w:tcPr>
          <w:p w14:paraId="3F5B9E61">
            <w:pPr>
              <w:pStyle w:val="42"/>
              <w:bidi w:val="0"/>
              <w:rPr>
                <w:color w:val="auto"/>
              </w:rPr>
            </w:pPr>
            <w:r>
              <w:rPr>
                <w:color w:val="auto"/>
              </w:rPr>
              <w:t>大气环境</w:t>
            </w:r>
          </w:p>
        </w:tc>
        <w:tc>
          <w:tcPr>
            <w:tcW w:w="1360" w:type="dxa"/>
            <w:vMerge w:val="restart"/>
            <w:vAlign w:val="center"/>
          </w:tcPr>
          <w:p w14:paraId="235A4CD5">
            <w:pPr>
              <w:pStyle w:val="42"/>
              <w:bidi w:val="0"/>
              <w:rPr>
                <w:rFonts w:hint="default"/>
                <w:color w:val="auto"/>
                <w:lang w:val="en-US" w:eastAsia="zh-CN"/>
              </w:rPr>
            </w:pPr>
            <w:r>
              <w:rPr>
                <w:rFonts w:hint="eastAsia"/>
                <w:color w:val="auto"/>
                <w:lang w:val="en-US" w:eastAsia="zh-CN"/>
              </w:rPr>
              <w:t>热风炉烟气DA001</w:t>
            </w:r>
          </w:p>
        </w:tc>
        <w:tc>
          <w:tcPr>
            <w:tcW w:w="1401" w:type="dxa"/>
            <w:vAlign w:val="center"/>
          </w:tcPr>
          <w:p w14:paraId="370CD5F5">
            <w:pPr>
              <w:pStyle w:val="42"/>
              <w:bidi w:val="0"/>
              <w:ind w:firstLine="0" w:firstLineChars="0"/>
              <w:jc w:val="center"/>
              <w:rPr>
                <w:rFonts w:hint="default"/>
                <w:color w:val="auto"/>
                <w:lang w:val="en-US" w:eastAsia="zh-CN"/>
              </w:rPr>
            </w:pPr>
            <w:r>
              <w:rPr>
                <w:color w:val="auto"/>
              </w:rPr>
              <w:t>颗粒物</w:t>
            </w:r>
          </w:p>
        </w:tc>
        <w:tc>
          <w:tcPr>
            <w:tcW w:w="2216" w:type="dxa"/>
            <w:vMerge w:val="restart"/>
            <w:vAlign w:val="center"/>
          </w:tcPr>
          <w:p w14:paraId="4D7339CC">
            <w:pPr>
              <w:pStyle w:val="42"/>
              <w:bidi w:val="0"/>
              <w:ind w:firstLine="0" w:firstLineChars="0"/>
              <w:jc w:val="center"/>
              <w:rPr>
                <w:rFonts w:hint="default"/>
                <w:color w:val="auto"/>
                <w:lang w:val="en-US" w:eastAsia="zh-CN"/>
              </w:rPr>
            </w:pPr>
            <w:r>
              <w:rPr>
                <w:rFonts w:hint="eastAsia"/>
                <w:color w:val="auto"/>
                <w:lang w:val="en-US" w:eastAsia="zh-CN"/>
              </w:rPr>
              <w:t>低氮燃烧+</w:t>
            </w:r>
            <w:r>
              <w:rPr>
                <w:color w:val="auto"/>
              </w:rPr>
              <w:t>SNCR</w:t>
            </w:r>
            <w:r>
              <w:rPr>
                <w:rFonts w:hint="eastAsia"/>
                <w:color w:val="auto"/>
                <w:lang w:val="en-US" w:eastAsia="zh-CN"/>
              </w:rPr>
              <w:t>-</w:t>
            </w:r>
            <w:r>
              <w:rPr>
                <w:color w:val="auto"/>
              </w:rPr>
              <w:t>SCR</w:t>
            </w:r>
            <w:r>
              <w:rPr>
                <w:rFonts w:hint="eastAsia"/>
                <w:color w:val="auto"/>
                <w:lang w:val="en-US" w:eastAsia="zh-CN"/>
              </w:rPr>
              <w:t>脱硝+布袋除尘+</w:t>
            </w:r>
            <w:r>
              <w:rPr>
                <w:color w:val="auto"/>
              </w:rPr>
              <w:t>石灰石</w:t>
            </w:r>
            <w:r>
              <w:rPr>
                <w:rFonts w:hint="eastAsia"/>
                <w:color w:val="auto"/>
              </w:rPr>
              <w:t>－</w:t>
            </w:r>
            <w:r>
              <w:rPr>
                <w:color w:val="auto"/>
              </w:rPr>
              <w:t>石膏法脱硫</w:t>
            </w:r>
            <w:r>
              <w:rPr>
                <w:rFonts w:hint="eastAsia"/>
                <w:color w:val="auto"/>
                <w:lang w:val="en-US" w:eastAsia="zh-CN"/>
              </w:rPr>
              <w:t>+20m高排气筒</w:t>
            </w:r>
          </w:p>
        </w:tc>
        <w:tc>
          <w:tcPr>
            <w:tcW w:w="2483" w:type="dxa"/>
            <w:vMerge w:val="restart"/>
            <w:vAlign w:val="center"/>
          </w:tcPr>
          <w:p w14:paraId="4DF7ECE5">
            <w:pPr>
              <w:pStyle w:val="42"/>
              <w:bidi w:val="0"/>
              <w:ind w:firstLine="0" w:firstLineChars="0"/>
              <w:jc w:val="center"/>
              <w:rPr>
                <w:rFonts w:hint="default"/>
                <w:color w:val="auto"/>
                <w:lang w:val="en-US" w:eastAsia="zh-CN"/>
              </w:rPr>
            </w:pPr>
            <w:r>
              <w:rPr>
                <w:rFonts w:hint="eastAsia"/>
                <w:color w:val="auto"/>
                <w:lang w:val="en-US" w:eastAsia="zh-CN"/>
              </w:rPr>
              <w:t>《锅炉大气污染物排放标准》（GB13271-2014）中表2标准限值要求；</w:t>
            </w:r>
          </w:p>
        </w:tc>
      </w:tr>
      <w:tr w14:paraId="75F9E3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327" w:type="dxa"/>
            <w:vMerge w:val="continue"/>
            <w:vAlign w:val="center"/>
          </w:tcPr>
          <w:p w14:paraId="79DA9F88">
            <w:pPr>
              <w:pStyle w:val="42"/>
              <w:bidi w:val="0"/>
              <w:rPr>
                <w:color w:val="auto"/>
              </w:rPr>
            </w:pPr>
          </w:p>
        </w:tc>
        <w:tc>
          <w:tcPr>
            <w:tcW w:w="1360" w:type="dxa"/>
            <w:vMerge w:val="continue"/>
            <w:vAlign w:val="center"/>
          </w:tcPr>
          <w:p w14:paraId="2C9302EE">
            <w:pPr>
              <w:pStyle w:val="42"/>
              <w:bidi w:val="0"/>
              <w:rPr>
                <w:color w:val="auto"/>
              </w:rPr>
            </w:pPr>
          </w:p>
        </w:tc>
        <w:tc>
          <w:tcPr>
            <w:tcW w:w="1401" w:type="dxa"/>
            <w:vAlign w:val="center"/>
          </w:tcPr>
          <w:p w14:paraId="15C561E5">
            <w:pPr>
              <w:pStyle w:val="42"/>
              <w:bidi w:val="0"/>
              <w:ind w:firstLine="0" w:firstLineChars="0"/>
              <w:jc w:val="center"/>
              <w:rPr>
                <w:rFonts w:hint="default"/>
                <w:color w:val="auto"/>
                <w:lang w:val="en-US" w:eastAsia="zh-CN"/>
              </w:rPr>
            </w:pPr>
            <w:r>
              <w:rPr>
                <w:color w:val="auto"/>
              </w:rPr>
              <w:t>二氧化硫</w:t>
            </w:r>
          </w:p>
        </w:tc>
        <w:tc>
          <w:tcPr>
            <w:tcW w:w="2216" w:type="dxa"/>
            <w:vMerge w:val="continue"/>
            <w:vAlign w:val="center"/>
          </w:tcPr>
          <w:p w14:paraId="24EFD92F">
            <w:pPr>
              <w:pStyle w:val="42"/>
              <w:bidi w:val="0"/>
              <w:rPr>
                <w:rFonts w:hint="default"/>
                <w:color w:val="auto"/>
                <w:lang w:val="en-US" w:eastAsia="zh-CN"/>
              </w:rPr>
            </w:pPr>
          </w:p>
        </w:tc>
        <w:tc>
          <w:tcPr>
            <w:tcW w:w="2483" w:type="dxa"/>
            <w:vMerge w:val="continue"/>
            <w:vAlign w:val="center"/>
          </w:tcPr>
          <w:p w14:paraId="0A91CDED">
            <w:pPr>
              <w:pStyle w:val="42"/>
              <w:bidi w:val="0"/>
              <w:rPr>
                <w:rFonts w:hint="default"/>
                <w:color w:val="auto"/>
                <w:lang w:val="en-US" w:eastAsia="zh-CN"/>
              </w:rPr>
            </w:pPr>
          </w:p>
        </w:tc>
      </w:tr>
      <w:tr w14:paraId="052EB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327" w:type="dxa"/>
            <w:vMerge w:val="continue"/>
            <w:vAlign w:val="center"/>
          </w:tcPr>
          <w:p w14:paraId="042664C8">
            <w:pPr>
              <w:pStyle w:val="42"/>
              <w:bidi w:val="0"/>
              <w:rPr>
                <w:rFonts w:hint="default"/>
                <w:color w:val="auto"/>
                <w:lang w:val="en-US" w:eastAsia="zh-CN"/>
              </w:rPr>
            </w:pPr>
          </w:p>
        </w:tc>
        <w:tc>
          <w:tcPr>
            <w:tcW w:w="1360" w:type="dxa"/>
            <w:vMerge w:val="continue"/>
            <w:vAlign w:val="center"/>
          </w:tcPr>
          <w:p w14:paraId="5E524EB1">
            <w:pPr>
              <w:pStyle w:val="42"/>
              <w:bidi w:val="0"/>
              <w:rPr>
                <w:rFonts w:hint="default"/>
                <w:color w:val="auto"/>
                <w:lang w:val="en-US" w:eastAsia="zh-CN"/>
              </w:rPr>
            </w:pPr>
          </w:p>
        </w:tc>
        <w:tc>
          <w:tcPr>
            <w:tcW w:w="1401" w:type="dxa"/>
            <w:vAlign w:val="center"/>
          </w:tcPr>
          <w:p w14:paraId="4B23E039">
            <w:pPr>
              <w:pStyle w:val="42"/>
              <w:bidi w:val="0"/>
              <w:ind w:firstLine="0" w:firstLineChars="0"/>
              <w:jc w:val="center"/>
              <w:rPr>
                <w:rFonts w:hint="eastAsia"/>
                <w:color w:val="auto"/>
                <w:lang w:val="en-US" w:eastAsia="zh-CN"/>
              </w:rPr>
            </w:pPr>
            <w:r>
              <w:rPr>
                <w:rFonts w:hint="eastAsia"/>
                <w:color w:val="auto"/>
                <w:lang w:val="en-US" w:eastAsia="zh-CN"/>
              </w:rPr>
              <w:t>氮氧化物</w:t>
            </w:r>
          </w:p>
        </w:tc>
        <w:tc>
          <w:tcPr>
            <w:tcW w:w="2216" w:type="dxa"/>
            <w:vMerge w:val="continue"/>
            <w:vAlign w:val="center"/>
          </w:tcPr>
          <w:p w14:paraId="3EC2CAFA">
            <w:pPr>
              <w:pStyle w:val="42"/>
              <w:bidi w:val="0"/>
              <w:rPr>
                <w:rFonts w:hint="default"/>
                <w:color w:val="auto"/>
                <w:lang w:val="en-US" w:eastAsia="zh-CN"/>
              </w:rPr>
            </w:pPr>
          </w:p>
        </w:tc>
        <w:tc>
          <w:tcPr>
            <w:tcW w:w="2483" w:type="dxa"/>
            <w:vMerge w:val="continue"/>
            <w:vAlign w:val="center"/>
          </w:tcPr>
          <w:p w14:paraId="7A7F3E03">
            <w:pPr>
              <w:pStyle w:val="42"/>
              <w:bidi w:val="0"/>
              <w:rPr>
                <w:rFonts w:hint="default"/>
                <w:color w:val="auto"/>
                <w:lang w:val="en-US" w:eastAsia="zh-CN"/>
              </w:rPr>
            </w:pPr>
          </w:p>
        </w:tc>
      </w:tr>
      <w:tr w14:paraId="20C0E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27" w:type="dxa"/>
            <w:vMerge w:val="continue"/>
            <w:vAlign w:val="center"/>
          </w:tcPr>
          <w:p w14:paraId="3B2E6DE2">
            <w:pPr>
              <w:pStyle w:val="42"/>
              <w:bidi w:val="0"/>
              <w:rPr>
                <w:rFonts w:hint="default"/>
                <w:color w:val="auto"/>
                <w:lang w:val="en-US" w:eastAsia="zh-CN"/>
              </w:rPr>
            </w:pPr>
          </w:p>
        </w:tc>
        <w:tc>
          <w:tcPr>
            <w:tcW w:w="1360" w:type="dxa"/>
            <w:vMerge w:val="continue"/>
            <w:vAlign w:val="center"/>
          </w:tcPr>
          <w:p w14:paraId="74D0886A">
            <w:pPr>
              <w:pStyle w:val="42"/>
              <w:bidi w:val="0"/>
              <w:rPr>
                <w:rFonts w:hint="default"/>
                <w:color w:val="auto"/>
                <w:lang w:val="en-US" w:eastAsia="zh-CN"/>
              </w:rPr>
            </w:pPr>
          </w:p>
        </w:tc>
        <w:tc>
          <w:tcPr>
            <w:tcW w:w="1401" w:type="dxa"/>
            <w:vAlign w:val="center"/>
          </w:tcPr>
          <w:p w14:paraId="7EC5456E">
            <w:pPr>
              <w:pStyle w:val="42"/>
              <w:bidi w:val="0"/>
              <w:ind w:firstLine="0" w:firstLineChars="0"/>
              <w:jc w:val="center"/>
              <w:rPr>
                <w:rFonts w:hint="default"/>
                <w:color w:val="auto"/>
                <w:lang w:val="en-US" w:eastAsia="zh-CN"/>
              </w:rPr>
            </w:pPr>
            <w:r>
              <w:rPr>
                <w:rFonts w:hint="eastAsia"/>
                <w:color w:val="auto"/>
                <w:lang w:val="en-US" w:eastAsia="zh-CN"/>
              </w:rPr>
              <w:t>汞及其化合物</w:t>
            </w:r>
          </w:p>
        </w:tc>
        <w:tc>
          <w:tcPr>
            <w:tcW w:w="2216" w:type="dxa"/>
            <w:vMerge w:val="continue"/>
            <w:vAlign w:val="center"/>
          </w:tcPr>
          <w:p w14:paraId="2B2D8BB2">
            <w:pPr>
              <w:pStyle w:val="42"/>
              <w:bidi w:val="0"/>
              <w:rPr>
                <w:rFonts w:hint="default"/>
                <w:color w:val="auto"/>
                <w:lang w:val="en-US" w:eastAsia="zh-CN"/>
              </w:rPr>
            </w:pPr>
          </w:p>
        </w:tc>
        <w:tc>
          <w:tcPr>
            <w:tcW w:w="2483" w:type="dxa"/>
            <w:vMerge w:val="continue"/>
            <w:vAlign w:val="center"/>
          </w:tcPr>
          <w:p w14:paraId="4D4509B7">
            <w:pPr>
              <w:pStyle w:val="42"/>
              <w:bidi w:val="0"/>
              <w:ind w:firstLine="0" w:firstLineChars="0"/>
              <w:jc w:val="center"/>
              <w:rPr>
                <w:rFonts w:hint="default"/>
                <w:color w:val="auto"/>
                <w:lang w:val="en-US" w:eastAsia="zh-CN"/>
              </w:rPr>
            </w:pPr>
          </w:p>
        </w:tc>
      </w:tr>
      <w:tr w14:paraId="3FF71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27" w:type="dxa"/>
            <w:vMerge w:val="continue"/>
            <w:vAlign w:val="center"/>
          </w:tcPr>
          <w:p w14:paraId="6CD6FC03">
            <w:pPr>
              <w:pStyle w:val="42"/>
              <w:bidi w:val="0"/>
              <w:ind w:firstLine="0" w:firstLineChars="0"/>
              <w:jc w:val="center"/>
              <w:rPr>
                <w:color w:val="auto"/>
              </w:rPr>
            </w:pPr>
          </w:p>
        </w:tc>
        <w:tc>
          <w:tcPr>
            <w:tcW w:w="1360" w:type="dxa"/>
            <w:vMerge w:val="continue"/>
            <w:vAlign w:val="center"/>
          </w:tcPr>
          <w:p w14:paraId="7339AAD8">
            <w:pPr>
              <w:pStyle w:val="42"/>
              <w:bidi w:val="0"/>
              <w:ind w:firstLine="0" w:firstLineChars="0"/>
              <w:jc w:val="center"/>
              <w:rPr>
                <w:color w:val="auto"/>
              </w:rPr>
            </w:pPr>
          </w:p>
        </w:tc>
        <w:tc>
          <w:tcPr>
            <w:tcW w:w="1401" w:type="dxa"/>
            <w:vAlign w:val="center"/>
          </w:tcPr>
          <w:p w14:paraId="4E06F9B5">
            <w:pPr>
              <w:pStyle w:val="42"/>
              <w:bidi w:val="0"/>
              <w:ind w:firstLine="0" w:firstLineChars="0"/>
              <w:jc w:val="center"/>
              <w:rPr>
                <w:rFonts w:hint="eastAsia"/>
                <w:color w:val="auto"/>
                <w:lang w:val="en-US" w:eastAsia="zh-CN"/>
              </w:rPr>
            </w:pPr>
            <w:r>
              <w:rPr>
                <w:rFonts w:hint="eastAsia"/>
                <w:color w:val="auto"/>
                <w:lang w:val="en-US" w:eastAsia="zh-CN"/>
              </w:rPr>
              <w:t>烟气黑度</w:t>
            </w:r>
          </w:p>
        </w:tc>
        <w:tc>
          <w:tcPr>
            <w:tcW w:w="2216" w:type="dxa"/>
            <w:vMerge w:val="continue"/>
            <w:vAlign w:val="center"/>
          </w:tcPr>
          <w:p w14:paraId="7739243C">
            <w:pPr>
              <w:pStyle w:val="42"/>
              <w:bidi w:val="0"/>
              <w:ind w:firstLine="0" w:firstLineChars="0"/>
              <w:jc w:val="center"/>
              <w:rPr>
                <w:rFonts w:hint="eastAsia"/>
                <w:color w:val="auto"/>
                <w:lang w:val="en-US" w:eastAsia="zh-CN"/>
              </w:rPr>
            </w:pPr>
          </w:p>
        </w:tc>
        <w:tc>
          <w:tcPr>
            <w:tcW w:w="2483" w:type="dxa"/>
            <w:vMerge w:val="continue"/>
            <w:vAlign w:val="center"/>
          </w:tcPr>
          <w:p w14:paraId="0122CECF">
            <w:pPr>
              <w:pStyle w:val="42"/>
              <w:bidi w:val="0"/>
              <w:ind w:firstLine="0" w:firstLineChars="0"/>
              <w:jc w:val="center"/>
              <w:rPr>
                <w:rFonts w:hint="eastAsia"/>
                <w:color w:val="auto"/>
                <w:lang w:val="en-US" w:eastAsia="zh-CN"/>
              </w:rPr>
            </w:pPr>
          </w:p>
        </w:tc>
      </w:tr>
      <w:tr w14:paraId="4F73E4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327" w:type="dxa"/>
            <w:vMerge w:val="continue"/>
            <w:vAlign w:val="center"/>
          </w:tcPr>
          <w:p w14:paraId="383CBEFE">
            <w:pPr>
              <w:pStyle w:val="42"/>
              <w:bidi w:val="0"/>
              <w:rPr>
                <w:color w:val="auto"/>
              </w:rPr>
            </w:pPr>
          </w:p>
        </w:tc>
        <w:tc>
          <w:tcPr>
            <w:tcW w:w="1360" w:type="dxa"/>
            <w:vAlign w:val="center"/>
          </w:tcPr>
          <w:p w14:paraId="2E86AA76">
            <w:pPr>
              <w:pStyle w:val="42"/>
              <w:bidi w:val="0"/>
              <w:rPr>
                <w:rFonts w:hint="default" w:ascii="Times New Roman" w:hAnsi="Times New Roman" w:eastAsia="宋体" w:cs="Times New Roman"/>
                <w:color w:val="auto"/>
                <w:lang w:val="en-US" w:eastAsia="zh-CN"/>
              </w:rPr>
            </w:pPr>
            <w:r>
              <w:rPr>
                <w:rFonts w:hint="eastAsia" w:cs="Times New Roman"/>
                <w:color w:val="auto"/>
                <w:lang w:val="en-US" w:eastAsia="zh-CN"/>
              </w:rPr>
              <w:t>厂界</w:t>
            </w:r>
          </w:p>
        </w:tc>
        <w:tc>
          <w:tcPr>
            <w:tcW w:w="1401" w:type="dxa"/>
            <w:vAlign w:val="center"/>
          </w:tcPr>
          <w:p w14:paraId="2C5CA57E">
            <w:pPr>
              <w:pStyle w:val="42"/>
              <w:bidi w:val="0"/>
              <w:rPr>
                <w:rFonts w:hint="default" w:ascii="Times New Roman" w:hAnsi="Times New Roman" w:eastAsia="宋体" w:cs="Times New Roman"/>
                <w:color w:val="auto"/>
                <w:lang w:val="en-US" w:eastAsia="zh-CN"/>
              </w:rPr>
            </w:pPr>
            <w:r>
              <w:rPr>
                <w:color w:val="auto"/>
              </w:rPr>
              <w:t>颗粒物</w:t>
            </w:r>
          </w:p>
        </w:tc>
        <w:tc>
          <w:tcPr>
            <w:tcW w:w="2216" w:type="dxa"/>
            <w:vAlign w:val="center"/>
          </w:tcPr>
          <w:p w14:paraId="4DAFC2D6">
            <w:pPr>
              <w:pStyle w:val="42"/>
              <w:bidi w:val="0"/>
              <w:rPr>
                <w:rFonts w:hint="default" w:ascii="Times New Roman" w:hAnsi="Times New Roman" w:eastAsia="宋体" w:cs="Times New Roman"/>
                <w:color w:val="auto"/>
                <w:lang w:val="en-US" w:eastAsia="zh-CN"/>
              </w:rPr>
            </w:pPr>
            <w:r>
              <w:rPr>
                <w:rFonts w:hint="eastAsia"/>
                <w:lang w:val="en-US"/>
              </w:rPr>
              <w:t>运输过程中，要求全密闭覆盖措施；除尘灰清理过程中，车辆进入车间内进行装卸，装卸过程洒水降尘</w:t>
            </w:r>
            <w:r>
              <w:rPr>
                <w:rFonts w:hint="eastAsia"/>
                <w:lang w:val="en-US" w:eastAsia="zh-CN"/>
              </w:rPr>
              <w:t>；装卸、筛分过程位于封闭车间内</w:t>
            </w:r>
            <w:r>
              <w:rPr>
                <w:rFonts w:hint="eastAsia"/>
                <w:lang w:val="en-US"/>
              </w:rPr>
              <w:t>；厂区内运输车辆低速运行，厂区内道路定期洒水，降低扬尘的产生</w:t>
            </w:r>
            <w:r>
              <w:rPr>
                <w:rFonts w:hint="eastAsia"/>
                <w:lang w:val="en-US" w:eastAsia="zh-CN"/>
              </w:rPr>
              <w:t>；</w:t>
            </w:r>
          </w:p>
        </w:tc>
        <w:tc>
          <w:tcPr>
            <w:tcW w:w="2483" w:type="dxa"/>
            <w:vAlign w:val="center"/>
          </w:tcPr>
          <w:p w14:paraId="65D08212">
            <w:pPr>
              <w:pStyle w:val="42"/>
              <w:bidi w:val="0"/>
              <w:rPr>
                <w:rFonts w:hint="default" w:ascii="Times New Roman" w:hAnsi="Times New Roman" w:eastAsia="宋体" w:cs="Times New Roman"/>
                <w:color w:val="auto"/>
                <w:lang w:val="en-US" w:eastAsia="zh-CN"/>
              </w:rPr>
            </w:pPr>
            <w:r>
              <w:rPr>
                <w:rFonts w:hint="eastAsia"/>
                <w:color w:val="auto"/>
                <w:lang w:val="en-US" w:eastAsia="zh-CN"/>
              </w:rPr>
              <w:t>大气污染物综合排放标准》（GB16297-1996）表2</w:t>
            </w:r>
          </w:p>
        </w:tc>
      </w:tr>
      <w:tr w14:paraId="502AAB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1839A8D8">
            <w:pPr>
              <w:pStyle w:val="42"/>
              <w:bidi w:val="0"/>
              <w:rPr>
                <w:color w:val="auto"/>
              </w:rPr>
            </w:pPr>
            <w:r>
              <w:rPr>
                <w:color w:val="auto"/>
              </w:rPr>
              <w:t>地表水环境</w:t>
            </w:r>
          </w:p>
        </w:tc>
        <w:tc>
          <w:tcPr>
            <w:tcW w:w="1360" w:type="dxa"/>
            <w:vAlign w:val="center"/>
          </w:tcPr>
          <w:p w14:paraId="0F5DD0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w:t>
            </w:r>
          </w:p>
        </w:tc>
        <w:tc>
          <w:tcPr>
            <w:tcW w:w="1401" w:type="dxa"/>
            <w:vAlign w:val="center"/>
          </w:tcPr>
          <w:p w14:paraId="35C1E0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w:t>
            </w:r>
          </w:p>
        </w:tc>
        <w:tc>
          <w:tcPr>
            <w:tcW w:w="2216" w:type="dxa"/>
            <w:vAlign w:val="center"/>
          </w:tcPr>
          <w:p w14:paraId="57893F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w:t>
            </w:r>
          </w:p>
        </w:tc>
        <w:tc>
          <w:tcPr>
            <w:tcW w:w="2483" w:type="dxa"/>
            <w:vAlign w:val="center"/>
          </w:tcPr>
          <w:p w14:paraId="4630995B">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eastAsia" w:eastAsia="宋体"/>
                <w:color w:val="auto"/>
                <w:lang w:val="en-US" w:eastAsia="zh-CN"/>
              </w:rPr>
            </w:pPr>
            <w:r>
              <w:rPr>
                <w:rFonts w:hint="eastAsia"/>
                <w:color w:val="auto"/>
                <w:lang w:val="en-US" w:eastAsia="zh-CN"/>
              </w:rPr>
              <w:t>/</w:t>
            </w:r>
          </w:p>
        </w:tc>
      </w:tr>
      <w:tr w14:paraId="1F654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2FD13A98">
            <w:pPr>
              <w:pStyle w:val="42"/>
              <w:bidi w:val="0"/>
              <w:rPr>
                <w:color w:val="auto"/>
              </w:rPr>
            </w:pPr>
            <w:r>
              <w:rPr>
                <w:color w:val="auto"/>
              </w:rPr>
              <w:t>声环境</w:t>
            </w:r>
          </w:p>
        </w:tc>
        <w:tc>
          <w:tcPr>
            <w:tcW w:w="1360" w:type="dxa"/>
            <w:vAlign w:val="center"/>
          </w:tcPr>
          <w:p w14:paraId="51EC6DA3">
            <w:pPr>
              <w:pStyle w:val="42"/>
              <w:bidi w:val="0"/>
              <w:rPr>
                <w:rFonts w:hint="eastAsia"/>
                <w:color w:val="auto"/>
              </w:rPr>
            </w:pPr>
            <w:r>
              <w:rPr>
                <w:rFonts w:hint="default"/>
                <w:color w:val="auto"/>
              </w:rPr>
              <w:t>设备噪声</w:t>
            </w:r>
          </w:p>
        </w:tc>
        <w:tc>
          <w:tcPr>
            <w:tcW w:w="1401" w:type="dxa"/>
            <w:vAlign w:val="center"/>
          </w:tcPr>
          <w:p w14:paraId="0498FF30">
            <w:pPr>
              <w:pStyle w:val="42"/>
              <w:bidi w:val="0"/>
              <w:rPr>
                <w:rFonts w:hint="eastAsia"/>
                <w:color w:val="auto"/>
              </w:rPr>
            </w:pPr>
            <w:r>
              <w:rPr>
                <w:rFonts w:hint="default"/>
                <w:color w:val="auto"/>
              </w:rPr>
              <w:t>连续等效A声级</w:t>
            </w:r>
          </w:p>
        </w:tc>
        <w:tc>
          <w:tcPr>
            <w:tcW w:w="2216" w:type="dxa"/>
            <w:vAlign w:val="center"/>
          </w:tcPr>
          <w:p w14:paraId="7D113CB6">
            <w:pPr>
              <w:pStyle w:val="42"/>
              <w:bidi w:val="0"/>
              <w:rPr>
                <w:rFonts w:hint="default"/>
                <w:color w:val="auto"/>
                <w:lang w:val="en-US" w:eastAsia="zh-CN"/>
              </w:rPr>
            </w:pPr>
            <w:r>
              <w:rPr>
                <w:rFonts w:hint="default"/>
                <w:color w:val="auto"/>
              </w:rPr>
              <w:t>隔声、</w:t>
            </w:r>
            <w:r>
              <w:rPr>
                <w:rFonts w:hint="default"/>
                <w:color w:val="auto"/>
                <w:lang w:eastAsia="zh-CN"/>
              </w:rPr>
              <w:t>减震</w:t>
            </w:r>
          </w:p>
        </w:tc>
        <w:tc>
          <w:tcPr>
            <w:tcW w:w="2483" w:type="dxa"/>
            <w:vAlign w:val="center"/>
          </w:tcPr>
          <w:p w14:paraId="6C5F2ED2">
            <w:pPr>
              <w:pStyle w:val="42"/>
              <w:bidi w:val="0"/>
              <w:rPr>
                <w:color w:val="auto"/>
              </w:rPr>
            </w:pPr>
            <w:r>
              <w:rPr>
                <w:rFonts w:hint="default"/>
                <w:color w:val="auto"/>
              </w:rPr>
              <w:t>《工业企业厂界环境噪声排放标准》</w:t>
            </w:r>
            <w:r>
              <w:rPr>
                <w:rFonts w:hint="eastAsia"/>
                <w:color w:val="auto"/>
                <w:lang w:eastAsia="zh-CN"/>
              </w:rPr>
              <w:t>（</w:t>
            </w:r>
            <w:r>
              <w:rPr>
                <w:rFonts w:hint="default"/>
                <w:color w:val="auto"/>
              </w:rPr>
              <w:t>GB3096-2008）中</w:t>
            </w:r>
            <w:r>
              <w:rPr>
                <w:rFonts w:hint="eastAsia"/>
                <w:color w:val="auto"/>
                <w:lang w:val="en-US" w:eastAsia="zh-CN"/>
              </w:rPr>
              <w:t>2</w:t>
            </w:r>
            <w:r>
              <w:rPr>
                <w:rFonts w:hint="default"/>
                <w:color w:val="auto"/>
              </w:rPr>
              <w:t>类标准</w:t>
            </w:r>
          </w:p>
        </w:tc>
      </w:tr>
      <w:tr w14:paraId="6064A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72A601BE">
            <w:pPr>
              <w:pStyle w:val="42"/>
              <w:bidi w:val="0"/>
              <w:rPr>
                <w:color w:val="auto"/>
              </w:rPr>
            </w:pPr>
            <w:r>
              <w:rPr>
                <w:color w:val="auto"/>
              </w:rPr>
              <w:t>电磁辐射</w:t>
            </w:r>
          </w:p>
        </w:tc>
        <w:tc>
          <w:tcPr>
            <w:tcW w:w="1360" w:type="dxa"/>
            <w:vAlign w:val="center"/>
          </w:tcPr>
          <w:p w14:paraId="49F4390C">
            <w:pPr>
              <w:pStyle w:val="42"/>
              <w:bidi w:val="0"/>
              <w:rPr>
                <w:rFonts w:hint="eastAsia"/>
                <w:color w:val="auto"/>
                <w:lang w:val="en-US" w:eastAsia="zh-CN"/>
              </w:rPr>
            </w:pPr>
            <w:r>
              <w:rPr>
                <w:rFonts w:hint="eastAsia"/>
                <w:color w:val="auto"/>
                <w:lang w:val="en-US" w:eastAsia="zh-CN"/>
              </w:rPr>
              <w:t>/</w:t>
            </w:r>
          </w:p>
        </w:tc>
        <w:tc>
          <w:tcPr>
            <w:tcW w:w="1401" w:type="dxa"/>
            <w:vAlign w:val="center"/>
          </w:tcPr>
          <w:p w14:paraId="0BE65068">
            <w:pPr>
              <w:pStyle w:val="42"/>
              <w:bidi w:val="0"/>
              <w:rPr>
                <w:rFonts w:hint="eastAsia"/>
                <w:color w:val="auto"/>
                <w:lang w:val="en-US" w:eastAsia="zh-CN"/>
              </w:rPr>
            </w:pPr>
            <w:r>
              <w:rPr>
                <w:rFonts w:hint="eastAsia"/>
                <w:color w:val="auto"/>
                <w:lang w:val="en-US" w:eastAsia="zh-CN"/>
              </w:rPr>
              <w:t>/</w:t>
            </w:r>
          </w:p>
        </w:tc>
        <w:tc>
          <w:tcPr>
            <w:tcW w:w="2216" w:type="dxa"/>
            <w:vAlign w:val="center"/>
          </w:tcPr>
          <w:p w14:paraId="5D157051">
            <w:pPr>
              <w:pStyle w:val="42"/>
              <w:bidi w:val="0"/>
              <w:rPr>
                <w:rFonts w:hint="eastAsia"/>
                <w:color w:val="auto"/>
                <w:lang w:val="en-US" w:eastAsia="zh-CN"/>
              </w:rPr>
            </w:pPr>
            <w:r>
              <w:rPr>
                <w:rFonts w:hint="eastAsia"/>
                <w:color w:val="auto"/>
                <w:lang w:val="en-US" w:eastAsia="zh-CN"/>
              </w:rPr>
              <w:t>/</w:t>
            </w:r>
          </w:p>
        </w:tc>
        <w:tc>
          <w:tcPr>
            <w:tcW w:w="2483" w:type="dxa"/>
            <w:vAlign w:val="center"/>
          </w:tcPr>
          <w:p w14:paraId="29B31629">
            <w:pPr>
              <w:pStyle w:val="42"/>
              <w:bidi w:val="0"/>
              <w:rPr>
                <w:rFonts w:hint="eastAsia"/>
                <w:color w:val="auto"/>
                <w:lang w:val="en-US" w:eastAsia="zh-CN"/>
              </w:rPr>
            </w:pPr>
            <w:r>
              <w:rPr>
                <w:rFonts w:hint="eastAsia"/>
                <w:color w:val="auto"/>
                <w:lang w:val="en-US" w:eastAsia="zh-CN"/>
              </w:rPr>
              <w:t>/</w:t>
            </w:r>
          </w:p>
        </w:tc>
      </w:tr>
      <w:tr w14:paraId="2E6C3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327" w:type="dxa"/>
            <w:vAlign w:val="center"/>
          </w:tcPr>
          <w:p w14:paraId="26EB26EE">
            <w:pPr>
              <w:pStyle w:val="42"/>
              <w:bidi w:val="0"/>
              <w:rPr>
                <w:color w:val="auto"/>
              </w:rPr>
            </w:pPr>
            <w:r>
              <w:rPr>
                <w:color w:val="auto"/>
              </w:rPr>
              <w:t>固体废物</w:t>
            </w:r>
          </w:p>
        </w:tc>
        <w:tc>
          <w:tcPr>
            <w:tcW w:w="7460" w:type="dxa"/>
            <w:gridSpan w:val="4"/>
            <w:vAlign w:val="center"/>
          </w:tcPr>
          <w:p w14:paraId="7095C8FC">
            <w:pPr>
              <w:pStyle w:val="41"/>
              <w:bidi w:val="0"/>
              <w:rPr>
                <w:color w:val="auto"/>
              </w:rPr>
            </w:pPr>
            <w:r>
              <w:rPr>
                <w:rFonts w:hint="default"/>
                <w:color w:val="auto"/>
                <w:lang w:eastAsia="zh-CN"/>
              </w:rPr>
              <w:t>项目生产过程中产生的废机油等危险废物分类妥善收集，后交危险废物处置资质的单位处置，并执行危险废物转移联单；生活垃圾交由环卫部门统一清运处理。</w:t>
            </w:r>
          </w:p>
        </w:tc>
      </w:tr>
      <w:tr w14:paraId="14E7E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22F9BFF3">
            <w:pPr>
              <w:pStyle w:val="42"/>
              <w:bidi w:val="0"/>
              <w:rPr>
                <w:color w:val="auto"/>
              </w:rPr>
            </w:pPr>
            <w:r>
              <w:rPr>
                <w:color w:val="auto"/>
              </w:rPr>
              <w:t>土壤及地下水污染防治措施</w:t>
            </w:r>
          </w:p>
        </w:tc>
        <w:tc>
          <w:tcPr>
            <w:tcW w:w="7460" w:type="dxa"/>
            <w:gridSpan w:val="4"/>
            <w:vAlign w:val="center"/>
          </w:tcPr>
          <w:p w14:paraId="3F9D40D8">
            <w:pPr>
              <w:pStyle w:val="41"/>
              <w:bidi w:val="0"/>
              <w:rPr>
                <w:rFonts w:hint="default"/>
                <w:color w:val="auto"/>
                <w:lang w:val="en-US" w:eastAsia="zh-CN"/>
              </w:rPr>
            </w:pPr>
            <w:r>
              <w:rPr>
                <w:rFonts w:hint="eastAsia"/>
                <w:color w:val="auto"/>
                <w:lang w:val="en-US" w:eastAsia="zh-CN"/>
              </w:rPr>
              <w:t>（</w:t>
            </w:r>
            <w:r>
              <w:rPr>
                <w:rFonts w:hint="default"/>
                <w:color w:val="auto"/>
                <w:lang w:val="en-US" w:eastAsia="zh-CN"/>
              </w:rPr>
              <w:t>1）源头控制措施，项目应根据国家现行相关规范加强环境管理，采取防止和降低污染物跑、冒、滴、漏的措施。正常运营过程中应加强控制及处理机修过程中污染物跑、冒、滴、漏，同时应加强对防渗工程的检查，若发现防渗密封材料老化或损坏，应及时维修更换。</w:t>
            </w:r>
          </w:p>
          <w:p w14:paraId="30432468">
            <w:pPr>
              <w:pStyle w:val="41"/>
              <w:bidi w:val="0"/>
              <w:rPr>
                <w:rFonts w:hint="default"/>
                <w:color w:val="auto"/>
                <w:lang w:val="en-US" w:eastAsia="zh-CN"/>
              </w:rPr>
            </w:pPr>
            <w:r>
              <w:rPr>
                <w:rFonts w:hint="eastAsia"/>
                <w:color w:val="auto"/>
                <w:lang w:val="en-US" w:eastAsia="zh-CN"/>
              </w:rPr>
              <w:t>（</w:t>
            </w:r>
            <w:r>
              <w:rPr>
                <w:rFonts w:hint="default"/>
                <w:color w:val="auto"/>
                <w:lang w:val="en-US" w:eastAsia="zh-CN"/>
              </w:rPr>
              <w:t>2）分区防渗措施，根据本项目污染物类型将全厂按各功能单元所处的位置划分为重点</w:t>
            </w:r>
            <w:r>
              <w:rPr>
                <w:rFonts w:hint="eastAsia"/>
                <w:color w:val="auto"/>
                <w:lang w:val="en-US" w:eastAsia="zh-CN"/>
              </w:rPr>
              <w:t>防渗区</w:t>
            </w:r>
            <w:r>
              <w:rPr>
                <w:rFonts w:hint="default"/>
                <w:color w:val="auto"/>
                <w:lang w:val="en-US" w:eastAsia="zh-CN"/>
              </w:rPr>
              <w:t>、一般防渗区以及简单防渗区。重点防渗区包括：危废暂存间。一般防渗区包括：生产场区。简单防渗区包括：办公室。</w:t>
            </w:r>
          </w:p>
          <w:p w14:paraId="59A0071D">
            <w:pPr>
              <w:pStyle w:val="41"/>
              <w:bidi w:val="0"/>
              <w:rPr>
                <w:rFonts w:hint="default"/>
                <w:color w:val="auto"/>
                <w:lang w:val="en-US" w:eastAsia="zh-CN"/>
              </w:rPr>
            </w:pPr>
            <w:r>
              <w:rPr>
                <w:rFonts w:hint="default"/>
                <w:color w:val="auto"/>
                <w:lang w:val="en-US" w:eastAsia="zh-CN"/>
              </w:rPr>
              <w:t>①重点防渗区防渗措施</w:t>
            </w:r>
          </w:p>
          <w:p w14:paraId="4996D953">
            <w:pPr>
              <w:pStyle w:val="41"/>
              <w:bidi w:val="0"/>
              <w:rPr>
                <w:rFonts w:hint="default"/>
                <w:color w:val="auto"/>
                <w:lang w:val="en-US" w:eastAsia="zh-CN"/>
              </w:rPr>
            </w:pPr>
            <w:r>
              <w:rPr>
                <w:rFonts w:hint="default"/>
                <w:color w:val="auto"/>
                <w:lang w:val="en-US" w:eastAsia="zh-CN"/>
              </w:rPr>
              <w:t>危废暂存间地面要求防渗工艺选取：混凝土基础层+2mmHDPE膜+混凝土保护层+环氧涂料</w:t>
            </w:r>
            <w:r>
              <w:rPr>
                <w:rFonts w:hint="eastAsia"/>
                <w:color w:val="auto"/>
                <w:lang w:val="en-US" w:eastAsia="zh-CN"/>
              </w:rPr>
              <w:t>（</w:t>
            </w:r>
            <w:r>
              <w:rPr>
                <w:rFonts w:hint="default"/>
                <w:color w:val="auto"/>
                <w:lang w:val="en-US" w:eastAsia="zh-CN"/>
              </w:rPr>
              <w:t>渗透系数≤1×10-7cm/s）。</w:t>
            </w:r>
          </w:p>
          <w:p w14:paraId="4106311B">
            <w:pPr>
              <w:pStyle w:val="41"/>
              <w:bidi w:val="0"/>
              <w:rPr>
                <w:rFonts w:hint="default"/>
                <w:color w:val="auto"/>
                <w:lang w:val="en-US" w:eastAsia="zh-CN"/>
              </w:rPr>
            </w:pPr>
            <w:r>
              <w:rPr>
                <w:rFonts w:hint="default"/>
                <w:color w:val="auto"/>
                <w:lang w:val="en-US" w:eastAsia="zh-CN"/>
              </w:rPr>
              <w:t>②一般防渗区防渗措施</w:t>
            </w:r>
          </w:p>
          <w:p w14:paraId="5557E55C">
            <w:pPr>
              <w:pStyle w:val="41"/>
              <w:bidi w:val="0"/>
              <w:rPr>
                <w:rFonts w:hint="default"/>
                <w:color w:val="auto"/>
                <w:lang w:val="en-US" w:eastAsia="zh-CN"/>
              </w:rPr>
            </w:pPr>
            <w:r>
              <w:rPr>
                <w:rFonts w:hint="default"/>
                <w:color w:val="auto"/>
                <w:lang w:val="en-US" w:eastAsia="zh-CN"/>
              </w:rPr>
              <w:t>一般防渗区地面采取粘土铺底，再在上层铺10~15cm的水泥进行硬化。采取了上述措施的基础上，一般污染防治区的渗透系数≤1×10</w:t>
            </w:r>
            <w:r>
              <w:rPr>
                <w:rFonts w:hint="default"/>
                <w:color w:val="auto"/>
                <w:vertAlign w:val="superscript"/>
                <w:lang w:val="en-US" w:eastAsia="zh-CN"/>
              </w:rPr>
              <w:t>-7</w:t>
            </w:r>
            <w:r>
              <w:rPr>
                <w:rFonts w:hint="default"/>
                <w:color w:val="auto"/>
                <w:lang w:val="en-US" w:eastAsia="zh-CN"/>
              </w:rPr>
              <w:t>cm/s。</w:t>
            </w:r>
          </w:p>
          <w:p w14:paraId="5C72F1DB">
            <w:pPr>
              <w:pStyle w:val="41"/>
              <w:bidi w:val="0"/>
              <w:rPr>
                <w:rFonts w:hint="default"/>
                <w:color w:val="auto"/>
                <w:lang w:val="en-US" w:eastAsia="zh-CN"/>
              </w:rPr>
            </w:pPr>
            <w:r>
              <w:rPr>
                <w:rFonts w:hint="default"/>
                <w:color w:val="auto"/>
                <w:lang w:val="en-US" w:eastAsia="zh-CN"/>
              </w:rPr>
              <w:t>③简单防渗区防渗措施一般地面硬化。</w:t>
            </w:r>
          </w:p>
        </w:tc>
      </w:tr>
      <w:tr w14:paraId="59692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64FE7438">
            <w:pPr>
              <w:pStyle w:val="42"/>
              <w:bidi w:val="0"/>
              <w:rPr>
                <w:color w:val="auto"/>
              </w:rPr>
            </w:pPr>
            <w:r>
              <w:rPr>
                <w:color w:val="auto"/>
              </w:rPr>
              <w:t>生态保护措施</w:t>
            </w:r>
          </w:p>
        </w:tc>
        <w:tc>
          <w:tcPr>
            <w:tcW w:w="7460" w:type="dxa"/>
            <w:gridSpan w:val="4"/>
            <w:vAlign w:val="center"/>
          </w:tcPr>
          <w:p w14:paraId="5B3083C3">
            <w:pPr>
              <w:pStyle w:val="42"/>
              <w:bidi w:val="0"/>
              <w:rPr>
                <w:rFonts w:hint="default"/>
                <w:color w:val="auto"/>
                <w:lang w:val="en-US" w:eastAsia="zh-CN"/>
              </w:rPr>
            </w:pPr>
            <w:r>
              <w:rPr>
                <w:rFonts w:hint="eastAsia"/>
                <w:color w:val="auto"/>
                <w:lang w:val="en-US" w:eastAsia="zh-CN"/>
              </w:rPr>
              <w:t>无</w:t>
            </w:r>
          </w:p>
        </w:tc>
      </w:tr>
      <w:tr w14:paraId="6B8A5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244264D9">
            <w:pPr>
              <w:pStyle w:val="42"/>
              <w:bidi w:val="0"/>
              <w:rPr>
                <w:color w:val="auto"/>
              </w:rPr>
            </w:pPr>
            <w:r>
              <w:rPr>
                <w:color w:val="auto"/>
              </w:rPr>
              <w:t>环境风险</w:t>
            </w:r>
          </w:p>
          <w:p w14:paraId="1483218E">
            <w:pPr>
              <w:pStyle w:val="42"/>
              <w:bidi w:val="0"/>
              <w:rPr>
                <w:color w:val="auto"/>
              </w:rPr>
            </w:pPr>
            <w:r>
              <w:rPr>
                <w:color w:val="auto"/>
              </w:rPr>
              <w:t>防范措施</w:t>
            </w:r>
          </w:p>
        </w:tc>
        <w:tc>
          <w:tcPr>
            <w:tcW w:w="7460" w:type="dxa"/>
            <w:gridSpan w:val="4"/>
            <w:vAlign w:val="center"/>
          </w:tcPr>
          <w:p w14:paraId="3437F941">
            <w:pPr>
              <w:pStyle w:val="39"/>
              <w:bidi w:val="0"/>
              <w:rPr>
                <w:rFonts w:hint="eastAsia"/>
                <w:color w:val="auto"/>
                <w:lang w:eastAsia="zh-CN"/>
              </w:rPr>
            </w:pPr>
            <w:r>
              <w:rPr>
                <w:rFonts w:hint="eastAsia"/>
                <w:color w:val="auto"/>
                <w:lang w:eastAsia="zh-CN"/>
              </w:rPr>
              <w:t>危废暂存间防范措施：</w:t>
            </w:r>
          </w:p>
          <w:p w14:paraId="4E1C2867">
            <w:pPr>
              <w:pStyle w:val="39"/>
              <w:bidi w:val="0"/>
              <w:rPr>
                <w:rFonts w:hint="eastAsia"/>
                <w:color w:val="auto"/>
                <w:lang w:eastAsia="zh-CN"/>
              </w:rPr>
            </w:pPr>
            <w:r>
              <w:rPr>
                <w:rFonts w:hint="eastAsia"/>
                <w:color w:val="auto"/>
                <w:lang w:eastAsia="zh-CN"/>
              </w:rPr>
              <w:t>（1）项目危险废物定期更换后避免露天存放，需要使用密闭包装桶盛装。</w:t>
            </w:r>
          </w:p>
          <w:p w14:paraId="7E71399C">
            <w:pPr>
              <w:pStyle w:val="39"/>
              <w:bidi w:val="0"/>
              <w:rPr>
                <w:rFonts w:hint="eastAsia"/>
                <w:color w:val="auto"/>
                <w:lang w:eastAsia="zh-CN"/>
              </w:rPr>
            </w:pPr>
            <w:r>
              <w:rPr>
                <w:rFonts w:hint="eastAsia"/>
                <w:color w:val="auto"/>
                <w:lang w:eastAsia="zh-CN"/>
              </w:rPr>
              <w:t>（2）堆放危险废物的高度应根据地面承载能力确定</w:t>
            </w:r>
          </w:p>
          <w:p w14:paraId="6883D92E">
            <w:pPr>
              <w:pStyle w:val="39"/>
              <w:bidi w:val="0"/>
              <w:rPr>
                <w:rFonts w:hint="eastAsia"/>
                <w:color w:val="auto"/>
                <w:lang w:eastAsia="zh-CN"/>
              </w:rPr>
            </w:pPr>
            <w:r>
              <w:rPr>
                <w:rFonts w:hint="eastAsia"/>
                <w:color w:val="auto"/>
                <w:lang w:eastAsia="zh-CN"/>
              </w:rPr>
              <w:t>（3）危险废物临时堆放场要做好防风、防雨、防晒。</w:t>
            </w:r>
          </w:p>
          <w:p w14:paraId="441407F0">
            <w:pPr>
              <w:pStyle w:val="39"/>
              <w:bidi w:val="0"/>
              <w:rPr>
                <w:rFonts w:hint="eastAsia"/>
                <w:color w:val="auto"/>
                <w:lang w:eastAsia="zh-CN"/>
              </w:rPr>
            </w:pPr>
            <w:r>
              <w:rPr>
                <w:rFonts w:hint="eastAsia"/>
                <w:color w:val="auto"/>
                <w:lang w:eastAsia="zh-CN"/>
              </w:rPr>
              <w:t>（4）危险废物仓位置地面做好防腐、防渗透处理。</w:t>
            </w:r>
          </w:p>
          <w:p w14:paraId="377F1E7E">
            <w:pPr>
              <w:pStyle w:val="39"/>
              <w:bidi w:val="0"/>
              <w:rPr>
                <w:rFonts w:hint="eastAsia"/>
                <w:color w:val="auto"/>
                <w:lang w:eastAsia="zh-CN"/>
              </w:rPr>
            </w:pPr>
            <w:r>
              <w:rPr>
                <w:rFonts w:hint="eastAsia"/>
                <w:color w:val="auto"/>
                <w:lang w:eastAsia="zh-CN"/>
              </w:rPr>
              <w:t>（5）设置专门的危废仓库，并由专人管理，做好日常出入库登记</w:t>
            </w:r>
          </w:p>
        </w:tc>
      </w:tr>
      <w:tr w14:paraId="18FF9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109F51CF">
            <w:pPr>
              <w:adjustRightInd w:val="0"/>
              <w:snapToGrid w:val="0"/>
              <w:jc w:val="center"/>
              <w:rPr>
                <w:color w:val="auto"/>
                <w:spacing w:val="-8"/>
                <w:szCs w:val="21"/>
              </w:rPr>
            </w:pPr>
            <w:r>
              <w:rPr>
                <w:color w:val="auto"/>
                <w:spacing w:val="-8"/>
                <w:szCs w:val="21"/>
              </w:rPr>
              <w:t>其他环境</w:t>
            </w:r>
          </w:p>
          <w:p w14:paraId="349888E7">
            <w:pPr>
              <w:adjustRightInd w:val="0"/>
              <w:snapToGrid w:val="0"/>
              <w:jc w:val="center"/>
              <w:rPr>
                <w:color w:val="auto"/>
                <w:spacing w:val="-8"/>
                <w:szCs w:val="21"/>
              </w:rPr>
            </w:pPr>
            <w:r>
              <w:rPr>
                <w:color w:val="auto"/>
                <w:spacing w:val="-8"/>
                <w:szCs w:val="21"/>
              </w:rPr>
              <w:t>管理要求</w:t>
            </w:r>
          </w:p>
        </w:tc>
        <w:tc>
          <w:tcPr>
            <w:tcW w:w="7460" w:type="dxa"/>
            <w:gridSpan w:val="4"/>
            <w:vAlign w:val="center"/>
          </w:tcPr>
          <w:p w14:paraId="6AD43765">
            <w:pPr>
              <w:pStyle w:val="39"/>
              <w:bidi w:val="0"/>
              <w:rPr>
                <w:rFonts w:hint="eastAsia"/>
                <w:color w:val="auto"/>
                <w:lang w:val="en-US" w:eastAsia="zh-CN"/>
              </w:rPr>
            </w:pPr>
            <w:r>
              <w:rPr>
                <w:rFonts w:hint="eastAsia"/>
                <w:color w:val="auto"/>
                <w:lang w:val="en-US" w:eastAsia="zh-CN"/>
              </w:rPr>
              <w:t>编制突发环境事件应急预案；排污许可实施</w:t>
            </w:r>
            <w:r>
              <w:rPr>
                <w:rFonts w:hint="default"/>
                <w:color w:val="auto"/>
                <w:lang w:val="en-US" w:eastAsia="zh-CN"/>
              </w:rPr>
              <w:t>重点管理</w:t>
            </w:r>
            <w:r>
              <w:rPr>
                <w:rFonts w:hint="eastAsia"/>
                <w:color w:val="auto"/>
                <w:lang w:val="en-US" w:eastAsia="zh-CN"/>
              </w:rPr>
              <w:t>；开展本项目的自行监测工作；排放口规范化管理；项目竣工后完成竣工环境保护验收；按要求执行重污染天气应急响应。</w:t>
            </w:r>
          </w:p>
          <w:p w14:paraId="1DA1C365">
            <w:pPr>
              <w:pStyle w:val="39"/>
              <w:bidi w:val="0"/>
              <w:rPr>
                <w:rFonts w:hint="eastAsia"/>
                <w:color w:val="auto"/>
                <w:lang w:val="en-US" w:eastAsia="zh-CN"/>
              </w:rPr>
            </w:pPr>
          </w:p>
          <w:p w14:paraId="300ECCE2">
            <w:pPr>
              <w:pStyle w:val="39"/>
              <w:bidi w:val="0"/>
              <w:rPr>
                <w:rFonts w:hint="eastAsia"/>
                <w:color w:val="auto"/>
                <w:lang w:val="en-US" w:eastAsia="zh-CN"/>
              </w:rPr>
            </w:pPr>
          </w:p>
          <w:p w14:paraId="1F186196">
            <w:pPr>
              <w:pStyle w:val="39"/>
              <w:bidi w:val="0"/>
              <w:rPr>
                <w:rFonts w:hint="eastAsia"/>
                <w:color w:val="auto"/>
                <w:lang w:val="en-US" w:eastAsia="zh-CN"/>
              </w:rPr>
            </w:pPr>
          </w:p>
          <w:p w14:paraId="701FAD1C">
            <w:pPr>
              <w:pStyle w:val="39"/>
              <w:bidi w:val="0"/>
              <w:rPr>
                <w:rFonts w:hint="eastAsia"/>
                <w:color w:val="auto"/>
                <w:lang w:val="en-US" w:eastAsia="zh-CN"/>
              </w:rPr>
            </w:pPr>
          </w:p>
          <w:p w14:paraId="6E2C73BA">
            <w:pPr>
              <w:pStyle w:val="39"/>
              <w:bidi w:val="0"/>
              <w:rPr>
                <w:rFonts w:hint="eastAsia"/>
                <w:color w:val="auto"/>
                <w:lang w:val="en-US" w:eastAsia="zh-CN"/>
              </w:rPr>
            </w:pPr>
          </w:p>
          <w:p w14:paraId="095FAA04">
            <w:pPr>
              <w:pStyle w:val="39"/>
              <w:bidi w:val="0"/>
              <w:rPr>
                <w:rFonts w:hint="eastAsia"/>
                <w:color w:val="auto"/>
                <w:lang w:val="en-US" w:eastAsia="zh-CN"/>
              </w:rPr>
            </w:pPr>
          </w:p>
          <w:p w14:paraId="1B0103FD">
            <w:pPr>
              <w:pStyle w:val="39"/>
              <w:bidi w:val="0"/>
              <w:rPr>
                <w:rFonts w:hint="eastAsia"/>
                <w:color w:val="auto"/>
                <w:lang w:val="en-US" w:eastAsia="zh-CN"/>
              </w:rPr>
            </w:pPr>
          </w:p>
          <w:p w14:paraId="78621E3E">
            <w:pPr>
              <w:pStyle w:val="39"/>
              <w:bidi w:val="0"/>
              <w:rPr>
                <w:rFonts w:hint="eastAsia"/>
                <w:color w:val="auto"/>
                <w:lang w:val="en-US" w:eastAsia="zh-CN"/>
              </w:rPr>
            </w:pPr>
          </w:p>
          <w:p w14:paraId="73CE25AF">
            <w:pPr>
              <w:pStyle w:val="39"/>
              <w:bidi w:val="0"/>
              <w:rPr>
                <w:rFonts w:hint="eastAsia"/>
                <w:color w:val="auto"/>
                <w:lang w:val="en-US" w:eastAsia="zh-CN"/>
              </w:rPr>
            </w:pPr>
          </w:p>
          <w:p w14:paraId="3880F371">
            <w:pPr>
              <w:pStyle w:val="45"/>
              <w:ind w:left="0" w:leftChars="0" w:firstLine="0" w:firstLineChars="0"/>
              <w:rPr>
                <w:rFonts w:hint="default"/>
                <w:color w:val="auto"/>
                <w:lang w:val="en-US" w:eastAsia="zh-CN"/>
              </w:rPr>
            </w:pPr>
          </w:p>
        </w:tc>
      </w:tr>
    </w:tbl>
    <w:p w14:paraId="563A7375">
      <w:pPr>
        <w:pStyle w:val="28"/>
        <w:keepNext/>
        <w:keepLines/>
        <w:widowControl w:val="0"/>
        <w:jc w:val="center"/>
        <w:outlineLvl w:val="0"/>
        <w:rPr>
          <w:rFonts w:hint="eastAsia" w:ascii="黑体" w:hAnsi="黑体" w:eastAsia="黑体"/>
          <w:snapToGrid w:val="0"/>
          <w:color w:val="auto"/>
          <w:sz w:val="30"/>
          <w:szCs w:val="30"/>
        </w:rPr>
      </w:pPr>
      <w:r>
        <w:rPr>
          <w:snapToGrid w:val="0"/>
          <w:color w:val="auto"/>
        </w:rPr>
        <w:br w:type="page"/>
      </w:r>
      <w:bookmarkStart w:id="32" w:name="_Toc31334"/>
      <w:bookmarkStart w:id="33" w:name="_Toc31802"/>
      <w:r>
        <w:rPr>
          <w:rFonts w:hint="eastAsia" w:ascii="黑体" w:hAnsi="黑体" w:eastAsia="黑体"/>
          <w:snapToGrid w:val="0"/>
          <w:color w:val="auto"/>
          <w:sz w:val="30"/>
          <w:szCs w:val="30"/>
        </w:rPr>
        <w:t>六、结论</w:t>
      </w:r>
      <w:bookmarkEnd w:id="32"/>
      <w:bookmarkEnd w:id="33"/>
    </w:p>
    <w:tbl>
      <w:tblPr>
        <w:tblStyle w:val="31"/>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14:paraId="2540B1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65" w:type="dxa"/>
            <w:vAlign w:val="center"/>
          </w:tcPr>
          <w:p w14:paraId="1A8DAC92">
            <w:pPr>
              <w:pStyle w:val="45"/>
              <w:bidi w:val="0"/>
              <w:rPr>
                <w:rFonts w:hint="default"/>
                <w:color w:val="auto"/>
              </w:rPr>
            </w:pPr>
            <w:bookmarkStart w:id="34" w:name="_Toc332094619"/>
            <w:bookmarkStart w:id="35" w:name="_Toc375586183"/>
            <w:bookmarkStart w:id="36" w:name="_Toc336178377"/>
            <w:r>
              <w:rPr>
                <w:rFonts w:hint="default"/>
                <w:color w:val="auto"/>
                <w:lang w:val="en-US" w:eastAsia="zh-CN"/>
              </w:rPr>
              <w:t>本项目在运营过程中会产生废气、废水、噪声、固体废物等，在全面落实本报告表提出的各项环境保护措施的基础上，切实做到“三同时”，并在营运期内持之以恒加强环境管理的前提下，从环境保护角度，本项目环境影响可行。</w:t>
            </w:r>
          </w:p>
          <w:p w14:paraId="34D5CDB2">
            <w:pPr>
              <w:pStyle w:val="45"/>
              <w:bidi w:val="0"/>
              <w:rPr>
                <w:rFonts w:hint="eastAsia"/>
                <w:color w:val="auto"/>
              </w:rPr>
            </w:pPr>
          </w:p>
          <w:p w14:paraId="2FB20639">
            <w:pPr>
              <w:pStyle w:val="45"/>
              <w:bidi w:val="0"/>
              <w:rPr>
                <w:rFonts w:hint="eastAsia"/>
                <w:color w:val="auto"/>
              </w:rPr>
            </w:pPr>
          </w:p>
          <w:p w14:paraId="4E44E79C">
            <w:pPr>
              <w:pStyle w:val="45"/>
              <w:ind w:firstLine="480"/>
              <w:rPr>
                <w:rFonts w:hint="eastAsia"/>
                <w:color w:val="auto"/>
              </w:rPr>
            </w:pPr>
          </w:p>
          <w:p w14:paraId="2CB9705E">
            <w:pPr>
              <w:pStyle w:val="45"/>
              <w:ind w:firstLine="480"/>
              <w:rPr>
                <w:rFonts w:hint="eastAsia"/>
                <w:color w:val="auto"/>
              </w:rPr>
            </w:pPr>
          </w:p>
          <w:p w14:paraId="0D4508EA">
            <w:pPr>
              <w:pStyle w:val="45"/>
              <w:ind w:firstLine="480"/>
              <w:rPr>
                <w:rFonts w:hint="eastAsia"/>
                <w:color w:val="auto"/>
              </w:rPr>
            </w:pPr>
          </w:p>
          <w:p w14:paraId="2F4B42D7">
            <w:pPr>
              <w:pStyle w:val="45"/>
              <w:ind w:firstLine="480"/>
              <w:rPr>
                <w:rFonts w:hint="eastAsia"/>
                <w:color w:val="auto"/>
              </w:rPr>
            </w:pPr>
          </w:p>
          <w:p w14:paraId="33B47F43">
            <w:pPr>
              <w:pStyle w:val="45"/>
              <w:ind w:firstLine="480"/>
              <w:rPr>
                <w:rFonts w:hint="eastAsia"/>
                <w:color w:val="auto"/>
              </w:rPr>
            </w:pPr>
          </w:p>
          <w:p w14:paraId="750E3D22">
            <w:pPr>
              <w:pStyle w:val="45"/>
              <w:ind w:firstLine="480"/>
              <w:rPr>
                <w:rFonts w:hint="eastAsia"/>
                <w:color w:val="auto"/>
              </w:rPr>
            </w:pPr>
          </w:p>
          <w:p w14:paraId="264B8ADD">
            <w:pPr>
              <w:pStyle w:val="45"/>
              <w:ind w:firstLine="480"/>
              <w:rPr>
                <w:rFonts w:hint="eastAsia"/>
                <w:color w:val="auto"/>
              </w:rPr>
            </w:pPr>
          </w:p>
          <w:p w14:paraId="15BD5B37">
            <w:pPr>
              <w:pStyle w:val="45"/>
              <w:ind w:firstLine="480"/>
              <w:rPr>
                <w:rFonts w:hint="eastAsia"/>
                <w:color w:val="auto"/>
              </w:rPr>
            </w:pPr>
          </w:p>
          <w:p w14:paraId="3308A076">
            <w:pPr>
              <w:pStyle w:val="45"/>
              <w:ind w:firstLine="480"/>
              <w:rPr>
                <w:rFonts w:hint="eastAsia"/>
                <w:color w:val="auto"/>
              </w:rPr>
            </w:pPr>
          </w:p>
          <w:p w14:paraId="659A855C">
            <w:pPr>
              <w:pStyle w:val="45"/>
              <w:ind w:firstLine="480"/>
              <w:rPr>
                <w:rFonts w:hint="eastAsia"/>
                <w:color w:val="auto"/>
              </w:rPr>
            </w:pPr>
          </w:p>
          <w:p w14:paraId="7B5AB758">
            <w:pPr>
              <w:pStyle w:val="45"/>
              <w:ind w:firstLine="480"/>
              <w:rPr>
                <w:rFonts w:hint="eastAsia"/>
                <w:color w:val="auto"/>
              </w:rPr>
            </w:pPr>
          </w:p>
          <w:p w14:paraId="4E02F027">
            <w:pPr>
              <w:pStyle w:val="45"/>
              <w:ind w:firstLine="480"/>
              <w:rPr>
                <w:rFonts w:hint="eastAsia"/>
                <w:color w:val="auto"/>
              </w:rPr>
            </w:pPr>
          </w:p>
          <w:p w14:paraId="65B1CDBC">
            <w:pPr>
              <w:pStyle w:val="45"/>
              <w:ind w:firstLine="480"/>
              <w:rPr>
                <w:rFonts w:hint="eastAsia"/>
                <w:color w:val="auto"/>
              </w:rPr>
            </w:pPr>
          </w:p>
          <w:p w14:paraId="3813608E">
            <w:pPr>
              <w:pStyle w:val="45"/>
              <w:ind w:firstLine="480"/>
              <w:rPr>
                <w:rFonts w:hint="eastAsia"/>
                <w:color w:val="auto"/>
              </w:rPr>
            </w:pPr>
          </w:p>
          <w:p w14:paraId="7F155A28">
            <w:pPr>
              <w:pStyle w:val="45"/>
              <w:ind w:firstLine="480"/>
              <w:rPr>
                <w:rFonts w:hint="eastAsia"/>
                <w:color w:val="auto"/>
              </w:rPr>
            </w:pPr>
          </w:p>
          <w:p w14:paraId="45F2D967">
            <w:pPr>
              <w:pStyle w:val="45"/>
              <w:ind w:firstLine="480"/>
              <w:rPr>
                <w:rFonts w:hint="eastAsia"/>
                <w:color w:val="auto"/>
              </w:rPr>
            </w:pPr>
          </w:p>
          <w:p w14:paraId="7601DA9B">
            <w:pPr>
              <w:pStyle w:val="45"/>
              <w:ind w:firstLine="480"/>
              <w:rPr>
                <w:rFonts w:hint="eastAsia"/>
                <w:color w:val="auto"/>
              </w:rPr>
            </w:pPr>
          </w:p>
          <w:bookmarkEnd w:id="34"/>
          <w:bookmarkEnd w:id="35"/>
          <w:bookmarkEnd w:id="36"/>
          <w:p w14:paraId="5B3AE30A">
            <w:pPr>
              <w:pStyle w:val="45"/>
              <w:ind w:left="0" w:leftChars="0" w:firstLine="0" w:firstLineChars="0"/>
              <w:rPr>
                <w:color w:val="auto"/>
              </w:rPr>
            </w:pPr>
          </w:p>
        </w:tc>
      </w:tr>
    </w:tbl>
    <w:p w14:paraId="0D93E688">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E506458">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ascii="黑体" w:hAnsi="黑体" w:eastAsia="黑体"/>
          <w:snapToGrid w:val="0"/>
          <w:color w:val="auto"/>
          <w:sz w:val="24"/>
          <w:szCs w:val="24"/>
        </w:rPr>
      </w:pPr>
      <w:bookmarkStart w:id="37" w:name="_Toc17790"/>
      <w:bookmarkStart w:id="38" w:name="_Toc21959"/>
      <w:r>
        <w:rPr>
          <w:rFonts w:hint="eastAsia" w:ascii="黑体" w:hAnsi="黑体" w:eastAsia="黑体"/>
          <w:snapToGrid w:val="0"/>
          <w:color w:val="auto"/>
          <w:sz w:val="24"/>
          <w:szCs w:val="24"/>
        </w:rPr>
        <w:t>附表</w:t>
      </w:r>
      <w:bookmarkEnd w:id="37"/>
      <w:bookmarkEnd w:id="38"/>
    </w:p>
    <w:p w14:paraId="0826C29A">
      <w:pPr>
        <w:pStyle w:val="53"/>
        <w:bidi w:val="0"/>
        <w:rPr>
          <w:rFonts w:hint="eastAsia"/>
          <w:color w:val="auto"/>
        </w:rPr>
      </w:pPr>
      <w:bookmarkStart w:id="39" w:name="_Toc19927"/>
      <w:r>
        <w:rPr>
          <w:rFonts w:hint="eastAsia"/>
          <w:color w:val="auto"/>
        </w:rPr>
        <w:t>建设项目污染物排放量汇总表</w:t>
      </w:r>
      <w:bookmarkEnd w:id="39"/>
    </w:p>
    <w:tbl>
      <w:tblPr>
        <w:tblStyle w:val="31"/>
        <w:tblW w:w="14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0"/>
        <w:gridCol w:w="51"/>
        <w:gridCol w:w="1160"/>
        <w:gridCol w:w="1707"/>
        <w:gridCol w:w="1287"/>
        <w:gridCol w:w="1733"/>
        <w:gridCol w:w="1601"/>
        <w:gridCol w:w="1774"/>
        <w:gridCol w:w="1826"/>
        <w:gridCol w:w="1174"/>
      </w:tblGrid>
      <w:tr w14:paraId="044FE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tcBorders>
              <w:tl2br w:val="single" w:color="auto" w:sz="4" w:space="0"/>
            </w:tcBorders>
            <w:tcMar>
              <w:left w:w="28" w:type="dxa"/>
              <w:right w:w="28" w:type="dxa"/>
            </w:tcMar>
            <w:vAlign w:val="center"/>
          </w:tcPr>
          <w:p w14:paraId="7C9E1846">
            <w:pPr>
              <w:pStyle w:val="55"/>
              <w:spacing w:beforeLines="0" w:afterLines="0" w:line="240" w:lineRule="auto"/>
              <w:jc w:val="right"/>
              <w:rPr>
                <w:rFonts w:hint="eastAsia" w:ascii="黑体" w:hAnsi="黑体" w:eastAsia="黑体" w:cs="宋体"/>
                <w:snapToGrid w:val="0"/>
                <w:color w:val="auto"/>
                <w:spacing w:val="-6"/>
                <w:kern w:val="21"/>
                <w:szCs w:val="21"/>
              </w:rPr>
            </w:pPr>
            <w:r>
              <w:rPr>
                <w:rFonts w:hint="eastAsia" w:ascii="黑体" w:hAnsi="黑体" w:eastAsia="黑体" w:cs="宋体"/>
                <w:snapToGrid w:val="0"/>
                <w:color w:val="auto"/>
                <w:spacing w:val="-6"/>
                <w:kern w:val="21"/>
                <w:szCs w:val="21"/>
              </w:rPr>
              <w:t>项目</w:t>
            </w:r>
          </w:p>
          <w:p w14:paraId="6418D214">
            <w:pPr>
              <w:pStyle w:val="55"/>
              <w:spacing w:beforeLines="0" w:afterLines="0" w:line="240" w:lineRule="auto"/>
              <w:jc w:val="left"/>
              <w:rPr>
                <w:rFonts w:hint="eastAsia" w:ascii="黑体" w:hAnsi="黑体" w:eastAsia="黑体" w:cs="宋体"/>
                <w:snapToGrid w:val="0"/>
                <w:color w:val="auto"/>
                <w:spacing w:val="-6"/>
                <w:kern w:val="21"/>
                <w:szCs w:val="21"/>
              </w:rPr>
            </w:pPr>
            <w:r>
              <w:rPr>
                <w:rFonts w:hint="eastAsia" w:ascii="黑体" w:hAnsi="黑体" w:eastAsia="黑体" w:cs="宋体"/>
                <w:snapToGrid w:val="0"/>
                <w:color w:val="auto"/>
                <w:spacing w:val="-6"/>
                <w:kern w:val="21"/>
                <w:szCs w:val="21"/>
              </w:rPr>
              <w:t>分类</w:t>
            </w:r>
          </w:p>
        </w:tc>
        <w:tc>
          <w:tcPr>
            <w:tcW w:w="2421" w:type="dxa"/>
            <w:gridSpan w:val="3"/>
            <w:tcMar>
              <w:left w:w="28" w:type="dxa"/>
              <w:right w:w="28" w:type="dxa"/>
            </w:tcMar>
            <w:vAlign w:val="center"/>
          </w:tcPr>
          <w:p w14:paraId="7218B477">
            <w:pPr>
              <w:pStyle w:val="55"/>
              <w:spacing w:beforeLines="0" w:afterLines="0" w:line="240" w:lineRule="auto"/>
              <w:rPr>
                <w:rFonts w:hint="eastAsia" w:ascii="黑体" w:hAnsi="黑体" w:eastAsia="黑体" w:cs="宋体"/>
                <w:snapToGrid w:val="0"/>
                <w:color w:val="auto"/>
                <w:spacing w:val="-6"/>
                <w:kern w:val="21"/>
                <w:szCs w:val="21"/>
              </w:rPr>
            </w:pPr>
            <w:r>
              <w:rPr>
                <w:rFonts w:hint="eastAsia" w:ascii="黑体" w:hAnsi="黑体" w:eastAsia="黑体" w:cs="宋体"/>
                <w:snapToGrid w:val="0"/>
                <w:color w:val="auto"/>
                <w:spacing w:val="-6"/>
                <w:kern w:val="21"/>
                <w:szCs w:val="21"/>
              </w:rPr>
              <w:t>污染物名称</w:t>
            </w:r>
          </w:p>
        </w:tc>
        <w:tc>
          <w:tcPr>
            <w:tcW w:w="1707" w:type="dxa"/>
            <w:tcMar>
              <w:left w:w="28" w:type="dxa"/>
              <w:right w:w="28" w:type="dxa"/>
            </w:tcMar>
            <w:vAlign w:val="center"/>
          </w:tcPr>
          <w:p w14:paraId="1FA85943">
            <w:pPr>
              <w:pStyle w:val="55"/>
              <w:spacing w:beforeLines="0" w:afterLines="0" w:line="240" w:lineRule="auto"/>
              <w:rPr>
                <w:rFonts w:hint="eastAsia" w:ascii="黑体" w:hAnsi="黑体" w:eastAsia="黑体"/>
                <w:snapToGrid w:val="0"/>
                <w:color w:val="auto"/>
                <w:spacing w:val="-6"/>
                <w:kern w:val="21"/>
                <w:szCs w:val="21"/>
              </w:rPr>
            </w:pPr>
            <w:r>
              <w:rPr>
                <w:rFonts w:ascii="黑体" w:hAnsi="黑体" w:eastAsia="黑体"/>
                <w:snapToGrid w:val="0"/>
                <w:color w:val="auto"/>
                <w:spacing w:val="-6"/>
                <w:kern w:val="21"/>
                <w:szCs w:val="21"/>
              </w:rPr>
              <w:t>现有工程</w:t>
            </w:r>
          </w:p>
          <w:p w14:paraId="3FC69D77">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排放量</w:t>
            </w:r>
            <w:r>
              <w:rPr>
                <w:rFonts w:hint="eastAsia" w:ascii="黑体" w:hAnsi="黑体" w:eastAsia="黑体"/>
                <w:snapToGrid w:val="0"/>
                <w:color w:val="auto"/>
                <w:spacing w:val="-6"/>
                <w:kern w:val="21"/>
                <w:szCs w:val="21"/>
                <w:lang w:eastAsia="zh-CN"/>
              </w:rPr>
              <w:t>（</w:t>
            </w:r>
            <w:r>
              <w:rPr>
                <w:rFonts w:ascii="黑体" w:hAnsi="黑体" w:eastAsia="黑体"/>
                <w:snapToGrid w:val="0"/>
                <w:color w:val="auto"/>
                <w:spacing w:val="-6"/>
                <w:kern w:val="21"/>
                <w:szCs w:val="21"/>
              </w:rPr>
              <w:t>固</w:t>
            </w:r>
            <w:r>
              <w:rPr>
                <w:rFonts w:hint="eastAsia" w:ascii="黑体" w:hAnsi="黑体" w:eastAsia="黑体"/>
                <w:snapToGrid w:val="0"/>
                <w:color w:val="auto"/>
                <w:spacing w:val="-6"/>
                <w:kern w:val="21"/>
                <w:szCs w:val="21"/>
              </w:rPr>
              <w:t>体</w:t>
            </w:r>
            <w:r>
              <w:rPr>
                <w:rFonts w:ascii="黑体" w:hAnsi="黑体" w:eastAsia="黑体"/>
                <w:snapToGrid w:val="0"/>
                <w:color w:val="auto"/>
                <w:spacing w:val="-6"/>
                <w:kern w:val="21"/>
                <w:szCs w:val="21"/>
              </w:rPr>
              <w:t>废</w:t>
            </w:r>
            <w:r>
              <w:rPr>
                <w:rFonts w:hint="eastAsia" w:ascii="黑体" w:hAnsi="黑体" w:eastAsia="黑体"/>
                <w:snapToGrid w:val="0"/>
                <w:color w:val="auto"/>
                <w:spacing w:val="-6"/>
                <w:kern w:val="21"/>
                <w:szCs w:val="21"/>
              </w:rPr>
              <w:t>物</w:t>
            </w:r>
            <w:r>
              <w:rPr>
                <w:rFonts w:ascii="黑体" w:hAnsi="黑体" w:eastAsia="黑体"/>
                <w:snapToGrid w:val="0"/>
                <w:color w:val="auto"/>
                <w:spacing w:val="-6"/>
                <w:kern w:val="21"/>
                <w:szCs w:val="21"/>
              </w:rPr>
              <w:t>产生量）</w:t>
            </w: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1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①</w:t>
            </w:r>
            <w:r>
              <w:rPr>
                <w:rFonts w:ascii="黑体" w:hAnsi="黑体" w:eastAsia="黑体"/>
                <w:snapToGrid w:val="0"/>
                <w:color w:val="auto"/>
                <w:spacing w:val="-6"/>
                <w:kern w:val="21"/>
                <w:szCs w:val="21"/>
              </w:rPr>
              <w:fldChar w:fldCharType="end"/>
            </w:r>
          </w:p>
        </w:tc>
        <w:tc>
          <w:tcPr>
            <w:tcW w:w="1287" w:type="dxa"/>
            <w:tcMar>
              <w:left w:w="28" w:type="dxa"/>
              <w:right w:w="28" w:type="dxa"/>
            </w:tcMar>
            <w:vAlign w:val="center"/>
          </w:tcPr>
          <w:p w14:paraId="2C236EB1">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现有工程</w:t>
            </w:r>
          </w:p>
          <w:p w14:paraId="5EBF0D49">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许可排放量</w:t>
            </w:r>
          </w:p>
          <w:p w14:paraId="59CA0E18">
            <w:pPr>
              <w:pStyle w:val="55"/>
              <w:spacing w:beforeLines="0" w:afterLines="0"/>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2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snapToGrid w:val="0"/>
                <w:color w:val="auto"/>
                <w:spacing w:val="-6"/>
                <w:kern w:val="21"/>
                <w:szCs w:val="21"/>
              </w:rPr>
              <w:t>②</w:t>
            </w:r>
            <w:r>
              <w:rPr>
                <w:rFonts w:ascii="黑体" w:hAnsi="黑体" w:eastAsia="黑体"/>
                <w:snapToGrid w:val="0"/>
                <w:color w:val="auto"/>
                <w:spacing w:val="-6"/>
                <w:kern w:val="21"/>
                <w:szCs w:val="21"/>
              </w:rPr>
              <w:fldChar w:fldCharType="end"/>
            </w:r>
          </w:p>
        </w:tc>
        <w:tc>
          <w:tcPr>
            <w:tcW w:w="1733" w:type="dxa"/>
            <w:tcMar>
              <w:left w:w="28" w:type="dxa"/>
              <w:right w:w="28" w:type="dxa"/>
            </w:tcMar>
            <w:vAlign w:val="center"/>
          </w:tcPr>
          <w:p w14:paraId="705F225B">
            <w:pPr>
              <w:pStyle w:val="55"/>
              <w:spacing w:beforeLines="0" w:afterLines="0" w:line="240" w:lineRule="auto"/>
              <w:rPr>
                <w:rFonts w:hint="eastAsia" w:ascii="黑体" w:hAnsi="黑体" w:eastAsia="黑体"/>
                <w:snapToGrid w:val="0"/>
                <w:color w:val="auto"/>
                <w:spacing w:val="-6"/>
                <w:kern w:val="21"/>
                <w:szCs w:val="21"/>
              </w:rPr>
            </w:pPr>
            <w:r>
              <w:rPr>
                <w:rFonts w:ascii="黑体" w:hAnsi="黑体" w:eastAsia="黑体"/>
                <w:snapToGrid w:val="0"/>
                <w:color w:val="auto"/>
                <w:spacing w:val="-6"/>
                <w:kern w:val="21"/>
                <w:szCs w:val="21"/>
              </w:rPr>
              <w:t>在建工程</w:t>
            </w:r>
          </w:p>
          <w:p w14:paraId="1E533D83">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排放量</w:t>
            </w:r>
            <w:r>
              <w:rPr>
                <w:rFonts w:hint="eastAsia" w:ascii="黑体" w:hAnsi="黑体" w:eastAsia="黑体"/>
                <w:snapToGrid w:val="0"/>
                <w:color w:val="auto"/>
                <w:spacing w:val="-6"/>
                <w:kern w:val="21"/>
                <w:szCs w:val="21"/>
                <w:lang w:eastAsia="zh-CN"/>
              </w:rPr>
              <w:t>（</w:t>
            </w:r>
            <w:r>
              <w:rPr>
                <w:rFonts w:ascii="黑体" w:hAnsi="黑体" w:eastAsia="黑体"/>
                <w:snapToGrid w:val="0"/>
                <w:color w:val="auto"/>
                <w:spacing w:val="-6"/>
                <w:kern w:val="21"/>
                <w:szCs w:val="21"/>
              </w:rPr>
              <w:t>固</w:t>
            </w:r>
            <w:r>
              <w:rPr>
                <w:rFonts w:hint="eastAsia" w:ascii="黑体" w:hAnsi="黑体" w:eastAsia="黑体"/>
                <w:snapToGrid w:val="0"/>
                <w:color w:val="auto"/>
                <w:spacing w:val="-6"/>
                <w:kern w:val="21"/>
                <w:szCs w:val="21"/>
              </w:rPr>
              <w:t>体</w:t>
            </w:r>
            <w:r>
              <w:rPr>
                <w:rFonts w:ascii="黑体" w:hAnsi="黑体" w:eastAsia="黑体"/>
                <w:snapToGrid w:val="0"/>
                <w:color w:val="auto"/>
                <w:spacing w:val="-6"/>
                <w:kern w:val="21"/>
                <w:szCs w:val="21"/>
              </w:rPr>
              <w:t>废</w:t>
            </w:r>
            <w:r>
              <w:rPr>
                <w:rFonts w:hint="eastAsia" w:ascii="黑体" w:hAnsi="黑体" w:eastAsia="黑体"/>
                <w:snapToGrid w:val="0"/>
                <w:color w:val="auto"/>
                <w:spacing w:val="-6"/>
                <w:kern w:val="21"/>
                <w:szCs w:val="21"/>
              </w:rPr>
              <w:t>物</w:t>
            </w:r>
            <w:r>
              <w:rPr>
                <w:rFonts w:ascii="黑体" w:hAnsi="黑体" w:eastAsia="黑体"/>
                <w:snapToGrid w:val="0"/>
                <w:color w:val="auto"/>
                <w:spacing w:val="-6"/>
                <w:kern w:val="21"/>
                <w:szCs w:val="21"/>
              </w:rPr>
              <w:t>产生量）</w:t>
            </w: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3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③</w:t>
            </w:r>
            <w:r>
              <w:rPr>
                <w:rFonts w:ascii="黑体" w:hAnsi="黑体" w:eastAsia="黑体"/>
                <w:snapToGrid w:val="0"/>
                <w:color w:val="auto"/>
                <w:spacing w:val="-6"/>
                <w:kern w:val="21"/>
                <w:szCs w:val="21"/>
              </w:rPr>
              <w:fldChar w:fldCharType="end"/>
            </w:r>
          </w:p>
        </w:tc>
        <w:tc>
          <w:tcPr>
            <w:tcW w:w="1601" w:type="dxa"/>
            <w:tcMar>
              <w:left w:w="28" w:type="dxa"/>
              <w:right w:w="28" w:type="dxa"/>
            </w:tcMar>
            <w:vAlign w:val="center"/>
          </w:tcPr>
          <w:p w14:paraId="5F00083E">
            <w:pPr>
              <w:pStyle w:val="55"/>
              <w:spacing w:beforeLines="0" w:afterLines="0" w:line="240" w:lineRule="auto"/>
              <w:rPr>
                <w:rFonts w:hint="eastAsia" w:ascii="黑体" w:hAnsi="黑体" w:eastAsia="黑体"/>
                <w:snapToGrid w:val="0"/>
                <w:color w:val="auto"/>
                <w:spacing w:val="-6"/>
                <w:kern w:val="21"/>
                <w:szCs w:val="21"/>
              </w:rPr>
            </w:pPr>
            <w:r>
              <w:rPr>
                <w:rFonts w:ascii="黑体" w:hAnsi="黑体" w:eastAsia="黑体"/>
                <w:snapToGrid w:val="0"/>
                <w:color w:val="auto"/>
                <w:spacing w:val="-6"/>
                <w:kern w:val="21"/>
                <w:szCs w:val="21"/>
              </w:rPr>
              <w:t>本项目</w:t>
            </w:r>
          </w:p>
          <w:p w14:paraId="067FA8B2">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排放量</w:t>
            </w:r>
            <w:r>
              <w:rPr>
                <w:rFonts w:hint="eastAsia" w:ascii="黑体" w:hAnsi="黑体" w:eastAsia="黑体"/>
                <w:snapToGrid w:val="0"/>
                <w:color w:val="auto"/>
                <w:spacing w:val="-6"/>
                <w:kern w:val="21"/>
                <w:szCs w:val="21"/>
                <w:lang w:eastAsia="zh-CN"/>
              </w:rPr>
              <w:t>（</w:t>
            </w:r>
            <w:r>
              <w:rPr>
                <w:rFonts w:ascii="黑体" w:hAnsi="黑体" w:eastAsia="黑体"/>
                <w:snapToGrid w:val="0"/>
                <w:color w:val="auto"/>
                <w:spacing w:val="-6"/>
                <w:kern w:val="21"/>
                <w:szCs w:val="21"/>
              </w:rPr>
              <w:t>固</w:t>
            </w:r>
            <w:r>
              <w:rPr>
                <w:rFonts w:hint="eastAsia" w:ascii="黑体" w:hAnsi="黑体" w:eastAsia="黑体"/>
                <w:snapToGrid w:val="0"/>
                <w:color w:val="auto"/>
                <w:spacing w:val="-6"/>
                <w:kern w:val="21"/>
                <w:szCs w:val="21"/>
              </w:rPr>
              <w:t>体</w:t>
            </w:r>
            <w:r>
              <w:rPr>
                <w:rFonts w:ascii="黑体" w:hAnsi="黑体" w:eastAsia="黑体"/>
                <w:snapToGrid w:val="0"/>
                <w:color w:val="auto"/>
                <w:spacing w:val="-6"/>
                <w:kern w:val="21"/>
                <w:szCs w:val="21"/>
              </w:rPr>
              <w:t>废</w:t>
            </w:r>
            <w:r>
              <w:rPr>
                <w:rFonts w:hint="eastAsia" w:ascii="黑体" w:hAnsi="黑体" w:eastAsia="黑体"/>
                <w:snapToGrid w:val="0"/>
                <w:color w:val="auto"/>
                <w:spacing w:val="-6"/>
                <w:kern w:val="21"/>
                <w:szCs w:val="21"/>
              </w:rPr>
              <w:t>物</w:t>
            </w:r>
            <w:r>
              <w:rPr>
                <w:rFonts w:ascii="黑体" w:hAnsi="黑体" w:eastAsia="黑体"/>
                <w:snapToGrid w:val="0"/>
                <w:color w:val="auto"/>
                <w:spacing w:val="-6"/>
                <w:kern w:val="21"/>
                <w:szCs w:val="21"/>
              </w:rPr>
              <w:t>产生量）</w:t>
            </w: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4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④</w:t>
            </w:r>
            <w:r>
              <w:rPr>
                <w:rFonts w:ascii="黑体" w:hAnsi="黑体" w:eastAsia="黑体"/>
                <w:snapToGrid w:val="0"/>
                <w:color w:val="auto"/>
                <w:spacing w:val="-6"/>
                <w:kern w:val="21"/>
                <w:szCs w:val="21"/>
              </w:rPr>
              <w:fldChar w:fldCharType="end"/>
            </w:r>
          </w:p>
        </w:tc>
        <w:tc>
          <w:tcPr>
            <w:tcW w:w="1774" w:type="dxa"/>
            <w:tcMar>
              <w:left w:w="28" w:type="dxa"/>
              <w:right w:w="28" w:type="dxa"/>
            </w:tcMar>
            <w:vAlign w:val="center"/>
          </w:tcPr>
          <w:p w14:paraId="5C3BD696">
            <w:pPr>
              <w:pStyle w:val="55"/>
              <w:spacing w:beforeLines="0" w:afterLines="0" w:line="240" w:lineRule="auto"/>
              <w:rPr>
                <w:rFonts w:hint="eastAsia" w:ascii="黑体" w:hAnsi="黑体" w:eastAsia="黑体"/>
                <w:snapToGrid w:val="0"/>
                <w:color w:val="auto"/>
                <w:spacing w:val="-16"/>
                <w:kern w:val="21"/>
                <w:szCs w:val="21"/>
              </w:rPr>
            </w:pPr>
            <w:r>
              <w:rPr>
                <w:rFonts w:ascii="黑体" w:hAnsi="黑体" w:eastAsia="黑体"/>
                <w:snapToGrid w:val="0"/>
                <w:color w:val="auto"/>
                <w:spacing w:val="-16"/>
                <w:kern w:val="21"/>
                <w:szCs w:val="21"/>
              </w:rPr>
              <w:t>以新带老削减量</w:t>
            </w:r>
          </w:p>
          <w:p w14:paraId="117B074E">
            <w:pPr>
              <w:pStyle w:val="55"/>
              <w:spacing w:beforeLines="0" w:afterLines="0" w:line="240" w:lineRule="auto"/>
              <w:rPr>
                <w:rFonts w:ascii="黑体" w:hAnsi="黑体" w:eastAsia="黑体"/>
                <w:snapToGrid w:val="0"/>
                <w:color w:val="auto"/>
                <w:spacing w:val="-16"/>
                <w:kern w:val="21"/>
                <w:szCs w:val="21"/>
              </w:rPr>
            </w:pPr>
            <w:r>
              <w:rPr>
                <w:rFonts w:hint="eastAsia" w:ascii="黑体" w:hAnsi="黑体" w:eastAsia="黑体"/>
                <w:snapToGrid w:val="0"/>
                <w:color w:val="auto"/>
                <w:spacing w:val="-16"/>
                <w:kern w:val="21"/>
                <w:szCs w:val="21"/>
                <w:lang w:eastAsia="zh-CN"/>
              </w:rPr>
              <w:t>（</w:t>
            </w:r>
            <w:r>
              <w:rPr>
                <w:rFonts w:ascii="黑体" w:hAnsi="黑体" w:eastAsia="黑体"/>
                <w:snapToGrid w:val="0"/>
                <w:color w:val="auto"/>
                <w:spacing w:val="-16"/>
                <w:kern w:val="21"/>
                <w:szCs w:val="21"/>
              </w:rPr>
              <w:t>新建项目不填）</w:t>
            </w:r>
            <w:r>
              <w:rPr>
                <w:rFonts w:ascii="黑体" w:hAnsi="黑体" w:eastAsia="黑体"/>
                <w:snapToGrid w:val="0"/>
                <w:color w:val="auto"/>
                <w:spacing w:val="-16"/>
                <w:kern w:val="21"/>
                <w:szCs w:val="21"/>
              </w:rPr>
              <w:fldChar w:fldCharType="begin"/>
            </w:r>
            <w:r>
              <w:rPr>
                <w:rFonts w:ascii="黑体" w:hAnsi="黑体" w:eastAsia="黑体"/>
                <w:snapToGrid w:val="0"/>
                <w:color w:val="auto"/>
                <w:spacing w:val="-16"/>
                <w:kern w:val="21"/>
                <w:szCs w:val="21"/>
              </w:rPr>
              <w:instrText xml:space="preserve"> = 5 \* GB3 \* MERGEFORMAT </w:instrText>
            </w:r>
            <w:r>
              <w:rPr>
                <w:rFonts w:ascii="黑体" w:hAnsi="黑体" w:eastAsia="黑体"/>
                <w:snapToGrid w:val="0"/>
                <w:color w:val="auto"/>
                <w:spacing w:val="-16"/>
                <w:kern w:val="21"/>
                <w:szCs w:val="21"/>
              </w:rPr>
              <w:fldChar w:fldCharType="separate"/>
            </w:r>
            <w:r>
              <w:rPr>
                <w:rFonts w:hint="eastAsia" w:ascii="黑体" w:hAnsi="黑体" w:eastAsia="黑体" w:cs="宋体"/>
                <w:color w:val="auto"/>
                <w:kern w:val="2"/>
                <w:szCs w:val="21"/>
              </w:rPr>
              <w:t>⑤</w:t>
            </w:r>
            <w:r>
              <w:rPr>
                <w:rFonts w:ascii="黑体" w:hAnsi="黑体" w:eastAsia="黑体"/>
                <w:snapToGrid w:val="0"/>
                <w:color w:val="auto"/>
                <w:spacing w:val="-16"/>
                <w:kern w:val="21"/>
                <w:szCs w:val="21"/>
              </w:rPr>
              <w:fldChar w:fldCharType="end"/>
            </w:r>
          </w:p>
        </w:tc>
        <w:tc>
          <w:tcPr>
            <w:tcW w:w="1826" w:type="dxa"/>
            <w:tcMar>
              <w:left w:w="28" w:type="dxa"/>
              <w:right w:w="28" w:type="dxa"/>
            </w:tcMar>
            <w:vAlign w:val="center"/>
          </w:tcPr>
          <w:p w14:paraId="3997E9FC">
            <w:pPr>
              <w:pStyle w:val="55"/>
              <w:spacing w:beforeLines="0" w:afterLines="0" w:line="240" w:lineRule="auto"/>
              <w:rPr>
                <w:rFonts w:hint="eastAsia" w:ascii="黑体" w:hAnsi="黑体" w:eastAsia="黑体"/>
                <w:snapToGrid w:val="0"/>
                <w:color w:val="auto"/>
                <w:spacing w:val="-16"/>
                <w:kern w:val="21"/>
                <w:szCs w:val="21"/>
              </w:rPr>
            </w:pPr>
            <w:r>
              <w:rPr>
                <w:rFonts w:ascii="黑体" w:hAnsi="黑体" w:eastAsia="黑体"/>
                <w:snapToGrid w:val="0"/>
                <w:color w:val="auto"/>
                <w:spacing w:val="-16"/>
                <w:kern w:val="21"/>
                <w:szCs w:val="21"/>
              </w:rPr>
              <w:t>本项目建成后</w:t>
            </w:r>
          </w:p>
          <w:p w14:paraId="0654CC2F">
            <w:pPr>
              <w:pStyle w:val="55"/>
              <w:spacing w:beforeLines="0" w:afterLines="0" w:line="240" w:lineRule="auto"/>
              <w:rPr>
                <w:rFonts w:ascii="黑体" w:hAnsi="黑体" w:eastAsia="黑体"/>
                <w:snapToGrid w:val="0"/>
                <w:color w:val="auto"/>
                <w:spacing w:val="-16"/>
                <w:kern w:val="21"/>
                <w:szCs w:val="21"/>
              </w:rPr>
            </w:pPr>
            <w:r>
              <w:rPr>
                <w:rFonts w:hint="eastAsia" w:ascii="黑体" w:hAnsi="黑体" w:eastAsia="黑体"/>
                <w:snapToGrid w:val="0"/>
                <w:color w:val="auto"/>
                <w:spacing w:val="-16"/>
                <w:kern w:val="21"/>
                <w:szCs w:val="21"/>
              </w:rPr>
              <w:t>全厂</w:t>
            </w:r>
            <w:r>
              <w:rPr>
                <w:rFonts w:ascii="黑体" w:hAnsi="黑体" w:eastAsia="黑体"/>
                <w:snapToGrid w:val="0"/>
                <w:color w:val="auto"/>
                <w:spacing w:val="-16"/>
                <w:kern w:val="21"/>
                <w:szCs w:val="21"/>
              </w:rPr>
              <w:t>排放量</w:t>
            </w:r>
            <w:r>
              <w:rPr>
                <w:rFonts w:hint="eastAsia" w:ascii="黑体" w:hAnsi="黑体" w:eastAsia="黑体"/>
                <w:snapToGrid w:val="0"/>
                <w:color w:val="auto"/>
                <w:spacing w:val="-16"/>
                <w:kern w:val="21"/>
                <w:szCs w:val="21"/>
                <w:lang w:eastAsia="zh-CN"/>
              </w:rPr>
              <w:t>（</w:t>
            </w:r>
            <w:r>
              <w:rPr>
                <w:rFonts w:ascii="黑体" w:hAnsi="黑体" w:eastAsia="黑体"/>
                <w:snapToGrid w:val="0"/>
                <w:color w:val="auto"/>
                <w:spacing w:val="-16"/>
                <w:kern w:val="21"/>
                <w:szCs w:val="21"/>
              </w:rPr>
              <w:t>固</w:t>
            </w:r>
            <w:r>
              <w:rPr>
                <w:rFonts w:hint="eastAsia" w:ascii="黑体" w:hAnsi="黑体" w:eastAsia="黑体"/>
                <w:snapToGrid w:val="0"/>
                <w:color w:val="auto"/>
                <w:spacing w:val="-16"/>
                <w:kern w:val="21"/>
                <w:szCs w:val="21"/>
              </w:rPr>
              <w:t>体</w:t>
            </w:r>
            <w:r>
              <w:rPr>
                <w:rFonts w:ascii="黑体" w:hAnsi="黑体" w:eastAsia="黑体"/>
                <w:snapToGrid w:val="0"/>
                <w:color w:val="auto"/>
                <w:spacing w:val="-16"/>
                <w:kern w:val="21"/>
                <w:szCs w:val="21"/>
              </w:rPr>
              <w:t>废</w:t>
            </w:r>
            <w:r>
              <w:rPr>
                <w:rFonts w:hint="eastAsia" w:ascii="黑体" w:hAnsi="黑体" w:eastAsia="黑体"/>
                <w:snapToGrid w:val="0"/>
                <w:color w:val="auto"/>
                <w:spacing w:val="-16"/>
                <w:kern w:val="21"/>
                <w:szCs w:val="21"/>
              </w:rPr>
              <w:t>物</w:t>
            </w:r>
            <w:r>
              <w:rPr>
                <w:rFonts w:ascii="黑体" w:hAnsi="黑体" w:eastAsia="黑体"/>
                <w:snapToGrid w:val="0"/>
                <w:color w:val="auto"/>
                <w:spacing w:val="-16"/>
                <w:kern w:val="21"/>
                <w:szCs w:val="21"/>
              </w:rPr>
              <w:t>产生量）</w:t>
            </w:r>
            <w:r>
              <w:rPr>
                <w:rFonts w:ascii="黑体" w:hAnsi="黑体" w:eastAsia="黑体"/>
                <w:snapToGrid w:val="0"/>
                <w:color w:val="auto"/>
                <w:spacing w:val="-16"/>
                <w:kern w:val="21"/>
                <w:szCs w:val="21"/>
              </w:rPr>
              <w:fldChar w:fldCharType="begin"/>
            </w:r>
            <w:r>
              <w:rPr>
                <w:rFonts w:ascii="黑体" w:hAnsi="黑体" w:eastAsia="黑体"/>
                <w:snapToGrid w:val="0"/>
                <w:color w:val="auto"/>
                <w:spacing w:val="-16"/>
                <w:kern w:val="21"/>
                <w:szCs w:val="21"/>
              </w:rPr>
              <w:instrText xml:space="preserve"> = 6 \* GB3 \* MERGEFORMAT </w:instrText>
            </w:r>
            <w:r>
              <w:rPr>
                <w:rFonts w:ascii="黑体" w:hAnsi="黑体" w:eastAsia="黑体"/>
                <w:snapToGrid w:val="0"/>
                <w:color w:val="auto"/>
                <w:spacing w:val="-16"/>
                <w:kern w:val="21"/>
                <w:szCs w:val="21"/>
              </w:rPr>
              <w:fldChar w:fldCharType="separate"/>
            </w:r>
            <w:r>
              <w:rPr>
                <w:rFonts w:hint="eastAsia" w:ascii="黑体" w:hAnsi="黑体" w:eastAsia="黑体" w:cs="宋体"/>
                <w:color w:val="auto"/>
                <w:kern w:val="2"/>
                <w:szCs w:val="21"/>
              </w:rPr>
              <w:t>⑥</w:t>
            </w:r>
            <w:r>
              <w:rPr>
                <w:rFonts w:ascii="黑体" w:hAnsi="黑体" w:eastAsia="黑体"/>
                <w:snapToGrid w:val="0"/>
                <w:color w:val="auto"/>
                <w:spacing w:val="-16"/>
                <w:kern w:val="21"/>
                <w:szCs w:val="21"/>
              </w:rPr>
              <w:fldChar w:fldCharType="end"/>
            </w:r>
          </w:p>
        </w:tc>
        <w:tc>
          <w:tcPr>
            <w:tcW w:w="1174" w:type="dxa"/>
            <w:tcMar>
              <w:left w:w="28" w:type="dxa"/>
              <w:right w:w="28" w:type="dxa"/>
            </w:tcMar>
            <w:vAlign w:val="center"/>
          </w:tcPr>
          <w:p w14:paraId="21C26E73">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变化量</w:t>
            </w:r>
          </w:p>
          <w:p w14:paraId="6C452510">
            <w:pPr>
              <w:pStyle w:val="55"/>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7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⑦</w:t>
            </w:r>
            <w:r>
              <w:rPr>
                <w:rFonts w:ascii="黑体" w:hAnsi="黑体" w:eastAsia="黑体"/>
                <w:snapToGrid w:val="0"/>
                <w:color w:val="auto"/>
                <w:spacing w:val="-6"/>
                <w:kern w:val="21"/>
                <w:szCs w:val="21"/>
              </w:rPr>
              <w:fldChar w:fldCharType="end"/>
            </w:r>
          </w:p>
        </w:tc>
      </w:tr>
      <w:tr w14:paraId="62C26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restart"/>
            <w:vAlign w:val="center"/>
          </w:tcPr>
          <w:p w14:paraId="4763E16F">
            <w:pPr>
              <w:pStyle w:val="55"/>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废气</w:t>
            </w:r>
          </w:p>
        </w:tc>
        <w:tc>
          <w:tcPr>
            <w:tcW w:w="1261" w:type="dxa"/>
            <w:gridSpan w:val="2"/>
            <w:vMerge w:val="restart"/>
            <w:vAlign w:val="center"/>
          </w:tcPr>
          <w:p w14:paraId="2CD4E042">
            <w:pPr>
              <w:pStyle w:val="42"/>
              <w:bidi w:val="0"/>
              <w:ind w:firstLine="0" w:firstLineChars="0"/>
              <w:rPr>
                <w:rFonts w:hint="default"/>
                <w:color w:val="auto"/>
                <w:lang w:val="en-US" w:eastAsia="zh-CN"/>
              </w:rPr>
            </w:pPr>
            <w:r>
              <w:rPr>
                <w:rFonts w:hint="eastAsia"/>
                <w:color w:val="auto"/>
                <w:lang w:val="en-US" w:eastAsia="zh-CN"/>
              </w:rPr>
              <w:t>热风炉废气</w:t>
            </w:r>
          </w:p>
        </w:tc>
        <w:tc>
          <w:tcPr>
            <w:tcW w:w="1160" w:type="dxa"/>
            <w:vAlign w:val="center"/>
          </w:tcPr>
          <w:p w14:paraId="687278FD">
            <w:pPr>
              <w:pStyle w:val="42"/>
              <w:bidi w:val="0"/>
              <w:ind w:firstLine="0" w:firstLineChars="0"/>
              <w:rPr>
                <w:color w:val="auto"/>
              </w:rPr>
            </w:pPr>
            <w:r>
              <w:rPr>
                <w:rFonts w:hint="eastAsia"/>
                <w:color w:val="auto"/>
                <w:lang w:val="en-US" w:eastAsia="zh-CN"/>
              </w:rPr>
              <w:t>烟尘</w:t>
            </w:r>
          </w:p>
        </w:tc>
        <w:tc>
          <w:tcPr>
            <w:tcW w:w="1707" w:type="dxa"/>
            <w:vAlign w:val="center"/>
          </w:tcPr>
          <w:p w14:paraId="5F4BAD51">
            <w:pPr>
              <w:pStyle w:val="42"/>
              <w:bidi w:val="0"/>
              <w:ind w:firstLine="0" w:firstLineChars="0"/>
              <w:rPr>
                <w:rFonts w:hint="default"/>
                <w:color w:val="auto"/>
                <w:lang w:val="en-US" w:eastAsia="zh-CN"/>
              </w:rPr>
            </w:pPr>
          </w:p>
        </w:tc>
        <w:tc>
          <w:tcPr>
            <w:tcW w:w="1287" w:type="dxa"/>
            <w:vAlign w:val="center"/>
          </w:tcPr>
          <w:p w14:paraId="04697EC5">
            <w:pPr>
              <w:pStyle w:val="42"/>
              <w:bidi w:val="0"/>
              <w:ind w:firstLine="0" w:firstLineChars="0"/>
              <w:rPr>
                <w:rFonts w:hint="eastAsia"/>
                <w:color w:val="auto"/>
                <w:lang w:val="en-US" w:eastAsia="zh-CN"/>
              </w:rPr>
            </w:pPr>
          </w:p>
        </w:tc>
        <w:tc>
          <w:tcPr>
            <w:tcW w:w="1733" w:type="dxa"/>
            <w:vAlign w:val="center"/>
          </w:tcPr>
          <w:p w14:paraId="0189CDC1">
            <w:pPr>
              <w:pStyle w:val="42"/>
              <w:bidi w:val="0"/>
              <w:ind w:firstLine="0" w:firstLineChars="0"/>
              <w:rPr>
                <w:rFonts w:hint="eastAsia"/>
                <w:color w:val="auto"/>
                <w:lang w:val="en-US" w:eastAsia="zh-CN"/>
              </w:rPr>
            </w:pPr>
          </w:p>
        </w:tc>
        <w:tc>
          <w:tcPr>
            <w:tcW w:w="1601" w:type="dxa"/>
            <w:vAlign w:val="center"/>
          </w:tcPr>
          <w:p w14:paraId="3C2FD9F1">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774" w:type="dxa"/>
            <w:vAlign w:val="center"/>
          </w:tcPr>
          <w:p w14:paraId="13DB00B3">
            <w:pPr>
              <w:pStyle w:val="42"/>
              <w:bidi w:val="0"/>
              <w:ind w:firstLine="0" w:firstLineChars="0"/>
              <w:rPr>
                <w:rFonts w:hint="default"/>
                <w:color w:val="auto"/>
                <w:lang w:val="en-US" w:eastAsia="zh-CN"/>
              </w:rPr>
            </w:pPr>
          </w:p>
        </w:tc>
        <w:tc>
          <w:tcPr>
            <w:tcW w:w="1826" w:type="dxa"/>
            <w:vAlign w:val="center"/>
          </w:tcPr>
          <w:p w14:paraId="77997BE7">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174" w:type="dxa"/>
            <w:vAlign w:val="center"/>
          </w:tcPr>
          <w:p w14:paraId="205DF087">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r>
      <w:tr w14:paraId="5942C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0BEFEBFB">
            <w:pPr>
              <w:pStyle w:val="55"/>
              <w:spacing w:beforeLines="0" w:afterLines="0" w:line="240" w:lineRule="auto"/>
              <w:rPr>
                <w:rFonts w:hint="eastAsia" w:hAnsi="宋体" w:cs="宋体"/>
                <w:snapToGrid w:val="0"/>
                <w:color w:val="auto"/>
                <w:kern w:val="21"/>
                <w:szCs w:val="21"/>
              </w:rPr>
            </w:pPr>
          </w:p>
        </w:tc>
        <w:tc>
          <w:tcPr>
            <w:tcW w:w="1261" w:type="dxa"/>
            <w:gridSpan w:val="2"/>
            <w:vMerge w:val="continue"/>
            <w:vAlign w:val="center"/>
          </w:tcPr>
          <w:p w14:paraId="2580AD1F">
            <w:pPr>
              <w:pStyle w:val="42"/>
              <w:bidi w:val="0"/>
              <w:ind w:firstLine="0" w:firstLineChars="0"/>
              <w:rPr>
                <w:rFonts w:hint="eastAsia"/>
                <w:color w:val="auto"/>
                <w:lang w:val="en-US" w:eastAsia="zh-CN"/>
              </w:rPr>
            </w:pPr>
          </w:p>
        </w:tc>
        <w:tc>
          <w:tcPr>
            <w:tcW w:w="1160" w:type="dxa"/>
            <w:vAlign w:val="center"/>
          </w:tcPr>
          <w:p w14:paraId="0C256A8C">
            <w:pPr>
              <w:pStyle w:val="42"/>
              <w:bidi w:val="0"/>
              <w:ind w:firstLine="0" w:firstLineChars="0"/>
              <w:rPr>
                <w:color w:val="auto"/>
              </w:rPr>
            </w:pPr>
            <w:r>
              <w:rPr>
                <w:rFonts w:hint="default"/>
                <w:color w:val="auto"/>
                <w:lang w:val="en-US" w:eastAsia="zh-CN"/>
              </w:rPr>
              <w:t>SO2</w:t>
            </w:r>
          </w:p>
        </w:tc>
        <w:tc>
          <w:tcPr>
            <w:tcW w:w="1707" w:type="dxa"/>
            <w:vAlign w:val="center"/>
          </w:tcPr>
          <w:p w14:paraId="4AE57300">
            <w:pPr>
              <w:pStyle w:val="42"/>
              <w:bidi w:val="0"/>
              <w:ind w:firstLine="0" w:firstLineChars="0"/>
              <w:rPr>
                <w:rFonts w:hint="default"/>
                <w:color w:val="auto"/>
                <w:lang w:val="en-US" w:eastAsia="zh-CN"/>
              </w:rPr>
            </w:pPr>
          </w:p>
        </w:tc>
        <w:tc>
          <w:tcPr>
            <w:tcW w:w="1287" w:type="dxa"/>
            <w:vAlign w:val="center"/>
          </w:tcPr>
          <w:p w14:paraId="30350D45">
            <w:pPr>
              <w:pStyle w:val="42"/>
              <w:bidi w:val="0"/>
              <w:ind w:firstLine="0" w:firstLineChars="0"/>
              <w:rPr>
                <w:rFonts w:hint="eastAsia"/>
                <w:color w:val="auto"/>
                <w:lang w:val="en-US" w:eastAsia="zh-CN"/>
              </w:rPr>
            </w:pPr>
          </w:p>
        </w:tc>
        <w:tc>
          <w:tcPr>
            <w:tcW w:w="1733" w:type="dxa"/>
            <w:vAlign w:val="center"/>
          </w:tcPr>
          <w:p w14:paraId="19842065">
            <w:pPr>
              <w:pStyle w:val="42"/>
              <w:bidi w:val="0"/>
              <w:ind w:firstLine="0" w:firstLineChars="0"/>
              <w:rPr>
                <w:rFonts w:hint="eastAsia"/>
                <w:color w:val="auto"/>
                <w:lang w:val="en-US" w:eastAsia="zh-CN"/>
              </w:rPr>
            </w:pPr>
          </w:p>
        </w:tc>
        <w:tc>
          <w:tcPr>
            <w:tcW w:w="1601" w:type="dxa"/>
            <w:vAlign w:val="center"/>
          </w:tcPr>
          <w:p w14:paraId="408ACA74">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774" w:type="dxa"/>
            <w:vAlign w:val="center"/>
          </w:tcPr>
          <w:p w14:paraId="6399B47D">
            <w:pPr>
              <w:pStyle w:val="42"/>
              <w:bidi w:val="0"/>
              <w:ind w:firstLine="0" w:firstLineChars="0"/>
              <w:rPr>
                <w:rFonts w:hint="default"/>
                <w:color w:val="auto"/>
                <w:lang w:val="en-US" w:eastAsia="zh-CN"/>
              </w:rPr>
            </w:pPr>
          </w:p>
        </w:tc>
        <w:tc>
          <w:tcPr>
            <w:tcW w:w="1826" w:type="dxa"/>
            <w:vAlign w:val="center"/>
          </w:tcPr>
          <w:p w14:paraId="21A5159D">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174" w:type="dxa"/>
            <w:vAlign w:val="center"/>
          </w:tcPr>
          <w:p w14:paraId="45FC2D70">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r>
      <w:tr w14:paraId="607F6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50" w:type="dxa"/>
            <w:vMerge w:val="continue"/>
            <w:vAlign w:val="center"/>
          </w:tcPr>
          <w:p w14:paraId="3E31810A">
            <w:pPr>
              <w:pStyle w:val="55"/>
              <w:spacing w:beforeLines="0" w:afterLines="0" w:line="240" w:lineRule="auto"/>
              <w:rPr>
                <w:rFonts w:hint="eastAsia" w:hAnsi="宋体" w:cs="宋体"/>
                <w:snapToGrid w:val="0"/>
                <w:color w:val="auto"/>
                <w:kern w:val="21"/>
                <w:szCs w:val="21"/>
              </w:rPr>
            </w:pPr>
          </w:p>
        </w:tc>
        <w:tc>
          <w:tcPr>
            <w:tcW w:w="1261" w:type="dxa"/>
            <w:gridSpan w:val="2"/>
            <w:vMerge w:val="continue"/>
            <w:vAlign w:val="center"/>
          </w:tcPr>
          <w:p w14:paraId="5481A9F5">
            <w:pPr>
              <w:pStyle w:val="42"/>
              <w:bidi w:val="0"/>
              <w:ind w:firstLine="0" w:firstLineChars="0"/>
              <w:rPr>
                <w:rFonts w:hint="eastAsia"/>
                <w:color w:val="auto"/>
                <w:lang w:val="en-US" w:eastAsia="zh-CN"/>
              </w:rPr>
            </w:pPr>
          </w:p>
        </w:tc>
        <w:tc>
          <w:tcPr>
            <w:tcW w:w="1160" w:type="dxa"/>
            <w:vAlign w:val="center"/>
          </w:tcPr>
          <w:p w14:paraId="42DED8FB">
            <w:pPr>
              <w:pStyle w:val="42"/>
              <w:bidi w:val="0"/>
              <w:ind w:firstLine="0" w:firstLineChars="0"/>
              <w:rPr>
                <w:color w:val="auto"/>
              </w:rPr>
            </w:pPr>
            <w:r>
              <w:rPr>
                <w:rFonts w:hint="default"/>
                <w:color w:val="auto"/>
                <w:lang w:val="en-US" w:eastAsia="zh-CN"/>
              </w:rPr>
              <w:t>NOx</w:t>
            </w:r>
          </w:p>
        </w:tc>
        <w:tc>
          <w:tcPr>
            <w:tcW w:w="1707" w:type="dxa"/>
            <w:vAlign w:val="center"/>
          </w:tcPr>
          <w:p w14:paraId="6226B8DB">
            <w:pPr>
              <w:pStyle w:val="42"/>
              <w:bidi w:val="0"/>
              <w:ind w:firstLine="0" w:firstLineChars="0"/>
              <w:rPr>
                <w:rFonts w:hint="default"/>
                <w:color w:val="auto"/>
                <w:lang w:val="en-US" w:eastAsia="zh-CN"/>
              </w:rPr>
            </w:pPr>
          </w:p>
        </w:tc>
        <w:tc>
          <w:tcPr>
            <w:tcW w:w="1287" w:type="dxa"/>
            <w:vAlign w:val="center"/>
          </w:tcPr>
          <w:p w14:paraId="6FDFC89C">
            <w:pPr>
              <w:pStyle w:val="42"/>
              <w:bidi w:val="0"/>
              <w:ind w:firstLine="0" w:firstLineChars="0"/>
              <w:rPr>
                <w:rFonts w:hint="eastAsia"/>
                <w:color w:val="auto"/>
                <w:lang w:val="en-US" w:eastAsia="zh-CN"/>
              </w:rPr>
            </w:pPr>
          </w:p>
        </w:tc>
        <w:tc>
          <w:tcPr>
            <w:tcW w:w="1733" w:type="dxa"/>
            <w:vAlign w:val="center"/>
          </w:tcPr>
          <w:p w14:paraId="0E2ED550">
            <w:pPr>
              <w:pStyle w:val="42"/>
              <w:bidi w:val="0"/>
              <w:ind w:firstLine="0" w:firstLineChars="0"/>
              <w:rPr>
                <w:rFonts w:hint="eastAsia"/>
                <w:color w:val="auto"/>
                <w:lang w:val="en-US" w:eastAsia="zh-CN"/>
              </w:rPr>
            </w:pPr>
          </w:p>
        </w:tc>
        <w:tc>
          <w:tcPr>
            <w:tcW w:w="1601" w:type="dxa"/>
            <w:vAlign w:val="center"/>
          </w:tcPr>
          <w:p w14:paraId="5450AE95">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774" w:type="dxa"/>
            <w:vAlign w:val="center"/>
          </w:tcPr>
          <w:p w14:paraId="6321C0F1">
            <w:pPr>
              <w:pStyle w:val="42"/>
              <w:bidi w:val="0"/>
              <w:ind w:firstLine="0" w:firstLineChars="0"/>
              <w:rPr>
                <w:rFonts w:hint="default"/>
                <w:color w:val="auto"/>
                <w:lang w:val="en-US" w:eastAsia="zh-CN"/>
              </w:rPr>
            </w:pPr>
          </w:p>
        </w:tc>
        <w:tc>
          <w:tcPr>
            <w:tcW w:w="1826" w:type="dxa"/>
            <w:vAlign w:val="center"/>
          </w:tcPr>
          <w:p w14:paraId="757AD5CB">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174" w:type="dxa"/>
            <w:vAlign w:val="center"/>
          </w:tcPr>
          <w:p w14:paraId="3F86B4C9">
            <w:pPr>
              <w:pStyle w:val="42"/>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r>
      <w:tr w14:paraId="4F9E5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50" w:type="dxa"/>
            <w:vMerge w:val="continue"/>
            <w:vAlign w:val="center"/>
          </w:tcPr>
          <w:p w14:paraId="21385D46">
            <w:pPr>
              <w:keepNext w:val="0"/>
              <w:keepLines w:val="0"/>
              <w:widowControl/>
              <w:suppressLineNumbers w:val="0"/>
              <w:jc w:val="center"/>
              <w:textAlignment w:val="center"/>
              <w:rPr>
                <w:color w:val="auto"/>
              </w:rPr>
            </w:pPr>
          </w:p>
        </w:tc>
        <w:tc>
          <w:tcPr>
            <w:tcW w:w="1261" w:type="dxa"/>
            <w:gridSpan w:val="2"/>
            <w:vMerge w:val="continue"/>
            <w:vAlign w:val="center"/>
          </w:tcPr>
          <w:p w14:paraId="564B7F09">
            <w:pPr>
              <w:keepNext w:val="0"/>
              <w:keepLines w:val="0"/>
              <w:widowControl/>
              <w:suppressLineNumbers w:val="0"/>
              <w:jc w:val="center"/>
              <w:textAlignment w:val="center"/>
              <w:rPr>
                <w:color w:val="auto"/>
              </w:rPr>
            </w:pPr>
          </w:p>
        </w:tc>
        <w:tc>
          <w:tcPr>
            <w:tcW w:w="1160" w:type="dxa"/>
            <w:vAlign w:val="center"/>
          </w:tcPr>
          <w:p w14:paraId="76BE4B69">
            <w:pPr>
              <w:pStyle w:val="42"/>
              <w:bidi w:val="0"/>
              <w:ind w:firstLine="0" w:firstLineChars="0"/>
              <w:rPr>
                <w:rFonts w:hint="eastAsia" w:ascii="宋体" w:hAnsi="宋体" w:eastAsia="宋体" w:cs="宋体"/>
                <w:i w:val="0"/>
                <w:iCs w:val="0"/>
                <w:color w:val="auto"/>
                <w:kern w:val="0"/>
                <w:sz w:val="21"/>
                <w:szCs w:val="21"/>
                <w:u w:val="none"/>
                <w:lang w:val="en-US" w:eastAsia="zh-CN" w:bidi="ar"/>
              </w:rPr>
            </w:pPr>
            <w:r>
              <w:rPr>
                <w:rFonts w:hint="eastAsia"/>
                <w:color w:val="auto"/>
                <w:lang w:val="en-US" w:eastAsia="zh-CN"/>
              </w:rPr>
              <w:t>汞及其化合物</w:t>
            </w:r>
          </w:p>
        </w:tc>
        <w:tc>
          <w:tcPr>
            <w:tcW w:w="1707" w:type="dxa"/>
            <w:vAlign w:val="center"/>
          </w:tcPr>
          <w:p w14:paraId="447D760B">
            <w:pPr>
              <w:pStyle w:val="42"/>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287" w:type="dxa"/>
            <w:vAlign w:val="center"/>
          </w:tcPr>
          <w:p w14:paraId="0EFCFDBA">
            <w:pPr>
              <w:pStyle w:val="42"/>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733" w:type="dxa"/>
            <w:vAlign w:val="center"/>
          </w:tcPr>
          <w:p w14:paraId="3C216104">
            <w:pPr>
              <w:pStyle w:val="42"/>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601" w:type="dxa"/>
            <w:vAlign w:val="center"/>
          </w:tcPr>
          <w:p w14:paraId="5DF07DD8">
            <w:pPr>
              <w:pStyle w:val="42"/>
              <w:bidi w:val="0"/>
              <w:ind w:firstLine="0" w:firstLineChars="0"/>
              <w:rPr>
                <w:rFonts w:hint="default" w:ascii="宋体" w:hAnsi="宋体" w:eastAsia="宋体" w:cs="宋体"/>
                <w:i w:val="0"/>
                <w:iCs w:val="0"/>
                <w:color w:val="auto"/>
                <w:kern w:val="0"/>
                <w:sz w:val="21"/>
                <w:szCs w:val="21"/>
                <w:u w:val="none"/>
                <w:lang w:val="en-US" w:eastAsia="zh-CN" w:bidi="ar"/>
              </w:rPr>
            </w:pPr>
          </w:p>
        </w:tc>
        <w:tc>
          <w:tcPr>
            <w:tcW w:w="1774" w:type="dxa"/>
            <w:vAlign w:val="center"/>
          </w:tcPr>
          <w:p w14:paraId="1356ECB3">
            <w:pPr>
              <w:pStyle w:val="42"/>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826" w:type="dxa"/>
            <w:vAlign w:val="center"/>
          </w:tcPr>
          <w:p w14:paraId="79F98317">
            <w:pPr>
              <w:pStyle w:val="42"/>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174" w:type="dxa"/>
            <w:vAlign w:val="center"/>
          </w:tcPr>
          <w:p w14:paraId="15E02546">
            <w:pPr>
              <w:pStyle w:val="42"/>
              <w:bidi w:val="0"/>
              <w:ind w:firstLine="0" w:firstLineChars="0"/>
              <w:rPr>
                <w:rFonts w:hint="eastAsia" w:ascii="宋体" w:hAnsi="宋体" w:eastAsia="宋体" w:cs="宋体"/>
                <w:i w:val="0"/>
                <w:iCs w:val="0"/>
                <w:color w:val="auto"/>
                <w:kern w:val="0"/>
                <w:sz w:val="21"/>
                <w:szCs w:val="21"/>
                <w:u w:val="none"/>
                <w:lang w:val="en-US" w:eastAsia="zh-CN" w:bidi="ar"/>
              </w:rPr>
            </w:pPr>
          </w:p>
        </w:tc>
      </w:tr>
      <w:tr w14:paraId="1FAA5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continue"/>
            <w:vAlign w:val="center"/>
          </w:tcPr>
          <w:p w14:paraId="75F1B018">
            <w:pPr>
              <w:pStyle w:val="42"/>
              <w:bidi w:val="0"/>
              <w:ind w:firstLine="0" w:firstLineChars="0"/>
              <w:rPr>
                <w:rFonts w:hint="eastAsia"/>
                <w:color w:val="auto"/>
                <w:lang w:val="en-US" w:eastAsia="zh-CN"/>
              </w:rPr>
            </w:pPr>
          </w:p>
        </w:tc>
        <w:tc>
          <w:tcPr>
            <w:tcW w:w="1261" w:type="dxa"/>
            <w:gridSpan w:val="2"/>
            <w:vAlign w:val="center"/>
          </w:tcPr>
          <w:p w14:paraId="70E7382C">
            <w:pPr>
              <w:pStyle w:val="42"/>
              <w:bidi w:val="0"/>
              <w:ind w:firstLine="0" w:firstLineChars="0"/>
              <w:rPr>
                <w:rFonts w:hint="default"/>
                <w:color w:val="auto"/>
                <w:lang w:val="en-US" w:eastAsia="zh-CN"/>
              </w:rPr>
            </w:pPr>
            <w:r>
              <w:rPr>
                <w:rFonts w:hint="eastAsia"/>
                <w:color w:val="auto"/>
                <w:lang w:val="en-US" w:eastAsia="zh-CN"/>
              </w:rPr>
              <w:t>无组织</w:t>
            </w:r>
          </w:p>
        </w:tc>
        <w:tc>
          <w:tcPr>
            <w:tcW w:w="1160" w:type="dxa"/>
            <w:vAlign w:val="center"/>
          </w:tcPr>
          <w:p w14:paraId="5AC88E2E">
            <w:pPr>
              <w:pStyle w:val="42"/>
              <w:bidi w:val="0"/>
              <w:ind w:firstLine="0" w:firstLineChars="0"/>
              <w:rPr>
                <w:rFonts w:hint="default"/>
                <w:color w:val="auto"/>
                <w:lang w:val="en-US" w:eastAsia="zh-CN"/>
              </w:rPr>
            </w:pPr>
            <w:r>
              <w:rPr>
                <w:rFonts w:hint="eastAsia"/>
                <w:color w:val="auto"/>
                <w:lang w:val="en-US" w:eastAsia="zh-CN"/>
              </w:rPr>
              <w:t>颗粒物</w:t>
            </w:r>
          </w:p>
        </w:tc>
        <w:tc>
          <w:tcPr>
            <w:tcW w:w="1707" w:type="dxa"/>
            <w:vAlign w:val="center"/>
          </w:tcPr>
          <w:p w14:paraId="60AEA411">
            <w:pPr>
              <w:pStyle w:val="42"/>
              <w:bidi w:val="0"/>
              <w:ind w:firstLine="0" w:firstLineChars="0"/>
              <w:rPr>
                <w:rFonts w:hint="default" w:ascii="Times New Roman" w:hAnsi="Times New Roman" w:eastAsia="宋体" w:cs="Times New Roman"/>
                <w:color w:val="auto"/>
                <w:kern w:val="2"/>
                <w:sz w:val="21"/>
                <w:szCs w:val="21"/>
                <w:lang w:val="en-US" w:eastAsia="zh-CN" w:bidi="ar-SA"/>
              </w:rPr>
            </w:pPr>
          </w:p>
        </w:tc>
        <w:tc>
          <w:tcPr>
            <w:tcW w:w="1287" w:type="dxa"/>
            <w:vAlign w:val="center"/>
          </w:tcPr>
          <w:p w14:paraId="28338F22">
            <w:pPr>
              <w:pStyle w:val="42"/>
              <w:bidi w:val="0"/>
              <w:ind w:firstLine="0" w:firstLineChars="0"/>
              <w:rPr>
                <w:rFonts w:hint="default" w:ascii="Times New Roman" w:hAnsi="Times New Roman" w:eastAsia="宋体" w:cs="Times New Roman"/>
                <w:color w:val="auto"/>
                <w:kern w:val="2"/>
                <w:sz w:val="21"/>
                <w:szCs w:val="21"/>
                <w:lang w:val="en-US" w:eastAsia="zh-CN" w:bidi="ar-SA"/>
              </w:rPr>
            </w:pPr>
          </w:p>
        </w:tc>
        <w:tc>
          <w:tcPr>
            <w:tcW w:w="1733" w:type="dxa"/>
            <w:vAlign w:val="center"/>
          </w:tcPr>
          <w:p w14:paraId="7A16E538">
            <w:pPr>
              <w:pStyle w:val="42"/>
              <w:bidi w:val="0"/>
              <w:ind w:firstLine="0" w:firstLineChars="0"/>
              <w:rPr>
                <w:rFonts w:hint="eastAsia" w:ascii="Times New Roman" w:hAnsi="Times New Roman" w:eastAsia="宋体" w:cs="Times New Roman"/>
                <w:color w:val="auto"/>
                <w:kern w:val="2"/>
                <w:sz w:val="21"/>
                <w:szCs w:val="21"/>
                <w:lang w:val="en-US" w:eastAsia="zh-CN" w:bidi="ar-SA"/>
              </w:rPr>
            </w:pPr>
          </w:p>
        </w:tc>
        <w:tc>
          <w:tcPr>
            <w:tcW w:w="1601" w:type="dxa"/>
            <w:vAlign w:val="center"/>
          </w:tcPr>
          <w:p w14:paraId="5CF8A33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p>
        </w:tc>
        <w:tc>
          <w:tcPr>
            <w:tcW w:w="1774" w:type="dxa"/>
            <w:vAlign w:val="center"/>
          </w:tcPr>
          <w:p w14:paraId="75962163">
            <w:pPr>
              <w:pStyle w:val="42"/>
              <w:bidi w:val="0"/>
              <w:ind w:firstLine="0" w:firstLineChars="0"/>
              <w:rPr>
                <w:rFonts w:hint="default"/>
                <w:color w:val="auto"/>
                <w:lang w:val="en-US" w:eastAsia="zh-CN"/>
              </w:rPr>
            </w:pPr>
          </w:p>
        </w:tc>
        <w:tc>
          <w:tcPr>
            <w:tcW w:w="1826" w:type="dxa"/>
            <w:vAlign w:val="center"/>
          </w:tcPr>
          <w:p w14:paraId="2AE58C3C">
            <w:pPr>
              <w:keepNext w:val="0"/>
              <w:keepLines w:val="0"/>
              <w:widowControl/>
              <w:suppressLineNumbers w:val="0"/>
              <w:jc w:val="center"/>
              <w:textAlignment w:val="center"/>
              <w:rPr>
                <w:rFonts w:hint="default"/>
                <w:color w:val="auto"/>
                <w:lang w:val="en-US" w:eastAsia="zh-CN"/>
              </w:rPr>
            </w:pPr>
          </w:p>
        </w:tc>
        <w:tc>
          <w:tcPr>
            <w:tcW w:w="1174" w:type="dxa"/>
            <w:vAlign w:val="center"/>
          </w:tcPr>
          <w:p w14:paraId="753ED266">
            <w:pPr>
              <w:keepNext w:val="0"/>
              <w:keepLines w:val="0"/>
              <w:widowControl/>
              <w:suppressLineNumbers w:val="0"/>
              <w:jc w:val="center"/>
              <w:textAlignment w:val="center"/>
              <w:rPr>
                <w:rFonts w:hint="eastAsia"/>
                <w:color w:val="auto"/>
                <w:lang w:val="en-US" w:eastAsia="zh-CN"/>
              </w:rPr>
            </w:pPr>
          </w:p>
        </w:tc>
      </w:tr>
      <w:tr w14:paraId="3128D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Align w:val="center"/>
          </w:tcPr>
          <w:p w14:paraId="1D45FDBF">
            <w:pPr>
              <w:pStyle w:val="55"/>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废水</w:t>
            </w:r>
          </w:p>
        </w:tc>
        <w:tc>
          <w:tcPr>
            <w:tcW w:w="2421" w:type="dxa"/>
            <w:gridSpan w:val="3"/>
            <w:vAlign w:val="center"/>
          </w:tcPr>
          <w:p w14:paraId="3016E8F3">
            <w:pPr>
              <w:pStyle w:val="42"/>
              <w:bidi w:val="0"/>
              <w:ind w:firstLine="0" w:firstLineChars="0"/>
              <w:rPr>
                <w:rFonts w:hint="default"/>
                <w:color w:val="auto"/>
                <w:lang w:val="en-US" w:eastAsia="zh-CN"/>
              </w:rPr>
            </w:pPr>
            <w:r>
              <w:rPr>
                <w:rFonts w:hint="eastAsia"/>
                <w:color w:val="auto"/>
                <w:lang w:val="en-US" w:eastAsia="zh-CN"/>
              </w:rPr>
              <w:t>生活污水</w:t>
            </w:r>
          </w:p>
        </w:tc>
        <w:tc>
          <w:tcPr>
            <w:tcW w:w="1707" w:type="dxa"/>
            <w:vAlign w:val="center"/>
          </w:tcPr>
          <w:p w14:paraId="127260A5">
            <w:pPr>
              <w:pStyle w:val="42"/>
              <w:bidi w:val="0"/>
              <w:ind w:firstLine="0" w:firstLineChars="0"/>
              <w:rPr>
                <w:rFonts w:hint="default" w:ascii="Times New Roman" w:hAnsi="Times New Roman" w:eastAsia="宋体" w:cs="Times New Roman"/>
                <w:color w:val="auto"/>
                <w:kern w:val="2"/>
                <w:sz w:val="21"/>
                <w:szCs w:val="21"/>
                <w:lang w:val="en-US" w:eastAsia="zh-CN" w:bidi="ar-SA"/>
              </w:rPr>
            </w:pPr>
          </w:p>
        </w:tc>
        <w:tc>
          <w:tcPr>
            <w:tcW w:w="1287" w:type="dxa"/>
            <w:vAlign w:val="center"/>
          </w:tcPr>
          <w:p w14:paraId="4730695B">
            <w:pPr>
              <w:pStyle w:val="42"/>
              <w:bidi w:val="0"/>
              <w:ind w:firstLine="0" w:firstLineChars="0"/>
              <w:rPr>
                <w:rFonts w:hint="eastAsia" w:ascii="Times New Roman" w:hAnsi="Times New Roman" w:eastAsia="宋体" w:cs="Times New Roman"/>
                <w:color w:val="auto"/>
                <w:kern w:val="2"/>
                <w:sz w:val="21"/>
                <w:szCs w:val="21"/>
                <w:lang w:val="en-US" w:eastAsia="zh-CN" w:bidi="ar-SA"/>
              </w:rPr>
            </w:pPr>
          </w:p>
        </w:tc>
        <w:tc>
          <w:tcPr>
            <w:tcW w:w="1733" w:type="dxa"/>
            <w:vAlign w:val="center"/>
          </w:tcPr>
          <w:p w14:paraId="7CA61DE6">
            <w:pPr>
              <w:pStyle w:val="42"/>
              <w:bidi w:val="0"/>
              <w:ind w:firstLine="0" w:firstLineChars="0"/>
              <w:rPr>
                <w:rFonts w:hint="default" w:ascii="Times New Roman" w:hAnsi="Times New Roman" w:eastAsia="宋体" w:cs="Times New Roman"/>
                <w:color w:val="auto"/>
                <w:kern w:val="2"/>
                <w:sz w:val="21"/>
                <w:szCs w:val="21"/>
                <w:lang w:val="en-US" w:eastAsia="zh-CN" w:bidi="ar-SA"/>
              </w:rPr>
            </w:pPr>
          </w:p>
        </w:tc>
        <w:tc>
          <w:tcPr>
            <w:tcW w:w="1601" w:type="dxa"/>
            <w:vAlign w:val="center"/>
          </w:tcPr>
          <w:p w14:paraId="4C588310">
            <w:pPr>
              <w:pStyle w:val="42"/>
              <w:bidi w:val="0"/>
              <w:ind w:firstLine="0" w:firstLineChars="0"/>
              <w:rPr>
                <w:rFonts w:hint="default" w:ascii="Times New Roman" w:hAnsi="Times New Roman" w:eastAsia="宋体" w:cs="Times New Roman"/>
                <w:color w:val="auto"/>
                <w:kern w:val="2"/>
                <w:sz w:val="21"/>
                <w:szCs w:val="21"/>
                <w:lang w:val="en-US" w:eastAsia="zh-CN" w:bidi="ar-SA"/>
              </w:rPr>
            </w:pPr>
          </w:p>
        </w:tc>
        <w:tc>
          <w:tcPr>
            <w:tcW w:w="1774" w:type="dxa"/>
            <w:vAlign w:val="center"/>
          </w:tcPr>
          <w:p w14:paraId="19AC893E">
            <w:pPr>
              <w:pStyle w:val="42"/>
              <w:bidi w:val="0"/>
              <w:ind w:firstLine="0" w:firstLineChars="0"/>
              <w:rPr>
                <w:rFonts w:hint="default" w:ascii="Times New Roman" w:hAnsi="Times New Roman" w:eastAsia="宋体" w:cs="Times New Roman"/>
                <w:color w:val="auto"/>
                <w:lang w:val="en-US" w:eastAsia="zh-CN"/>
              </w:rPr>
            </w:pPr>
          </w:p>
        </w:tc>
        <w:tc>
          <w:tcPr>
            <w:tcW w:w="1826" w:type="dxa"/>
            <w:vAlign w:val="center"/>
          </w:tcPr>
          <w:p w14:paraId="72A6BABD">
            <w:pPr>
              <w:pStyle w:val="42"/>
              <w:bidi w:val="0"/>
              <w:ind w:firstLine="0" w:firstLineChars="0"/>
              <w:rPr>
                <w:rFonts w:hint="default" w:ascii="Times New Roman" w:hAnsi="Times New Roman" w:eastAsia="宋体" w:cs="Times New Roman"/>
                <w:color w:val="auto"/>
                <w:lang w:val="en-US" w:eastAsia="zh-CN"/>
              </w:rPr>
            </w:pPr>
          </w:p>
        </w:tc>
        <w:tc>
          <w:tcPr>
            <w:tcW w:w="1174" w:type="dxa"/>
            <w:vAlign w:val="center"/>
          </w:tcPr>
          <w:p w14:paraId="3EF51C2C">
            <w:pPr>
              <w:pStyle w:val="42"/>
              <w:bidi w:val="0"/>
              <w:ind w:firstLine="0" w:firstLineChars="0"/>
              <w:rPr>
                <w:rFonts w:hint="default" w:ascii="Times New Roman" w:hAnsi="Times New Roman" w:eastAsia="宋体" w:cs="Times New Roman"/>
                <w:color w:val="auto"/>
                <w:lang w:val="en-US" w:eastAsia="zh-CN"/>
              </w:rPr>
            </w:pPr>
          </w:p>
        </w:tc>
      </w:tr>
      <w:tr w14:paraId="681FD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restart"/>
            <w:vAlign w:val="center"/>
          </w:tcPr>
          <w:p w14:paraId="53DDEC5A">
            <w:pPr>
              <w:pStyle w:val="55"/>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工业固体废物</w:t>
            </w:r>
          </w:p>
        </w:tc>
        <w:tc>
          <w:tcPr>
            <w:tcW w:w="1210" w:type="dxa"/>
            <w:vMerge w:val="restart"/>
            <w:vAlign w:val="center"/>
          </w:tcPr>
          <w:p w14:paraId="34B0DC3F">
            <w:pPr>
              <w:pStyle w:val="42"/>
              <w:bidi w:val="0"/>
              <w:ind w:firstLine="0" w:firstLineChars="0"/>
              <w:jc w:val="center"/>
              <w:rPr>
                <w:rFonts w:hint="default"/>
                <w:color w:val="auto"/>
                <w:lang w:val="en-US" w:eastAsia="zh-CN"/>
              </w:rPr>
            </w:pPr>
            <w:r>
              <w:rPr>
                <w:rFonts w:hint="eastAsia"/>
                <w:color w:val="auto"/>
                <w:lang w:val="en-US" w:eastAsia="zh-CN"/>
              </w:rPr>
              <w:t>一般固废</w:t>
            </w:r>
          </w:p>
        </w:tc>
        <w:tc>
          <w:tcPr>
            <w:tcW w:w="1211" w:type="dxa"/>
            <w:gridSpan w:val="2"/>
            <w:vAlign w:val="center"/>
          </w:tcPr>
          <w:p w14:paraId="43EAA55C">
            <w:pPr>
              <w:pStyle w:val="42"/>
              <w:bidi w:val="0"/>
              <w:ind w:firstLine="0" w:firstLineChars="0"/>
              <w:jc w:val="center"/>
              <w:rPr>
                <w:rFonts w:hint="default"/>
                <w:color w:val="auto"/>
                <w:lang w:val="en-US" w:eastAsia="zh-CN"/>
              </w:rPr>
            </w:pPr>
            <w:r>
              <w:rPr>
                <w:rFonts w:hint="eastAsia"/>
                <w:color w:val="auto"/>
                <w:lang w:val="en-US" w:eastAsia="zh-CN"/>
              </w:rPr>
              <w:t>玉米杂质</w:t>
            </w:r>
          </w:p>
        </w:tc>
        <w:tc>
          <w:tcPr>
            <w:tcW w:w="1707" w:type="dxa"/>
            <w:vAlign w:val="center"/>
          </w:tcPr>
          <w:p w14:paraId="5817B7D1">
            <w:pPr>
              <w:pStyle w:val="42"/>
              <w:bidi w:val="0"/>
              <w:ind w:firstLine="0" w:firstLineChars="0"/>
              <w:rPr>
                <w:rFonts w:hint="default"/>
                <w:color w:val="auto"/>
                <w:lang w:val="en-US" w:eastAsia="zh-CN"/>
              </w:rPr>
            </w:pPr>
          </w:p>
        </w:tc>
        <w:tc>
          <w:tcPr>
            <w:tcW w:w="1287" w:type="dxa"/>
            <w:vAlign w:val="center"/>
          </w:tcPr>
          <w:p w14:paraId="7685D3D5">
            <w:pPr>
              <w:pStyle w:val="42"/>
              <w:bidi w:val="0"/>
              <w:ind w:firstLine="0" w:firstLineChars="0"/>
              <w:rPr>
                <w:rFonts w:hint="eastAsia"/>
                <w:color w:val="auto"/>
                <w:lang w:val="en-US" w:eastAsia="zh-CN"/>
              </w:rPr>
            </w:pPr>
          </w:p>
        </w:tc>
        <w:tc>
          <w:tcPr>
            <w:tcW w:w="1733" w:type="dxa"/>
            <w:vAlign w:val="center"/>
          </w:tcPr>
          <w:p w14:paraId="469C599A">
            <w:pPr>
              <w:pStyle w:val="42"/>
              <w:bidi w:val="0"/>
              <w:ind w:firstLine="0" w:firstLineChars="0"/>
              <w:rPr>
                <w:rFonts w:hint="eastAsia"/>
                <w:color w:val="auto"/>
                <w:lang w:val="en-US" w:eastAsia="zh-CN"/>
              </w:rPr>
            </w:pPr>
          </w:p>
        </w:tc>
        <w:tc>
          <w:tcPr>
            <w:tcW w:w="1601" w:type="dxa"/>
            <w:vAlign w:val="center"/>
          </w:tcPr>
          <w:p w14:paraId="1E0527FB">
            <w:pPr>
              <w:pStyle w:val="42"/>
              <w:bidi w:val="0"/>
              <w:ind w:firstLine="0" w:firstLineChars="0"/>
              <w:jc w:val="center"/>
              <w:rPr>
                <w:rFonts w:hint="default"/>
                <w:color w:val="auto"/>
                <w:lang w:val="en-US" w:eastAsia="zh-CN"/>
              </w:rPr>
            </w:pPr>
          </w:p>
        </w:tc>
        <w:tc>
          <w:tcPr>
            <w:tcW w:w="1774" w:type="dxa"/>
            <w:vAlign w:val="center"/>
          </w:tcPr>
          <w:p w14:paraId="62277DF8">
            <w:pPr>
              <w:pStyle w:val="42"/>
              <w:bidi w:val="0"/>
              <w:ind w:firstLine="0" w:firstLineChars="0"/>
              <w:rPr>
                <w:rFonts w:hint="default"/>
                <w:color w:val="auto"/>
                <w:lang w:val="en-US" w:eastAsia="zh-CN"/>
              </w:rPr>
            </w:pPr>
          </w:p>
        </w:tc>
        <w:tc>
          <w:tcPr>
            <w:tcW w:w="1826" w:type="dxa"/>
            <w:vAlign w:val="center"/>
          </w:tcPr>
          <w:p w14:paraId="15CD1335">
            <w:pPr>
              <w:bidi w:val="0"/>
              <w:ind w:firstLine="0" w:firstLineChars="0"/>
              <w:jc w:val="center"/>
              <w:rPr>
                <w:rFonts w:hint="default"/>
                <w:color w:val="auto"/>
                <w:lang w:val="en-US" w:eastAsia="zh-CN"/>
              </w:rPr>
            </w:pPr>
          </w:p>
        </w:tc>
        <w:tc>
          <w:tcPr>
            <w:tcW w:w="1174" w:type="dxa"/>
            <w:vAlign w:val="center"/>
          </w:tcPr>
          <w:p w14:paraId="4605CC1C">
            <w:pPr>
              <w:bidi w:val="0"/>
              <w:ind w:firstLine="0" w:firstLineChars="0"/>
              <w:jc w:val="center"/>
              <w:rPr>
                <w:rFonts w:hint="default"/>
                <w:color w:val="auto"/>
                <w:lang w:val="en-US" w:eastAsia="zh-CN"/>
              </w:rPr>
            </w:pPr>
          </w:p>
        </w:tc>
      </w:tr>
      <w:tr w14:paraId="54035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5E085FFC">
            <w:pPr>
              <w:pStyle w:val="42"/>
              <w:bidi w:val="0"/>
              <w:ind w:firstLine="0" w:firstLineChars="0"/>
              <w:rPr>
                <w:color w:val="auto"/>
              </w:rPr>
            </w:pPr>
          </w:p>
        </w:tc>
        <w:tc>
          <w:tcPr>
            <w:tcW w:w="1210" w:type="dxa"/>
            <w:vMerge w:val="continue"/>
            <w:vAlign w:val="center"/>
          </w:tcPr>
          <w:p w14:paraId="5C48102F">
            <w:pPr>
              <w:pStyle w:val="42"/>
              <w:bidi w:val="0"/>
              <w:ind w:firstLine="0" w:firstLineChars="0"/>
              <w:jc w:val="center"/>
              <w:rPr>
                <w:rFonts w:hint="default"/>
                <w:color w:val="auto"/>
                <w:lang w:val="en-US" w:eastAsia="zh-CN"/>
              </w:rPr>
            </w:pPr>
          </w:p>
        </w:tc>
        <w:tc>
          <w:tcPr>
            <w:tcW w:w="1211" w:type="dxa"/>
            <w:gridSpan w:val="2"/>
            <w:vAlign w:val="center"/>
          </w:tcPr>
          <w:p w14:paraId="7D7F80BF">
            <w:pPr>
              <w:pStyle w:val="42"/>
              <w:bidi w:val="0"/>
              <w:ind w:firstLine="0" w:firstLineChars="0"/>
              <w:jc w:val="center"/>
              <w:rPr>
                <w:rFonts w:hint="default"/>
                <w:color w:val="auto"/>
                <w:lang w:val="en-US" w:eastAsia="zh-CN"/>
              </w:rPr>
            </w:pPr>
            <w:r>
              <w:rPr>
                <w:rFonts w:hint="eastAsia"/>
                <w:color w:val="auto"/>
                <w:lang w:val="en-US" w:eastAsia="zh-CN"/>
              </w:rPr>
              <w:t>炉渣</w:t>
            </w:r>
          </w:p>
        </w:tc>
        <w:tc>
          <w:tcPr>
            <w:tcW w:w="1707" w:type="dxa"/>
            <w:vAlign w:val="center"/>
          </w:tcPr>
          <w:p w14:paraId="25064CC1">
            <w:pPr>
              <w:pStyle w:val="42"/>
              <w:bidi w:val="0"/>
              <w:ind w:firstLine="0" w:firstLineChars="0"/>
              <w:rPr>
                <w:rFonts w:hint="default"/>
                <w:color w:val="auto"/>
                <w:lang w:val="en-US" w:eastAsia="zh-CN"/>
              </w:rPr>
            </w:pPr>
          </w:p>
        </w:tc>
        <w:tc>
          <w:tcPr>
            <w:tcW w:w="1287" w:type="dxa"/>
            <w:vAlign w:val="center"/>
          </w:tcPr>
          <w:p w14:paraId="1C5F9112">
            <w:pPr>
              <w:pStyle w:val="42"/>
              <w:bidi w:val="0"/>
              <w:ind w:firstLine="0" w:firstLineChars="0"/>
              <w:rPr>
                <w:rFonts w:hint="default"/>
                <w:color w:val="auto"/>
                <w:lang w:val="en-US" w:eastAsia="zh-CN"/>
              </w:rPr>
            </w:pPr>
          </w:p>
        </w:tc>
        <w:tc>
          <w:tcPr>
            <w:tcW w:w="1733" w:type="dxa"/>
            <w:vAlign w:val="center"/>
          </w:tcPr>
          <w:p w14:paraId="7B1361FD">
            <w:pPr>
              <w:pStyle w:val="42"/>
              <w:bidi w:val="0"/>
              <w:ind w:firstLine="0" w:firstLineChars="0"/>
              <w:rPr>
                <w:rFonts w:hint="default"/>
                <w:color w:val="auto"/>
                <w:lang w:val="en-US" w:eastAsia="zh-CN"/>
              </w:rPr>
            </w:pPr>
          </w:p>
        </w:tc>
        <w:tc>
          <w:tcPr>
            <w:tcW w:w="1601" w:type="dxa"/>
            <w:vAlign w:val="center"/>
          </w:tcPr>
          <w:p w14:paraId="58C41344">
            <w:pPr>
              <w:pStyle w:val="42"/>
              <w:bidi w:val="0"/>
              <w:ind w:firstLine="0" w:firstLineChars="0"/>
              <w:jc w:val="center"/>
              <w:rPr>
                <w:rFonts w:hint="default"/>
                <w:color w:val="auto"/>
                <w:lang w:val="en-US" w:eastAsia="zh-CN"/>
              </w:rPr>
            </w:pPr>
          </w:p>
        </w:tc>
        <w:tc>
          <w:tcPr>
            <w:tcW w:w="1774" w:type="dxa"/>
            <w:vAlign w:val="center"/>
          </w:tcPr>
          <w:p w14:paraId="75C43C52">
            <w:pPr>
              <w:pStyle w:val="42"/>
              <w:bidi w:val="0"/>
              <w:ind w:firstLine="0" w:firstLineChars="0"/>
              <w:rPr>
                <w:rFonts w:hint="default"/>
                <w:color w:val="auto"/>
                <w:lang w:val="en-US" w:eastAsia="zh-CN"/>
              </w:rPr>
            </w:pPr>
          </w:p>
        </w:tc>
        <w:tc>
          <w:tcPr>
            <w:tcW w:w="1826" w:type="dxa"/>
            <w:vAlign w:val="center"/>
          </w:tcPr>
          <w:p w14:paraId="1617BF0D">
            <w:pPr>
              <w:bidi w:val="0"/>
              <w:ind w:firstLine="0" w:firstLineChars="0"/>
              <w:jc w:val="center"/>
              <w:rPr>
                <w:rFonts w:hint="default"/>
                <w:color w:val="auto"/>
                <w:lang w:val="en-US" w:eastAsia="zh-CN"/>
              </w:rPr>
            </w:pPr>
          </w:p>
        </w:tc>
        <w:tc>
          <w:tcPr>
            <w:tcW w:w="1174" w:type="dxa"/>
            <w:vAlign w:val="center"/>
          </w:tcPr>
          <w:p w14:paraId="2513C21C">
            <w:pPr>
              <w:bidi w:val="0"/>
              <w:ind w:firstLine="0" w:firstLineChars="0"/>
              <w:jc w:val="center"/>
              <w:rPr>
                <w:rFonts w:hint="default"/>
                <w:color w:val="auto"/>
                <w:lang w:val="en-US" w:eastAsia="zh-CN"/>
              </w:rPr>
            </w:pPr>
          </w:p>
        </w:tc>
      </w:tr>
      <w:tr w14:paraId="0B9FF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40829438">
            <w:pPr>
              <w:pStyle w:val="42"/>
              <w:bidi w:val="0"/>
              <w:ind w:firstLine="0" w:firstLineChars="0"/>
              <w:rPr>
                <w:rFonts w:hint="eastAsia"/>
                <w:color w:val="auto"/>
                <w:lang w:val="en-US" w:eastAsia="zh-CN"/>
              </w:rPr>
            </w:pPr>
          </w:p>
        </w:tc>
        <w:tc>
          <w:tcPr>
            <w:tcW w:w="1210" w:type="dxa"/>
            <w:vMerge w:val="continue"/>
            <w:vAlign w:val="center"/>
          </w:tcPr>
          <w:p w14:paraId="7C74D471">
            <w:pPr>
              <w:pStyle w:val="42"/>
              <w:bidi w:val="0"/>
              <w:ind w:firstLine="0" w:firstLineChars="0"/>
              <w:jc w:val="center"/>
              <w:rPr>
                <w:rFonts w:hint="default"/>
                <w:color w:val="auto"/>
                <w:lang w:val="en-US" w:eastAsia="zh-CN"/>
              </w:rPr>
            </w:pPr>
          </w:p>
        </w:tc>
        <w:tc>
          <w:tcPr>
            <w:tcW w:w="1211" w:type="dxa"/>
            <w:gridSpan w:val="2"/>
            <w:vAlign w:val="center"/>
          </w:tcPr>
          <w:p w14:paraId="58DA39A3">
            <w:pPr>
              <w:pStyle w:val="42"/>
              <w:bidi w:val="0"/>
              <w:ind w:firstLine="0" w:firstLineChars="0"/>
              <w:jc w:val="center"/>
              <w:rPr>
                <w:rFonts w:hint="default"/>
                <w:color w:val="auto"/>
                <w:lang w:val="en-US" w:eastAsia="zh-CN"/>
              </w:rPr>
            </w:pPr>
            <w:r>
              <w:rPr>
                <w:rFonts w:hint="eastAsia"/>
                <w:color w:val="auto"/>
                <w:lang w:val="en-US" w:eastAsia="zh-CN"/>
              </w:rPr>
              <w:t>收尘灰</w:t>
            </w:r>
          </w:p>
        </w:tc>
        <w:tc>
          <w:tcPr>
            <w:tcW w:w="1707" w:type="dxa"/>
            <w:vAlign w:val="center"/>
          </w:tcPr>
          <w:p w14:paraId="073D9B75">
            <w:pPr>
              <w:pStyle w:val="42"/>
              <w:bidi w:val="0"/>
              <w:ind w:firstLine="0" w:firstLineChars="0"/>
              <w:rPr>
                <w:rFonts w:hint="default"/>
                <w:color w:val="auto"/>
                <w:lang w:val="en-US" w:eastAsia="zh-CN"/>
              </w:rPr>
            </w:pPr>
          </w:p>
        </w:tc>
        <w:tc>
          <w:tcPr>
            <w:tcW w:w="1287" w:type="dxa"/>
            <w:vAlign w:val="center"/>
          </w:tcPr>
          <w:p w14:paraId="345EF2D8">
            <w:pPr>
              <w:pStyle w:val="42"/>
              <w:bidi w:val="0"/>
              <w:ind w:firstLine="0" w:firstLineChars="0"/>
              <w:rPr>
                <w:rFonts w:hint="default"/>
                <w:color w:val="auto"/>
                <w:lang w:val="en-US" w:eastAsia="zh-CN"/>
              </w:rPr>
            </w:pPr>
          </w:p>
        </w:tc>
        <w:tc>
          <w:tcPr>
            <w:tcW w:w="1733" w:type="dxa"/>
            <w:vAlign w:val="center"/>
          </w:tcPr>
          <w:p w14:paraId="05B4BA5E">
            <w:pPr>
              <w:pStyle w:val="42"/>
              <w:bidi w:val="0"/>
              <w:ind w:firstLine="0" w:firstLineChars="0"/>
              <w:rPr>
                <w:rFonts w:hint="default"/>
                <w:color w:val="auto"/>
                <w:lang w:val="en-US" w:eastAsia="zh-CN"/>
              </w:rPr>
            </w:pPr>
          </w:p>
        </w:tc>
        <w:tc>
          <w:tcPr>
            <w:tcW w:w="1601" w:type="dxa"/>
            <w:vAlign w:val="center"/>
          </w:tcPr>
          <w:p w14:paraId="085E5C20">
            <w:pPr>
              <w:pStyle w:val="42"/>
              <w:bidi w:val="0"/>
              <w:ind w:firstLine="0" w:firstLineChars="0"/>
              <w:jc w:val="center"/>
              <w:rPr>
                <w:rFonts w:hint="default"/>
                <w:color w:val="auto"/>
                <w:lang w:val="en-US" w:eastAsia="zh-CN"/>
              </w:rPr>
            </w:pPr>
          </w:p>
        </w:tc>
        <w:tc>
          <w:tcPr>
            <w:tcW w:w="1774" w:type="dxa"/>
            <w:vAlign w:val="center"/>
          </w:tcPr>
          <w:p w14:paraId="69AEC423">
            <w:pPr>
              <w:pStyle w:val="42"/>
              <w:bidi w:val="0"/>
              <w:ind w:firstLine="0" w:firstLineChars="0"/>
              <w:rPr>
                <w:rFonts w:hint="default"/>
                <w:color w:val="auto"/>
                <w:lang w:val="en-US" w:eastAsia="zh-CN"/>
              </w:rPr>
            </w:pPr>
          </w:p>
        </w:tc>
        <w:tc>
          <w:tcPr>
            <w:tcW w:w="1826" w:type="dxa"/>
            <w:vAlign w:val="center"/>
          </w:tcPr>
          <w:p w14:paraId="18C8A453">
            <w:pPr>
              <w:bidi w:val="0"/>
              <w:ind w:firstLine="0" w:firstLineChars="0"/>
              <w:jc w:val="center"/>
              <w:rPr>
                <w:rFonts w:hint="default"/>
                <w:color w:val="auto"/>
                <w:lang w:val="en-US" w:eastAsia="zh-CN"/>
              </w:rPr>
            </w:pPr>
          </w:p>
        </w:tc>
        <w:tc>
          <w:tcPr>
            <w:tcW w:w="1174" w:type="dxa"/>
            <w:vAlign w:val="center"/>
          </w:tcPr>
          <w:p w14:paraId="2B4F6F34">
            <w:pPr>
              <w:bidi w:val="0"/>
              <w:ind w:firstLine="0" w:firstLineChars="0"/>
              <w:jc w:val="center"/>
              <w:rPr>
                <w:rFonts w:hint="default"/>
                <w:color w:val="auto"/>
                <w:lang w:val="en-US" w:eastAsia="zh-CN"/>
              </w:rPr>
            </w:pPr>
          </w:p>
        </w:tc>
      </w:tr>
      <w:tr w14:paraId="0CAA9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5EB33638">
            <w:pPr>
              <w:pStyle w:val="42"/>
              <w:bidi w:val="0"/>
              <w:ind w:firstLine="0" w:firstLineChars="0"/>
              <w:rPr>
                <w:rFonts w:hint="eastAsia"/>
                <w:color w:val="auto"/>
                <w:lang w:val="en-US" w:eastAsia="zh-CN"/>
              </w:rPr>
            </w:pPr>
          </w:p>
        </w:tc>
        <w:tc>
          <w:tcPr>
            <w:tcW w:w="1210" w:type="dxa"/>
            <w:vAlign w:val="center"/>
          </w:tcPr>
          <w:p w14:paraId="0D25B034">
            <w:pPr>
              <w:tabs>
                <w:tab w:val="left" w:pos="2700"/>
                <w:tab w:val="left" w:pos="6300"/>
              </w:tabs>
              <w:adjustRightInd/>
              <w:snapToGrid/>
              <w:spacing w:line="280" w:lineRule="exact"/>
              <w:ind w:firstLine="0" w:firstLineChars="0"/>
              <w:jc w:val="center"/>
              <w:rPr>
                <w:rFonts w:hint="default"/>
                <w:color w:val="auto"/>
                <w:lang w:val="en-US" w:eastAsia="zh-CN"/>
              </w:rPr>
            </w:pPr>
            <w:r>
              <w:rPr>
                <w:rFonts w:hint="eastAsia"/>
                <w:color w:val="auto"/>
                <w:lang w:val="en-US" w:eastAsia="zh-CN"/>
              </w:rPr>
              <w:t>危险废物</w:t>
            </w:r>
          </w:p>
        </w:tc>
        <w:tc>
          <w:tcPr>
            <w:tcW w:w="1211" w:type="dxa"/>
            <w:gridSpan w:val="2"/>
            <w:vAlign w:val="center"/>
          </w:tcPr>
          <w:p w14:paraId="694C2161">
            <w:pPr>
              <w:tabs>
                <w:tab w:val="left" w:pos="2700"/>
                <w:tab w:val="left" w:pos="6300"/>
              </w:tabs>
              <w:adjustRightInd/>
              <w:snapToGrid/>
              <w:spacing w:line="280" w:lineRule="exact"/>
              <w:ind w:firstLine="0" w:firstLineChars="0"/>
              <w:jc w:val="center"/>
              <w:rPr>
                <w:rFonts w:hint="default"/>
                <w:color w:val="auto"/>
                <w:lang w:val="en-US" w:eastAsia="zh-CN"/>
              </w:rPr>
            </w:pPr>
            <w:r>
              <w:rPr>
                <w:rFonts w:hint="eastAsia"/>
                <w:color w:val="auto"/>
                <w:lang w:val="en-US" w:eastAsia="zh-CN"/>
              </w:rPr>
              <w:t>废机油</w:t>
            </w:r>
          </w:p>
        </w:tc>
        <w:tc>
          <w:tcPr>
            <w:tcW w:w="1707" w:type="dxa"/>
            <w:vAlign w:val="center"/>
          </w:tcPr>
          <w:p w14:paraId="5D3307CF">
            <w:pPr>
              <w:pStyle w:val="42"/>
              <w:bidi w:val="0"/>
              <w:ind w:firstLine="0" w:firstLineChars="0"/>
              <w:rPr>
                <w:rFonts w:hint="default"/>
                <w:color w:val="auto"/>
                <w:lang w:val="en-US" w:eastAsia="zh-CN"/>
              </w:rPr>
            </w:pPr>
          </w:p>
        </w:tc>
        <w:tc>
          <w:tcPr>
            <w:tcW w:w="1287" w:type="dxa"/>
            <w:vAlign w:val="center"/>
          </w:tcPr>
          <w:p w14:paraId="574C1EEC">
            <w:pPr>
              <w:pStyle w:val="42"/>
              <w:bidi w:val="0"/>
              <w:ind w:firstLine="0" w:firstLineChars="0"/>
              <w:rPr>
                <w:rFonts w:hint="default"/>
                <w:color w:val="auto"/>
                <w:lang w:val="en-US" w:eastAsia="zh-CN"/>
              </w:rPr>
            </w:pPr>
          </w:p>
        </w:tc>
        <w:tc>
          <w:tcPr>
            <w:tcW w:w="1733" w:type="dxa"/>
            <w:vAlign w:val="center"/>
          </w:tcPr>
          <w:p w14:paraId="40F3D4D9">
            <w:pPr>
              <w:pStyle w:val="42"/>
              <w:bidi w:val="0"/>
              <w:ind w:firstLine="0" w:firstLineChars="0"/>
              <w:rPr>
                <w:rFonts w:hint="default"/>
                <w:color w:val="auto"/>
                <w:lang w:val="en-US" w:eastAsia="zh-CN"/>
              </w:rPr>
            </w:pPr>
          </w:p>
        </w:tc>
        <w:tc>
          <w:tcPr>
            <w:tcW w:w="1601" w:type="dxa"/>
            <w:vAlign w:val="center"/>
          </w:tcPr>
          <w:p w14:paraId="4EEEFB5C">
            <w:pPr>
              <w:pStyle w:val="42"/>
              <w:bidi w:val="0"/>
              <w:ind w:firstLine="0" w:firstLineChars="0"/>
              <w:rPr>
                <w:rFonts w:hint="default"/>
                <w:color w:val="auto"/>
                <w:lang w:val="en-US" w:eastAsia="zh-CN"/>
              </w:rPr>
            </w:pPr>
          </w:p>
        </w:tc>
        <w:tc>
          <w:tcPr>
            <w:tcW w:w="1774" w:type="dxa"/>
            <w:vAlign w:val="center"/>
          </w:tcPr>
          <w:p w14:paraId="6FC30434">
            <w:pPr>
              <w:pStyle w:val="42"/>
              <w:bidi w:val="0"/>
              <w:ind w:firstLine="0" w:firstLineChars="0"/>
              <w:rPr>
                <w:rFonts w:hint="default"/>
                <w:color w:val="auto"/>
                <w:lang w:val="en-US" w:eastAsia="zh-CN"/>
              </w:rPr>
            </w:pPr>
          </w:p>
        </w:tc>
        <w:tc>
          <w:tcPr>
            <w:tcW w:w="1826" w:type="dxa"/>
            <w:vAlign w:val="center"/>
          </w:tcPr>
          <w:p w14:paraId="17A1E275">
            <w:pPr>
              <w:pStyle w:val="42"/>
              <w:bidi w:val="0"/>
              <w:ind w:firstLine="0" w:firstLineChars="0"/>
              <w:rPr>
                <w:rFonts w:hint="default"/>
                <w:color w:val="auto"/>
                <w:lang w:val="en-US" w:eastAsia="zh-CN"/>
              </w:rPr>
            </w:pPr>
          </w:p>
        </w:tc>
        <w:tc>
          <w:tcPr>
            <w:tcW w:w="1174" w:type="dxa"/>
            <w:vAlign w:val="center"/>
          </w:tcPr>
          <w:p w14:paraId="0F22524F">
            <w:pPr>
              <w:pStyle w:val="42"/>
              <w:bidi w:val="0"/>
              <w:ind w:firstLine="0" w:firstLineChars="0"/>
              <w:rPr>
                <w:rFonts w:hint="default"/>
                <w:color w:val="auto"/>
                <w:lang w:val="en-US" w:eastAsia="zh-CN"/>
              </w:rPr>
            </w:pPr>
          </w:p>
        </w:tc>
      </w:tr>
      <w:tr w14:paraId="224E3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793E397F">
            <w:pPr>
              <w:pStyle w:val="42"/>
              <w:bidi w:val="0"/>
              <w:ind w:firstLine="0" w:firstLineChars="0"/>
              <w:rPr>
                <w:rFonts w:hint="eastAsia"/>
                <w:color w:val="auto"/>
                <w:lang w:val="en-US" w:eastAsia="zh-CN"/>
              </w:rPr>
            </w:pPr>
          </w:p>
        </w:tc>
        <w:tc>
          <w:tcPr>
            <w:tcW w:w="2421" w:type="dxa"/>
            <w:gridSpan w:val="3"/>
            <w:vAlign w:val="center"/>
          </w:tcPr>
          <w:p w14:paraId="11652611">
            <w:pPr>
              <w:tabs>
                <w:tab w:val="left" w:pos="2700"/>
                <w:tab w:val="left" w:pos="6300"/>
              </w:tabs>
              <w:adjustRightInd/>
              <w:snapToGrid/>
              <w:spacing w:line="280" w:lineRule="exact"/>
              <w:ind w:firstLine="0" w:firstLineChars="0"/>
              <w:jc w:val="center"/>
              <w:rPr>
                <w:rFonts w:hint="default"/>
                <w:color w:val="auto"/>
                <w:lang w:val="en-US" w:eastAsia="zh-CN"/>
              </w:rPr>
            </w:pPr>
            <w:r>
              <w:rPr>
                <w:rFonts w:hint="eastAsia"/>
                <w:color w:val="auto"/>
                <w:lang w:val="en-US" w:eastAsia="zh-CN"/>
              </w:rPr>
              <w:t>生活垃圾</w:t>
            </w:r>
          </w:p>
        </w:tc>
        <w:tc>
          <w:tcPr>
            <w:tcW w:w="1707" w:type="dxa"/>
            <w:vAlign w:val="center"/>
          </w:tcPr>
          <w:p w14:paraId="12115441">
            <w:pPr>
              <w:pStyle w:val="42"/>
              <w:bidi w:val="0"/>
              <w:ind w:firstLine="0" w:firstLineChars="0"/>
              <w:rPr>
                <w:rFonts w:hint="eastAsia"/>
                <w:color w:val="auto"/>
                <w:lang w:val="en-US" w:eastAsia="zh-CN"/>
              </w:rPr>
            </w:pPr>
          </w:p>
        </w:tc>
        <w:tc>
          <w:tcPr>
            <w:tcW w:w="1287" w:type="dxa"/>
            <w:vAlign w:val="center"/>
          </w:tcPr>
          <w:p w14:paraId="2E8090F6">
            <w:pPr>
              <w:pStyle w:val="42"/>
              <w:bidi w:val="0"/>
              <w:ind w:firstLine="0" w:firstLineChars="0"/>
              <w:rPr>
                <w:rFonts w:hint="eastAsia"/>
                <w:color w:val="auto"/>
                <w:lang w:val="en-US" w:eastAsia="zh-CN"/>
              </w:rPr>
            </w:pPr>
          </w:p>
        </w:tc>
        <w:tc>
          <w:tcPr>
            <w:tcW w:w="1733" w:type="dxa"/>
            <w:vAlign w:val="center"/>
          </w:tcPr>
          <w:p w14:paraId="710B240E">
            <w:pPr>
              <w:pStyle w:val="42"/>
              <w:bidi w:val="0"/>
              <w:ind w:firstLine="0" w:firstLineChars="0"/>
              <w:rPr>
                <w:rFonts w:hint="eastAsia"/>
                <w:color w:val="auto"/>
                <w:lang w:val="en-US" w:eastAsia="zh-CN"/>
              </w:rPr>
            </w:pPr>
          </w:p>
        </w:tc>
        <w:tc>
          <w:tcPr>
            <w:tcW w:w="1601" w:type="dxa"/>
            <w:vAlign w:val="center"/>
          </w:tcPr>
          <w:p w14:paraId="0E7B10D5">
            <w:pPr>
              <w:pStyle w:val="42"/>
              <w:bidi w:val="0"/>
              <w:ind w:firstLine="0" w:firstLineChars="0"/>
              <w:rPr>
                <w:rFonts w:hint="default"/>
                <w:color w:val="auto"/>
                <w:lang w:val="en-US" w:eastAsia="zh-CN"/>
              </w:rPr>
            </w:pPr>
          </w:p>
        </w:tc>
        <w:tc>
          <w:tcPr>
            <w:tcW w:w="1774" w:type="dxa"/>
            <w:vAlign w:val="center"/>
          </w:tcPr>
          <w:p w14:paraId="3C6767AE">
            <w:pPr>
              <w:pStyle w:val="42"/>
              <w:bidi w:val="0"/>
              <w:ind w:firstLine="0" w:firstLineChars="0"/>
              <w:rPr>
                <w:rFonts w:hint="default"/>
                <w:color w:val="auto"/>
                <w:lang w:val="en-US" w:eastAsia="zh-CN"/>
              </w:rPr>
            </w:pPr>
          </w:p>
        </w:tc>
        <w:tc>
          <w:tcPr>
            <w:tcW w:w="1826" w:type="dxa"/>
            <w:vAlign w:val="center"/>
          </w:tcPr>
          <w:p w14:paraId="1FFEBC1B">
            <w:pPr>
              <w:pStyle w:val="42"/>
              <w:bidi w:val="0"/>
              <w:ind w:firstLine="0" w:firstLineChars="0"/>
              <w:rPr>
                <w:rFonts w:hint="default"/>
                <w:color w:val="auto"/>
                <w:lang w:val="en-US" w:eastAsia="zh-CN"/>
              </w:rPr>
            </w:pPr>
          </w:p>
        </w:tc>
        <w:tc>
          <w:tcPr>
            <w:tcW w:w="1174" w:type="dxa"/>
            <w:vAlign w:val="center"/>
          </w:tcPr>
          <w:p w14:paraId="366D259B">
            <w:pPr>
              <w:pStyle w:val="42"/>
              <w:bidi w:val="0"/>
              <w:ind w:firstLine="0" w:firstLineChars="0"/>
              <w:rPr>
                <w:rFonts w:hint="default"/>
                <w:color w:val="auto"/>
                <w:lang w:val="en-US" w:eastAsia="zh-CN"/>
              </w:rPr>
            </w:pPr>
          </w:p>
        </w:tc>
      </w:tr>
    </w:tbl>
    <w:p w14:paraId="1C5491AF">
      <w:pPr>
        <w:pStyle w:val="55"/>
        <w:spacing w:before="192" w:beforeLines="80" w:after="24"/>
        <w:jc w:val="left"/>
        <w:rPr>
          <w:rFonts w:hint="eastAsia" w:hAnsi="宋体"/>
          <w:snapToGrid w:val="0"/>
          <w:color w:val="auto"/>
          <w:spacing w:val="-6"/>
          <w:kern w:val="21"/>
          <w:szCs w:val="21"/>
          <w:lang w:eastAsia="zh-CN"/>
        </w:rPr>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int="eastAsia" w:hAnsi="宋体"/>
          <w:snapToGrid w:val="0"/>
          <w:color w:val="auto"/>
          <w:spacing w:val="-6"/>
          <w:kern w:val="21"/>
          <w:szCs w:val="21"/>
          <w:lang w:eastAsia="zh-CN"/>
        </w:rPr>
        <w:t>，</w:t>
      </w:r>
    </w:p>
    <w:p w14:paraId="29F57963">
      <w:pPr>
        <w:rPr>
          <w:rFonts w:hint="default" w:hAnsi="宋体"/>
          <w:snapToGrid w:val="0"/>
          <w:color w:val="auto"/>
          <w:spacing w:val="-6"/>
          <w:kern w:val="21"/>
          <w:szCs w:val="21"/>
          <w:lang w:val="en-US" w:eastAsia="zh-CN"/>
        </w:rPr>
      </w:pPr>
    </w:p>
    <w:sectPr>
      <w:footerReference r:id="rId6" w:type="default"/>
      <w:pgSz w:w="16838" w:h="11906" w:orient="landscape"/>
      <w:pgMar w:top="1531" w:right="1701" w:bottom="1531" w:left="1701" w:header="850" w:footer="850" w:gutter="0"/>
      <w:pgBorders>
        <w:top w:val="none" w:sz="0" w:space="0"/>
        <w:left w:val="none" w:sz="0" w:space="0"/>
        <w:bottom w:val="none" w:sz="0" w:space="0"/>
        <w:right w:val="none" w:sz="0" w:space="0"/>
      </w:pgBorders>
      <w:pgNumType w:fmt="decimal" w:start="48"/>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0000000000000000000"/>
    <w:charset w:val="00"/>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CIDFont+F3">
    <w:altName w:val="Times New Roman"/>
    <w:panose1 w:val="00000000000000000000"/>
    <w:charset w:val="00"/>
    <w:family w:val="roman"/>
    <w:pitch w:val="default"/>
    <w:sig w:usb0="00000000" w:usb1="00000000" w:usb2="00000000" w:usb3="00000000" w:csb0="00040001" w:csb1="00000000"/>
  </w:font>
  <w:font w:name="CIDFont+F1">
    <w:altName w:val="Times New Roman"/>
    <w:panose1 w:val="00000000000000000000"/>
    <w:charset w:val="00"/>
    <w:family w:val="roman"/>
    <w:pitch w:val="default"/>
    <w:sig w:usb0="00000000" w:usb1="00000000" w:usb2="00000000"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2AA2">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7E9AE">
    <w:pPr>
      <w:pStyle w:val="20"/>
      <w:framePr w:wrap="around" w:vAnchor="text" w:hAnchor="margin" w:xAlign="center" w:y="1"/>
      <w:rPr>
        <w:rStyle w:val="35"/>
      </w:rPr>
    </w:pPr>
    <w:r>
      <w:fldChar w:fldCharType="begin"/>
    </w:r>
    <w:r>
      <w:rPr>
        <w:rStyle w:val="35"/>
      </w:rPr>
      <w:instrText xml:space="preserve">PAGE  </w:instrText>
    </w:r>
    <w:r>
      <w:fldChar w:fldCharType="end"/>
    </w:r>
  </w:p>
  <w:p w14:paraId="06B666C2">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490C3">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5516C7">
                          <w:pPr>
                            <w:pStyle w:val="20"/>
                            <w:rPr>
                              <w:rStyle w:val="35"/>
                              <w:rFonts w:ascii="宋体" w:hAnsi="宋体"/>
                              <w:sz w:val="28"/>
                              <w:szCs w:val="28"/>
                            </w:rPr>
                          </w:pPr>
                          <w:r>
                            <w:rPr>
                              <w:rStyle w:val="35"/>
                              <w:rFonts w:hint="eastAsia" w:ascii="宋体" w:hAnsi="宋体"/>
                              <w:sz w:val="28"/>
                              <w:szCs w:val="28"/>
                            </w:rPr>
                            <w:t>—</w:t>
                          </w:r>
                          <w:r>
                            <w:rPr>
                              <w:rStyle w:val="35"/>
                              <w:rFonts w:hint="eastAsia" w:ascii="宋体" w:hAnsi="宋体"/>
                              <w:sz w:val="20"/>
                            </w:rPr>
                            <w:t xml:space="preserve">  </w:t>
                          </w:r>
                          <w:r>
                            <w:rPr>
                              <w:rFonts w:ascii="宋体" w:hAnsi="宋体"/>
                              <w:sz w:val="26"/>
                              <w:szCs w:val="26"/>
                            </w:rPr>
                            <w:fldChar w:fldCharType="begin"/>
                          </w:r>
                          <w:r>
                            <w:rPr>
                              <w:rStyle w:val="35"/>
                              <w:rFonts w:ascii="宋体" w:hAnsi="宋体"/>
                              <w:sz w:val="26"/>
                              <w:szCs w:val="26"/>
                            </w:rPr>
                            <w:instrText xml:space="preserve">PAGE  </w:instrText>
                          </w:r>
                          <w:r>
                            <w:rPr>
                              <w:rFonts w:ascii="宋体" w:hAnsi="宋体"/>
                              <w:sz w:val="26"/>
                              <w:szCs w:val="26"/>
                            </w:rPr>
                            <w:fldChar w:fldCharType="separate"/>
                          </w:r>
                          <w:r>
                            <w:rPr>
                              <w:rStyle w:val="35"/>
                              <w:rFonts w:ascii="宋体" w:hAnsi="宋体"/>
                              <w:sz w:val="26"/>
                              <w:szCs w:val="26"/>
                            </w:rPr>
                            <w:t>44</w:t>
                          </w:r>
                          <w:r>
                            <w:rPr>
                              <w:rFonts w:ascii="宋体" w:hAnsi="宋体"/>
                              <w:sz w:val="26"/>
                              <w:szCs w:val="26"/>
                            </w:rPr>
                            <w:fldChar w:fldCharType="end"/>
                          </w:r>
                          <w:r>
                            <w:rPr>
                              <w:rStyle w:val="35"/>
                              <w:rFonts w:hint="eastAsia" w:ascii="宋体" w:hAnsi="宋体"/>
                              <w:sz w:val="20"/>
                            </w:rPr>
                            <w:t xml:space="preserve">  </w:t>
                          </w:r>
                          <w:r>
                            <w:rPr>
                              <w:rStyle w:val="35"/>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2E5516C7">
                    <w:pPr>
                      <w:pStyle w:val="20"/>
                      <w:rPr>
                        <w:rStyle w:val="35"/>
                        <w:rFonts w:ascii="宋体" w:hAnsi="宋体"/>
                        <w:sz w:val="28"/>
                        <w:szCs w:val="28"/>
                      </w:rPr>
                    </w:pPr>
                    <w:r>
                      <w:rPr>
                        <w:rStyle w:val="35"/>
                        <w:rFonts w:hint="eastAsia" w:ascii="宋体" w:hAnsi="宋体"/>
                        <w:sz w:val="28"/>
                        <w:szCs w:val="28"/>
                      </w:rPr>
                      <w:t>—</w:t>
                    </w:r>
                    <w:r>
                      <w:rPr>
                        <w:rStyle w:val="35"/>
                        <w:rFonts w:hint="eastAsia" w:ascii="宋体" w:hAnsi="宋体"/>
                        <w:sz w:val="20"/>
                      </w:rPr>
                      <w:t xml:space="preserve">  </w:t>
                    </w:r>
                    <w:r>
                      <w:rPr>
                        <w:rFonts w:ascii="宋体" w:hAnsi="宋体"/>
                        <w:sz w:val="26"/>
                        <w:szCs w:val="26"/>
                      </w:rPr>
                      <w:fldChar w:fldCharType="begin"/>
                    </w:r>
                    <w:r>
                      <w:rPr>
                        <w:rStyle w:val="35"/>
                        <w:rFonts w:ascii="宋体" w:hAnsi="宋体"/>
                        <w:sz w:val="26"/>
                        <w:szCs w:val="26"/>
                      </w:rPr>
                      <w:instrText xml:space="preserve">PAGE  </w:instrText>
                    </w:r>
                    <w:r>
                      <w:rPr>
                        <w:rFonts w:ascii="宋体" w:hAnsi="宋体"/>
                        <w:sz w:val="26"/>
                        <w:szCs w:val="26"/>
                      </w:rPr>
                      <w:fldChar w:fldCharType="separate"/>
                    </w:r>
                    <w:r>
                      <w:rPr>
                        <w:rStyle w:val="35"/>
                        <w:rFonts w:ascii="宋体" w:hAnsi="宋体"/>
                        <w:sz w:val="26"/>
                        <w:szCs w:val="26"/>
                      </w:rPr>
                      <w:t>44</w:t>
                    </w:r>
                    <w:r>
                      <w:rPr>
                        <w:rFonts w:ascii="宋体" w:hAnsi="宋体"/>
                        <w:sz w:val="26"/>
                        <w:szCs w:val="26"/>
                      </w:rPr>
                      <w:fldChar w:fldCharType="end"/>
                    </w:r>
                    <w:r>
                      <w:rPr>
                        <w:rStyle w:val="35"/>
                        <w:rFonts w:hint="eastAsia" w:ascii="宋体" w:hAnsi="宋体"/>
                        <w:sz w:val="20"/>
                      </w:rPr>
                      <w:t xml:space="preserve">  </w:t>
                    </w:r>
                    <w:r>
                      <w:rPr>
                        <w:rStyle w:val="35"/>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9A1B">
    <w:pPr>
      <w:pStyle w:val="20"/>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DE73CC6">
                          <w:pPr>
                            <w:pStyle w:val="20"/>
                            <w:rPr>
                              <w:rStyle w:val="35"/>
                              <w:sz w:val="26"/>
                              <w:szCs w:val="26"/>
                            </w:rPr>
                          </w:pPr>
                          <w:r>
                            <w:rPr>
                              <w:rStyle w:val="35"/>
                              <w:sz w:val="26"/>
                              <w:szCs w:val="26"/>
                            </w:rPr>
                            <w:fldChar w:fldCharType="begin"/>
                          </w:r>
                          <w:r>
                            <w:rPr>
                              <w:rStyle w:val="35"/>
                              <w:sz w:val="26"/>
                              <w:szCs w:val="26"/>
                            </w:rPr>
                            <w:instrText xml:space="preserve"> PAGE  \* MERGEFORMAT </w:instrText>
                          </w:r>
                          <w:r>
                            <w:rPr>
                              <w:rStyle w:val="35"/>
                              <w:sz w:val="26"/>
                              <w:szCs w:val="26"/>
                            </w:rPr>
                            <w:fldChar w:fldCharType="separate"/>
                          </w:r>
                          <w:r>
                            <w:rPr>
                              <w:rStyle w:val="35"/>
                              <w:sz w:val="26"/>
                              <w:szCs w:val="26"/>
                            </w:rPr>
                            <w:t>13</w:t>
                          </w:r>
                          <w:r>
                            <w:rPr>
                              <w:rStyle w:val="35"/>
                              <w:sz w:val="26"/>
                              <w:szCs w:val="26"/>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BJzIg0QEAAKMDAAAOAAAAAAAAAAEAIAAAAB8BAABk&#10;cnMvZTJvRG9jLnhtbFBLBQYAAAAABgAGAFkBAABiBQAAAAA=&#10;">
              <v:fill on="f" focussize="0,0"/>
              <v:stroke on="f" weight="0.5pt"/>
              <v:imagedata o:title=""/>
              <o:lock v:ext="edit" aspectratio="f"/>
              <v:textbox inset="0mm,0mm,0mm,0mm" style="mso-fit-shape-to-text:t;">
                <w:txbxContent>
                  <w:p w14:paraId="5DE73CC6">
                    <w:pPr>
                      <w:pStyle w:val="20"/>
                      <w:rPr>
                        <w:rStyle w:val="35"/>
                        <w:sz w:val="26"/>
                        <w:szCs w:val="26"/>
                      </w:rPr>
                    </w:pPr>
                    <w:r>
                      <w:rPr>
                        <w:rStyle w:val="35"/>
                        <w:sz w:val="26"/>
                        <w:szCs w:val="26"/>
                      </w:rPr>
                      <w:fldChar w:fldCharType="begin"/>
                    </w:r>
                    <w:r>
                      <w:rPr>
                        <w:rStyle w:val="35"/>
                        <w:sz w:val="26"/>
                        <w:szCs w:val="26"/>
                      </w:rPr>
                      <w:instrText xml:space="preserve"> PAGE  \* MERGEFORMAT </w:instrText>
                    </w:r>
                    <w:r>
                      <w:rPr>
                        <w:rStyle w:val="35"/>
                        <w:sz w:val="26"/>
                        <w:szCs w:val="26"/>
                      </w:rPr>
                      <w:fldChar w:fldCharType="separate"/>
                    </w:r>
                    <w:r>
                      <w:rPr>
                        <w:rStyle w:val="35"/>
                        <w:sz w:val="26"/>
                        <w:szCs w:val="26"/>
                      </w:rPr>
                      <w:t>13</w:t>
                    </w:r>
                    <w:r>
                      <w:rPr>
                        <w:rStyle w:val="35"/>
                        <w:sz w:val="26"/>
                        <w:szCs w:val="26"/>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1D9FB"/>
    <w:multiLevelType w:val="singleLevel"/>
    <w:tmpl w:val="DEE1D9FB"/>
    <w:lvl w:ilvl="0" w:tentative="0">
      <w:start w:val="1"/>
      <w:numFmt w:val="decimal"/>
      <w:pStyle w:val="16"/>
      <w:lvlText w:val="%1."/>
      <w:lvlJc w:val="left"/>
      <w:pPr>
        <w:tabs>
          <w:tab w:val="left" w:pos="2040"/>
        </w:tabs>
        <w:ind w:left="2040" w:hanging="360"/>
      </w:pPr>
    </w:lvl>
  </w:abstractNum>
  <w:abstractNum w:abstractNumId="1">
    <w:nsid w:val="0000000A"/>
    <w:multiLevelType w:val="singleLevel"/>
    <w:tmpl w:val="0000000A"/>
    <w:lvl w:ilvl="0" w:tentative="0">
      <w:start w:val="1"/>
      <w:numFmt w:val="decimal"/>
      <w:pStyle w:val="62"/>
      <w:lvlText w:val="%1."/>
      <w:lvlJc w:val="left"/>
      <w:pPr>
        <w:tabs>
          <w:tab w:val="left" w:pos="2040"/>
        </w:tabs>
        <w:ind w:left="2040" w:hanging="360"/>
      </w:pPr>
    </w:lvl>
  </w:abstractNum>
  <w:abstractNum w:abstractNumId="2">
    <w:nsid w:val="1C7C063B"/>
    <w:multiLevelType w:val="multilevel"/>
    <w:tmpl w:val="1C7C063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pStyle w:val="90"/>
      <w:lvlText w:val="%1.%2.%3"/>
      <w:lvlJc w:val="left"/>
      <w:pPr>
        <w:ind w:left="1418" w:hanging="567"/>
      </w:pPr>
    </w:lvl>
    <w:lvl w:ilvl="3" w:tentative="0">
      <w:start w:val="1"/>
      <w:numFmt w:val="decimal"/>
      <w:pStyle w:val="89"/>
      <w:lvlText w:val="%1.%2.%3.%4"/>
      <w:lvlJc w:val="left"/>
      <w:pPr>
        <w:ind w:left="4393"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74A85E3B"/>
    <w:multiLevelType w:val="singleLevel"/>
    <w:tmpl w:val="74A85E3B"/>
    <w:lvl w:ilvl="0" w:tentative="0">
      <w:start w:val="1"/>
      <w:numFmt w:val="bullet"/>
      <w:pStyle w:val="17"/>
      <w:lvlText w:val=""/>
      <w:lvlJc w:val="left"/>
      <w:pPr>
        <w:tabs>
          <w:tab w:val="left" w:pos="2040"/>
        </w:tabs>
        <w:ind w:left="2040" w:hanging="36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MzM2Nzk5MTY5Yzc0NjA1OGYzOTRiMTg1MjhhZjAifQ=="/>
  </w:docVars>
  <w:rsids>
    <w:rsidRoot w:val="00172A27"/>
    <w:rsid w:val="000060B3"/>
    <w:rsid w:val="0004364B"/>
    <w:rsid w:val="00053560"/>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48D8"/>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5E15"/>
    <w:rsid w:val="00406F01"/>
    <w:rsid w:val="00416D50"/>
    <w:rsid w:val="00416FD5"/>
    <w:rsid w:val="00417772"/>
    <w:rsid w:val="00420E6A"/>
    <w:rsid w:val="00425A9E"/>
    <w:rsid w:val="00426D6B"/>
    <w:rsid w:val="00431E6C"/>
    <w:rsid w:val="00433CE7"/>
    <w:rsid w:val="00452738"/>
    <w:rsid w:val="00456091"/>
    <w:rsid w:val="00461AEC"/>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55A06"/>
    <w:rsid w:val="00557333"/>
    <w:rsid w:val="0056106A"/>
    <w:rsid w:val="005720AE"/>
    <w:rsid w:val="00594D77"/>
    <w:rsid w:val="005969E4"/>
    <w:rsid w:val="005A06B7"/>
    <w:rsid w:val="005A1759"/>
    <w:rsid w:val="005A68A7"/>
    <w:rsid w:val="005D36AB"/>
    <w:rsid w:val="00617CC3"/>
    <w:rsid w:val="006377A6"/>
    <w:rsid w:val="00637A3D"/>
    <w:rsid w:val="006411EF"/>
    <w:rsid w:val="00642B8E"/>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16E"/>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2562C"/>
    <w:rsid w:val="008306BD"/>
    <w:rsid w:val="00831A80"/>
    <w:rsid w:val="00833743"/>
    <w:rsid w:val="008340A4"/>
    <w:rsid w:val="0087135F"/>
    <w:rsid w:val="00872D94"/>
    <w:rsid w:val="00880364"/>
    <w:rsid w:val="00881441"/>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345AC"/>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9E5881"/>
    <w:rsid w:val="009F2E2B"/>
    <w:rsid w:val="00A04F1B"/>
    <w:rsid w:val="00A0501B"/>
    <w:rsid w:val="00A14947"/>
    <w:rsid w:val="00A32A83"/>
    <w:rsid w:val="00A368DB"/>
    <w:rsid w:val="00A423AA"/>
    <w:rsid w:val="00A53EC6"/>
    <w:rsid w:val="00A55C0F"/>
    <w:rsid w:val="00A642C9"/>
    <w:rsid w:val="00A8713F"/>
    <w:rsid w:val="00A90BA1"/>
    <w:rsid w:val="00A97A9A"/>
    <w:rsid w:val="00AA0671"/>
    <w:rsid w:val="00AA0AA4"/>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3796"/>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B2F53"/>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60FED"/>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5627"/>
    <w:rsid w:val="00E2656A"/>
    <w:rsid w:val="00E31730"/>
    <w:rsid w:val="00E412D0"/>
    <w:rsid w:val="00E56322"/>
    <w:rsid w:val="00E60982"/>
    <w:rsid w:val="00E62C62"/>
    <w:rsid w:val="00E654C1"/>
    <w:rsid w:val="00E65D97"/>
    <w:rsid w:val="00E72A5A"/>
    <w:rsid w:val="00E73354"/>
    <w:rsid w:val="00E9242D"/>
    <w:rsid w:val="00EB5255"/>
    <w:rsid w:val="00EB5C47"/>
    <w:rsid w:val="00ED0639"/>
    <w:rsid w:val="00ED43AB"/>
    <w:rsid w:val="00ED6A9A"/>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0FF0404"/>
    <w:rsid w:val="01290F7E"/>
    <w:rsid w:val="015D1E09"/>
    <w:rsid w:val="018D0CA0"/>
    <w:rsid w:val="02697903"/>
    <w:rsid w:val="02F96569"/>
    <w:rsid w:val="03062ACE"/>
    <w:rsid w:val="03EA7B21"/>
    <w:rsid w:val="04EE2BA1"/>
    <w:rsid w:val="05BC47A8"/>
    <w:rsid w:val="05C778BA"/>
    <w:rsid w:val="05E85C78"/>
    <w:rsid w:val="05F83EAE"/>
    <w:rsid w:val="062B5420"/>
    <w:rsid w:val="062D2C0D"/>
    <w:rsid w:val="063003FF"/>
    <w:rsid w:val="063E7D85"/>
    <w:rsid w:val="064267E4"/>
    <w:rsid w:val="06F36098"/>
    <w:rsid w:val="07234996"/>
    <w:rsid w:val="07293586"/>
    <w:rsid w:val="07295285"/>
    <w:rsid w:val="075C5656"/>
    <w:rsid w:val="07636392"/>
    <w:rsid w:val="07770C56"/>
    <w:rsid w:val="07807C66"/>
    <w:rsid w:val="079C1EB4"/>
    <w:rsid w:val="080C79DF"/>
    <w:rsid w:val="086814AB"/>
    <w:rsid w:val="092217DD"/>
    <w:rsid w:val="093A7294"/>
    <w:rsid w:val="09740176"/>
    <w:rsid w:val="097B7798"/>
    <w:rsid w:val="0A056438"/>
    <w:rsid w:val="0A263993"/>
    <w:rsid w:val="0A2D3AC2"/>
    <w:rsid w:val="0A8E1F88"/>
    <w:rsid w:val="0AA755DF"/>
    <w:rsid w:val="0AD33F8D"/>
    <w:rsid w:val="0B120D44"/>
    <w:rsid w:val="0B961E5C"/>
    <w:rsid w:val="0BD27BF6"/>
    <w:rsid w:val="0BE55709"/>
    <w:rsid w:val="0C3B3C7D"/>
    <w:rsid w:val="0CAB2EAE"/>
    <w:rsid w:val="0D410786"/>
    <w:rsid w:val="0D621C7D"/>
    <w:rsid w:val="0D636A91"/>
    <w:rsid w:val="0D956930"/>
    <w:rsid w:val="0DBD4809"/>
    <w:rsid w:val="0E73034D"/>
    <w:rsid w:val="0F13775A"/>
    <w:rsid w:val="0F5F45FE"/>
    <w:rsid w:val="0F9A112B"/>
    <w:rsid w:val="106D2F64"/>
    <w:rsid w:val="10B63710"/>
    <w:rsid w:val="10F10820"/>
    <w:rsid w:val="111C2F7A"/>
    <w:rsid w:val="11665CA1"/>
    <w:rsid w:val="12271371"/>
    <w:rsid w:val="13610C78"/>
    <w:rsid w:val="13951726"/>
    <w:rsid w:val="13BF056A"/>
    <w:rsid w:val="14396509"/>
    <w:rsid w:val="14DD2C3C"/>
    <w:rsid w:val="14EB12A4"/>
    <w:rsid w:val="15B1246C"/>
    <w:rsid w:val="16087E1D"/>
    <w:rsid w:val="16190C98"/>
    <w:rsid w:val="16F35182"/>
    <w:rsid w:val="171A6B31"/>
    <w:rsid w:val="17701D14"/>
    <w:rsid w:val="17735226"/>
    <w:rsid w:val="189C7F66"/>
    <w:rsid w:val="189F624C"/>
    <w:rsid w:val="18F956BF"/>
    <w:rsid w:val="195860CC"/>
    <w:rsid w:val="19DC4A7E"/>
    <w:rsid w:val="1A1C66C0"/>
    <w:rsid w:val="1A42393B"/>
    <w:rsid w:val="1A6C4393"/>
    <w:rsid w:val="1AAD45DE"/>
    <w:rsid w:val="1AC91080"/>
    <w:rsid w:val="1ACC3280"/>
    <w:rsid w:val="1AE56161"/>
    <w:rsid w:val="1B046F80"/>
    <w:rsid w:val="1B2E0921"/>
    <w:rsid w:val="1B3267B5"/>
    <w:rsid w:val="1B3B0813"/>
    <w:rsid w:val="1B3B3B18"/>
    <w:rsid w:val="1B40161D"/>
    <w:rsid w:val="1B441859"/>
    <w:rsid w:val="1B502C23"/>
    <w:rsid w:val="1B6606B1"/>
    <w:rsid w:val="1B972C67"/>
    <w:rsid w:val="1C4D007B"/>
    <w:rsid w:val="1C5E7925"/>
    <w:rsid w:val="1C9A20CF"/>
    <w:rsid w:val="1CF23F7C"/>
    <w:rsid w:val="1CFD070F"/>
    <w:rsid w:val="1D487683"/>
    <w:rsid w:val="1D5F6196"/>
    <w:rsid w:val="1D6132A5"/>
    <w:rsid w:val="1D8E56D5"/>
    <w:rsid w:val="1D8E7B9E"/>
    <w:rsid w:val="1E0D38E3"/>
    <w:rsid w:val="1E603948"/>
    <w:rsid w:val="1E7A43DA"/>
    <w:rsid w:val="1EB715C6"/>
    <w:rsid w:val="1FA569B1"/>
    <w:rsid w:val="1FE7539E"/>
    <w:rsid w:val="20671BE0"/>
    <w:rsid w:val="20963CB8"/>
    <w:rsid w:val="209D3F17"/>
    <w:rsid w:val="20A81A1B"/>
    <w:rsid w:val="20B07FB6"/>
    <w:rsid w:val="20B646FB"/>
    <w:rsid w:val="20E46941"/>
    <w:rsid w:val="213B74B1"/>
    <w:rsid w:val="215A2310"/>
    <w:rsid w:val="21BB7A01"/>
    <w:rsid w:val="21DE318A"/>
    <w:rsid w:val="21EF5B80"/>
    <w:rsid w:val="223C6486"/>
    <w:rsid w:val="22576990"/>
    <w:rsid w:val="22F47480"/>
    <w:rsid w:val="23DE1C48"/>
    <w:rsid w:val="240210CD"/>
    <w:rsid w:val="24822039"/>
    <w:rsid w:val="2499366F"/>
    <w:rsid w:val="24BF09F7"/>
    <w:rsid w:val="24F5291E"/>
    <w:rsid w:val="252D53FE"/>
    <w:rsid w:val="254D0F64"/>
    <w:rsid w:val="25B00A4D"/>
    <w:rsid w:val="25EC2D81"/>
    <w:rsid w:val="27641FA9"/>
    <w:rsid w:val="277057A2"/>
    <w:rsid w:val="27CB6172"/>
    <w:rsid w:val="27F90C70"/>
    <w:rsid w:val="28031EBD"/>
    <w:rsid w:val="289F2BD6"/>
    <w:rsid w:val="28B4647F"/>
    <w:rsid w:val="28DB219C"/>
    <w:rsid w:val="29206EB8"/>
    <w:rsid w:val="29595666"/>
    <w:rsid w:val="29874881"/>
    <w:rsid w:val="29E325E0"/>
    <w:rsid w:val="2A34731A"/>
    <w:rsid w:val="2A452503"/>
    <w:rsid w:val="2AB732BA"/>
    <w:rsid w:val="2BA936A8"/>
    <w:rsid w:val="2BC659C4"/>
    <w:rsid w:val="2C315A5A"/>
    <w:rsid w:val="2C4B1C25"/>
    <w:rsid w:val="2D3A59AE"/>
    <w:rsid w:val="2D6C6660"/>
    <w:rsid w:val="2D984835"/>
    <w:rsid w:val="2D9E56F5"/>
    <w:rsid w:val="2DC964C7"/>
    <w:rsid w:val="2E660D4B"/>
    <w:rsid w:val="2E667F96"/>
    <w:rsid w:val="2E8226AB"/>
    <w:rsid w:val="2EE6248C"/>
    <w:rsid w:val="2EE70821"/>
    <w:rsid w:val="2EE93725"/>
    <w:rsid w:val="2F19476C"/>
    <w:rsid w:val="2F3805D3"/>
    <w:rsid w:val="2FD065E6"/>
    <w:rsid w:val="2FD96870"/>
    <w:rsid w:val="30580BC9"/>
    <w:rsid w:val="30FA0111"/>
    <w:rsid w:val="311E2ED7"/>
    <w:rsid w:val="314E53D2"/>
    <w:rsid w:val="315619EE"/>
    <w:rsid w:val="315C449C"/>
    <w:rsid w:val="31B82709"/>
    <w:rsid w:val="31D05482"/>
    <w:rsid w:val="32400B34"/>
    <w:rsid w:val="325B70E8"/>
    <w:rsid w:val="329E6876"/>
    <w:rsid w:val="333015F2"/>
    <w:rsid w:val="333972E6"/>
    <w:rsid w:val="334B6320"/>
    <w:rsid w:val="335037D6"/>
    <w:rsid w:val="33A93C97"/>
    <w:rsid w:val="33C30645"/>
    <w:rsid w:val="33D934D4"/>
    <w:rsid w:val="33FE2F6A"/>
    <w:rsid w:val="340E07E5"/>
    <w:rsid w:val="34235BF7"/>
    <w:rsid w:val="34DC1CE0"/>
    <w:rsid w:val="34E17C6F"/>
    <w:rsid w:val="358C5FA8"/>
    <w:rsid w:val="35C15DF1"/>
    <w:rsid w:val="35C95541"/>
    <w:rsid w:val="36074A7F"/>
    <w:rsid w:val="364751C9"/>
    <w:rsid w:val="36923549"/>
    <w:rsid w:val="36B75FBF"/>
    <w:rsid w:val="36BD0C45"/>
    <w:rsid w:val="371F29B8"/>
    <w:rsid w:val="379971CA"/>
    <w:rsid w:val="37E00298"/>
    <w:rsid w:val="385A0ABD"/>
    <w:rsid w:val="386E47B6"/>
    <w:rsid w:val="389451BA"/>
    <w:rsid w:val="38A96D87"/>
    <w:rsid w:val="38B302F9"/>
    <w:rsid w:val="38F12CD3"/>
    <w:rsid w:val="38F94775"/>
    <w:rsid w:val="392971ED"/>
    <w:rsid w:val="39325651"/>
    <w:rsid w:val="39A0520C"/>
    <w:rsid w:val="39AC2BC2"/>
    <w:rsid w:val="3A6D3E23"/>
    <w:rsid w:val="3A872856"/>
    <w:rsid w:val="3ADC01ED"/>
    <w:rsid w:val="3B1655CA"/>
    <w:rsid w:val="3B3763D1"/>
    <w:rsid w:val="3B3D43D5"/>
    <w:rsid w:val="3B7F7A8D"/>
    <w:rsid w:val="3C2F6E1E"/>
    <w:rsid w:val="3C4F64BA"/>
    <w:rsid w:val="3C594893"/>
    <w:rsid w:val="3CDA245A"/>
    <w:rsid w:val="3CDD46A4"/>
    <w:rsid w:val="3D1E06B7"/>
    <w:rsid w:val="3DC72A04"/>
    <w:rsid w:val="3ED413DD"/>
    <w:rsid w:val="3EDA0523"/>
    <w:rsid w:val="3EFA0C83"/>
    <w:rsid w:val="3FAC795E"/>
    <w:rsid w:val="3FAF6A8C"/>
    <w:rsid w:val="407A6407"/>
    <w:rsid w:val="41CA7C2F"/>
    <w:rsid w:val="4200449D"/>
    <w:rsid w:val="423A3BCC"/>
    <w:rsid w:val="424E57D2"/>
    <w:rsid w:val="426F3A81"/>
    <w:rsid w:val="427A0ED5"/>
    <w:rsid w:val="42B26C49"/>
    <w:rsid w:val="42E46543"/>
    <w:rsid w:val="42F04A48"/>
    <w:rsid w:val="43030721"/>
    <w:rsid w:val="433A6FE6"/>
    <w:rsid w:val="43480868"/>
    <w:rsid w:val="4350713C"/>
    <w:rsid w:val="436653E0"/>
    <w:rsid w:val="437F3647"/>
    <w:rsid w:val="43C4431A"/>
    <w:rsid w:val="44022F31"/>
    <w:rsid w:val="441E0F0F"/>
    <w:rsid w:val="44B951CC"/>
    <w:rsid w:val="44CD14E0"/>
    <w:rsid w:val="44F20B0B"/>
    <w:rsid w:val="452E5F4C"/>
    <w:rsid w:val="453B273B"/>
    <w:rsid w:val="453B56E6"/>
    <w:rsid w:val="45452286"/>
    <w:rsid w:val="45563072"/>
    <w:rsid w:val="45612018"/>
    <w:rsid w:val="458946E9"/>
    <w:rsid w:val="45A47C0E"/>
    <w:rsid w:val="465476C0"/>
    <w:rsid w:val="46577FD6"/>
    <w:rsid w:val="46D955A7"/>
    <w:rsid w:val="46DD6623"/>
    <w:rsid w:val="46F674F7"/>
    <w:rsid w:val="47133957"/>
    <w:rsid w:val="47A07E0C"/>
    <w:rsid w:val="4859252F"/>
    <w:rsid w:val="4870272E"/>
    <w:rsid w:val="48D12DA3"/>
    <w:rsid w:val="49D2753A"/>
    <w:rsid w:val="49DC7715"/>
    <w:rsid w:val="4A023139"/>
    <w:rsid w:val="4A5F52B8"/>
    <w:rsid w:val="4A7A0234"/>
    <w:rsid w:val="4A7B576F"/>
    <w:rsid w:val="4AF561A9"/>
    <w:rsid w:val="4BE662D2"/>
    <w:rsid w:val="4C4A0649"/>
    <w:rsid w:val="4C7E5ECA"/>
    <w:rsid w:val="4C876AA5"/>
    <w:rsid w:val="4C8F0E0D"/>
    <w:rsid w:val="4C931658"/>
    <w:rsid w:val="4D082CB1"/>
    <w:rsid w:val="4D0E00FB"/>
    <w:rsid w:val="4D176606"/>
    <w:rsid w:val="4DC453ED"/>
    <w:rsid w:val="4DEC4FB0"/>
    <w:rsid w:val="4E075D8A"/>
    <w:rsid w:val="4E1338CA"/>
    <w:rsid w:val="4EC00FAD"/>
    <w:rsid w:val="4F9843DC"/>
    <w:rsid w:val="4FC62A8C"/>
    <w:rsid w:val="4FE20F0D"/>
    <w:rsid w:val="4FE51552"/>
    <w:rsid w:val="50504C4B"/>
    <w:rsid w:val="509C6E7C"/>
    <w:rsid w:val="50F5337A"/>
    <w:rsid w:val="50FA508C"/>
    <w:rsid w:val="51552376"/>
    <w:rsid w:val="5162104E"/>
    <w:rsid w:val="51F15197"/>
    <w:rsid w:val="52035716"/>
    <w:rsid w:val="522155B3"/>
    <w:rsid w:val="52F80309"/>
    <w:rsid w:val="536B3CCD"/>
    <w:rsid w:val="53A039CC"/>
    <w:rsid w:val="53A1505A"/>
    <w:rsid w:val="53D15F07"/>
    <w:rsid w:val="54063E08"/>
    <w:rsid w:val="543437E8"/>
    <w:rsid w:val="54417E98"/>
    <w:rsid w:val="54F14A01"/>
    <w:rsid w:val="54F73313"/>
    <w:rsid w:val="54F80955"/>
    <w:rsid w:val="552D3F6F"/>
    <w:rsid w:val="555170A7"/>
    <w:rsid w:val="5587536D"/>
    <w:rsid w:val="559B174B"/>
    <w:rsid w:val="55CE0CF4"/>
    <w:rsid w:val="561A03D1"/>
    <w:rsid w:val="564346F0"/>
    <w:rsid w:val="568F1F02"/>
    <w:rsid w:val="56B22A9C"/>
    <w:rsid w:val="570F1A4A"/>
    <w:rsid w:val="57316ADE"/>
    <w:rsid w:val="57640F5C"/>
    <w:rsid w:val="57890A6C"/>
    <w:rsid w:val="57AE47F4"/>
    <w:rsid w:val="57B72A76"/>
    <w:rsid w:val="57C3426C"/>
    <w:rsid w:val="57CE1F93"/>
    <w:rsid w:val="581A6C35"/>
    <w:rsid w:val="5847146C"/>
    <w:rsid w:val="58473136"/>
    <w:rsid w:val="588743D1"/>
    <w:rsid w:val="5887701A"/>
    <w:rsid w:val="58ED4DEA"/>
    <w:rsid w:val="59720ADF"/>
    <w:rsid w:val="59933BBF"/>
    <w:rsid w:val="59C0439F"/>
    <w:rsid w:val="5A0E7C15"/>
    <w:rsid w:val="5ABE2233"/>
    <w:rsid w:val="5AE010BC"/>
    <w:rsid w:val="5AE02D18"/>
    <w:rsid w:val="5AF21128"/>
    <w:rsid w:val="5B8952C7"/>
    <w:rsid w:val="5BDF5D95"/>
    <w:rsid w:val="5BFE7528"/>
    <w:rsid w:val="5C120286"/>
    <w:rsid w:val="5D245857"/>
    <w:rsid w:val="5D2A6E76"/>
    <w:rsid w:val="5D8F777F"/>
    <w:rsid w:val="5DBA17D4"/>
    <w:rsid w:val="5DC6559F"/>
    <w:rsid w:val="5E2467F1"/>
    <w:rsid w:val="5E5266D8"/>
    <w:rsid w:val="5E5E7664"/>
    <w:rsid w:val="5E8342C0"/>
    <w:rsid w:val="5EA87B9E"/>
    <w:rsid w:val="5EC6208E"/>
    <w:rsid w:val="5ED21C22"/>
    <w:rsid w:val="5F005FD8"/>
    <w:rsid w:val="5F1A2B43"/>
    <w:rsid w:val="5F8906AF"/>
    <w:rsid w:val="5F947F0A"/>
    <w:rsid w:val="5FB134F5"/>
    <w:rsid w:val="5FB837BB"/>
    <w:rsid w:val="602B32BB"/>
    <w:rsid w:val="60CC405A"/>
    <w:rsid w:val="60F93102"/>
    <w:rsid w:val="6167657F"/>
    <w:rsid w:val="61E215D8"/>
    <w:rsid w:val="621B3775"/>
    <w:rsid w:val="62364782"/>
    <w:rsid w:val="62413DE3"/>
    <w:rsid w:val="6264205F"/>
    <w:rsid w:val="62A42683"/>
    <w:rsid w:val="6300421A"/>
    <w:rsid w:val="63740E23"/>
    <w:rsid w:val="6394356A"/>
    <w:rsid w:val="63C61B2C"/>
    <w:rsid w:val="63D40BE9"/>
    <w:rsid w:val="63EF0EFE"/>
    <w:rsid w:val="64102431"/>
    <w:rsid w:val="64631774"/>
    <w:rsid w:val="64A5243A"/>
    <w:rsid w:val="64BA6C02"/>
    <w:rsid w:val="64ED71A8"/>
    <w:rsid w:val="64F531DE"/>
    <w:rsid w:val="65373578"/>
    <w:rsid w:val="658F21FB"/>
    <w:rsid w:val="6596245C"/>
    <w:rsid w:val="65D00010"/>
    <w:rsid w:val="671F124A"/>
    <w:rsid w:val="677A33C6"/>
    <w:rsid w:val="67F227E4"/>
    <w:rsid w:val="681F6961"/>
    <w:rsid w:val="68610A2F"/>
    <w:rsid w:val="68805514"/>
    <w:rsid w:val="69000160"/>
    <w:rsid w:val="69316E2F"/>
    <w:rsid w:val="694E2071"/>
    <w:rsid w:val="694F64DE"/>
    <w:rsid w:val="69766163"/>
    <w:rsid w:val="697A3B33"/>
    <w:rsid w:val="69D35080"/>
    <w:rsid w:val="69D44760"/>
    <w:rsid w:val="6A461C19"/>
    <w:rsid w:val="6A520EC7"/>
    <w:rsid w:val="6AF87E20"/>
    <w:rsid w:val="6B2D23FE"/>
    <w:rsid w:val="6B322639"/>
    <w:rsid w:val="6B442F97"/>
    <w:rsid w:val="6BDB7F6C"/>
    <w:rsid w:val="6C636C38"/>
    <w:rsid w:val="6CC17DB2"/>
    <w:rsid w:val="6D095A8A"/>
    <w:rsid w:val="6DB34098"/>
    <w:rsid w:val="6DB545B6"/>
    <w:rsid w:val="6DE02FB4"/>
    <w:rsid w:val="6E3D5F63"/>
    <w:rsid w:val="6E514CED"/>
    <w:rsid w:val="6EB563D5"/>
    <w:rsid w:val="6ED92677"/>
    <w:rsid w:val="6F225983"/>
    <w:rsid w:val="6F744186"/>
    <w:rsid w:val="6FC96BAD"/>
    <w:rsid w:val="6FD21102"/>
    <w:rsid w:val="6FE85D36"/>
    <w:rsid w:val="6FF34935"/>
    <w:rsid w:val="6FFC5590"/>
    <w:rsid w:val="6FFD4784"/>
    <w:rsid w:val="706D1DD0"/>
    <w:rsid w:val="70856B87"/>
    <w:rsid w:val="70D527EE"/>
    <w:rsid w:val="70DE23A5"/>
    <w:rsid w:val="71026939"/>
    <w:rsid w:val="715B5300"/>
    <w:rsid w:val="71C34B93"/>
    <w:rsid w:val="71D27F8A"/>
    <w:rsid w:val="72553024"/>
    <w:rsid w:val="72673071"/>
    <w:rsid w:val="72A226E4"/>
    <w:rsid w:val="73122968"/>
    <w:rsid w:val="731F5D5E"/>
    <w:rsid w:val="73BA3D11"/>
    <w:rsid w:val="73C51AD5"/>
    <w:rsid w:val="741E793C"/>
    <w:rsid w:val="745E3944"/>
    <w:rsid w:val="74757CE8"/>
    <w:rsid w:val="74DD3EC2"/>
    <w:rsid w:val="75610D4A"/>
    <w:rsid w:val="7635099D"/>
    <w:rsid w:val="77762421"/>
    <w:rsid w:val="77B56B1F"/>
    <w:rsid w:val="77F048C7"/>
    <w:rsid w:val="780F09F4"/>
    <w:rsid w:val="78A90480"/>
    <w:rsid w:val="7A364017"/>
    <w:rsid w:val="7A8265E1"/>
    <w:rsid w:val="7ADF5862"/>
    <w:rsid w:val="7B140942"/>
    <w:rsid w:val="7B3E188D"/>
    <w:rsid w:val="7B686D42"/>
    <w:rsid w:val="7B841746"/>
    <w:rsid w:val="7C6C5AC7"/>
    <w:rsid w:val="7CC6544B"/>
    <w:rsid w:val="7D0239FF"/>
    <w:rsid w:val="7D3962D6"/>
    <w:rsid w:val="7D5E40CD"/>
    <w:rsid w:val="7D8267A0"/>
    <w:rsid w:val="7DCD56F2"/>
    <w:rsid w:val="7E543FE8"/>
    <w:rsid w:val="7E951F05"/>
    <w:rsid w:val="7EA8728F"/>
    <w:rsid w:val="7EAC20ED"/>
    <w:rsid w:val="7EE71A36"/>
    <w:rsid w:val="7F001CE7"/>
    <w:rsid w:val="7FE47E50"/>
    <w:rsid w:val="7FEE44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iPriority="99" w:semiHidden="0" w:name="Salutation" w:locked="1"/>
    <w:lsdException w:qFormat="1" w:unhideWhenUsed="0" w:uiPriority="0" w:semiHidden="0" w:name="Date"/>
    <w:lsdException w:qFormat="1" w:uiPriority="99" w:semiHidden="0" w:name="Body Text First Indent" w:locked="1"/>
    <w:lsdException w:qFormat="1" w:uiPriority="99" w:semiHidden="0" w:name="Body Text First Indent 2" w:locked="1"/>
    <w:lsdException w:unhideWhenUsed="0" w:uiPriority="0" w:semiHidden="0" w:name="Note Heading" w:locked="1"/>
    <w:lsdException w:qFormat="1" w:uiPriority="99"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2"/>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68"/>
    <w:qFormat/>
    <w:locked/>
    <w:uiPriority w:val="99"/>
    <w:pPr>
      <w:keepNext/>
      <w:keepLines/>
      <w:spacing w:line="360" w:lineRule="auto"/>
      <w:ind w:firstLine="0" w:firstLineChars="0"/>
      <w:outlineLvl w:val="1"/>
    </w:pPr>
    <w:rPr>
      <w:rFonts w:ascii="Times New Roman" w:hAnsi="Times New Roman" w:eastAsia="宋体"/>
      <w:b/>
      <w:bCs/>
      <w:kern w:val="0"/>
      <w:sz w:val="28"/>
      <w:szCs w:val="32"/>
    </w:rPr>
  </w:style>
  <w:style w:type="paragraph" w:styleId="5">
    <w:name w:val="heading 3"/>
    <w:basedOn w:val="1"/>
    <w:next w:val="1"/>
    <w:link w:val="47"/>
    <w:qFormat/>
    <w:locked/>
    <w:uiPriority w:val="0"/>
    <w:pPr>
      <w:keepNext/>
      <w:keepLines/>
      <w:spacing w:line="360" w:lineRule="auto"/>
      <w:ind w:firstLine="720" w:firstLineChars="200"/>
      <w:outlineLvl w:val="2"/>
    </w:pPr>
    <w:rPr>
      <w:rFonts w:ascii="Times New Roman" w:hAnsi="Times New Roman" w:eastAsia="宋体"/>
      <w:b/>
      <w:bCs/>
      <w:kern w:val="0"/>
      <w:sz w:val="24"/>
      <w:szCs w:val="32"/>
    </w:rPr>
  </w:style>
  <w:style w:type="paragraph" w:styleId="6">
    <w:name w:val="heading 4"/>
    <w:basedOn w:val="1"/>
    <w:next w:val="1"/>
    <w:link w:val="57"/>
    <w:qFormat/>
    <w:locked/>
    <w:uiPriority w:val="0"/>
    <w:pPr>
      <w:keepNext/>
      <w:keepLines/>
      <w:ind w:firstLine="720" w:firstLineChars="200"/>
      <w:outlineLvl w:val="3"/>
    </w:pPr>
    <w:rPr>
      <w:rFonts w:ascii="Times New Roman" w:hAnsi="Times New Roman" w:eastAsia="宋体"/>
      <w:b/>
      <w:bCs/>
      <w:kern w:val="0"/>
      <w:sz w:val="24"/>
      <w:szCs w:val="20"/>
    </w:rPr>
  </w:style>
  <w:style w:type="paragraph" w:styleId="7">
    <w:name w:val="heading 5"/>
    <w:basedOn w:val="1"/>
    <w:next w:val="1"/>
    <w:qFormat/>
    <w:locked/>
    <w:uiPriority w:val="0"/>
    <w:pPr>
      <w:keepNext/>
      <w:spacing w:line="240" w:lineRule="auto"/>
      <w:ind w:firstLine="0" w:firstLineChars="0"/>
      <w:jc w:val="center"/>
      <w:outlineLvl w:val="4"/>
    </w:pPr>
    <w:rPr>
      <w:rFonts w:ascii="Calibri" w:hAnsi="Calibri" w:eastAsia="黑体"/>
      <w:b/>
      <w:color w:val="000000"/>
      <w:sz w:val="21"/>
      <w:szCs w:val="20"/>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2">
    <w:name w:val="header"/>
    <w:basedOn w:val="1"/>
    <w:next w:val="1"/>
    <w:link w:val="50"/>
    <w:qFormat/>
    <w:uiPriority w:val="0"/>
    <w:pPr>
      <w:pBdr>
        <w:bottom w:val="single" w:color="auto" w:sz="6" w:space="1"/>
      </w:pBdr>
      <w:tabs>
        <w:tab w:val="center" w:pos="4153"/>
        <w:tab w:val="right" w:pos="8306"/>
      </w:tabs>
      <w:snapToGrid w:val="0"/>
      <w:jc w:val="center"/>
    </w:pPr>
    <w:rPr>
      <w:kern w:val="0"/>
      <w:sz w:val="18"/>
      <w:szCs w:val="20"/>
    </w:rPr>
  </w:style>
  <w:style w:type="paragraph" w:styleId="8">
    <w:name w:val="Normal Indent"/>
    <w:basedOn w:val="1"/>
    <w:next w:val="1"/>
    <w:unhideWhenUsed/>
    <w:qFormat/>
    <w:locked/>
    <w:uiPriority w:val="99"/>
    <w:pPr>
      <w:ind w:firstLine="420"/>
    </w:pPr>
  </w:style>
  <w:style w:type="paragraph" w:styleId="9">
    <w:name w:val="annotation text"/>
    <w:basedOn w:val="1"/>
    <w:link w:val="70"/>
    <w:semiHidden/>
    <w:qFormat/>
    <w:uiPriority w:val="0"/>
    <w:pPr>
      <w:jc w:val="left"/>
    </w:pPr>
    <w:rPr>
      <w:kern w:val="0"/>
      <w:sz w:val="24"/>
      <w:szCs w:val="20"/>
    </w:rPr>
  </w:style>
  <w:style w:type="paragraph" w:styleId="10">
    <w:name w:val="Salutation"/>
    <w:basedOn w:val="1"/>
    <w:next w:val="1"/>
    <w:unhideWhenUsed/>
    <w:qFormat/>
    <w:locked/>
    <w:uiPriority w:val="99"/>
  </w:style>
  <w:style w:type="paragraph" w:styleId="11">
    <w:name w:val="Body Text"/>
    <w:basedOn w:val="1"/>
    <w:link w:val="80"/>
    <w:qFormat/>
    <w:uiPriority w:val="0"/>
    <w:pPr>
      <w:widowControl/>
      <w:snapToGrid w:val="0"/>
      <w:spacing w:before="60" w:after="160" w:line="259" w:lineRule="auto"/>
      <w:ind w:right="113"/>
    </w:pPr>
    <w:rPr>
      <w:kern w:val="0"/>
      <w:sz w:val="18"/>
      <w:szCs w:val="20"/>
    </w:rPr>
  </w:style>
  <w:style w:type="paragraph" w:styleId="12">
    <w:name w:val="Body Text Indent"/>
    <w:basedOn w:val="1"/>
    <w:next w:val="13"/>
    <w:link w:val="75"/>
    <w:qFormat/>
    <w:uiPriority w:val="0"/>
    <w:pPr>
      <w:spacing w:after="120"/>
      <w:ind w:left="420" w:leftChars="200"/>
    </w:pPr>
    <w:rPr>
      <w:kern w:val="0"/>
      <w:sz w:val="24"/>
      <w:szCs w:val="20"/>
    </w:rPr>
  </w:style>
  <w:style w:type="paragraph" w:styleId="13">
    <w:name w:val="Body Text First Indent 2"/>
    <w:basedOn w:val="12"/>
    <w:next w:val="1"/>
    <w:unhideWhenUsed/>
    <w:qFormat/>
    <w:locked/>
    <w:uiPriority w:val="99"/>
    <w:pPr>
      <w:ind w:left="420" w:firstLine="420" w:firstLineChars="200"/>
    </w:pPr>
  </w:style>
  <w:style w:type="paragraph" w:styleId="14">
    <w:name w:val="Block Text"/>
    <w:basedOn w:val="1"/>
    <w:next w:val="1"/>
    <w:qFormat/>
    <w:locked/>
    <w:uiPriority w:val="0"/>
    <w:pPr>
      <w:snapToGrid w:val="0"/>
      <w:spacing w:line="420" w:lineRule="exact"/>
      <w:ind w:left="101" w:leftChars="48" w:right="149" w:rightChars="71" w:firstLine="426" w:firstLineChars="203"/>
    </w:pPr>
  </w:style>
  <w:style w:type="paragraph" w:styleId="15">
    <w:name w:val="Plain Text"/>
    <w:basedOn w:val="1"/>
    <w:next w:val="16"/>
    <w:qFormat/>
    <w:locked/>
    <w:uiPriority w:val="99"/>
    <w:rPr>
      <w:rFonts w:ascii="宋体" w:hAnsi="Courier New"/>
      <w:sz w:val="21"/>
      <w:szCs w:val="21"/>
    </w:rPr>
  </w:style>
  <w:style w:type="paragraph" w:styleId="16">
    <w:name w:val="List Number 5"/>
    <w:basedOn w:val="1"/>
    <w:qFormat/>
    <w:locked/>
    <w:uiPriority w:val="0"/>
    <w:pPr>
      <w:numPr>
        <w:ilvl w:val="0"/>
        <w:numId w:val="1"/>
      </w:numPr>
    </w:pPr>
  </w:style>
  <w:style w:type="paragraph" w:styleId="17">
    <w:name w:val="List Bullet 5"/>
    <w:basedOn w:val="1"/>
    <w:qFormat/>
    <w:locked/>
    <w:uiPriority w:val="0"/>
    <w:pPr>
      <w:numPr>
        <w:ilvl w:val="0"/>
        <w:numId w:val="2"/>
      </w:numPr>
    </w:pPr>
  </w:style>
  <w:style w:type="paragraph" w:styleId="18">
    <w:name w:val="Date"/>
    <w:basedOn w:val="1"/>
    <w:next w:val="1"/>
    <w:link w:val="78"/>
    <w:qFormat/>
    <w:uiPriority w:val="0"/>
    <w:pPr>
      <w:ind w:left="100" w:leftChars="2500"/>
    </w:pPr>
    <w:rPr>
      <w:kern w:val="0"/>
      <w:sz w:val="24"/>
      <w:szCs w:val="20"/>
    </w:rPr>
  </w:style>
  <w:style w:type="paragraph" w:styleId="19">
    <w:name w:val="Balloon Text"/>
    <w:basedOn w:val="1"/>
    <w:link w:val="79"/>
    <w:semiHidden/>
    <w:qFormat/>
    <w:uiPriority w:val="0"/>
    <w:rPr>
      <w:kern w:val="0"/>
      <w:sz w:val="18"/>
      <w:szCs w:val="20"/>
    </w:rPr>
  </w:style>
  <w:style w:type="paragraph" w:styleId="20">
    <w:name w:val="footer"/>
    <w:basedOn w:val="1"/>
    <w:link w:val="77"/>
    <w:qFormat/>
    <w:uiPriority w:val="99"/>
    <w:pPr>
      <w:tabs>
        <w:tab w:val="center" w:pos="4153"/>
        <w:tab w:val="right" w:pos="8306"/>
      </w:tabs>
      <w:snapToGrid w:val="0"/>
      <w:jc w:val="left"/>
    </w:pPr>
    <w:rPr>
      <w:kern w:val="0"/>
      <w:sz w:val="18"/>
      <w:szCs w:val="20"/>
    </w:rPr>
  </w:style>
  <w:style w:type="paragraph" w:styleId="21">
    <w:name w:val="toc 1"/>
    <w:basedOn w:val="1"/>
    <w:next w:val="1"/>
    <w:qFormat/>
    <w:locked/>
    <w:uiPriority w:val="0"/>
  </w:style>
  <w:style w:type="paragraph" w:styleId="22">
    <w:name w:val="index heading"/>
    <w:basedOn w:val="1"/>
    <w:next w:val="23"/>
    <w:qFormat/>
    <w:locked/>
    <w:uiPriority w:val="0"/>
    <w:rPr>
      <w:rFonts w:ascii="Arial" w:hAnsi="Arial"/>
      <w:b/>
    </w:rPr>
  </w:style>
  <w:style w:type="paragraph" w:styleId="23">
    <w:name w:val="index 1"/>
    <w:basedOn w:val="1"/>
    <w:next w:val="1"/>
    <w:qFormat/>
    <w:locked/>
    <w:uiPriority w:val="0"/>
  </w:style>
  <w:style w:type="paragraph" w:styleId="24">
    <w:name w:val="List"/>
    <w:basedOn w:val="1"/>
    <w:next w:val="1"/>
    <w:qFormat/>
    <w:locked/>
    <w:uiPriority w:val="0"/>
    <w:pPr>
      <w:adjustRightInd w:val="0"/>
      <w:snapToGrid w:val="0"/>
      <w:jc w:val="center"/>
      <w:textAlignment w:val="baseline"/>
    </w:pPr>
    <w:rPr>
      <w:rFonts w:ascii="Times New Roman" w:hAnsi="Times New Roman" w:eastAsia="仿宋_GB2312"/>
      <w:snapToGrid w:val="0"/>
      <w:kern w:val="21"/>
      <w:szCs w:val="20"/>
    </w:rPr>
  </w:style>
  <w:style w:type="paragraph" w:styleId="25">
    <w:name w:val="table of figures"/>
    <w:basedOn w:val="1"/>
    <w:next w:val="1"/>
    <w:unhideWhenUsed/>
    <w:qFormat/>
    <w:locked/>
    <w:uiPriority w:val="99"/>
    <w:pPr>
      <w:ind w:firstLine="390"/>
      <w:jc w:val="center"/>
    </w:pPr>
    <w:rPr>
      <w:b/>
      <w:bCs/>
      <w:spacing w:val="-8"/>
      <w:kern w:val="0"/>
      <w:sz w:val="21"/>
      <w:szCs w:val="21"/>
    </w:rPr>
  </w:style>
  <w:style w:type="paragraph" w:styleId="26">
    <w:name w:val="toc 2"/>
    <w:basedOn w:val="1"/>
    <w:next w:val="1"/>
    <w:qFormat/>
    <w:locked/>
    <w:uiPriority w:val="0"/>
    <w:pPr>
      <w:ind w:left="420" w:leftChars="200"/>
    </w:pPr>
  </w:style>
  <w:style w:type="paragraph" w:styleId="27">
    <w:name w:val="Body Text 2"/>
    <w:basedOn w:val="1"/>
    <w:next w:val="1"/>
    <w:unhideWhenUsed/>
    <w:qFormat/>
    <w:locked/>
    <w:uiPriority w:val="99"/>
    <w:pPr>
      <w:spacing w:after="120" w:line="480" w:lineRule="auto"/>
    </w:pPr>
  </w:style>
  <w:style w:type="paragraph" w:styleId="28">
    <w:name w:val="Normal (Web)"/>
    <w:basedOn w:val="1"/>
    <w:link w:val="82"/>
    <w:qFormat/>
    <w:uiPriority w:val="0"/>
    <w:pPr>
      <w:widowControl/>
      <w:spacing w:before="100" w:beforeAutospacing="1" w:after="100" w:afterAutospacing="1"/>
      <w:jc w:val="left"/>
    </w:pPr>
    <w:rPr>
      <w:rFonts w:ascii="宋体" w:hAnsi="宋体"/>
      <w:kern w:val="0"/>
      <w:sz w:val="24"/>
      <w:szCs w:val="20"/>
    </w:rPr>
  </w:style>
  <w:style w:type="paragraph" w:styleId="29">
    <w:name w:val="annotation subject"/>
    <w:basedOn w:val="9"/>
    <w:next w:val="9"/>
    <w:link w:val="71"/>
    <w:semiHidden/>
    <w:qFormat/>
    <w:uiPriority w:val="0"/>
    <w:rPr>
      <w:b/>
      <w:sz w:val="24"/>
      <w:szCs w:val="20"/>
    </w:rPr>
  </w:style>
  <w:style w:type="paragraph" w:styleId="30">
    <w:name w:val="Body Text First Indent"/>
    <w:basedOn w:val="11"/>
    <w:next w:val="1"/>
    <w:unhideWhenUsed/>
    <w:qFormat/>
    <w:locked/>
    <w:uiPriority w:val="99"/>
    <w:pPr>
      <w:ind w:firstLine="420" w:firstLineChars="100"/>
    </w:pPr>
  </w:style>
  <w:style w:type="table" w:styleId="32">
    <w:name w:val="Table Grid"/>
    <w:basedOn w:val="3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0"/>
    <w:rPr>
      <w:b/>
    </w:rPr>
  </w:style>
  <w:style w:type="character" w:styleId="35">
    <w:name w:val="page number"/>
    <w:qFormat/>
    <w:locked/>
    <w:uiPriority w:val="0"/>
  </w:style>
  <w:style w:type="character" w:styleId="36">
    <w:name w:val="FollowedHyperlink"/>
    <w:basedOn w:val="33"/>
    <w:qFormat/>
    <w:locked/>
    <w:uiPriority w:val="0"/>
    <w:rPr>
      <w:color w:val="000000"/>
      <w:u w:val="none"/>
    </w:rPr>
  </w:style>
  <w:style w:type="character" w:styleId="37">
    <w:name w:val="Hyperlink"/>
    <w:basedOn w:val="33"/>
    <w:qFormat/>
    <w:locked/>
    <w:uiPriority w:val="0"/>
    <w:rPr>
      <w:color w:val="2B2B2B"/>
      <w:u w:val="none"/>
    </w:rPr>
  </w:style>
  <w:style w:type="character" w:styleId="38">
    <w:name w:val="annotation reference"/>
    <w:semiHidden/>
    <w:qFormat/>
    <w:uiPriority w:val="0"/>
    <w:rPr>
      <w:sz w:val="21"/>
    </w:rPr>
  </w:style>
  <w:style w:type="paragraph" w:customStyle="1" w:styleId="39">
    <w:name w:val="报告正文"/>
    <w:basedOn w:val="40"/>
    <w:qFormat/>
    <w:uiPriority w:val="0"/>
    <w:pPr>
      <w:widowControl w:val="0"/>
      <w:snapToGrid w:val="0"/>
      <w:spacing w:line="360" w:lineRule="auto"/>
      <w:ind w:firstLine="200" w:firstLineChars="200"/>
    </w:pPr>
    <w:rPr>
      <w:rFonts w:ascii="Times New Roman" w:hAnsi="Times New Roman" w:eastAsia="宋体" w:cs="Times New Roman"/>
      <w:snapToGrid w:val="0"/>
      <w:sz w:val="24"/>
      <w:szCs w:val="28"/>
    </w:rPr>
  </w:style>
  <w:style w:type="paragraph" w:customStyle="1" w:styleId="40">
    <w:name w:val="p17"/>
    <w:basedOn w:val="1"/>
    <w:qFormat/>
    <w:uiPriority w:val="0"/>
    <w:pPr>
      <w:widowControl/>
    </w:pPr>
    <w:rPr>
      <w:rFonts w:ascii="宋体" w:hAnsi="宋体" w:cs="宋体"/>
      <w:kern w:val="0"/>
      <w:szCs w:val="21"/>
    </w:rPr>
  </w:style>
  <w:style w:type="paragraph" w:customStyle="1" w:styleId="41">
    <w:name w:val="报告书正文"/>
    <w:basedOn w:val="15"/>
    <w:next w:val="39"/>
    <w:link w:val="51"/>
    <w:qFormat/>
    <w:uiPriority w:val="0"/>
    <w:pPr>
      <w:widowControl/>
      <w:snapToGrid/>
      <w:spacing w:line="360" w:lineRule="auto"/>
      <w:ind w:firstLine="480" w:firstLineChars="200"/>
      <w:jc w:val="both"/>
    </w:pPr>
    <w:rPr>
      <w:rFonts w:ascii="Times New Roman" w:hAnsi="Times New Roman" w:eastAsia="宋体"/>
      <w:sz w:val="24"/>
    </w:rPr>
  </w:style>
  <w:style w:type="paragraph" w:customStyle="1" w:styleId="42">
    <w:name w:val="表格内容1"/>
    <w:basedOn w:val="1"/>
    <w:link w:val="43"/>
    <w:qFormat/>
    <w:uiPriority w:val="0"/>
    <w:pPr>
      <w:adjustRightInd w:val="0"/>
      <w:snapToGrid w:val="0"/>
      <w:spacing w:line="240" w:lineRule="auto"/>
      <w:ind w:firstLine="0" w:firstLineChars="0"/>
      <w:jc w:val="center"/>
      <w:textAlignment w:val="baseline"/>
    </w:pPr>
    <w:rPr>
      <w:rFonts w:ascii="Times New Roman" w:hAnsi="Times New Roman"/>
      <w:sz w:val="21"/>
      <w:szCs w:val="21"/>
    </w:rPr>
  </w:style>
  <w:style w:type="character" w:customStyle="1" w:styleId="43">
    <w:name w:val="表格内容1 Char"/>
    <w:link w:val="42"/>
    <w:qFormat/>
    <w:uiPriority w:val="0"/>
    <w:rPr>
      <w:rFonts w:ascii="Times New Roman" w:hAnsi="Times New Roman"/>
      <w:sz w:val="21"/>
      <w:szCs w:val="21"/>
    </w:rPr>
  </w:style>
  <w:style w:type="character" w:customStyle="1" w:styleId="44">
    <w:name w:val="报告书正文 Char"/>
    <w:qFormat/>
    <w:uiPriority w:val="0"/>
    <w:rPr>
      <w:rFonts w:ascii="Times New Roman" w:hAnsi="Times New Roman" w:cs="Times New Roman"/>
      <w:sz w:val="24"/>
      <w:szCs w:val="21"/>
    </w:rPr>
  </w:style>
  <w:style w:type="paragraph" w:customStyle="1" w:styleId="45">
    <w:name w:val="报告表正文"/>
    <w:basedOn w:val="39"/>
    <w:link w:val="46"/>
    <w:qFormat/>
    <w:uiPriority w:val="0"/>
    <w:pPr>
      <w:adjustRightInd w:val="0"/>
      <w:spacing w:before="50" w:beforeLines="50" w:after="50" w:afterLines="50" w:line="360" w:lineRule="auto"/>
      <w:ind w:left="0" w:leftChars="0" w:right="0" w:firstLine="482"/>
      <w:jc w:val="both"/>
      <w:textAlignment w:val="baseline"/>
    </w:pPr>
    <w:rPr>
      <w:rFonts w:ascii="Times New Roman" w:hAnsi="Times New Roman" w:eastAsia="宋体"/>
    </w:rPr>
  </w:style>
  <w:style w:type="character" w:customStyle="1" w:styleId="46">
    <w:name w:val="报告表正文 Char"/>
    <w:link w:val="45"/>
    <w:qFormat/>
    <w:uiPriority w:val="0"/>
    <w:rPr>
      <w:rFonts w:ascii="Times New Roman" w:hAnsi="Times New Roman" w:eastAsia="宋体"/>
      <w:kern w:val="0"/>
    </w:rPr>
  </w:style>
  <w:style w:type="character" w:customStyle="1" w:styleId="47">
    <w:name w:val="标题 3 Char"/>
    <w:link w:val="5"/>
    <w:qFormat/>
    <w:uiPriority w:val="0"/>
    <w:rPr>
      <w:rFonts w:ascii="Times New Roman" w:hAnsi="Times New Roman" w:eastAsia="宋体"/>
      <w:b/>
      <w:bCs/>
      <w:kern w:val="0"/>
      <w:sz w:val="24"/>
      <w:szCs w:val="32"/>
    </w:rPr>
  </w:style>
  <w:style w:type="paragraph" w:customStyle="1" w:styleId="48">
    <w:name w:val="表头1"/>
    <w:basedOn w:val="1"/>
    <w:next w:val="1"/>
    <w:qFormat/>
    <w:uiPriority w:val="0"/>
    <w:pPr>
      <w:adjustRightInd w:val="0"/>
      <w:snapToGrid w:val="0"/>
      <w:spacing w:before="156" w:beforeLines="50" w:after="156" w:afterLines="50" w:line="240" w:lineRule="auto"/>
      <w:jc w:val="center"/>
    </w:pPr>
    <w:rPr>
      <w:rFonts w:ascii="宋体" w:hAnsi="宋体" w:eastAsia="宋体"/>
      <w:b/>
      <w:color w:val="000000"/>
      <w:sz w:val="21"/>
      <w:szCs w:val="21"/>
    </w:rPr>
  </w:style>
  <w:style w:type="paragraph" w:customStyle="1" w:styleId="49">
    <w:name w:val="Char"/>
    <w:basedOn w:val="1"/>
    <w:qFormat/>
    <w:uiPriority w:val="0"/>
    <w:pPr>
      <w:widowControl/>
      <w:spacing w:after="160" w:line="240" w:lineRule="exact"/>
      <w:jc w:val="left"/>
    </w:pPr>
    <w:rPr>
      <w:rFonts w:ascii="Verdana" w:hAnsi="Verdana" w:eastAsia="仿宋_GB2312" w:cs="Verdana"/>
      <w:kern w:val="0"/>
      <w:sz w:val="24"/>
      <w:szCs w:val="24"/>
      <w:lang w:eastAsia="en-US"/>
    </w:rPr>
  </w:style>
  <w:style w:type="character" w:customStyle="1" w:styleId="50">
    <w:name w:val="页眉 Char"/>
    <w:link w:val="2"/>
    <w:qFormat/>
    <w:locked/>
    <w:uiPriority w:val="0"/>
    <w:rPr>
      <w:sz w:val="18"/>
    </w:rPr>
  </w:style>
  <w:style w:type="character" w:customStyle="1" w:styleId="51">
    <w:name w:val="报告书正文 Char1"/>
    <w:link w:val="41"/>
    <w:qFormat/>
    <w:uiPriority w:val="0"/>
    <w:rPr>
      <w:rFonts w:ascii="Times New Roman" w:hAnsi="Times New Roman" w:eastAsia="宋体" w:cs="Times New Roman"/>
      <w:sz w:val="24"/>
      <w:szCs w:val="24"/>
    </w:rPr>
  </w:style>
  <w:style w:type="character" w:customStyle="1" w:styleId="52">
    <w:name w:val="标题 1 Char"/>
    <w:link w:val="3"/>
    <w:qFormat/>
    <w:uiPriority w:val="99"/>
    <w:rPr>
      <w:rFonts w:eastAsia="黑体"/>
      <w:b/>
      <w:bCs/>
      <w:color w:val="000000"/>
      <w:kern w:val="44"/>
      <w:sz w:val="30"/>
      <w:szCs w:val="30"/>
    </w:rPr>
  </w:style>
  <w:style w:type="paragraph" w:customStyle="1" w:styleId="53">
    <w:name w:val="表头"/>
    <w:basedOn w:val="54"/>
    <w:next w:val="1"/>
    <w:link w:val="56"/>
    <w:qFormat/>
    <w:uiPriority w:val="0"/>
    <w:pPr>
      <w:overflowPunct w:val="0"/>
      <w:autoSpaceDE w:val="0"/>
      <w:autoSpaceDN w:val="0"/>
      <w:adjustRightInd w:val="0"/>
      <w:snapToGrid/>
      <w:spacing w:line="240" w:lineRule="auto"/>
      <w:ind w:firstLine="0" w:firstLineChars="0"/>
      <w:jc w:val="center"/>
      <w:textAlignment w:val="baseline"/>
    </w:pPr>
    <w:rPr>
      <w:rFonts w:ascii="Times New Roman" w:hAnsi="Times New Roman" w:eastAsia="宋体"/>
      <w:b/>
      <w:sz w:val="21"/>
    </w:rPr>
  </w:style>
  <w:style w:type="paragraph" w:customStyle="1" w:styleId="54">
    <w:name w:val="T正文"/>
    <w:qFormat/>
    <w:uiPriority w:val="0"/>
    <w:pPr>
      <w:widowControl w:val="0"/>
      <w:adjustRightInd w:val="0"/>
      <w:snapToGrid w:val="0"/>
      <w:spacing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55">
    <w:name w:val="表格"/>
    <w:basedOn w:val="1"/>
    <w:next w:val="1"/>
    <w:link w:val="84"/>
    <w:qFormat/>
    <w:uiPriority w:val="0"/>
    <w:pPr>
      <w:adjustRightInd w:val="0"/>
      <w:snapToGrid w:val="0"/>
      <w:spacing w:beforeLines="10" w:afterLines="10" w:line="259" w:lineRule="auto"/>
      <w:jc w:val="center"/>
    </w:pPr>
    <w:rPr>
      <w:rFonts w:ascii="宋体"/>
      <w:kern w:val="0"/>
      <w:szCs w:val="20"/>
    </w:rPr>
  </w:style>
  <w:style w:type="character" w:customStyle="1" w:styleId="56">
    <w:name w:val="表头 Char"/>
    <w:link w:val="53"/>
    <w:qFormat/>
    <w:uiPriority w:val="0"/>
    <w:rPr>
      <w:rFonts w:ascii="Times New Roman" w:hAnsi="Times New Roman" w:eastAsia="宋体"/>
      <w:b/>
      <w:kern w:val="0"/>
      <w:sz w:val="21"/>
    </w:rPr>
  </w:style>
  <w:style w:type="character" w:customStyle="1" w:styleId="57">
    <w:name w:val="标题 4 Char"/>
    <w:link w:val="6"/>
    <w:qFormat/>
    <w:uiPriority w:val="0"/>
    <w:rPr>
      <w:rFonts w:ascii="Times New Roman" w:hAnsi="Times New Roman" w:eastAsia="宋体"/>
      <w:b/>
      <w:bCs/>
      <w:kern w:val="0"/>
      <w:sz w:val="24"/>
      <w:szCs w:val="20"/>
    </w:rPr>
  </w:style>
  <w:style w:type="paragraph" w:customStyle="1" w:styleId="58">
    <w:name w:val="Body Text First Indent 21"/>
    <w:basedOn w:val="59"/>
    <w:next w:val="60"/>
    <w:qFormat/>
    <w:uiPriority w:val="0"/>
    <w:pPr>
      <w:spacing w:line="240" w:lineRule="auto"/>
      <w:ind w:firstLine="420"/>
    </w:pPr>
    <w:rPr>
      <w:rFonts w:eastAsia="仿宋_GB2312"/>
      <w:kern w:val="2"/>
      <w:sz w:val="32"/>
      <w:szCs w:val="24"/>
    </w:rPr>
  </w:style>
  <w:style w:type="paragraph" w:customStyle="1" w:styleId="59">
    <w:name w:val="Body Text Indent1"/>
    <w:basedOn w:val="1"/>
    <w:qFormat/>
    <w:uiPriority w:val="0"/>
    <w:pPr>
      <w:spacing w:after="120"/>
      <w:ind w:left="420" w:leftChars="200"/>
    </w:pPr>
    <w:rPr>
      <w:rFonts w:eastAsia="楷体_GB2312"/>
      <w:kern w:val="2"/>
      <w:sz w:val="32"/>
      <w:szCs w:val="24"/>
    </w:rPr>
  </w:style>
  <w:style w:type="paragraph" w:customStyle="1" w:styleId="60">
    <w:name w:val="Plain Text1"/>
    <w:basedOn w:val="1"/>
    <w:next w:val="61"/>
    <w:qFormat/>
    <w:uiPriority w:val="0"/>
    <w:rPr>
      <w:rFonts w:ascii="宋体" w:eastAsia="宋体" w:cs="Courier New"/>
      <w:szCs w:val="21"/>
    </w:rPr>
  </w:style>
  <w:style w:type="paragraph" w:customStyle="1" w:styleId="61">
    <w:name w:val="List Number 5"/>
    <w:basedOn w:val="1"/>
    <w:qFormat/>
    <w:uiPriority w:val="0"/>
    <w:pPr>
      <w:numPr>
        <w:ilvl w:val="0"/>
        <w:numId w:val="3"/>
      </w:numPr>
    </w:pPr>
  </w:style>
  <w:style w:type="paragraph" w:customStyle="1" w:styleId="62">
    <w:name w:val="List Number 51"/>
    <w:basedOn w:val="1"/>
    <w:qFormat/>
    <w:uiPriority w:val="0"/>
    <w:pPr>
      <w:numPr>
        <w:ilvl w:val="0"/>
        <w:numId w:val="3"/>
      </w:numPr>
    </w:pPr>
  </w:style>
  <w:style w:type="paragraph" w:customStyle="1" w:styleId="63">
    <w:name w:val="默认段落"/>
    <w:basedOn w:val="1"/>
    <w:qFormat/>
    <w:uiPriority w:val="0"/>
    <w:rPr>
      <w:sz w:val="24"/>
      <w:szCs w:val="24"/>
    </w:rPr>
  </w:style>
  <w:style w:type="paragraph" w:customStyle="1" w:styleId="64">
    <w:name w:val="报告表格"/>
    <w:basedOn w:val="1"/>
    <w:qFormat/>
    <w:uiPriority w:val="0"/>
    <w:pPr>
      <w:autoSpaceDE w:val="0"/>
      <w:autoSpaceDN w:val="0"/>
      <w:adjustRightInd w:val="0"/>
      <w:spacing w:line="240" w:lineRule="auto"/>
      <w:ind w:firstLine="0" w:firstLineChars="0"/>
      <w:jc w:val="center"/>
      <w:textAlignment w:val="baseline"/>
    </w:pPr>
    <w:rPr>
      <w:kern w:val="0"/>
      <w:sz w:val="21"/>
      <w:szCs w:val="20"/>
    </w:rPr>
  </w:style>
  <w:style w:type="paragraph" w:customStyle="1" w:styleId="65">
    <w:name w:val="Default"/>
    <w:basedOn w:val="66"/>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66">
    <w:name w:val="纯文本1"/>
    <w:basedOn w:val="1"/>
    <w:qFormat/>
    <w:uiPriority w:val="0"/>
    <w:pPr>
      <w:adjustRightInd w:val="0"/>
      <w:textAlignment w:val="baseline"/>
    </w:pPr>
    <w:rPr>
      <w:rFonts w:ascii="宋体" w:hAnsi="Courier New"/>
      <w:szCs w:val="20"/>
    </w:rPr>
  </w:style>
  <w:style w:type="paragraph" w:customStyle="1" w:styleId="67">
    <w:name w:val="样式 正文文本缩进 + 行距: 1.5 倍行距"/>
    <w:basedOn w:val="1"/>
    <w:qFormat/>
    <w:uiPriority w:val="0"/>
    <w:pPr>
      <w:spacing w:after="120" w:afterLines="0" w:line="360" w:lineRule="auto"/>
      <w:ind w:left="90" w:leftChars="32" w:firstLine="560" w:firstLineChars="200"/>
    </w:pPr>
    <w:rPr>
      <w:rFonts w:cs="宋体"/>
    </w:rPr>
  </w:style>
  <w:style w:type="character" w:customStyle="1" w:styleId="68">
    <w:name w:val="标题 2 Char"/>
    <w:link w:val="4"/>
    <w:qFormat/>
    <w:uiPriority w:val="99"/>
    <w:rPr>
      <w:rFonts w:ascii="Times New Roman" w:hAnsi="Times New Roman" w:eastAsia="宋体"/>
      <w:b/>
      <w:bCs/>
      <w:kern w:val="0"/>
      <w:sz w:val="28"/>
      <w:szCs w:val="32"/>
    </w:rPr>
  </w:style>
  <w:style w:type="paragraph" w:customStyle="1" w:styleId="69">
    <w:name w:val="样式1"/>
    <w:basedOn w:val="1"/>
    <w:next w:val="25"/>
    <w:qFormat/>
    <w:uiPriority w:val="0"/>
    <w:pPr>
      <w:ind w:firstLine="510"/>
    </w:pPr>
    <w:rPr>
      <w:szCs w:val="20"/>
    </w:rPr>
  </w:style>
  <w:style w:type="character" w:customStyle="1" w:styleId="70">
    <w:name w:val="批注文字 Char"/>
    <w:link w:val="9"/>
    <w:qFormat/>
    <w:locked/>
    <w:uiPriority w:val="0"/>
    <w:rPr>
      <w:rFonts w:ascii="Times New Roman" w:hAnsi="Times New Roman" w:eastAsia="宋体"/>
      <w:sz w:val="24"/>
    </w:rPr>
  </w:style>
  <w:style w:type="character" w:customStyle="1" w:styleId="71">
    <w:name w:val="批注主题 Char"/>
    <w:link w:val="29"/>
    <w:semiHidden/>
    <w:qFormat/>
    <w:locked/>
    <w:uiPriority w:val="0"/>
    <w:rPr>
      <w:rFonts w:ascii="Times New Roman" w:hAnsi="Times New Roman" w:eastAsia="宋体"/>
      <w:b/>
      <w:kern w:val="2"/>
      <w:sz w:val="24"/>
    </w:rPr>
  </w:style>
  <w:style w:type="character" w:customStyle="1" w:styleId="72">
    <w:name w:val="页脚 字符"/>
    <w:qFormat/>
    <w:uiPriority w:val="99"/>
  </w:style>
  <w:style w:type="character" w:customStyle="1" w:styleId="73">
    <w:name w:val="正文文本 字符1"/>
    <w:semiHidden/>
    <w:qFormat/>
    <w:uiPriority w:val="0"/>
    <w:rPr>
      <w:rFonts w:ascii="Times New Roman" w:hAnsi="Times New Roman" w:eastAsia="宋体"/>
      <w:sz w:val="24"/>
    </w:rPr>
  </w:style>
  <w:style w:type="character" w:customStyle="1" w:styleId="74">
    <w:name w:val="font01"/>
    <w:basedOn w:val="33"/>
    <w:qFormat/>
    <w:uiPriority w:val="0"/>
    <w:rPr>
      <w:rFonts w:hint="default" w:ascii="Times New Roman" w:hAnsi="Times New Roman" w:cs="Times New Roman"/>
      <w:color w:val="FF0000"/>
      <w:sz w:val="21"/>
      <w:szCs w:val="21"/>
      <w:u w:val="none"/>
    </w:rPr>
  </w:style>
  <w:style w:type="character" w:customStyle="1" w:styleId="75">
    <w:name w:val="正文文本缩进 Char"/>
    <w:link w:val="12"/>
    <w:semiHidden/>
    <w:qFormat/>
    <w:locked/>
    <w:uiPriority w:val="0"/>
    <w:rPr>
      <w:rFonts w:ascii="Times New Roman" w:hAnsi="Times New Roman" w:eastAsia="宋体"/>
      <w:sz w:val="24"/>
    </w:rPr>
  </w:style>
  <w:style w:type="character" w:customStyle="1" w:styleId="76">
    <w:name w:val="font11"/>
    <w:basedOn w:val="33"/>
    <w:qFormat/>
    <w:uiPriority w:val="0"/>
    <w:rPr>
      <w:rFonts w:hint="eastAsia" w:ascii="宋体" w:hAnsi="宋体" w:eastAsia="宋体" w:cs="宋体"/>
      <w:color w:val="000000"/>
      <w:sz w:val="21"/>
      <w:szCs w:val="21"/>
      <w:u w:val="none"/>
    </w:rPr>
  </w:style>
  <w:style w:type="character" w:customStyle="1" w:styleId="77">
    <w:name w:val="页脚 Char"/>
    <w:link w:val="20"/>
    <w:qFormat/>
    <w:locked/>
    <w:uiPriority w:val="99"/>
    <w:rPr>
      <w:sz w:val="18"/>
    </w:rPr>
  </w:style>
  <w:style w:type="character" w:customStyle="1" w:styleId="78">
    <w:name w:val="日期 Char"/>
    <w:link w:val="18"/>
    <w:qFormat/>
    <w:locked/>
    <w:uiPriority w:val="0"/>
    <w:rPr>
      <w:rFonts w:ascii="Times New Roman" w:hAnsi="Times New Roman" w:eastAsia="宋体"/>
      <w:sz w:val="24"/>
    </w:rPr>
  </w:style>
  <w:style w:type="character" w:customStyle="1" w:styleId="79">
    <w:name w:val="批注框文本 Char"/>
    <w:link w:val="19"/>
    <w:semiHidden/>
    <w:qFormat/>
    <w:locked/>
    <w:uiPriority w:val="0"/>
    <w:rPr>
      <w:rFonts w:ascii="Times New Roman" w:hAnsi="Times New Roman" w:eastAsia="宋体"/>
      <w:sz w:val="18"/>
    </w:rPr>
  </w:style>
  <w:style w:type="character" w:customStyle="1" w:styleId="80">
    <w:name w:val="正文文本 Char"/>
    <w:link w:val="11"/>
    <w:qFormat/>
    <w:locked/>
    <w:uiPriority w:val="0"/>
    <w:rPr>
      <w:sz w:val="18"/>
    </w:rPr>
  </w:style>
  <w:style w:type="character" w:customStyle="1" w:styleId="81">
    <w:name w:val="日期 字符"/>
    <w:semiHidden/>
    <w:qFormat/>
    <w:uiPriority w:val="0"/>
    <w:rPr>
      <w:rFonts w:ascii="Times New Roman" w:hAnsi="Times New Roman" w:eastAsia="宋体"/>
      <w:sz w:val="24"/>
    </w:rPr>
  </w:style>
  <w:style w:type="character" w:customStyle="1" w:styleId="82">
    <w:name w:val="普通(网站) Char"/>
    <w:link w:val="28"/>
    <w:qFormat/>
    <w:locked/>
    <w:uiPriority w:val="0"/>
    <w:rPr>
      <w:rFonts w:ascii="宋体" w:hAnsi="宋体" w:eastAsia="宋体"/>
      <w:sz w:val="24"/>
    </w:rPr>
  </w:style>
  <w:style w:type="character" w:customStyle="1" w:styleId="83">
    <w:name w:val="font31"/>
    <w:qFormat/>
    <w:uiPriority w:val="0"/>
    <w:rPr>
      <w:rFonts w:hint="default" w:ascii="Times New Roman" w:hAnsi="Times New Roman" w:cs="Times New Roman"/>
      <w:color w:val="000000"/>
      <w:sz w:val="21"/>
      <w:szCs w:val="21"/>
      <w:u w:val="none"/>
    </w:rPr>
  </w:style>
  <w:style w:type="character" w:customStyle="1" w:styleId="84">
    <w:name w:val="表格 Char"/>
    <w:link w:val="55"/>
    <w:qFormat/>
    <w:locked/>
    <w:uiPriority w:val="0"/>
    <w:rPr>
      <w:rFonts w:ascii="宋体"/>
      <w:sz w:val="21"/>
    </w:rPr>
  </w:style>
  <w:style w:type="character" w:customStyle="1" w:styleId="85">
    <w:name w:val="批注文字 字符1"/>
    <w:semiHidden/>
    <w:qFormat/>
    <w:uiPriority w:val="0"/>
    <w:rPr>
      <w:rFonts w:ascii="Times New Roman" w:hAnsi="Times New Roman" w:eastAsia="宋体"/>
      <w:sz w:val="24"/>
    </w:rPr>
  </w:style>
  <w:style w:type="character" w:customStyle="1" w:styleId="86">
    <w:name w:val="font21"/>
    <w:basedOn w:val="33"/>
    <w:qFormat/>
    <w:uiPriority w:val="0"/>
    <w:rPr>
      <w:rFonts w:hint="default" w:ascii="Times New Roman" w:hAnsi="Times New Roman" w:cs="Times New Roman"/>
      <w:color w:val="000000"/>
      <w:sz w:val="21"/>
      <w:szCs w:val="21"/>
      <w:u w:val="none"/>
      <w:vertAlign w:val="subscript"/>
    </w:rPr>
  </w:style>
  <w:style w:type="character" w:customStyle="1" w:styleId="87">
    <w:name w:val="font41"/>
    <w:basedOn w:val="33"/>
    <w:qFormat/>
    <w:uiPriority w:val="0"/>
    <w:rPr>
      <w:rFonts w:hint="default" w:ascii="Times New Roman" w:hAnsi="Times New Roman" w:cs="Times New Roman"/>
      <w:color w:val="FF0000"/>
      <w:sz w:val="21"/>
      <w:szCs w:val="21"/>
      <w:u w:val="none"/>
      <w:vertAlign w:val="superscript"/>
    </w:rPr>
  </w:style>
  <w:style w:type="paragraph" w:customStyle="1" w:styleId="88">
    <w:name w:val="表内文字"/>
    <w:qFormat/>
    <w:uiPriority w:val="0"/>
    <w:pPr>
      <w:jc w:val="center"/>
    </w:pPr>
    <w:rPr>
      <w:rFonts w:ascii="宋体" w:hAnsi="宋体" w:eastAsia="宋体" w:cs="Times New Roman"/>
      <w:sz w:val="21"/>
      <w:szCs w:val="21"/>
      <w:lang w:val="en-US" w:eastAsia="zh-CN" w:bidi="ar-SA"/>
    </w:rPr>
  </w:style>
  <w:style w:type="paragraph" w:customStyle="1" w:styleId="89">
    <w:name w:val="样式1-41"/>
    <w:basedOn w:val="90"/>
    <w:qFormat/>
    <w:uiPriority w:val="0"/>
    <w:pPr>
      <w:numPr>
        <w:ilvl w:val="3"/>
      </w:numPr>
      <w:ind w:left="0" w:firstLine="0"/>
      <w:outlineLvl w:val="3"/>
    </w:pPr>
    <w:rPr>
      <w:sz w:val="28"/>
    </w:rPr>
  </w:style>
  <w:style w:type="paragraph" w:customStyle="1" w:styleId="90">
    <w:name w:val="样式1-3"/>
    <w:basedOn w:val="1"/>
    <w:qFormat/>
    <w:uiPriority w:val="0"/>
    <w:pPr>
      <w:keepNext/>
      <w:keepLines/>
      <w:numPr>
        <w:ilvl w:val="2"/>
        <w:numId w:val="4"/>
      </w:numPr>
      <w:spacing w:before="60" w:after="60" w:line="360" w:lineRule="auto"/>
      <w:ind w:left="0" w:firstLine="0"/>
      <w:outlineLvl w:val="2"/>
    </w:pPr>
    <w:rPr>
      <w:b/>
      <w:bCs/>
      <w:color w:val="000000"/>
      <w:sz w:val="32"/>
    </w:rPr>
  </w:style>
  <w:style w:type="paragraph" w:customStyle="1" w:styleId="91">
    <w:name w:val="正文 首行缩进:  2 字符"/>
    <w:basedOn w:val="1"/>
    <w:qFormat/>
    <w:uiPriority w:val="99"/>
    <w:pPr>
      <w:ind w:firstLine="579" w:firstLineChars="200"/>
    </w:pPr>
    <w:rPr>
      <w:rFonts w:ascii="Times New Roman" w:hAnsi="Times New Roman" w:cs="宋体"/>
      <w:szCs w:val="20"/>
    </w:rPr>
  </w:style>
  <w:style w:type="paragraph" w:customStyle="1" w:styleId="92">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93">
    <w:name w:val="表内容"/>
    <w:basedOn w:val="1"/>
    <w:next w:val="1"/>
    <w:qFormat/>
    <w:uiPriority w:val="0"/>
    <w:pPr>
      <w:jc w:val="center"/>
    </w:pPr>
    <w:rPr>
      <w:rFonts w:ascii="宋体" w:hAnsi="宋体" w:eastAsia="宋体"/>
      <w:kern w:val="2"/>
      <w:sz w:val="21"/>
      <w:lang w:val="en-US" w:eastAsia="zh-CN" w:bidi="ar-SA"/>
    </w:rPr>
  </w:style>
  <w:style w:type="paragraph" w:customStyle="1" w:styleId="94">
    <w:name w:val="样式 表内容 + 行距: 固定值 28 磅"/>
    <w:basedOn w:val="93"/>
    <w:qFormat/>
    <w:uiPriority w:val="0"/>
    <w:pPr>
      <w:spacing w:line="240" w:lineRule="auto"/>
    </w:pPr>
    <w:rPr>
      <w:rFonts w:cs="宋体"/>
      <w:szCs w:val="20"/>
    </w:rPr>
  </w:style>
  <w:style w:type="paragraph" w:customStyle="1" w:styleId="95">
    <w:name w:val="段落1"/>
    <w:basedOn w:val="1"/>
    <w:qFormat/>
    <w:uiPriority w:val="0"/>
    <w:pPr>
      <w:spacing w:line="480" w:lineRule="exact"/>
      <w:ind w:firstLine="584" w:firstLineChars="200"/>
    </w:pPr>
    <w:rPr>
      <w:spacing w:val="6"/>
      <w:sz w:val="28"/>
      <w:szCs w:val="24"/>
    </w:rPr>
  </w:style>
  <w:style w:type="paragraph" w:customStyle="1" w:styleId="96">
    <w:name w:val="正文1"/>
    <w:basedOn w:val="1"/>
    <w:qFormat/>
    <w:uiPriority w:val="0"/>
    <w:pPr>
      <w:adjustRightInd w:val="0"/>
      <w:snapToGrid w:val="0"/>
      <w:spacing w:line="360" w:lineRule="auto"/>
      <w:ind w:firstLine="480" w:firstLineChars="200"/>
    </w:pPr>
    <w:rPr>
      <w:color w:val="000000"/>
      <w:sz w:val="24"/>
      <w:szCs w:val="21"/>
    </w:rPr>
  </w:style>
  <w:style w:type="paragraph" w:customStyle="1" w:styleId="97">
    <w:name w:val="List Paragraph"/>
    <w:basedOn w:val="1"/>
    <w:qFormat/>
    <w:uiPriority w:val="99"/>
    <w:pPr>
      <w:ind w:firstLine="420"/>
    </w:pPr>
  </w:style>
  <w:style w:type="paragraph" w:customStyle="1" w:styleId="98">
    <w:name w:val="表格内正文"/>
    <w:basedOn w:val="1"/>
    <w:qFormat/>
    <w:uiPriority w:val="0"/>
    <w:pPr>
      <w:spacing w:line="360" w:lineRule="auto"/>
      <w:ind w:firstLine="493"/>
    </w:pPr>
    <w:rPr>
      <w:rFonts w:ascii="宋体" w:hAnsi="宋体"/>
      <w:spacing w:val="4"/>
      <w:kern w:val="18"/>
      <w:sz w:val="24"/>
    </w:rPr>
  </w:style>
  <w:style w:type="paragraph" w:customStyle="1" w:styleId="99">
    <w:name w:val="aa正文"/>
    <w:basedOn w:val="1"/>
    <w:qFormat/>
    <w:uiPriority w:val="0"/>
    <w:pPr>
      <w:spacing w:line="360" w:lineRule="auto"/>
      <w:ind w:firstLine="200" w:firstLineChars="200"/>
    </w:pPr>
    <w:rPr>
      <w:sz w:val="24"/>
    </w:rPr>
  </w:style>
  <w:style w:type="paragraph" w:customStyle="1" w:styleId="100">
    <w:name w:val="表"/>
    <w:basedOn w:val="1"/>
    <w:qFormat/>
    <w:uiPriority w:val="0"/>
    <w:pPr>
      <w:keepNext/>
      <w:keepLines/>
      <w:autoSpaceDE w:val="0"/>
      <w:autoSpaceDN w:val="0"/>
      <w:spacing w:line="240" w:lineRule="auto"/>
      <w:jc w:val="center"/>
    </w:pPr>
    <w:rPr>
      <w:kern w:val="21"/>
      <w:sz w:val="21"/>
      <w:szCs w:val="20"/>
    </w:rPr>
  </w:style>
  <w:style w:type="paragraph" w:customStyle="1" w:styleId="101">
    <w:name w:val="表格后空行"/>
    <w:basedOn w:val="5"/>
    <w:qFormat/>
    <w:uiPriority w:val="0"/>
    <w:pPr>
      <w:spacing w:line="240" w:lineRule="exact"/>
      <w:textAlignment w:val="baseline"/>
      <w:outlineLvl w:val="9"/>
    </w:pPr>
    <w:rPr>
      <w:rFonts w:ascii="宋体" w:cs="宋体"/>
      <w:b w:val="0"/>
      <w:bCs w:val="0"/>
      <w:color w:val="000000"/>
      <w:sz w:val="18"/>
      <w:szCs w:val="20"/>
    </w:rPr>
  </w:style>
  <w:style w:type="paragraph" w:customStyle="1" w:styleId="10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表格文字"/>
    <w:basedOn w:val="11"/>
    <w:qFormat/>
    <w:uiPriority w:val="0"/>
    <w:pPr>
      <w:tabs>
        <w:tab w:val="left" w:pos="360"/>
        <w:tab w:val="left" w:pos="1620"/>
      </w:tabs>
      <w:snapToGrid w:val="0"/>
      <w:spacing w:before="60" w:after="60" w:line="240" w:lineRule="auto"/>
      <w:ind w:firstLine="0" w:firstLineChars="0"/>
      <w:jc w:val="center"/>
    </w:pPr>
    <w:rPr>
      <w:rFonts w:ascii="Times New Roman" w:hAnsi="Times New Roman"/>
      <w:szCs w:val="21"/>
    </w:rPr>
  </w:style>
  <w:style w:type="paragraph" w:customStyle="1" w:styleId="104">
    <w:name w:val="正文A"/>
    <w:basedOn w:val="105"/>
    <w:qFormat/>
    <w:uiPriority w:val="0"/>
    <w:pPr>
      <w:widowControl w:val="0"/>
      <w:spacing w:line="500" w:lineRule="exact"/>
      <w:ind w:firstLine="480" w:firstLineChars="200"/>
      <w:jc w:val="both"/>
    </w:pPr>
    <w:rPr>
      <w:rFonts w:ascii="华文仿宋" w:hAnsi="华文仿宋" w:eastAsia="华文仿宋" w:cs="华文仿宋"/>
      <w:kern w:val="2"/>
    </w:rPr>
  </w:style>
  <w:style w:type="paragraph" w:customStyle="1" w:styleId="105">
    <w:name w:val="正文!!!!!!!!!!!"/>
    <w:basedOn w:val="106"/>
    <w:qFormat/>
    <w:uiPriority w:val="0"/>
    <w:pPr>
      <w:ind w:firstLine="480"/>
    </w:pPr>
    <w:rPr>
      <w:rFonts w:ascii="Times New Roman" w:hAnsi="Times New Roman" w:eastAsia="宋体"/>
    </w:rPr>
  </w:style>
  <w:style w:type="paragraph" w:customStyle="1" w:styleId="106">
    <w:name w:val="正文 楷体"/>
    <w:basedOn w:val="1"/>
    <w:qFormat/>
    <w:uiPriority w:val="0"/>
    <w:pPr>
      <w:spacing w:line="500" w:lineRule="exact"/>
      <w:ind w:firstLine="200"/>
    </w:pPr>
    <w:rPr>
      <w:rFonts w:ascii="楷体_GB2312" w:hAnsi="楷体_GB2312" w:eastAsia="楷体_GB2312"/>
    </w:rPr>
  </w:style>
  <w:style w:type="paragraph" w:customStyle="1" w:styleId="107">
    <w:name w:val="正文(首行缩进)"/>
    <w:basedOn w:val="1"/>
    <w:next w:val="1"/>
    <w:qFormat/>
    <w:uiPriority w:val="0"/>
    <w:pPr>
      <w:ind w:firstLine="540" w:firstLineChars="225"/>
    </w:pPr>
    <w:rPr>
      <w:rFonts w:ascii="Times New Roman"/>
      <w:snapToGrid w:val="0"/>
      <w:color w:val="000000"/>
      <w:szCs w:val="24"/>
    </w:rPr>
  </w:style>
  <w:style w:type="paragraph" w:customStyle="1" w:styleId="108">
    <w:name w:val="正文邵"/>
    <w:basedOn w:val="1"/>
    <w:qFormat/>
    <w:uiPriority w:val="0"/>
    <w:pPr>
      <w:ind w:firstLine="200" w:firstLineChars="200"/>
    </w:pPr>
    <w:rPr>
      <w:rFonts w:ascii="Times New Roman"/>
      <w:kern w:val="2"/>
      <w:szCs w:val="24"/>
    </w:rPr>
  </w:style>
  <w:style w:type="paragraph" w:customStyle="1" w:styleId="109">
    <w:name w:val="表、图名"/>
    <w:basedOn w:val="1"/>
    <w:qFormat/>
    <w:uiPriority w:val="0"/>
    <w:pPr>
      <w:adjustRightInd w:val="0"/>
      <w:snapToGrid w:val="0"/>
      <w:spacing w:line="240" w:lineRule="auto"/>
      <w:ind w:left="0" w:firstLine="561"/>
      <w:jc w:val="center"/>
    </w:pPr>
    <w:rPr>
      <w:rFonts w:ascii="Times New Roman" w:hAnsi="Times New Roman" w:eastAsia="宋体"/>
      <w:b/>
      <w:sz w:val="21"/>
      <w:szCs w:val="24"/>
    </w:rPr>
  </w:style>
  <w:style w:type="paragraph" w:customStyle="1" w:styleId="110">
    <w:name w:val="无间隔1"/>
    <w:qFormat/>
    <w:uiPriority w:val="0"/>
    <w:pPr>
      <w:widowControl w:val="0"/>
      <w:adjustRightInd w:val="0"/>
      <w:snapToGrid w:val="0"/>
      <w:jc w:val="both"/>
    </w:pPr>
    <w:rPr>
      <w:rFonts w:ascii="Calibri" w:hAnsi="Calibri" w:eastAsia="宋体" w:cs="Times New Roman"/>
      <w:kern w:val="2"/>
      <w:sz w:val="21"/>
      <w:lang w:val="en-US" w:eastAsia="zh-CN" w:bidi="ar-SA"/>
    </w:rPr>
  </w:style>
  <w:style w:type="character" w:customStyle="1" w:styleId="111">
    <w:name w:val="fontstyle01"/>
    <w:qFormat/>
    <w:uiPriority w:val="0"/>
    <w:rPr>
      <w:rFonts w:hint="default" w:ascii="CIDFont+F3" w:hAnsi="CIDFont+F3"/>
      <w:color w:val="000000"/>
      <w:sz w:val="24"/>
      <w:szCs w:val="24"/>
    </w:rPr>
  </w:style>
  <w:style w:type="character" w:customStyle="1" w:styleId="112">
    <w:name w:val="fontstyle21"/>
    <w:qFormat/>
    <w:uiPriority w:val="0"/>
    <w:rPr>
      <w:rFonts w:hint="default" w:ascii="CIDFont+F1" w:hAnsi="CIDFont+F1"/>
      <w:color w:val="000000"/>
      <w:sz w:val="24"/>
      <w:szCs w:val="24"/>
    </w:rPr>
  </w:style>
  <w:style w:type="paragraph" w:customStyle="1" w:styleId="113">
    <w:name w:val="正文样式2"/>
    <w:basedOn w:val="1"/>
    <w:qFormat/>
    <w:uiPriority w:val="0"/>
    <w:pPr>
      <w:spacing w:line="560" w:lineRule="exact"/>
      <w:ind w:firstLine="601"/>
    </w:pPr>
    <w:rPr>
      <w:sz w:val="28"/>
      <w:szCs w:val="20"/>
    </w:rPr>
  </w:style>
  <w:style w:type="paragraph" w:customStyle="1" w:styleId="114">
    <w:name w:val="Table Paragraph"/>
    <w:basedOn w:val="1"/>
    <w:qFormat/>
    <w:uiPriority w:val="1"/>
    <w:pPr>
      <w:jc w:val="center"/>
    </w:pPr>
    <w:rPr>
      <w:rFonts w:ascii="宋体" w:hAnsi="宋体" w:eastAsia="宋体" w:cs="宋体"/>
      <w:lang w:val="nl-NL" w:eastAsia="nl-NL" w:bidi="nl-NL"/>
    </w:rPr>
  </w:style>
  <w:style w:type="paragraph" w:customStyle="1" w:styleId="115">
    <w:name w:val="正文_21"/>
    <w:qFormat/>
    <w:uiPriority w:val="0"/>
    <w:pPr>
      <w:widowControl w:val="0"/>
      <w:jc w:val="both"/>
    </w:pPr>
    <w:rPr>
      <w:rFonts w:ascii="Calibri" w:hAnsi="Calibri" w:eastAsia="宋体" w:cs="Times New Roman"/>
      <w:kern w:val="2"/>
      <w:sz w:val="21"/>
      <w:szCs w:val="20"/>
      <w:lang w:val="en-US" w:eastAsia="zh-CN" w:bidi="ar-SA"/>
    </w:rPr>
  </w:style>
  <w:style w:type="paragraph" w:customStyle="1" w:styleId="116">
    <w:name w:val="表格1"/>
    <w:basedOn w:val="1"/>
    <w:qFormat/>
    <w:uiPriority w:val="0"/>
    <w:pPr>
      <w:widowControl w:val="0"/>
      <w:spacing w:line="240" w:lineRule="auto"/>
      <w:ind w:firstLine="0" w:firstLineChars="0"/>
      <w:jc w:val="center"/>
    </w:pPr>
    <w:rPr>
      <w:rFonts w:eastAsia="方正仿宋_GBK"/>
      <w:color w:val="000000"/>
      <w:kern w:val="0"/>
      <w:sz w:val="21"/>
      <w:szCs w:val="24"/>
      <w:lang w:bidi="ar-SA"/>
    </w:rPr>
  </w:style>
  <w:style w:type="table" w:customStyle="1" w:styleId="117">
    <w:name w:val="Table Normal"/>
    <w:semiHidden/>
    <w:unhideWhenUsed/>
    <w:qFormat/>
    <w:uiPriority w:val="0"/>
    <w:tblPr>
      <w:tblCellMar>
        <w:top w:w="0" w:type="dxa"/>
        <w:left w:w="0" w:type="dxa"/>
        <w:bottom w:w="0" w:type="dxa"/>
        <w:right w:w="0" w:type="dxa"/>
      </w:tblCellMar>
    </w:tblPr>
  </w:style>
  <w:style w:type="paragraph" w:customStyle="1" w:styleId="118">
    <w:name w:val="正文表格（非内容）"/>
    <w:qFormat/>
    <w:uiPriority w:val="0"/>
    <w:pPr>
      <w:jc w:val="center"/>
    </w:pPr>
    <w:rPr>
      <w:rFonts w:ascii="Times New Roman" w:hAnsi="Times New Roman" w:eastAsia="宋体" w:cs="Times New Roman"/>
      <w:b/>
      <w:kern w:val="2"/>
      <w:sz w:val="21"/>
      <w:szCs w:val="24"/>
      <w:lang w:bidi="ar-SA"/>
    </w:rPr>
  </w:style>
  <w:style w:type="paragraph" w:customStyle="1" w:styleId="119">
    <w:name w:val="表格内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120">
    <w:name w:val="[1]正文"/>
    <w:basedOn w:val="1"/>
    <w:qFormat/>
    <w:uiPriority w:val="0"/>
    <w:pPr>
      <w:autoSpaceDE w:val="0"/>
      <w:autoSpaceDN w:val="0"/>
      <w:spacing w:line="500" w:lineRule="exact"/>
      <w:ind w:firstLine="200" w:firstLineChars="200"/>
    </w:pPr>
    <w:rPr>
      <w:rFonts w:ascii="Times New Roman" w:hAnsi="Times New Roman"/>
      <w:color w:val="000000"/>
      <w:kern w:val="0"/>
      <w:sz w:val="24"/>
      <w:lang w:val="zh-CN"/>
    </w:rPr>
  </w:style>
  <w:style w:type="paragraph" w:customStyle="1" w:styleId="121">
    <w:name w:val="book"/>
    <w:basedOn w:val="1"/>
    <w:qFormat/>
    <w:uiPriority w:val="0"/>
    <w:pPr>
      <w:spacing w:line="360" w:lineRule="exact"/>
      <w:jc w:val="center"/>
    </w:pPr>
    <w:rPr>
      <w:szCs w:val="20"/>
    </w:rPr>
  </w:style>
  <w:style w:type="paragraph" w:customStyle="1" w:styleId="122">
    <w:name w:val="表格0"/>
    <w:next w:val="1"/>
    <w:qFormat/>
    <w:uiPriority w:val="0"/>
    <w:pPr>
      <w:adjustRightInd w:val="0"/>
      <w:snapToGrid w:val="0"/>
      <w:jc w:val="center"/>
    </w:pPr>
    <w:rPr>
      <w:rFonts w:ascii="Times New Roman" w:hAnsi="Times New Roman" w:eastAsia="宋体" w:cs="Times New Roman"/>
      <w:sz w:val="21"/>
      <w:lang w:val="en-US" w:eastAsia="zh-CN" w:bidi="ar-SA"/>
    </w:rPr>
  </w:style>
  <w:style w:type="paragraph" w:customStyle="1" w:styleId="123">
    <w:name w:val="4正文"/>
    <w:qFormat/>
    <w:uiPriority w:val="0"/>
    <w:pPr>
      <w:widowControl w:val="0"/>
      <w:spacing w:line="52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124">
    <w:name w:val="样式 首行缩进:  2 字符1"/>
    <w:basedOn w:val="1"/>
    <w:qFormat/>
    <w:uiPriority w:val="0"/>
    <w:pPr>
      <w:adjustRightInd w:val="0"/>
      <w:snapToGrid w:val="0"/>
      <w:spacing w:line="360" w:lineRule="auto"/>
      <w:ind w:firstLine="480" w:firstLineChars="200"/>
    </w:pPr>
    <w:rPr>
      <w:rFonts w:cs="宋体"/>
      <w:sz w:val="24"/>
    </w:rPr>
  </w:style>
  <w:style w:type="paragraph" w:customStyle="1" w:styleId="125">
    <w:name w:val="正文文本首行缩进 21"/>
    <w:basedOn w:val="12"/>
    <w:qFormat/>
    <w:uiPriority w:val="99"/>
    <w:pPr>
      <w:ind w:firstLine="420"/>
    </w:pPr>
  </w:style>
  <w:style w:type="paragraph" w:customStyle="1" w:styleId="126">
    <w:name w:val="No Spacing"/>
    <w:qFormat/>
    <w:uiPriority w:val="0"/>
    <w:pPr>
      <w:widowControl w:val="0"/>
      <w:jc w:val="center"/>
    </w:pPr>
    <w:rPr>
      <w:rFonts w:ascii="宋体" w:hAnsi="Times New Roman" w:eastAsia="宋体" w:cs="Times New Roman"/>
      <w:kern w:val="2"/>
      <w:sz w:val="24"/>
      <w:lang w:val="en-US" w:eastAsia="zh-CN" w:bidi="ar-SA"/>
    </w:rPr>
  </w:style>
  <w:style w:type="paragraph" w:customStyle="1" w:styleId="127">
    <w:name w:val="Table Text"/>
    <w:basedOn w:val="1"/>
    <w:semiHidden/>
    <w:qFormat/>
    <w:uiPriority w:val="0"/>
    <w:rPr>
      <w:rFonts w:ascii="宋体" w:hAnsi="宋体" w:eastAsia="宋体" w:cs="宋体"/>
      <w:sz w:val="21"/>
      <w:szCs w:val="21"/>
      <w:lang w:val="en-US" w:eastAsia="en-US" w:bidi="ar-SA"/>
    </w:rPr>
  </w:style>
  <w:style w:type="paragraph" w:customStyle="1" w:styleId="128">
    <w:name w:val="BodyText1I2"/>
    <w:basedOn w:val="129"/>
    <w:semiHidden/>
    <w:qFormat/>
    <w:uiPriority w:val="0"/>
    <w:pPr>
      <w:spacing w:line="560" w:lineRule="exact"/>
      <w:ind w:left="0" w:leftChars="0" w:firstLine="420" w:firstLineChars="200"/>
    </w:pPr>
    <w:rPr>
      <w:rFonts w:eastAsia="仿宋_GB2312"/>
      <w:sz w:val="32"/>
    </w:rPr>
  </w:style>
  <w:style w:type="paragraph" w:customStyle="1" w:styleId="129">
    <w:name w:val="BodyTextIndent"/>
    <w:basedOn w:val="1"/>
    <w:semiHidden/>
    <w:qFormat/>
    <w:uiPriority w:val="0"/>
    <w:pPr>
      <w:ind w:left="420" w:leftChars="200"/>
      <w:textAlignment w:val="baseline"/>
    </w:pPr>
  </w:style>
  <w:style w:type="paragraph" w:customStyle="1" w:styleId="130">
    <w:name w:val="我"/>
    <w:basedOn w:val="1"/>
    <w:qFormat/>
    <w:uiPriority w:val="0"/>
    <w:pPr>
      <w:ind w:firstLine="640"/>
    </w:pPr>
    <w:rPr>
      <w:kern w:val="0"/>
      <w:szCs w:val="20"/>
    </w:rPr>
  </w:style>
  <w:style w:type="character" w:customStyle="1" w:styleId="131">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132">
    <w:name w:val="UserStyle_0"/>
    <w:basedOn w:val="1"/>
    <w:next w:val="1"/>
    <w:qFormat/>
    <w:uiPriority w:val="0"/>
    <w:pPr>
      <w:spacing w:line="360" w:lineRule="auto"/>
      <w:ind w:firstLine="540" w:firstLineChars="225"/>
      <w:jc w:val="both"/>
      <w:textAlignment w:val="baseline"/>
    </w:pPr>
    <w:rPr>
      <w:rFonts w:ascii="Times New Roman" w:hAnsi="Times New Roman" w:eastAsia="宋体"/>
      <w:color w:val="000000"/>
      <w:kern w:val="2"/>
      <w:sz w:val="24"/>
      <w:lang w:val="en-US" w:eastAsia="zh-CN" w:bidi="ar-SA"/>
    </w:rPr>
  </w:style>
  <w:style w:type="paragraph" w:customStyle="1" w:styleId="133">
    <w:name w:val="Null"/>
    <w:qFormat/>
    <w:uiPriority w:val="0"/>
    <w:pPr>
      <w:snapToGrid w:val="0"/>
      <w:jc w:val="both"/>
      <w:textAlignment w:val="baseline"/>
    </w:pPr>
    <w:rPr>
      <w:rFonts w:ascii="Times New Roman" w:hAnsi="Times New Roman" w:eastAsia="宋体" w:cstheme="minorBidi"/>
      <w:kern w:val="2"/>
      <w:sz w:val="21"/>
      <w:lang w:val="en-US" w:eastAsia="zh-CN" w:bidi="ar-SA"/>
    </w:rPr>
  </w:style>
  <w:style w:type="paragraph" w:customStyle="1" w:styleId="134">
    <w:name w:val="正文样式"/>
    <w:basedOn w:val="1"/>
    <w:qFormat/>
    <w:uiPriority w:val="0"/>
    <w:pPr>
      <w:widowControl/>
      <w:spacing w:line="360" w:lineRule="auto"/>
      <w:ind w:firstLine="480" w:firstLineChars="200"/>
      <w:jc w:val="left"/>
    </w:pPr>
    <w:rPr>
      <w:rFonts w:ascii="宋体" w:hAnsi="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wmf"/><Relationship Id="rId16" Type="http://schemas.openxmlformats.org/officeDocument/2006/relationships/oleObject" Target="embeddings/oleObject4.bin"/><Relationship Id="rId15" Type="http://schemas.openxmlformats.org/officeDocument/2006/relationships/image" Target="media/image5.wmf"/><Relationship Id="rId14" Type="http://schemas.openxmlformats.org/officeDocument/2006/relationships/oleObject" Target="embeddings/oleObject3.bin"/><Relationship Id="rId13" Type="http://schemas.openxmlformats.org/officeDocument/2006/relationships/image" Target="media/image4.wmf"/><Relationship Id="rId12" Type="http://schemas.openxmlformats.org/officeDocument/2006/relationships/oleObject" Target="embeddings/oleObject2.bin"/><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32</Pages>
  <Words>3693</Words>
  <Characters>4124</Characters>
  <Lines>260</Lines>
  <Paragraphs>73</Paragraphs>
  <TotalTime>8</TotalTime>
  <ScaleCrop>false</ScaleCrop>
  <LinksUpToDate>false</LinksUpToDate>
  <CharactersWithSpaces>4169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2021-04-13T08:33:00Z</dcterms:created>
  <dc:creator>lhj</dc:creator>
  <cp:lastModifiedBy>勇敢一点</cp:lastModifiedBy>
  <cp:lastPrinted>2023-10-30T08:15:00Z</cp:lastPrinted>
  <dcterms:modified xsi:type="dcterms:W3CDTF">2026-07-15T14:51:56Z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D5946B95988D4E5CB2EF6825AC2C296B_13</vt:lpwstr>
  </property>
  <property fmtid="{D5CDD505-2E9C-101B-9397-08002B2CF9AE}" pid="4" name="KSOTemplateDocerSaveRecord">
    <vt:lpwstr>eyJoZGlkIjoiNjNkYmM2MGNmZWE4ZWE1OTgyZDU0YmY0NWIwNGNmODQiLCJ1c2VySWQiOiI2NTAyODQ3MjYifQ==</vt:lpwstr>
  </property>
</Properties>
</file>