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28178">
      <w:pPr>
        <w:pStyle w:val="3"/>
        <w:pageBreakBefore w:val="0"/>
        <w:kinsoku/>
        <w:wordWrap/>
        <w:overflowPunct/>
        <w:topLinePunct w:val="0"/>
        <w:bidi w:val="0"/>
        <w:rPr>
          <w:rFonts w:hint="default"/>
          <w:color w:val="auto"/>
          <w:lang w:val="en-US" w:eastAsia="zh-CN"/>
        </w:rPr>
      </w:pPr>
      <w:bookmarkStart w:id="0" w:name="_Toc10163"/>
      <w:bookmarkStart w:id="1" w:name="_Toc17746"/>
      <w:bookmarkStart w:id="2" w:name="_Toc99"/>
      <w:r>
        <w:rPr>
          <w:rFonts w:hint="default"/>
          <w:color w:val="auto"/>
          <w:lang w:val="en-US" w:eastAsia="zh-CN"/>
        </w:rPr>
        <w:t>1、概述</w:t>
      </w:r>
      <w:bookmarkEnd w:id="0"/>
      <w:bookmarkEnd w:id="1"/>
      <w:bookmarkEnd w:id="2"/>
    </w:p>
    <w:p w14:paraId="0BC1ACEC">
      <w:pPr>
        <w:pStyle w:val="4"/>
        <w:keepNext w:val="0"/>
        <w:keepLines w:val="0"/>
        <w:pageBreakBefore w:val="0"/>
        <w:widowControl w:val="0"/>
        <w:kinsoku/>
        <w:wordWrap/>
        <w:overflowPunct/>
        <w:topLinePunct w:val="0"/>
        <w:autoSpaceDE w:val="0"/>
        <w:autoSpaceDN w:val="0"/>
        <w:bidi w:val="0"/>
        <w:adjustRightInd/>
        <w:snapToGrid/>
        <w:textAlignment w:val="auto"/>
        <w:rPr>
          <w:rFonts w:hint="default" w:ascii="Times New Roman" w:hAnsi="Times New Roman" w:cs="Times New Roman"/>
          <w:snapToGrid w:val="0"/>
          <w:color w:val="auto"/>
          <w:spacing w:val="0"/>
          <w:w w:val="100"/>
          <w:position w:val="0"/>
          <w:sz w:val="30"/>
          <w:szCs w:val="30"/>
        </w:rPr>
      </w:pPr>
      <w:bookmarkStart w:id="3" w:name="_bookmark1"/>
      <w:bookmarkEnd w:id="3"/>
      <w:bookmarkStart w:id="4" w:name="1.1 任务由来及背景"/>
      <w:bookmarkEnd w:id="4"/>
      <w:bookmarkStart w:id="5" w:name="_Toc14962"/>
      <w:bookmarkStart w:id="6" w:name="_Toc22847"/>
      <w:bookmarkStart w:id="7" w:name="_Toc22537"/>
      <w:r>
        <w:rPr>
          <w:rFonts w:hint="default" w:ascii="Times New Roman" w:hAnsi="Times New Roman" w:cs="Times New Roman"/>
          <w:snapToGrid w:val="0"/>
          <w:color w:val="auto"/>
          <w:spacing w:val="0"/>
          <w:w w:val="100"/>
          <w:position w:val="0"/>
          <w:sz w:val="30"/>
          <w:szCs w:val="30"/>
          <w:lang w:val="en-US" w:eastAsia="zh-CN"/>
        </w:rPr>
        <w:t>1.1</w:t>
      </w:r>
      <w:r>
        <w:rPr>
          <w:rFonts w:hint="default" w:ascii="Times New Roman" w:hAnsi="Times New Roman" w:cs="Times New Roman"/>
          <w:snapToGrid w:val="0"/>
          <w:color w:val="auto"/>
          <w:spacing w:val="0"/>
          <w:w w:val="100"/>
          <w:position w:val="0"/>
          <w:sz w:val="30"/>
          <w:szCs w:val="30"/>
        </w:rPr>
        <w:t>任务由来及背景</w:t>
      </w:r>
      <w:bookmarkEnd w:id="5"/>
      <w:bookmarkEnd w:id="6"/>
      <w:bookmarkEnd w:id="7"/>
    </w:p>
    <w:p w14:paraId="3EB5161B">
      <w:pPr>
        <w:pageBreakBefore w:val="0"/>
        <w:kinsoku/>
        <w:wordWrap/>
        <w:overflowPunct/>
        <w:topLinePunct w:val="0"/>
        <w:bidi w:val="0"/>
        <w:rPr>
          <w:rFonts w:hint="eastAsia"/>
          <w:color w:val="auto"/>
          <w:lang w:val="en-US" w:eastAsia="zh-CN"/>
        </w:rPr>
      </w:pPr>
      <w:r>
        <w:rPr>
          <w:rFonts w:hint="eastAsia"/>
          <w:color w:val="auto"/>
          <w:lang w:val="en-US" w:eastAsia="zh-CN"/>
        </w:rPr>
        <w:t>近年来，各地方、各部门按照党中央、国务院决策部署，把发展循环经济作为调整经济结构、转变发展方式的有效途径。循环经济是最大限度地节约资源和保护环境的经济发展模式，是解决我国资源环境瓶颈约束的根本性举措。废旧塑料的回收利用作为一项节约能源、保护环境的措施，正日益受到重视，尤其是发达国家工作起步早，已经收到明显效益。利用废旧塑料熔融造粒，既可缓解塑料原料供需矛盾，又可大量节省国家进口原油的外汇。另外，随着滴灌农田面积的进一步扩大及残留滴灌带的增加，势必对土壤结构、耕地质量和生态环境带来有害影响，由于绝大多数塑料不可降解，日积月累，会造成严重的“白色污染”，破坏地球的生态环境，进而影响到农业的可持续发展，而塑料回用可缓解污染问题，且回收废旧农用塑料经过清洗及造粒工序后，依然具有良好的综合材料性能，可满足吹膜、拉丝、拉管、注塑、挤出型材等技术要求，大量应用于塑料制品的生产。</w:t>
      </w:r>
    </w:p>
    <w:p w14:paraId="044F3B77">
      <w:pPr>
        <w:pStyle w:val="65"/>
        <w:keepNext w:val="0"/>
        <w:keepLines w:val="0"/>
        <w:pageBreakBefore w:val="0"/>
        <w:widowControl w:val="0"/>
        <w:kinsoku/>
        <w:wordWrap/>
        <w:overflowPunct/>
        <w:topLinePunct w:val="0"/>
        <w:autoSpaceDE w:val="0"/>
        <w:autoSpaceDN w:val="0"/>
        <w:bidi w:val="0"/>
        <w:adjustRightInd/>
        <w:snapToGrid/>
        <w:ind w:firstLine="480"/>
        <w:textAlignment w:val="auto"/>
        <w:outlineLvl w:val="9"/>
        <w:rPr>
          <w:rFonts w:hint="default" w:ascii="Times New Roman" w:hAnsi="Times New Roman" w:eastAsia="宋体" w:cs="Times New Roman"/>
          <w:color w:val="auto"/>
          <w:highlight w:val="none"/>
        </w:rPr>
      </w:pPr>
      <w:r>
        <w:rPr>
          <w:color w:val="auto"/>
        </w:rPr>
        <w:t>鉴于此，</w:t>
      </w:r>
      <w:r>
        <w:rPr>
          <w:rFonts w:hint="eastAsia"/>
          <w:color w:val="auto"/>
          <w:lang w:eastAsia="zh-CN"/>
        </w:rPr>
        <w:t>托里县乌雪特乡人民政府</w:t>
      </w:r>
      <w:r>
        <w:rPr>
          <w:color w:val="auto"/>
        </w:rPr>
        <w:t>在</w:t>
      </w:r>
      <w:r>
        <w:rPr>
          <w:rFonts w:hint="eastAsia"/>
          <w:color w:val="auto"/>
          <w:lang w:eastAsia="zh-CN"/>
        </w:rPr>
        <w:t>塔城地区托里县乌雪特乡建设托里县乌雪特乡滴灌带厂房建设项目</w:t>
      </w:r>
      <w:r>
        <w:rPr>
          <w:color w:val="auto"/>
        </w:rPr>
        <w:t>，</w:t>
      </w:r>
      <w:r>
        <w:rPr>
          <w:rFonts w:hint="eastAsia"/>
          <w:color w:val="auto"/>
        </w:rPr>
        <w:t>对</w:t>
      </w:r>
      <w:r>
        <w:rPr>
          <w:rFonts w:hint="eastAsia"/>
          <w:color w:val="auto"/>
          <w:lang w:eastAsia="zh-CN"/>
        </w:rPr>
        <w:t>附近地区</w:t>
      </w:r>
      <w:r>
        <w:rPr>
          <w:rFonts w:hint="eastAsia"/>
          <w:color w:val="auto"/>
        </w:rPr>
        <w:t>废弃的农用塑料加以合理回收再生利用。本项目所生产的废旧农用塑料颗粒为聚乙烯再生颗粒，主要应用于生产</w:t>
      </w:r>
      <w:r>
        <w:rPr>
          <w:rFonts w:hint="eastAsia"/>
          <w:color w:val="auto"/>
          <w:lang w:val="en-US" w:eastAsia="zh-CN"/>
        </w:rPr>
        <w:t>农用</w:t>
      </w:r>
      <w:r>
        <w:rPr>
          <w:rFonts w:hint="eastAsia"/>
          <w:color w:val="auto"/>
        </w:rPr>
        <w:t>滴灌带等塑料制品，符合产品国标要求；同时废旧农用塑料颗粒与聚乙烯全新颗粒相比，废旧农用塑料颗粒价格相对较低，可大幅降低其应用产品的制造成本，具备良好的市场竞争能力，农业废弃资源再利用前景广阔，可产生的经济效益、社会效益和生态效益较为显著。</w:t>
      </w:r>
    </w:p>
    <w:p w14:paraId="2843C8D8">
      <w:pPr>
        <w:pStyle w:val="4"/>
        <w:pageBreakBefore w:val="0"/>
        <w:kinsoku/>
        <w:wordWrap/>
        <w:overflowPunct/>
        <w:topLinePunct w:val="0"/>
        <w:bidi w:val="0"/>
        <w:rPr>
          <w:rFonts w:hint="eastAsia"/>
          <w:color w:val="auto"/>
          <w:sz w:val="30"/>
          <w:szCs w:val="30"/>
          <w:lang w:val="en-US" w:eastAsia="zh-CN"/>
        </w:rPr>
      </w:pPr>
      <w:bookmarkStart w:id="8" w:name="_Toc1905"/>
      <w:bookmarkStart w:id="9" w:name="_Toc20693"/>
      <w:bookmarkStart w:id="10" w:name="_Toc31876"/>
      <w:r>
        <w:rPr>
          <w:rFonts w:hint="default"/>
          <w:color w:val="auto"/>
          <w:sz w:val="30"/>
          <w:szCs w:val="30"/>
          <w:lang w:val="en-US" w:eastAsia="zh-CN"/>
        </w:rPr>
        <w:t>1.2</w:t>
      </w:r>
      <w:r>
        <w:rPr>
          <w:rFonts w:hint="eastAsia"/>
          <w:color w:val="auto"/>
          <w:sz w:val="30"/>
          <w:szCs w:val="30"/>
          <w:lang w:val="en-US" w:eastAsia="zh-CN"/>
        </w:rPr>
        <w:t>建设项目特点</w:t>
      </w:r>
      <w:bookmarkEnd w:id="8"/>
    </w:p>
    <w:p w14:paraId="208059A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Times New Roman" w:hAnsi="Times New Roman" w:eastAsia="宋体" w:cs="Times New Roman"/>
          <w:color w:val="auto"/>
          <w:sz w:val="24"/>
          <w:szCs w:val="24"/>
          <w:highlight w:val="none"/>
          <w:lang w:eastAsia="zh-CN"/>
        </w:rPr>
      </w:pPr>
      <w:r>
        <w:rPr>
          <w:rFonts w:hint="eastAsia"/>
          <w:color w:val="auto"/>
          <w:lang w:eastAsia="zh-CN"/>
        </w:rPr>
        <w:t>托里县乌雪特乡滴灌带厂房建设项目</w:t>
      </w:r>
      <w:r>
        <w:rPr>
          <w:rFonts w:hint="default" w:ascii="Times New Roman" w:hAnsi="Times New Roman" w:cs="Times New Roman"/>
          <w:color w:val="auto"/>
          <w:sz w:val="24"/>
          <w:szCs w:val="24"/>
          <w:highlight w:val="none"/>
        </w:rPr>
        <w:t>是以回收的废旧滴灌带为主要原料再生塑料颗粒，再用再生的塑料颗粒与少量商品聚乙烯颗粒、黑色母料和抗老化剂加工制成塑料制品。本项目通过废旧滴灌带的回收和再利用，可以实现废旧资源综合利用，减少环境污染。通过再加工生产滴灌带等农业节水产品，可以促进当地节水农业建设，进一步提高旱作耕地的土地生产率和产出效益，而且对缓解项目区水资源供需矛盾、增强农业产业的经济实力具有促进作用。本项目的实施不仅可实现废旧资源综合利用，获得较高经济和社会效益，同时也产生了良好的环境效益。</w:t>
      </w:r>
    </w:p>
    <w:p w14:paraId="7523C1D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color w:val="auto"/>
          <w:lang w:val="en-US" w:eastAsia="zh-CN"/>
        </w:rPr>
      </w:pPr>
      <w:r>
        <w:rPr>
          <w:rFonts w:hint="default" w:ascii="Times New Roman" w:hAnsi="Times New Roman" w:eastAsia="宋体" w:cs="Times New Roman"/>
          <w:color w:val="auto"/>
          <w:sz w:val="24"/>
          <w:szCs w:val="24"/>
          <w:highlight w:val="none"/>
          <w:lang w:eastAsia="zh-CN"/>
        </w:rPr>
        <w:t>本项目位于塔城</w:t>
      </w:r>
      <w:r>
        <w:rPr>
          <w:rFonts w:hint="eastAsia" w:cs="Times New Roman"/>
          <w:color w:val="auto"/>
          <w:sz w:val="24"/>
          <w:szCs w:val="24"/>
          <w:highlight w:val="none"/>
          <w:lang w:eastAsia="zh-CN"/>
        </w:rPr>
        <w:t>地区托里县乌雪特乡</w:t>
      </w:r>
      <w:r>
        <w:rPr>
          <w:rFonts w:hint="default" w:ascii="Times New Roman" w:hAnsi="Times New Roman" w:eastAsia="宋体" w:cs="Times New Roman"/>
          <w:color w:val="auto"/>
          <w:sz w:val="24"/>
          <w:szCs w:val="24"/>
          <w:highlight w:val="none"/>
          <w:lang w:eastAsia="zh-CN"/>
        </w:rPr>
        <w:t>，占地面积</w:t>
      </w:r>
      <w:r>
        <w:rPr>
          <w:rFonts w:hint="eastAsia" w:cs="Times New Roman"/>
          <w:color w:val="auto"/>
          <w:sz w:val="24"/>
          <w:szCs w:val="24"/>
          <w:highlight w:val="none"/>
          <w:lang w:val="en-US" w:eastAsia="zh-CN"/>
        </w:rPr>
        <w:t>7686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default" w:ascii="Times New Roman" w:hAnsi="Times New Roman" w:cs="Times New Roman"/>
          <w:color w:val="auto"/>
          <w:sz w:val="24"/>
          <w:szCs w:val="24"/>
          <w:highlight w:val="none"/>
          <w:lang w:eastAsia="zh-CN"/>
        </w:rPr>
        <w:t>，</w:t>
      </w:r>
      <w:r>
        <w:rPr>
          <w:rFonts w:hint="default" w:ascii="Times New Roman" w:hAnsi="Times New Roman" w:eastAsia="宋体" w:cs="Times New Roman"/>
          <w:color w:val="auto"/>
          <w:sz w:val="24"/>
          <w:szCs w:val="24"/>
          <w:highlight w:val="none"/>
        </w:rPr>
        <w:t>建设</w:t>
      </w:r>
      <w:r>
        <w:rPr>
          <w:rFonts w:hint="default" w:ascii="Times New Roman" w:hAnsi="Times New Roman" w:eastAsia="宋体" w:cs="Times New Roman"/>
          <w:color w:val="auto"/>
          <w:sz w:val="24"/>
          <w:szCs w:val="24"/>
          <w:highlight w:val="none"/>
          <w:lang w:val="en-US" w:eastAsia="zh-CN"/>
        </w:rPr>
        <w:t>年产滴灌带等农用塑料节水器材</w:t>
      </w:r>
      <w:r>
        <w:rPr>
          <w:rFonts w:hint="eastAsia" w:cs="Times New Roman"/>
          <w:color w:val="auto"/>
          <w:sz w:val="24"/>
          <w:szCs w:val="24"/>
          <w:highlight w:val="none"/>
          <w:lang w:val="en-US" w:eastAsia="zh-CN"/>
        </w:rPr>
        <w:t>6000</w:t>
      </w:r>
      <w:r>
        <w:rPr>
          <w:rFonts w:hint="default" w:ascii="Times New Roman" w:hAnsi="Times New Roman" w:eastAsia="宋体" w:cs="Times New Roman"/>
          <w:color w:val="auto"/>
          <w:sz w:val="24"/>
          <w:szCs w:val="24"/>
          <w:highlight w:val="none"/>
          <w:lang w:val="en-US" w:eastAsia="zh-CN"/>
        </w:rPr>
        <w:t>吨</w:t>
      </w:r>
      <w:r>
        <w:rPr>
          <w:rFonts w:hint="default" w:ascii="Times New Roman" w:hAnsi="Times New Roman" w:eastAsia="宋体" w:cs="Times New Roman"/>
          <w:color w:val="auto"/>
          <w:sz w:val="24"/>
          <w:szCs w:val="24"/>
          <w:highlight w:val="none"/>
        </w:rPr>
        <w:t>。主要建设内容为生产厂房、原料及产品库房、</w:t>
      </w:r>
      <w:r>
        <w:rPr>
          <w:rFonts w:hint="eastAsia" w:cs="Times New Roman"/>
          <w:color w:val="auto"/>
          <w:sz w:val="24"/>
          <w:szCs w:val="24"/>
          <w:highlight w:val="none"/>
          <w:lang w:eastAsia="zh-CN"/>
        </w:rPr>
        <w:t>综合用房</w:t>
      </w:r>
      <w:r>
        <w:rPr>
          <w:rFonts w:hint="default" w:ascii="Times New Roman" w:hAnsi="Times New Roman" w:eastAsia="宋体" w:cs="Times New Roman"/>
          <w:color w:val="auto"/>
          <w:sz w:val="24"/>
          <w:szCs w:val="24"/>
          <w:highlight w:val="none"/>
        </w:rPr>
        <w:t>和其他配套辅助设施等。</w:t>
      </w:r>
    </w:p>
    <w:p w14:paraId="7BCF23F1">
      <w:pPr>
        <w:pStyle w:val="4"/>
        <w:pageBreakBefore w:val="0"/>
        <w:kinsoku/>
        <w:wordWrap/>
        <w:overflowPunct/>
        <w:topLinePunct w:val="0"/>
        <w:bidi w:val="0"/>
        <w:rPr>
          <w:rFonts w:hint="default"/>
          <w:color w:val="auto"/>
          <w:sz w:val="30"/>
          <w:szCs w:val="30"/>
          <w:lang w:val="en-US" w:eastAsia="zh-CN"/>
        </w:rPr>
      </w:pPr>
      <w:bookmarkStart w:id="11" w:name="_Toc27244"/>
      <w:r>
        <w:rPr>
          <w:rFonts w:hint="default"/>
          <w:color w:val="auto"/>
          <w:sz w:val="30"/>
          <w:szCs w:val="30"/>
          <w:lang w:val="en-US" w:eastAsia="zh-CN"/>
        </w:rPr>
        <w:t>1.</w:t>
      </w:r>
      <w:r>
        <w:rPr>
          <w:rFonts w:hint="eastAsia"/>
          <w:color w:val="auto"/>
          <w:sz w:val="30"/>
          <w:szCs w:val="30"/>
          <w:lang w:val="en-US" w:eastAsia="zh-CN"/>
        </w:rPr>
        <w:t>3</w:t>
      </w:r>
      <w:r>
        <w:rPr>
          <w:rFonts w:hint="default"/>
          <w:color w:val="auto"/>
          <w:sz w:val="30"/>
          <w:szCs w:val="30"/>
          <w:lang w:val="en-US" w:eastAsia="zh-CN"/>
        </w:rPr>
        <w:t>环境影响评价的工作过程</w:t>
      </w:r>
      <w:bookmarkEnd w:id="9"/>
      <w:bookmarkEnd w:id="10"/>
      <w:bookmarkEnd w:id="11"/>
    </w:p>
    <w:p w14:paraId="366C3A15">
      <w:pPr>
        <w:pageBreakBefore w:val="0"/>
        <w:kinsoku/>
        <w:wordWrap/>
        <w:overflowPunct/>
        <w:topLinePunct w:val="0"/>
        <w:bidi w:val="0"/>
        <w:rPr>
          <w:snapToGrid w:val="0"/>
          <w:color w:val="auto"/>
          <w:spacing w:val="0"/>
          <w:w w:val="100"/>
          <w:position w:val="0"/>
        </w:rPr>
      </w:pPr>
      <w:r>
        <w:rPr>
          <w:snapToGrid w:val="0"/>
          <w:color w:val="auto"/>
          <w:spacing w:val="0"/>
          <w:w w:val="100"/>
          <w:position w:val="0"/>
        </w:rPr>
        <w:t>根据《中华人民共和国环境保护法》及《建设项目环境保护管理条例》（国务院</w:t>
      </w:r>
      <w:r>
        <w:rPr>
          <w:rFonts w:hint="eastAsia"/>
          <w:snapToGrid w:val="0"/>
          <w:color w:val="auto"/>
          <w:spacing w:val="0"/>
          <w:w w:val="100"/>
          <w:position w:val="0"/>
          <w:lang w:eastAsia="zh-CN"/>
        </w:rPr>
        <w:t>令</w:t>
      </w:r>
      <w:r>
        <w:rPr>
          <w:snapToGrid w:val="0"/>
          <w:color w:val="auto"/>
          <w:spacing w:val="0"/>
          <w:w w:val="100"/>
          <w:position w:val="0"/>
        </w:rPr>
        <w:t>第</w:t>
      </w:r>
      <w:r>
        <w:rPr>
          <w:rFonts w:ascii="Times New Roman" w:eastAsia="Times New Roman"/>
          <w:snapToGrid w:val="0"/>
          <w:color w:val="auto"/>
          <w:spacing w:val="0"/>
          <w:w w:val="100"/>
          <w:position w:val="0"/>
        </w:rPr>
        <w:t>682</w:t>
      </w:r>
      <w:r>
        <w:rPr>
          <w:snapToGrid w:val="0"/>
          <w:color w:val="auto"/>
          <w:spacing w:val="0"/>
          <w:w w:val="100"/>
          <w:position w:val="0"/>
        </w:rPr>
        <w:t>号）中的有关规定，该项目应进行环境影响评价，从环保角度论证项目建设的可行性。对照《建设项目环境影响评价分类管理名录》（</w:t>
      </w:r>
      <w:r>
        <w:rPr>
          <w:rFonts w:ascii="Times New Roman" w:eastAsia="Times New Roman"/>
          <w:snapToGrid w:val="0"/>
          <w:color w:val="auto"/>
          <w:spacing w:val="0"/>
          <w:w w:val="100"/>
          <w:position w:val="0"/>
        </w:rPr>
        <w:t>2021</w:t>
      </w:r>
      <w:r>
        <w:rPr>
          <w:snapToGrid w:val="0"/>
          <w:color w:val="auto"/>
          <w:spacing w:val="0"/>
          <w:w w:val="100"/>
          <w:position w:val="0"/>
        </w:rPr>
        <w:t>年版）（生态环境部部令第</w:t>
      </w:r>
      <w:r>
        <w:rPr>
          <w:rFonts w:ascii="Times New Roman" w:hAnsi="Times New Roman" w:eastAsia="Times New Roman"/>
          <w:snapToGrid w:val="0"/>
          <w:color w:val="auto"/>
          <w:spacing w:val="0"/>
          <w:w w:val="100"/>
          <w:position w:val="0"/>
        </w:rPr>
        <w:t>16</w:t>
      </w:r>
      <w:r>
        <w:rPr>
          <w:snapToGrid w:val="0"/>
          <w:color w:val="auto"/>
          <w:spacing w:val="0"/>
          <w:w w:val="100"/>
          <w:position w:val="0"/>
        </w:rPr>
        <w:t>号），本项目属于</w:t>
      </w:r>
      <w:r>
        <w:rPr>
          <w:rFonts w:hint="eastAsia"/>
          <w:snapToGrid w:val="0"/>
          <w:color w:val="auto"/>
          <w:spacing w:val="0"/>
          <w:w w:val="100"/>
          <w:position w:val="0"/>
          <w:lang w:eastAsia="zh-CN"/>
        </w:rPr>
        <w:t>“</w:t>
      </w:r>
      <w:r>
        <w:rPr>
          <w:snapToGrid w:val="0"/>
          <w:color w:val="auto"/>
          <w:spacing w:val="0"/>
          <w:w w:val="100"/>
          <w:position w:val="0"/>
        </w:rPr>
        <w:t>二十六、橡胶和塑料制品业，</w:t>
      </w:r>
      <w:r>
        <w:rPr>
          <w:rFonts w:ascii="Times New Roman" w:hAnsi="Times New Roman" w:eastAsia="Times New Roman"/>
          <w:snapToGrid w:val="0"/>
          <w:color w:val="auto"/>
          <w:spacing w:val="0"/>
          <w:w w:val="100"/>
          <w:position w:val="0"/>
        </w:rPr>
        <w:t>53</w:t>
      </w:r>
      <w:r>
        <w:rPr>
          <w:snapToGrid w:val="0"/>
          <w:color w:val="auto"/>
          <w:spacing w:val="0"/>
          <w:w w:val="100"/>
          <w:position w:val="0"/>
        </w:rPr>
        <w:t>、塑料制品业</w:t>
      </w:r>
      <w:r>
        <w:rPr>
          <w:rFonts w:ascii="Times New Roman" w:hAnsi="Times New Roman" w:eastAsia="Times New Roman"/>
          <w:snapToGrid w:val="0"/>
          <w:color w:val="auto"/>
          <w:spacing w:val="0"/>
          <w:w w:val="100"/>
          <w:position w:val="0"/>
        </w:rPr>
        <w:t>292</w:t>
      </w:r>
      <w:r>
        <w:rPr>
          <w:snapToGrid w:val="0"/>
          <w:color w:val="auto"/>
          <w:spacing w:val="0"/>
          <w:w w:val="100"/>
          <w:position w:val="0"/>
        </w:rPr>
        <w:t>：以再生塑料为原料生产的</w:t>
      </w:r>
      <w:r>
        <w:rPr>
          <w:rFonts w:hint="eastAsia"/>
          <w:snapToGrid w:val="0"/>
          <w:color w:val="auto"/>
          <w:spacing w:val="0"/>
          <w:w w:val="100"/>
          <w:position w:val="0"/>
          <w:lang w:eastAsia="zh-CN"/>
        </w:rPr>
        <w:t>”</w:t>
      </w:r>
      <w:r>
        <w:rPr>
          <w:snapToGrid w:val="0"/>
          <w:color w:val="auto"/>
          <w:spacing w:val="0"/>
          <w:w w:val="100"/>
          <w:position w:val="0"/>
        </w:rPr>
        <w:t>，</w:t>
      </w:r>
      <w:r>
        <w:rPr>
          <w:rFonts w:hint="eastAsia"/>
          <w:snapToGrid w:val="0"/>
          <w:color w:val="auto"/>
          <w:spacing w:val="0"/>
          <w:w w:val="100"/>
          <w:position w:val="0"/>
          <w:lang w:eastAsia="zh-CN"/>
        </w:rPr>
        <w:t>需</w:t>
      </w:r>
      <w:r>
        <w:rPr>
          <w:snapToGrid w:val="0"/>
          <w:color w:val="auto"/>
          <w:spacing w:val="0"/>
          <w:w w:val="100"/>
          <w:position w:val="0"/>
        </w:rPr>
        <w:t>编制环境影响报告书。</w:t>
      </w:r>
      <w:r>
        <w:rPr>
          <w:rFonts w:ascii="Times New Roman" w:hAnsi="Times New Roman" w:eastAsia="Times New Roman"/>
          <w:snapToGrid w:val="0"/>
          <w:color w:val="auto"/>
          <w:spacing w:val="0"/>
          <w:w w:val="100"/>
          <w:position w:val="0"/>
        </w:rPr>
        <w:t>202</w:t>
      </w:r>
      <w:r>
        <w:rPr>
          <w:rFonts w:hint="eastAsia"/>
          <w:snapToGrid w:val="0"/>
          <w:color w:val="auto"/>
          <w:spacing w:val="0"/>
          <w:w w:val="100"/>
          <w:position w:val="0"/>
          <w:lang w:val="en-US" w:eastAsia="zh-CN"/>
        </w:rPr>
        <w:t>6</w:t>
      </w:r>
      <w:r>
        <w:rPr>
          <w:snapToGrid w:val="0"/>
          <w:color w:val="auto"/>
          <w:spacing w:val="0"/>
          <w:w w:val="100"/>
          <w:position w:val="0"/>
        </w:rPr>
        <w:t>年</w:t>
      </w:r>
      <w:r>
        <w:rPr>
          <w:rFonts w:hint="eastAsia"/>
          <w:snapToGrid w:val="0"/>
          <w:color w:val="auto"/>
          <w:spacing w:val="0"/>
          <w:w w:val="100"/>
          <w:position w:val="0"/>
          <w:lang w:val="en-US" w:eastAsia="zh-CN"/>
        </w:rPr>
        <w:t>3</w:t>
      </w:r>
      <w:r>
        <w:rPr>
          <w:snapToGrid w:val="0"/>
          <w:color w:val="auto"/>
          <w:spacing w:val="0"/>
          <w:w w:val="100"/>
          <w:position w:val="0"/>
        </w:rPr>
        <w:t>月</w:t>
      </w:r>
      <w:r>
        <w:rPr>
          <w:rFonts w:hint="eastAsia" w:cs="Times New Roman"/>
          <w:snapToGrid w:val="0"/>
          <w:color w:val="auto"/>
          <w:spacing w:val="0"/>
          <w:w w:val="100"/>
          <w:position w:val="0"/>
          <w:sz w:val="24"/>
          <w:lang w:eastAsia="zh-CN"/>
        </w:rPr>
        <w:t>托里县乌雪特乡人民政府</w:t>
      </w:r>
      <w:r>
        <w:rPr>
          <w:snapToGrid w:val="0"/>
          <w:color w:val="auto"/>
          <w:spacing w:val="0"/>
          <w:w w:val="100"/>
          <w:position w:val="0"/>
        </w:rPr>
        <w:t>委托</w:t>
      </w:r>
      <w:r>
        <w:rPr>
          <w:rFonts w:hint="eastAsia"/>
          <w:snapToGrid w:val="0"/>
          <w:color w:val="auto"/>
          <w:spacing w:val="0"/>
          <w:w w:val="100"/>
          <w:position w:val="0"/>
          <w:lang w:eastAsia="zh-CN"/>
        </w:rPr>
        <w:t>新疆碧蓝环保科技有限公司</w:t>
      </w:r>
      <w:r>
        <w:rPr>
          <w:snapToGrid w:val="0"/>
          <w:color w:val="auto"/>
          <w:spacing w:val="0"/>
          <w:w w:val="100"/>
          <w:position w:val="0"/>
        </w:rPr>
        <w:t>承担项目的环境影响评价工作，我公司接受委托后，随即组织环评技术人员进行现场踏勘、资料收集、自然环境与社会环境现状调查、环境质量现状调查及同类工程调查，在初步调查研究基础上，按照《环境影响评价技术导则》的规范要求，编制完成了《</w:t>
      </w:r>
      <w:r>
        <w:rPr>
          <w:rFonts w:hint="eastAsia" w:cs="Times New Roman"/>
          <w:snapToGrid w:val="0"/>
          <w:color w:val="auto"/>
          <w:spacing w:val="0"/>
          <w:w w:val="100"/>
          <w:position w:val="0"/>
          <w:sz w:val="24"/>
          <w:lang w:eastAsia="zh-CN"/>
        </w:rPr>
        <w:t>托里县乌雪特乡滴灌带厂房建设项目</w:t>
      </w:r>
      <w:r>
        <w:rPr>
          <w:snapToGrid w:val="0"/>
          <w:color w:val="auto"/>
          <w:spacing w:val="0"/>
          <w:w w:val="100"/>
          <w:position w:val="0"/>
        </w:rPr>
        <w:t>环境影响报告书》，并报生态环境行政主管部门审查。</w:t>
      </w:r>
    </w:p>
    <w:p w14:paraId="04BB4B2B">
      <w:pPr>
        <w:pageBreakBefore w:val="0"/>
        <w:kinsoku/>
        <w:wordWrap/>
        <w:overflowPunct/>
        <w:topLinePunct w:val="0"/>
        <w:bidi w:val="0"/>
        <w:rPr>
          <w:rFonts w:hint="default"/>
          <w:color w:val="auto"/>
        </w:rPr>
      </w:pPr>
      <w:r>
        <w:rPr>
          <w:rFonts w:hint="default" w:ascii="Times New Roman" w:hAnsi="Times New Roman" w:eastAsia="宋体" w:cs="Times New Roman"/>
          <w:snapToGrid w:val="0"/>
          <w:color w:val="auto"/>
          <w:spacing w:val="0"/>
          <w:w w:val="100"/>
          <w:position w:val="0"/>
        </w:rPr>
        <w:t>本项目主要评价工作过程如</w:t>
      </w:r>
      <w:r>
        <w:rPr>
          <w:rFonts w:hint="default"/>
          <w:color w:val="auto"/>
        </w:rPr>
        <w:t>下：</w:t>
      </w:r>
    </w:p>
    <w:p w14:paraId="22D1B5DD">
      <w:pPr>
        <w:pageBreakBefore w:val="0"/>
        <w:kinsoku/>
        <w:wordWrap/>
        <w:overflowPunct/>
        <w:topLinePunct w:val="0"/>
        <w:bidi w:val="0"/>
        <w:rPr>
          <w:rFonts w:hint="default"/>
          <w:color w:val="auto"/>
        </w:rPr>
      </w:pPr>
      <w:r>
        <w:rPr>
          <w:rFonts w:hint="default"/>
          <w:color w:val="auto"/>
          <w:lang w:eastAsia="zh-CN"/>
        </w:rPr>
        <w:t>（</w:t>
      </w:r>
      <w:r>
        <w:rPr>
          <w:rFonts w:hint="default"/>
          <w:color w:val="auto"/>
          <w:lang w:val="en-US" w:eastAsia="zh-CN"/>
        </w:rPr>
        <w:t>1</w:t>
      </w:r>
      <w:r>
        <w:rPr>
          <w:rFonts w:hint="default"/>
          <w:color w:val="auto"/>
          <w:lang w:eastAsia="zh-CN"/>
        </w:rPr>
        <w:t>）</w:t>
      </w:r>
      <w:r>
        <w:rPr>
          <w:rFonts w:hint="default"/>
          <w:color w:val="auto"/>
        </w:rPr>
        <w:t>研究国家和地方有关环境保护的法律法规、政策、标准及相关规划等，分析其规划符合性；</w:t>
      </w:r>
    </w:p>
    <w:p w14:paraId="22502519">
      <w:pPr>
        <w:pageBreakBefore w:val="0"/>
        <w:kinsoku/>
        <w:wordWrap/>
        <w:overflowPunct/>
        <w:topLinePunct w:val="0"/>
        <w:bidi w:val="0"/>
        <w:rPr>
          <w:rFonts w:hint="default"/>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rFonts w:hint="default"/>
          <w:color w:val="auto"/>
        </w:rPr>
        <w:t>收集和研究项目相关技术文件和其他相关文件，进行初步工程分析，明确项目的工程组成，根据工艺流程确定产排污环节和主要污染物，同时对项目环境影响区进行初步环境现状调查；</w:t>
      </w:r>
    </w:p>
    <w:p w14:paraId="14E651F1">
      <w:pPr>
        <w:pageBreakBefore w:val="0"/>
        <w:kinsoku/>
        <w:wordWrap/>
        <w:overflowPunct/>
        <w:topLinePunct w:val="0"/>
        <w:bidi w:val="0"/>
        <w:rPr>
          <w:rFonts w:hint="default"/>
          <w:color w:val="auto"/>
        </w:rPr>
      </w:pPr>
      <w:r>
        <w:rPr>
          <w:rFonts w:hint="default"/>
          <w:color w:val="auto"/>
          <w:lang w:eastAsia="zh-CN"/>
        </w:rPr>
        <w:t>（</w:t>
      </w:r>
      <w:r>
        <w:rPr>
          <w:rFonts w:hint="default"/>
          <w:color w:val="auto"/>
          <w:lang w:val="en-US" w:eastAsia="zh-CN"/>
        </w:rPr>
        <w:t>3</w:t>
      </w:r>
      <w:r>
        <w:rPr>
          <w:rFonts w:hint="default"/>
          <w:color w:val="auto"/>
          <w:lang w:eastAsia="zh-CN"/>
        </w:rPr>
        <w:t>）</w:t>
      </w:r>
      <w:r>
        <w:rPr>
          <w:rFonts w:hint="default"/>
          <w:color w:val="auto"/>
        </w:rPr>
        <w:t>结合初步工程分析结果和环境现状资料，识别建设项目的环境影响因素，筛选主要的环境影响评价因子，明确评价重点，确定评价工作等级、评价范围及评价标准；</w:t>
      </w:r>
    </w:p>
    <w:p w14:paraId="7922597A">
      <w:pPr>
        <w:pageBreakBefore w:val="0"/>
        <w:kinsoku/>
        <w:wordWrap/>
        <w:overflowPunct/>
        <w:topLinePunct w:val="0"/>
        <w:bidi w:val="0"/>
        <w:rPr>
          <w:rFonts w:hint="default" w:ascii="Times New Roman" w:hAnsi="Times New Roman" w:eastAsia="宋体" w:cs="Times New Roman"/>
          <w:snapToGrid w:val="0"/>
          <w:color w:val="auto"/>
          <w:spacing w:val="0"/>
          <w:w w:val="100"/>
          <w:position w:val="0"/>
        </w:rPr>
      </w:pPr>
      <w:r>
        <w:rPr>
          <w:rFonts w:hint="default"/>
          <w:color w:val="auto"/>
          <w:lang w:eastAsia="zh-CN"/>
        </w:rPr>
        <w:t>（</w:t>
      </w:r>
      <w:r>
        <w:rPr>
          <w:rFonts w:hint="default"/>
          <w:color w:val="auto"/>
          <w:lang w:val="en-US" w:eastAsia="zh-CN"/>
        </w:rPr>
        <w:t>4</w:t>
      </w:r>
      <w:r>
        <w:rPr>
          <w:rFonts w:hint="default"/>
          <w:color w:val="auto"/>
          <w:lang w:eastAsia="zh-CN"/>
        </w:rPr>
        <w:t>）</w:t>
      </w:r>
      <w:r>
        <w:rPr>
          <w:rFonts w:hint="default"/>
          <w:color w:val="auto"/>
        </w:rPr>
        <w:t>制定工作方案，在进行充分的环境现状调查、监测的基础上开展环境质量现状评价，并进行进一步的工程分析，根据工程分析确定的污染源强以及结合项目区环境特征，采用模式计算和类比调查的方式预测、分析或评价项目建设对环境的影响范围以及引起的环境质量变化情况，从环境保</w:t>
      </w:r>
      <w:r>
        <w:rPr>
          <w:rFonts w:hint="default" w:ascii="Times New Roman" w:hAnsi="Times New Roman" w:eastAsia="宋体" w:cs="Times New Roman"/>
          <w:snapToGrid w:val="0"/>
          <w:color w:val="auto"/>
          <w:spacing w:val="0"/>
          <w:w w:val="100"/>
          <w:position w:val="0"/>
        </w:rPr>
        <w:t>护角度分析论证建设工程的可行性；</w:t>
      </w:r>
    </w:p>
    <w:p w14:paraId="776AE453">
      <w:pPr>
        <w:pageBreakBefore w:val="0"/>
        <w:kinsoku/>
        <w:wordWrap/>
        <w:overflowPunct/>
        <w:topLinePunct w:val="0"/>
        <w:bidi w:val="0"/>
        <w:rPr>
          <w:rFonts w:hint="default"/>
          <w:color w:val="auto"/>
        </w:rPr>
      </w:pPr>
      <w:r>
        <w:rPr>
          <w:rFonts w:hint="default" w:ascii="Times New Roman" w:hAnsi="Times New Roman" w:eastAsia="宋体" w:cs="Times New Roman"/>
          <w:snapToGrid w:val="0"/>
          <w:color w:val="auto"/>
          <w:spacing w:val="0"/>
          <w:w w:val="100"/>
          <w:position w:val="0"/>
          <w:lang w:eastAsia="zh-CN"/>
        </w:rPr>
        <w:t>（</w:t>
      </w:r>
      <w:r>
        <w:rPr>
          <w:rFonts w:hint="default" w:ascii="Times New Roman" w:hAnsi="Times New Roman" w:eastAsia="宋体" w:cs="Times New Roman"/>
          <w:snapToGrid w:val="0"/>
          <w:color w:val="auto"/>
          <w:spacing w:val="0"/>
          <w:w w:val="100"/>
          <w:position w:val="0"/>
          <w:lang w:val="en-US" w:eastAsia="zh-CN"/>
        </w:rPr>
        <w:t>5</w:t>
      </w:r>
      <w:r>
        <w:rPr>
          <w:rFonts w:hint="default" w:ascii="Times New Roman" w:hAnsi="Times New Roman" w:eastAsia="宋体" w:cs="Times New Roman"/>
          <w:snapToGrid w:val="0"/>
          <w:color w:val="auto"/>
          <w:spacing w:val="0"/>
          <w:w w:val="100"/>
          <w:position w:val="0"/>
          <w:lang w:eastAsia="zh-CN"/>
        </w:rPr>
        <w:t>）</w:t>
      </w:r>
      <w:r>
        <w:rPr>
          <w:rFonts w:hint="default" w:ascii="Times New Roman" w:hAnsi="Times New Roman" w:eastAsia="宋体" w:cs="Times New Roman"/>
          <w:snapToGrid w:val="0"/>
          <w:color w:val="auto"/>
          <w:spacing w:val="0"/>
          <w:w w:val="100"/>
          <w:position w:val="0"/>
        </w:rPr>
        <w:t>建设单位根据国家和地方环保规范要求开</w:t>
      </w:r>
      <w:r>
        <w:rPr>
          <w:rFonts w:hint="default"/>
          <w:color w:val="auto"/>
        </w:rPr>
        <w:t>展公众参与调查活动，分析公众提出的意见或建议；对项目建设可能引起的环境污染与局部生态环境破坏，通过对拟建工程环保设施的技术经济合理性、达标水平的可靠性分析，提出进一步减缓污染的对策建议。</w:t>
      </w:r>
    </w:p>
    <w:p w14:paraId="51CEA99E">
      <w:pPr>
        <w:pageBreakBefore w:val="0"/>
        <w:kinsoku/>
        <w:wordWrap/>
        <w:overflowPunct/>
        <w:topLinePunct w:val="0"/>
        <w:bidi w:val="0"/>
        <w:rPr>
          <w:rFonts w:hint="default" w:ascii="Times New Roman" w:hAnsi="Times New Roman" w:eastAsia="宋体" w:cs="Times New Roman"/>
          <w:snapToGrid w:val="0"/>
          <w:color w:val="auto"/>
          <w:spacing w:val="0"/>
          <w:w w:val="100"/>
          <w:position w:val="0"/>
        </w:rPr>
      </w:pPr>
      <w:r>
        <w:rPr>
          <w:rFonts w:hint="default"/>
          <w:color w:val="auto"/>
        </w:rPr>
        <w:t>建设项目环境影响报告书编制工作程序见下</w:t>
      </w:r>
      <w:r>
        <w:rPr>
          <w:rFonts w:hint="default" w:ascii="Times New Roman" w:hAnsi="Times New Roman" w:eastAsia="宋体" w:cs="Times New Roman"/>
          <w:snapToGrid w:val="0"/>
          <w:color w:val="auto"/>
          <w:spacing w:val="0"/>
          <w:w w:val="100"/>
          <w:position w:val="0"/>
        </w:rPr>
        <w:t>图1.2-1。</w:t>
      </w:r>
    </w:p>
    <w:p w14:paraId="79BE2755">
      <w:pPr>
        <w:keepNext w:val="0"/>
        <w:keepLines w:val="0"/>
        <w:pageBreakBefore w:val="0"/>
        <w:widowControl w:val="0"/>
        <w:kinsoku/>
        <w:wordWrap/>
        <w:overflowPunct/>
        <w:topLinePunct w:val="0"/>
        <w:autoSpaceDE w:val="0"/>
        <w:autoSpaceDN w:val="0"/>
        <w:bidi w:val="0"/>
        <w:adjustRightInd/>
        <w:snapToGrid/>
        <w:ind w:firstLine="0" w:firstLineChars="0"/>
        <w:jc w:val="center"/>
        <w:textAlignment w:val="auto"/>
        <w:rPr>
          <w:color w:val="auto"/>
        </w:rPr>
      </w:pPr>
      <w:r>
        <w:rPr>
          <w:color w:val="auto"/>
        </w:rPr>
        <w:drawing>
          <wp:inline distT="0" distB="0" distL="0" distR="0">
            <wp:extent cx="5249545" cy="4808855"/>
            <wp:effectExtent l="0" t="0" r="8255" b="10795"/>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a:picLocks noChangeAspect="1"/>
                    </pic:cNvPicPr>
                  </pic:nvPicPr>
                  <pic:blipFill>
                    <a:blip r:embed="rId18" cstate="print"/>
                    <a:stretch>
                      <a:fillRect/>
                    </a:stretch>
                  </pic:blipFill>
                  <pic:spPr>
                    <a:xfrm>
                      <a:off x="0" y="0"/>
                      <a:ext cx="5249607" cy="4808855"/>
                    </a:xfrm>
                    <a:prstGeom prst="rect">
                      <a:avLst/>
                    </a:prstGeom>
                  </pic:spPr>
                </pic:pic>
              </a:graphicData>
            </a:graphic>
          </wp:inline>
        </w:drawing>
      </w:r>
    </w:p>
    <w:p w14:paraId="0FFBC85E">
      <w:pPr>
        <w:pStyle w:val="43"/>
        <w:keepNext w:val="0"/>
        <w:keepLines w:val="0"/>
        <w:pageBreakBefore w:val="0"/>
        <w:widowControl w:val="0"/>
        <w:kinsoku/>
        <w:wordWrap/>
        <w:overflowPunct/>
        <w:topLinePunct w:val="0"/>
        <w:autoSpaceDE w:val="0"/>
        <w:autoSpaceDN w:val="0"/>
        <w:bidi w:val="0"/>
        <w:adjustRightInd w:val="0"/>
        <w:snapToGrid w:val="0"/>
        <w:spacing w:before="0" w:beforeLines="0" w:line="360" w:lineRule="auto"/>
        <w:textAlignment w:val="auto"/>
        <w:rPr>
          <w:rFonts w:hint="default" w:ascii="Times New Roman" w:hAnsi="Times New Roman" w:cs="Times New Roman"/>
          <w:b/>
          <w:bCs/>
          <w:color w:val="auto"/>
          <w:spacing w:val="0"/>
          <w:w w:val="100"/>
          <w:position w:val="0"/>
          <w:sz w:val="24"/>
          <w:szCs w:val="24"/>
          <w:lang w:val="en-US" w:eastAsia="zh-CN"/>
        </w:rPr>
      </w:pPr>
      <w:r>
        <w:rPr>
          <w:rFonts w:hint="default" w:ascii="Times New Roman" w:hAnsi="Times New Roman" w:cs="Times New Roman"/>
          <w:b/>
          <w:bCs/>
          <w:color w:val="auto"/>
          <w:spacing w:val="0"/>
          <w:w w:val="100"/>
          <w:position w:val="0"/>
          <w:sz w:val="24"/>
          <w:szCs w:val="24"/>
          <w:lang w:eastAsia="zh-CN"/>
        </w:rPr>
        <w:t>图</w:t>
      </w:r>
      <w:r>
        <w:rPr>
          <w:rFonts w:hint="eastAsia" w:cs="Times New Roman"/>
          <w:b/>
          <w:bCs/>
          <w:color w:val="auto"/>
          <w:spacing w:val="0"/>
          <w:w w:val="100"/>
          <w:position w:val="0"/>
          <w:sz w:val="24"/>
          <w:szCs w:val="24"/>
          <w:lang w:val="en-US" w:eastAsia="zh-CN"/>
        </w:rPr>
        <w:t xml:space="preserve">1.2-1    </w:t>
      </w:r>
      <w:r>
        <w:rPr>
          <w:rFonts w:hint="default" w:ascii="Times New Roman" w:hAnsi="Times New Roman" w:cs="Times New Roman"/>
          <w:b/>
          <w:bCs/>
          <w:color w:val="auto"/>
          <w:spacing w:val="0"/>
          <w:w w:val="100"/>
          <w:position w:val="0"/>
          <w:sz w:val="24"/>
          <w:szCs w:val="24"/>
          <w:lang w:val="en-US" w:eastAsia="zh-CN"/>
        </w:rPr>
        <w:t>环境影响评级工作程序图</w:t>
      </w:r>
    </w:p>
    <w:p w14:paraId="029937B8">
      <w:pPr>
        <w:pStyle w:val="4"/>
        <w:pageBreakBefore w:val="0"/>
        <w:kinsoku/>
        <w:wordWrap/>
        <w:overflowPunct/>
        <w:topLinePunct w:val="0"/>
        <w:bidi w:val="0"/>
        <w:rPr>
          <w:rFonts w:hint="default"/>
          <w:color w:val="auto"/>
          <w:sz w:val="30"/>
          <w:szCs w:val="30"/>
          <w:lang w:val="en-US" w:eastAsia="zh-CN"/>
        </w:rPr>
      </w:pPr>
      <w:bookmarkStart w:id="12" w:name="_Toc20895"/>
      <w:bookmarkStart w:id="13" w:name="_Toc5397"/>
      <w:bookmarkStart w:id="14" w:name="_Toc5781"/>
      <w:r>
        <w:rPr>
          <w:rFonts w:hint="default"/>
          <w:color w:val="auto"/>
          <w:sz w:val="30"/>
          <w:szCs w:val="30"/>
          <w:lang w:val="en-US" w:eastAsia="zh-CN"/>
        </w:rPr>
        <w:t>1.</w:t>
      </w:r>
      <w:r>
        <w:rPr>
          <w:rFonts w:hint="eastAsia"/>
          <w:color w:val="auto"/>
          <w:sz w:val="30"/>
          <w:szCs w:val="30"/>
          <w:lang w:val="en-US" w:eastAsia="zh-CN"/>
        </w:rPr>
        <w:t>4分析判定相关情况</w:t>
      </w:r>
      <w:bookmarkEnd w:id="12"/>
      <w:bookmarkEnd w:id="13"/>
      <w:bookmarkEnd w:id="14"/>
    </w:p>
    <w:p w14:paraId="22539AEE">
      <w:pPr>
        <w:pStyle w:val="5"/>
        <w:pageBreakBefore w:val="0"/>
        <w:kinsoku/>
        <w:wordWrap/>
        <w:overflowPunct/>
        <w:topLinePunct w:val="0"/>
        <w:bidi w:val="0"/>
        <w:rPr>
          <w:color w:val="auto"/>
          <w:spacing w:val="0"/>
          <w:w w:val="100"/>
          <w:position w:val="0"/>
          <w:sz w:val="28"/>
          <w:szCs w:val="28"/>
        </w:rPr>
      </w:pPr>
      <w:bookmarkStart w:id="15" w:name="_Toc14347"/>
      <w:bookmarkStart w:id="16" w:name="_Toc31808"/>
      <w:r>
        <w:rPr>
          <w:rFonts w:hint="eastAsia" w:ascii="Times New Roman"/>
          <w:color w:val="auto"/>
          <w:spacing w:val="0"/>
          <w:w w:val="100"/>
          <w:position w:val="0"/>
          <w:sz w:val="28"/>
          <w:szCs w:val="28"/>
          <w:lang w:val="en-US" w:eastAsia="zh-CN"/>
        </w:rPr>
        <w:t>1.</w:t>
      </w:r>
      <w:r>
        <w:rPr>
          <w:rFonts w:hint="eastAsia"/>
          <w:color w:val="auto"/>
          <w:spacing w:val="0"/>
          <w:w w:val="100"/>
          <w:position w:val="0"/>
          <w:sz w:val="28"/>
          <w:szCs w:val="28"/>
          <w:lang w:val="en-US" w:eastAsia="zh-CN"/>
        </w:rPr>
        <w:t>4</w:t>
      </w:r>
      <w:r>
        <w:rPr>
          <w:rFonts w:hint="eastAsia" w:ascii="Times New Roman"/>
          <w:color w:val="auto"/>
          <w:spacing w:val="0"/>
          <w:w w:val="100"/>
          <w:position w:val="0"/>
          <w:sz w:val="28"/>
          <w:szCs w:val="28"/>
          <w:lang w:val="en-US" w:eastAsia="zh-CN"/>
        </w:rPr>
        <w:t>.1</w:t>
      </w:r>
      <w:r>
        <w:rPr>
          <w:color w:val="auto"/>
          <w:spacing w:val="0"/>
          <w:w w:val="100"/>
          <w:position w:val="0"/>
          <w:sz w:val="28"/>
          <w:szCs w:val="28"/>
        </w:rPr>
        <w:t>政策符合性分析</w:t>
      </w:r>
      <w:bookmarkEnd w:id="15"/>
      <w:bookmarkEnd w:id="16"/>
    </w:p>
    <w:p w14:paraId="783E58C9">
      <w:pPr>
        <w:pStyle w:val="6"/>
        <w:pageBreakBefore w:val="0"/>
        <w:kinsoku/>
        <w:wordWrap/>
        <w:overflowPunct/>
        <w:topLinePunct w:val="0"/>
        <w:bidi w:val="0"/>
        <w:rPr>
          <w:rFonts w:hint="default"/>
          <w:color w:val="auto"/>
          <w:lang w:val="en-US" w:eastAsia="zh-CN"/>
        </w:rPr>
      </w:pPr>
      <w:r>
        <w:rPr>
          <w:rFonts w:hint="default"/>
          <w:color w:val="auto"/>
          <w:lang w:val="en-US" w:eastAsia="zh-CN"/>
        </w:rPr>
        <w:t>1.</w:t>
      </w:r>
      <w:r>
        <w:rPr>
          <w:rFonts w:hint="eastAsia"/>
          <w:color w:val="auto"/>
          <w:lang w:val="en-US" w:eastAsia="zh-CN"/>
        </w:rPr>
        <w:t>4</w:t>
      </w:r>
      <w:r>
        <w:rPr>
          <w:rFonts w:hint="default"/>
          <w:color w:val="auto"/>
          <w:lang w:val="en-US" w:eastAsia="zh-CN"/>
        </w:rPr>
        <w:t>.1</w:t>
      </w:r>
      <w:r>
        <w:rPr>
          <w:rFonts w:hint="eastAsia"/>
          <w:color w:val="auto"/>
          <w:lang w:val="en-US" w:eastAsia="zh-CN"/>
        </w:rPr>
        <w:t>.1</w:t>
      </w:r>
      <w:r>
        <w:rPr>
          <w:rFonts w:hint="default"/>
          <w:color w:val="auto"/>
          <w:lang w:val="en-US" w:eastAsia="zh-CN"/>
        </w:rPr>
        <w:t>产业结构政策</w:t>
      </w:r>
      <w:r>
        <w:rPr>
          <w:rFonts w:hint="eastAsia"/>
          <w:color w:val="auto"/>
          <w:lang w:val="en-US" w:eastAsia="zh-CN"/>
        </w:rPr>
        <w:t>符合性</w:t>
      </w:r>
      <w:r>
        <w:rPr>
          <w:rFonts w:hint="default"/>
          <w:color w:val="auto"/>
          <w:lang w:val="en-US" w:eastAsia="zh-CN"/>
        </w:rPr>
        <w:t>分析</w:t>
      </w:r>
    </w:p>
    <w:p w14:paraId="4DF24379">
      <w:pPr>
        <w:pageBreakBefore w:val="0"/>
        <w:kinsoku/>
        <w:wordWrap/>
        <w:overflowPunct/>
        <w:topLinePunct w:val="0"/>
        <w:bidi w:val="0"/>
        <w:rPr>
          <w:rFonts w:hint="eastAsia" w:ascii="宋体" w:hAnsi="宋体" w:eastAsia="宋体" w:cs="宋体"/>
          <w:color w:val="auto"/>
          <w:spacing w:val="0"/>
          <w:w w:val="100"/>
          <w:position w:val="0"/>
          <w:sz w:val="24"/>
          <w:szCs w:val="24"/>
        </w:rPr>
      </w:pPr>
      <w:r>
        <w:rPr>
          <w:color w:val="auto"/>
          <w:spacing w:val="0"/>
          <w:w w:val="100"/>
          <w:position w:val="0"/>
          <w:sz w:val="24"/>
        </w:rPr>
        <w:t>本项目属于《产业结构调整指导目录（</w:t>
      </w:r>
      <w:r>
        <w:rPr>
          <w:rFonts w:ascii="Times New Roman" w:hAnsi="Times New Roman" w:eastAsia="Times New Roman"/>
          <w:color w:val="auto"/>
          <w:spacing w:val="0"/>
          <w:w w:val="100"/>
          <w:position w:val="0"/>
          <w:sz w:val="24"/>
        </w:rPr>
        <w:t>20</w:t>
      </w:r>
      <w:r>
        <w:rPr>
          <w:rFonts w:hint="eastAsia" w:eastAsia="宋体"/>
          <w:color w:val="auto"/>
          <w:spacing w:val="0"/>
          <w:w w:val="100"/>
          <w:position w:val="0"/>
          <w:sz w:val="24"/>
          <w:lang w:val="en-US" w:eastAsia="zh-CN"/>
        </w:rPr>
        <w:t>24</w:t>
      </w:r>
      <w:r>
        <w:rPr>
          <w:color w:val="auto"/>
          <w:spacing w:val="0"/>
          <w:w w:val="100"/>
          <w:position w:val="0"/>
          <w:sz w:val="24"/>
        </w:rPr>
        <w:t>年本）》中</w:t>
      </w:r>
      <w:r>
        <w:rPr>
          <w:rFonts w:hint="eastAsia"/>
          <w:color w:val="auto"/>
          <w:spacing w:val="0"/>
          <w:w w:val="100"/>
          <w:position w:val="0"/>
          <w:sz w:val="24"/>
          <w:lang w:eastAsia="zh-CN"/>
        </w:rPr>
        <w:t>“</w:t>
      </w:r>
      <w:r>
        <w:rPr>
          <w:color w:val="auto"/>
          <w:spacing w:val="0"/>
          <w:w w:val="100"/>
          <w:position w:val="0"/>
          <w:sz w:val="24"/>
        </w:rPr>
        <w:t>第一类鼓励类</w:t>
      </w:r>
      <w:r>
        <w:rPr>
          <w:rFonts w:hint="eastAsia"/>
          <w:color w:val="auto"/>
          <w:spacing w:val="0"/>
          <w:w w:val="100"/>
          <w:position w:val="0"/>
          <w:sz w:val="24"/>
          <w:lang w:eastAsia="zh-CN"/>
        </w:rPr>
        <w:t>”</w:t>
      </w:r>
      <w:r>
        <w:rPr>
          <w:color w:val="auto"/>
          <w:spacing w:val="0"/>
          <w:w w:val="100"/>
          <w:position w:val="0"/>
          <w:sz w:val="24"/>
        </w:rPr>
        <w:t>：</w:t>
      </w:r>
      <w:r>
        <w:rPr>
          <w:rFonts w:hint="eastAsia"/>
          <w:color w:val="auto"/>
          <w:spacing w:val="0"/>
          <w:w w:val="100"/>
          <w:position w:val="0"/>
          <w:sz w:val="24"/>
          <w:lang w:eastAsia="zh-CN"/>
        </w:rPr>
        <w:t>“</w:t>
      </w:r>
      <w:r>
        <w:rPr>
          <w:color w:val="auto"/>
          <w:spacing w:val="0"/>
          <w:w w:val="100"/>
          <w:position w:val="0"/>
          <w:sz w:val="24"/>
        </w:rPr>
        <w:t>四十</w:t>
      </w:r>
      <w:r>
        <w:rPr>
          <w:rFonts w:hint="eastAsia"/>
          <w:color w:val="auto"/>
          <w:spacing w:val="0"/>
          <w:w w:val="100"/>
          <w:position w:val="0"/>
          <w:sz w:val="24"/>
          <w:lang w:eastAsia="zh-CN"/>
        </w:rPr>
        <w:t>二</w:t>
      </w:r>
      <w:r>
        <w:rPr>
          <w:color w:val="auto"/>
          <w:spacing w:val="0"/>
          <w:w w:val="100"/>
          <w:position w:val="0"/>
          <w:sz w:val="24"/>
        </w:rPr>
        <w:t>、环境保护与资源节约综合利用－</w:t>
      </w:r>
      <w:r>
        <w:rPr>
          <w:rFonts w:hint="eastAsia" w:eastAsia="宋体"/>
          <w:color w:val="auto"/>
          <w:spacing w:val="0"/>
          <w:w w:val="100"/>
          <w:position w:val="0"/>
          <w:sz w:val="24"/>
          <w:lang w:val="en-US" w:eastAsia="zh-CN"/>
        </w:rPr>
        <w:t>8</w:t>
      </w:r>
      <w:r>
        <w:rPr>
          <w:rFonts w:ascii="Times New Roman" w:hAnsi="Times New Roman" w:eastAsia="Times New Roman"/>
          <w:color w:val="auto"/>
          <w:spacing w:val="0"/>
          <w:w w:val="100"/>
          <w:position w:val="0"/>
          <w:sz w:val="24"/>
        </w:rPr>
        <w:t>.</w:t>
      </w:r>
      <w:r>
        <w:rPr>
          <w:rFonts w:hint="eastAsia"/>
          <w:color w:val="auto"/>
          <w:spacing w:val="0"/>
          <w:w w:val="100"/>
          <w:position w:val="0"/>
          <w:sz w:val="24"/>
        </w:rPr>
        <w:t>废弃物循环利用</w:t>
      </w:r>
      <w:r>
        <w:rPr>
          <w:rFonts w:hint="eastAsia"/>
          <w:color w:val="auto"/>
          <w:spacing w:val="0"/>
          <w:w w:val="100"/>
          <w:position w:val="0"/>
          <w:sz w:val="24"/>
          <w:lang w:eastAsia="zh-CN"/>
        </w:rPr>
        <w:t>”</w:t>
      </w:r>
      <w:r>
        <w:rPr>
          <w:color w:val="auto"/>
          <w:spacing w:val="0"/>
          <w:w w:val="100"/>
          <w:position w:val="0"/>
          <w:sz w:val="24"/>
        </w:rPr>
        <w:t>项目。</w:t>
      </w:r>
      <w:r>
        <w:rPr>
          <w:rFonts w:hint="eastAsia" w:ascii="宋体" w:hAnsi="宋体" w:eastAsia="宋体" w:cs="宋体"/>
          <w:color w:val="auto"/>
          <w:spacing w:val="0"/>
          <w:w w:val="100"/>
          <w:position w:val="0"/>
          <w:sz w:val="24"/>
          <w:szCs w:val="24"/>
        </w:rPr>
        <w:t>符合国家产业政策要求。</w:t>
      </w:r>
    </w:p>
    <w:p w14:paraId="143DFBE0">
      <w:pPr>
        <w:pStyle w:val="4"/>
        <w:keepNext w:val="0"/>
        <w:keepLines w:val="0"/>
        <w:pageBreakBefore w:val="0"/>
        <w:widowControl/>
        <w:tabs>
          <w:tab w:val="left" w:pos="5268"/>
        </w:tabs>
        <w:kinsoku/>
        <w:wordWrap/>
        <w:overflowPunct/>
        <w:topLinePunct w:val="0"/>
        <w:autoSpaceDE/>
        <w:autoSpaceDN/>
        <w:bidi w:val="0"/>
        <w:adjustRightInd w:val="0"/>
        <w:snapToGrid w:val="0"/>
        <w:spacing w:before="0" w:beforeLines="50"/>
        <w:textAlignment w:val="auto"/>
        <w:rPr>
          <w:rFonts w:hint="eastAsia" w:ascii="Times New Roman" w:hAnsi="Times New Roman" w:eastAsia="宋体" w:cs="Times New Roman"/>
          <w:color w:val="auto"/>
          <w:spacing w:val="0"/>
          <w:w w:val="100"/>
          <w:position w:val="0"/>
          <w:lang w:eastAsia="zh-CN"/>
        </w:rPr>
      </w:pPr>
      <w:bookmarkStart w:id="17" w:name="_Toc21730"/>
      <w:bookmarkStart w:id="18" w:name="_Toc22720"/>
      <w:bookmarkStart w:id="19" w:name="_Toc10882"/>
      <w:r>
        <w:rPr>
          <w:rFonts w:hint="default" w:ascii="Times New Roman" w:hAnsi="Times New Roman" w:cs="Times New Roman"/>
          <w:color w:val="auto"/>
          <w:spacing w:val="0"/>
          <w:w w:val="100"/>
          <w:position w:val="0"/>
          <w:lang w:val="en-US" w:eastAsia="zh-CN"/>
        </w:rPr>
        <w:t>1.</w:t>
      </w:r>
      <w:r>
        <w:rPr>
          <w:rFonts w:hint="eastAsia" w:cs="Times New Roman"/>
          <w:color w:val="auto"/>
          <w:spacing w:val="0"/>
          <w:w w:val="100"/>
          <w:position w:val="0"/>
          <w:lang w:val="en-US" w:eastAsia="zh-CN"/>
        </w:rPr>
        <w:t>5</w:t>
      </w:r>
      <w:r>
        <w:rPr>
          <w:rFonts w:hint="default" w:ascii="Times New Roman" w:hAnsi="Times New Roman" w:cs="Times New Roman"/>
          <w:color w:val="auto"/>
          <w:spacing w:val="0"/>
          <w:w w:val="100"/>
          <w:position w:val="0"/>
        </w:rPr>
        <w:t>关注的主要环境问题及环境影响</w:t>
      </w:r>
      <w:bookmarkEnd w:id="17"/>
      <w:bookmarkEnd w:id="18"/>
      <w:bookmarkEnd w:id="19"/>
    </w:p>
    <w:p w14:paraId="08A37B3A">
      <w:pPr>
        <w:pStyle w:val="65"/>
        <w:ind w:firstLine="480"/>
        <w:rPr>
          <w:rFonts w:hint="default" w:ascii="Times New Roman" w:hAnsi="Times New Roman" w:eastAsia="宋体" w:cs="Times New Roman"/>
          <w:color w:val="auto"/>
          <w:highlight w:val="none"/>
        </w:rPr>
      </w:pPr>
      <w:r>
        <w:rPr>
          <w:rFonts w:hint="default" w:ascii="Times New Roman" w:hAnsi="Times New Roman" w:eastAsia="宋体" w:cs="Times New Roman"/>
          <w:color w:val="auto"/>
          <w:highlight w:val="none"/>
        </w:rPr>
        <w:t>本项目主要原料为回收的废旧滴灌带，其利用过程需符合国家相关技术政策，环评关注的主要环境问题一是本项目与相关政策、规范的符合性，以及选址的合理性；二是项目生产过程中产生的有机废气的收集与处理是否符合挥发性有机物（VOCs）有关污染防治要求；三是清洗废水的处理及项目产生的各类固体废物的收集及处置措施是否可行，是否会造成二次污染。</w:t>
      </w:r>
    </w:p>
    <w:p w14:paraId="010C553B">
      <w:pPr>
        <w:pStyle w:val="65"/>
        <w:ind w:firstLine="480"/>
        <w:rPr>
          <w:rFonts w:hint="eastAsia" w:ascii="Times New Roman" w:hAnsi="Times New Roman" w:eastAsia="宋体" w:cs="Times New Roman"/>
          <w:color w:val="auto"/>
        </w:rPr>
      </w:pPr>
      <w:r>
        <w:rPr>
          <w:rFonts w:hint="default" w:ascii="Times New Roman" w:hAnsi="Times New Roman" w:eastAsia="宋体" w:cs="Times New Roman"/>
          <w:color w:val="auto"/>
          <w:highlight w:val="none"/>
        </w:rPr>
        <w:t>关注的主要环境影响是挥发性有机物对大气环境的影响。</w:t>
      </w:r>
    </w:p>
    <w:p w14:paraId="44394755">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20" w:name="_bookmark5"/>
      <w:bookmarkEnd w:id="20"/>
      <w:bookmarkStart w:id="21" w:name="1.5 环境影响报告书的主要结论"/>
      <w:bookmarkEnd w:id="21"/>
      <w:bookmarkStart w:id="22" w:name="_Toc11136"/>
      <w:bookmarkStart w:id="23" w:name="_Toc11390"/>
      <w:bookmarkStart w:id="24" w:name="_Toc2921"/>
      <w:r>
        <w:rPr>
          <w:rFonts w:hint="default" w:ascii="Times New Roman" w:hAnsi="Times New Roman" w:cs="Times New Roman"/>
          <w:color w:val="auto"/>
          <w:spacing w:val="0"/>
          <w:w w:val="100"/>
          <w:position w:val="0"/>
          <w:lang w:val="en-US" w:eastAsia="zh-CN"/>
        </w:rPr>
        <w:t>1.</w:t>
      </w:r>
      <w:r>
        <w:rPr>
          <w:rFonts w:hint="eastAsia" w:cs="Times New Roman"/>
          <w:color w:val="auto"/>
          <w:spacing w:val="0"/>
          <w:w w:val="100"/>
          <w:position w:val="0"/>
          <w:lang w:val="en-US" w:eastAsia="zh-CN"/>
        </w:rPr>
        <w:t>6</w:t>
      </w:r>
      <w:r>
        <w:rPr>
          <w:rFonts w:hint="default" w:ascii="Times New Roman" w:hAnsi="Times New Roman" w:cs="Times New Roman"/>
          <w:color w:val="auto"/>
          <w:spacing w:val="0"/>
          <w:w w:val="100"/>
          <w:position w:val="0"/>
        </w:rPr>
        <w:t>环境影响报告书的主要结论</w:t>
      </w:r>
      <w:bookmarkEnd w:id="22"/>
      <w:bookmarkEnd w:id="23"/>
      <w:bookmarkEnd w:id="24"/>
    </w:p>
    <w:p w14:paraId="7ED228FB">
      <w:pPr>
        <w:pageBreakBefore w:val="0"/>
        <w:kinsoku/>
        <w:wordWrap/>
        <w:overflowPunct/>
        <w:topLinePunct w:val="0"/>
        <w:bidi w:val="0"/>
        <w:rPr>
          <w:rFonts w:hint="eastAsia"/>
          <w:color w:val="auto"/>
        </w:rPr>
      </w:pPr>
      <w:r>
        <w:rPr>
          <w:rFonts w:hint="eastAsia" w:ascii="宋体" w:hAnsi="宋体" w:eastAsia="宋体" w:cs="宋体"/>
          <w:color w:val="auto"/>
          <w:spacing w:val="0"/>
          <w:w w:val="100"/>
          <w:position w:val="0"/>
          <w:szCs w:val="22"/>
        </w:rPr>
        <w:t>本项目符合国家及地方有关产业政策及相关规划，建设区域环境质量现状满足环境功能区划的要求。项目产生的废气、废水、噪声及固体废物污染物均采取了有效的防治措施，可达标排放并符合污染物总</w:t>
      </w:r>
      <w:r>
        <w:rPr>
          <w:rFonts w:hint="eastAsia"/>
          <w:color w:val="auto"/>
        </w:rPr>
        <w:t>量控制要求，经预测项目不会对周围环境产生明显影响；项目建设得到了当地公众的支持。因此，在切实落实各项环保措施的前提下，从环保角度考虑该项目可行。</w:t>
      </w:r>
    </w:p>
    <w:p w14:paraId="45ED214F">
      <w:pPr>
        <w:pageBreakBefore w:val="0"/>
        <w:kinsoku/>
        <w:wordWrap/>
        <w:overflowPunct/>
        <w:topLinePunct w:val="0"/>
        <w:bidi w:val="0"/>
        <w:rPr>
          <w:rFonts w:hint="default" w:ascii="Times New Roman" w:hAnsi="Times New Roman" w:cs="Times New Roman"/>
          <w:color w:val="auto"/>
          <w:spacing w:val="0"/>
          <w:w w:val="100"/>
          <w:position w:val="0"/>
        </w:rPr>
      </w:pPr>
      <w:r>
        <w:rPr>
          <w:rFonts w:hint="eastAsia"/>
          <w:color w:val="auto"/>
        </w:rPr>
        <w:t>本环评在项目初步方案和建设单位提供</w:t>
      </w:r>
      <w:r>
        <w:rPr>
          <w:rFonts w:hint="eastAsia" w:ascii="宋体" w:hAnsi="宋体" w:eastAsia="宋体" w:cs="宋体"/>
          <w:color w:val="auto"/>
          <w:spacing w:val="0"/>
          <w:w w:val="100"/>
          <w:position w:val="0"/>
          <w:szCs w:val="22"/>
        </w:rPr>
        <w:t>的相关资料的基础上进行编制，项目后续实施情况发生变化，建设单位应重新上报环保部门进行审批。</w:t>
      </w:r>
    </w:p>
    <w:p w14:paraId="75318119">
      <w:pPr>
        <w:keepNext w:val="0"/>
        <w:keepLines w:val="0"/>
        <w:pageBreakBefore w:val="0"/>
        <w:widowControl w:val="0"/>
        <w:kinsoku/>
        <w:wordWrap/>
        <w:overflowPunct/>
        <w:topLinePunct w:val="0"/>
        <w:autoSpaceDE w:val="0"/>
        <w:autoSpaceDN w:val="0"/>
        <w:bidi w:val="0"/>
        <w:adjustRightInd w:val="0"/>
        <w:snapToGrid w:val="0"/>
        <w:spacing w:before="0" w:after="0" w:line="360" w:lineRule="auto"/>
        <w:ind w:left="0" w:right="0" w:firstLine="480" w:firstLineChars="200"/>
        <w:textAlignment w:val="auto"/>
        <w:rPr>
          <w:rFonts w:hint="default" w:ascii="Times New Roman" w:hAnsi="Times New Roman" w:cs="Times New Roman"/>
          <w:color w:val="auto"/>
          <w:spacing w:val="0"/>
          <w:w w:val="100"/>
          <w:position w:val="0"/>
        </w:rPr>
        <w:sectPr>
          <w:headerReference r:id="rId5" w:type="default"/>
          <w:footerReference r:id="rId6" w:type="default"/>
          <w:pgSz w:w="11910" w:h="16840"/>
          <w:pgMar w:top="1587" w:right="1587" w:bottom="1587" w:left="1587" w:header="897" w:footer="1185" w:gutter="0"/>
          <w:pgBorders>
            <w:top w:val="none" w:sz="0" w:space="0"/>
            <w:left w:val="none" w:sz="0" w:space="0"/>
            <w:bottom w:val="none" w:sz="0" w:space="0"/>
            <w:right w:val="none" w:sz="0" w:space="0"/>
          </w:pgBorders>
          <w:pgNumType w:fmt="decimal"/>
          <w:cols w:space="720" w:num="1"/>
        </w:sectPr>
      </w:pPr>
    </w:p>
    <w:p w14:paraId="7EB52AAA">
      <w:pPr>
        <w:pStyle w:val="3"/>
        <w:pageBreakBefore w:val="0"/>
        <w:kinsoku/>
        <w:wordWrap/>
        <w:overflowPunct/>
        <w:topLinePunct w:val="0"/>
        <w:bidi w:val="0"/>
        <w:rPr>
          <w:rFonts w:hint="default" w:ascii="Times New Roman" w:hAnsi="Times New Roman" w:cs="Times New Roman"/>
          <w:color w:val="auto"/>
          <w:spacing w:val="0"/>
          <w:w w:val="100"/>
          <w:position w:val="0"/>
        </w:rPr>
      </w:pPr>
      <w:bookmarkStart w:id="25" w:name="2 总则"/>
      <w:bookmarkEnd w:id="25"/>
      <w:bookmarkStart w:id="26" w:name="_bookmark6"/>
      <w:bookmarkEnd w:id="26"/>
      <w:bookmarkStart w:id="27" w:name="_Toc17759"/>
      <w:bookmarkStart w:id="28" w:name="_Toc30456"/>
      <w:bookmarkStart w:id="29" w:name="_Toc22520"/>
      <w:r>
        <w:rPr>
          <w:rFonts w:hint="default" w:ascii="Times New Roman" w:hAnsi="Times New Roman" w:cs="Times New Roman"/>
          <w:color w:val="auto"/>
          <w:spacing w:val="0"/>
          <w:w w:val="100"/>
          <w:position w:val="0"/>
          <w:lang w:val="en-US" w:eastAsia="zh-CN"/>
        </w:rPr>
        <w:t>2、</w:t>
      </w:r>
      <w:r>
        <w:rPr>
          <w:rFonts w:hint="default" w:ascii="Times New Roman" w:hAnsi="Times New Roman" w:cs="Times New Roman"/>
          <w:color w:val="auto"/>
          <w:spacing w:val="0"/>
          <w:w w:val="100"/>
          <w:position w:val="0"/>
        </w:rPr>
        <w:t>总则</w:t>
      </w:r>
      <w:bookmarkEnd w:id="27"/>
      <w:bookmarkEnd w:id="28"/>
      <w:bookmarkEnd w:id="29"/>
    </w:p>
    <w:p w14:paraId="62C0A22B">
      <w:pPr>
        <w:pStyle w:val="4"/>
        <w:pageBreakBefore w:val="0"/>
        <w:widowControl w:val="0"/>
        <w:kinsoku/>
        <w:wordWrap/>
        <w:overflowPunct/>
        <w:topLinePunct w:val="0"/>
        <w:autoSpaceDE w:val="0"/>
        <w:autoSpaceDN w:val="0"/>
        <w:bidi w:val="0"/>
        <w:adjustRightInd/>
        <w:snapToGrid/>
        <w:spacing w:before="0" w:after="0"/>
        <w:textAlignment w:val="auto"/>
        <w:rPr>
          <w:rFonts w:hint="default"/>
          <w:color w:val="auto"/>
          <w:lang w:val="en-US" w:eastAsia="zh-CN"/>
        </w:rPr>
      </w:pPr>
      <w:bookmarkStart w:id="30" w:name="_bookmark7"/>
      <w:bookmarkEnd w:id="30"/>
      <w:bookmarkStart w:id="31" w:name="2.1 评价原则及评价目的"/>
      <w:bookmarkEnd w:id="31"/>
      <w:bookmarkStart w:id="32" w:name="_Toc17968"/>
      <w:bookmarkStart w:id="33" w:name="_Toc11594"/>
      <w:bookmarkStart w:id="34" w:name="_Toc16668"/>
      <w:r>
        <w:rPr>
          <w:rFonts w:hint="default"/>
          <w:color w:val="auto"/>
          <w:lang w:val="en-US" w:eastAsia="zh-CN"/>
        </w:rPr>
        <w:t>2.1评价原则及评价目的</w:t>
      </w:r>
      <w:bookmarkEnd w:id="32"/>
      <w:bookmarkEnd w:id="33"/>
      <w:bookmarkEnd w:id="34"/>
    </w:p>
    <w:p w14:paraId="2CFA1AB4">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35" w:name="2.1.1评价原则"/>
      <w:bookmarkEnd w:id="35"/>
      <w:bookmarkStart w:id="36" w:name="2.1.1评价原则"/>
      <w:bookmarkEnd w:id="36"/>
      <w:bookmarkStart w:id="37" w:name="_Toc10642"/>
      <w:bookmarkStart w:id="38" w:name="_Toc27669"/>
      <w:r>
        <w:rPr>
          <w:rFonts w:hint="default"/>
          <w:color w:val="auto"/>
          <w:lang w:val="en-US" w:eastAsia="zh-CN"/>
        </w:rPr>
        <w:t>2.1.1评价原则</w:t>
      </w:r>
      <w:bookmarkEnd w:id="37"/>
      <w:bookmarkEnd w:id="38"/>
    </w:p>
    <w:p w14:paraId="3991A451">
      <w:pPr>
        <w:keepNext w:val="0"/>
        <w:keepLines w:val="0"/>
        <w:pageBreakBefore w:val="0"/>
        <w:widowControl w:val="0"/>
        <w:kinsoku/>
        <w:wordWrap/>
        <w:overflowPunct/>
        <w:topLinePunct w:val="0"/>
        <w:autoSpaceDE w:val="0"/>
        <w:autoSpaceDN w:val="0"/>
        <w:bidi w:val="0"/>
        <w:adjustRightInd/>
        <w:snapToGrid/>
        <w:spacing w:before="0" w:after="0"/>
        <w:textAlignment w:val="auto"/>
        <w:rPr>
          <w:color w:val="auto"/>
        </w:rPr>
      </w:pPr>
      <w:r>
        <w:rPr>
          <w:color w:val="auto"/>
          <w:spacing w:val="0"/>
          <w:w w:val="100"/>
          <w:position w:val="0"/>
        </w:rPr>
        <w:t>突出环境影响评价的源头预防作用，坚持保护和改善</w:t>
      </w:r>
      <w:r>
        <w:rPr>
          <w:color w:val="auto"/>
        </w:rPr>
        <w:t>环境质量。</w:t>
      </w:r>
    </w:p>
    <w:p w14:paraId="4E6ECA77">
      <w:pPr>
        <w:keepNext w:val="0"/>
        <w:keepLines w:val="0"/>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color w:val="auto"/>
          <w:lang w:eastAsia="zh-CN"/>
        </w:rPr>
        <w:t>（</w:t>
      </w:r>
      <w:r>
        <w:rPr>
          <w:rFonts w:hint="default"/>
          <w:color w:val="auto"/>
          <w:lang w:val="en-US" w:eastAsia="zh-CN"/>
        </w:rPr>
        <w:t>1</w:t>
      </w:r>
      <w:r>
        <w:rPr>
          <w:rFonts w:hint="default"/>
          <w:color w:val="auto"/>
          <w:lang w:eastAsia="zh-CN"/>
        </w:rPr>
        <w:t>）贯彻执行我国环境保护</w:t>
      </w:r>
      <w:r>
        <w:rPr>
          <w:rFonts w:hint="default"/>
          <w:color w:val="auto"/>
        </w:rPr>
        <w:t>相关法律法规、标准、政策和规划等，优化项目建设，服务环境管理。</w:t>
      </w:r>
    </w:p>
    <w:p w14:paraId="3D305581">
      <w:pPr>
        <w:keepNext w:val="0"/>
        <w:keepLines w:val="0"/>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color w:val="auto"/>
          <w:lang w:eastAsia="zh-CN"/>
        </w:rPr>
        <w:t>（</w:t>
      </w:r>
      <w:r>
        <w:rPr>
          <w:rFonts w:hint="default"/>
          <w:color w:val="auto"/>
          <w:lang w:val="en-US" w:eastAsia="zh-CN"/>
        </w:rPr>
        <w:t>2</w:t>
      </w:r>
      <w:r>
        <w:rPr>
          <w:rFonts w:hint="default"/>
          <w:color w:val="auto"/>
          <w:lang w:eastAsia="zh-CN"/>
        </w:rPr>
        <w:t>）</w:t>
      </w:r>
      <w:r>
        <w:rPr>
          <w:rFonts w:hint="default"/>
          <w:color w:val="auto"/>
        </w:rPr>
        <w:t>科学评价</w:t>
      </w:r>
    </w:p>
    <w:p w14:paraId="102C8DAC">
      <w:pPr>
        <w:keepNext w:val="0"/>
        <w:keepLines w:val="0"/>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color w:val="auto"/>
        </w:rPr>
        <w:t>规范环境影响评价方法，科学分析项目建设对环境质量的影响。</w:t>
      </w:r>
    </w:p>
    <w:p w14:paraId="1E7574F9">
      <w:pPr>
        <w:keepNext w:val="0"/>
        <w:keepLines w:val="0"/>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color w:val="auto"/>
          <w:lang w:eastAsia="zh-CN"/>
        </w:rPr>
        <w:t>（</w:t>
      </w:r>
      <w:r>
        <w:rPr>
          <w:rFonts w:hint="default"/>
          <w:color w:val="auto"/>
          <w:lang w:val="en-US" w:eastAsia="zh-CN"/>
        </w:rPr>
        <w:t>3</w:t>
      </w:r>
      <w:r>
        <w:rPr>
          <w:rFonts w:hint="default"/>
          <w:color w:val="auto"/>
          <w:lang w:eastAsia="zh-CN"/>
        </w:rPr>
        <w:t>）</w:t>
      </w:r>
      <w:r>
        <w:rPr>
          <w:rFonts w:hint="default"/>
          <w:color w:val="auto"/>
        </w:rPr>
        <w:t>突出重点</w:t>
      </w:r>
    </w:p>
    <w:p w14:paraId="1347D498">
      <w:pPr>
        <w:keepNext w:val="0"/>
        <w:keepLines w:val="0"/>
        <w:pageBreakBefore w:val="0"/>
        <w:widowControl w:val="0"/>
        <w:kinsoku/>
        <w:wordWrap/>
        <w:overflowPunct/>
        <w:topLinePunct w:val="0"/>
        <w:autoSpaceDE w:val="0"/>
        <w:autoSpaceDN w:val="0"/>
        <w:bidi w:val="0"/>
        <w:adjustRightInd/>
        <w:snapToGrid/>
        <w:spacing w:before="0" w:after="0"/>
        <w:textAlignment w:val="auto"/>
        <w:rPr>
          <w:rFonts w:hint="default" w:ascii="Times New Roman" w:hAnsi="Times New Roman" w:cs="Times New Roman"/>
          <w:color w:val="auto"/>
          <w:spacing w:val="0"/>
          <w:w w:val="100"/>
          <w:position w:val="0"/>
        </w:rPr>
      </w:pPr>
      <w:r>
        <w:rPr>
          <w:rFonts w:hint="default"/>
          <w:color w:val="auto"/>
        </w:rPr>
        <w:t>根据建设项目的工程内容及其特点，明确与环境要素间的作用效应关系，根据规划环境影响评价结论和审查意见，充分利用符合时效的数据资料及</w:t>
      </w:r>
      <w:r>
        <w:rPr>
          <w:rFonts w:hint="default" w:ascii="Times New Roman" w:hAnsi="Times New Roman" w:cs="Times New Roman"/>
          <w:color w:val="auto"/>
          <w:spacing w:val="0"/>
          <w:w w:val="100"/>
          <w:position w:val="0"/>
        </w:rPr>
        <w:t>成果，对建设项目主要环境影响予以重点分析和评价。</w:t>
      </w:r>
    </w:p>
    <w:p w14:paraId="43E8EF95">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eastAsia"/>
          <w:color w:val="auto"/>
          <w:lang w:val="en-US" w:eastAsia="zh-CN"/>
        </w:rPr>
      </w:pPr>
      <w:bookmarkStart w:id="39" w:name="2.1.2 评价目的"/>
      <w:bookmarkEnd w:id="39"/>
      <w:bookmarkStart w:id="40" w:name="2.1.2 评价目的"/>
      <w:bookmarkEnd w:id="40"/>
      <w:bookmarkStart w:id="41" w:name="_Toc14366"/>
      <w:bookmarkStart w:id="42" w:name="_Toc18080"/>
      <w:r>
        <w:rPr>
          <w:rFonts w:hint="default"/>
          <w:color w:val="auto"/>
          <w:lang w:val="en-US" w:eastAsia="zh-CN"/>
        </w:rPr>
        <w:t>2.1.2评价目的</w:t>
      </w:r>
      <w:bookmarkEnd w:id="41"/>
      <w:bookmarkEnd w:id="42"/>
    </w:p>
    <w:p w14:paraId="428BC4B4">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eastAsia" w:ascii="Times New Roman" w:hAnsi="Times New Roman" w:cs="Times New Roman"/>
          <w:color w:val="auto"/>
          <w:spacing w:val="0"/>
          <w:w w:val="100"/>
          <w:position w:val="0"/>
          <w:lang w:eastAsia="zh-CN"/>
        </w:rPr>
        <w:t>（</w:t>
      </w:r>
      <w:r>
        <w:rPr>
          <w:rFonts w:hint="eastAsia" w:ascii="Times New Roman" w:hAnsi="Times New Roman" w:cs="Times New Roman"/>
          <w:color w:val="auto"/>
          <w:spacing w:val="0"/>
          <w:w w:val="100"/>
          <w:position w:val="0"/>
          <w:lang w:val="en-US" w:eastAsia="zh-CN"/>
        </w:rPr>
        <w:t>1</w:t>
      </w:r>
      <w:r>
        <w:rPr>
          <w:rFonts w:hint="eastAsia" w:ascii="Times New Roman" w:hAnsi="Times New Roman" w:cs="Times New Roman"/>
          <w:color w:val="auto"/>
          <w:spacing w:val="0"/>
          <w:w w:val="100"/>
          <w:position w:val="0"/>
          <w:lang w:eastAsia="zh-CN"/>
        </w:rPr>
        <w:t>）</w:t>
      </w:r>
      <w:r>
        <w:rPr>
          <w:rFonts w:hint="default" w:ascii="Times New Roman" w:hAnsi="Times New Roman" w:cs="Times New Roman"/>
          <w:color w:val="auto"/>
          <w:spacing w:val="0"/>
          <w:w w:val="100"/>
          <w:position w:val="0"/>
        </w:rPr>
        <w:t>评价本项目所在区域的环境质量背景</w:t>
      </w:r>
      <w:r>
        <w:rPr>
          <w:rFonts w:hint="default"/>
          <w:color w:val="auto"/>
        </w:rPr>
        <w:t>状况和主要环境问题。</w:t>
      </w:r>
    </w:p>
    <w:p w14:paraId="1B10EFBE">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通过工程分析，明确本项目的主要污染源、污染物种类、排放</w:t>
      </w:r>
      <w:r>
        <w:rPr>
          <w:rFonts w:hint="eastAsia"/>
          <w:color w:val="auto"/>
          <w:lang w:eastAsia="zh-CN"/>
        </w:rPr>
        <w:t>源强</w:t>
      </w:r>
      <w:r>
        <w:rPr>
          <w:rFonts w:hint="default"/>
          <w:color w:val="auto"/>
        </w:rPr>
        <w:t>，并对污染物达标排放进行分析。</w:t>
      </w:r>
    </w:p>
    <w:p w14:paraId="7F0218C3">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论证本项目采取的环境保护措施的可行性及合理性，并针对存在的问题，提出预防或者减轻不良环境影响的对策和措施。</w:t>
      </w:r>
    </w:p>
    <w:p w14:paraId="45655F75">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default"/>
          <w:color w:val="auto"/>
        </w:rPr>
        <w:t>论证项目与产业政策的符合性、与当地建设规划的相容性、资源利用可行性以及环境可行性。</w:t>
      </w:r>
    </w:p>
    <w:p w14:paraId="133CDB5A">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5</w:t>
      </w:r>
      <w:r>
        <w:rPr>
          <w:rFonts w:hint="eastAsia"/>
          <w:color w:val="auto"/>
          <w:lang w:eastAsia="zh-CN"/>
        </w:rPr>
        <w:t>）</w:t>
      </w:r>
      <w:r>
        <w:rPr>
          <w:rFonts w:hint="default"/>
          <w:color w:val="auto"/>
        </w:rPr>
        <w:t>分析本项目可能存在的事故隐患，预测可能产生的环境风险程度，提出具体的环境风险防范措施。</w:t>
      </w:r>
    </w:p>
    <w:p w14:paraId="31CCFA1F">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color w:val="auto"/>
        </w:rPr>
        <w:t>通过上述评价，论证项目在环境方面的可行性，给出环境影响评价结论，为环境保护行政主管部门提供决策依据。</w:t>
      </w:r>
    </w:p>
    <w:p w14:paraId="53C137ED">
      <w:pPr>
        <w:pStyle w:val="4"/>
        <w:pageBreakBefore w:val="0"/>
        <w:widowControl w:val="0"/>
        <w:kinsoku/>
        <w:wordWrap/>
        <w:overflowPunct/>
        <w:topLinePunct w:val="0"/>
        <w:autoSpaceDE w:val="0"/>
        <w:autoSpaceDN w:val="0"/>
        <w:bidi w:val="0"/>
        <w:adjustRightInd/>
        <w:snapToGrid/>
        <w:spacing w:before="0" w:after="0"/>
        <w:textAlignment w:val="auto"/>
        <w:rPr>
          <w:rFonts w:hint="default"/>
          <w:color w:val="auto"/>
          <w:lang w:val="en-US" w:eastAsia="zh-CN"/>
        </w:rPr>
      </w:pPr>
      <w:bookmarkStart w:id="43" w:name="2.2 编制依据"/>
      <w:bookmarkEnd w:id="43"/>
      <w:bookmarkStart w:id="44" w:name="_bookmark8"/>
      <w:bookmarkEnd w:id="44"/>
      <w:bookmarkStart w:id="45" w:name="_Toc25557"/>
      <w:bookmarkStart w:id="46" w:name="_Toc25573"/>
      <w:bookmarkStart w:id="47" w:name="_Toc32172"/>
      <w:r>
        <w:rPr>
          <w:rFonts w:hint="default"/>
          <w:color w:val="auto"/>
          <w:lang w:val="en-US" w:eastAsia="zh-CN"/>
        </w:rPr>
        <w:t>2.2编制依据</w:t>
      </w:r>
      <w:bookmarkEnd w:id="45"/>
      <w:bookmarkEnd w:id="46"/>
      <w:bookmarkEnd w:id="47"/>
    </w:p>
    <w:p w14:paraId="3481FB6E">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48" w:name="2.2.1 环境保护法律法规"/>
      <w:bookmarkEnd w:id="48"/>
      <w:bookmarkStart w:id="49" w:name="2.2.1 环境保护法律法规"/>
      <w:bookmarkEnd w:id="49"/>
      <w:bookmarkStart w:id="50" w:name="_Toc5709"/>
      <w:bookmarkStart w:id="51" w:name="_Toc8756"/>
      <w:r>
        <w:rPr>
          <w:rFonts w:hint="default"/>
          <w:color w:val="auto"/>
          <w:lang w:val="en-US" w:eastAsia="zh-CN"/>
        </w:rPr>
        <w:t>2.2.1环境保护法律法规</w:t>
      </w:r>
      <w:bookmarkEnd w:id="50"/>
      <w:bookmarkEnd w:id="51"/>
    </w:p>
    <w:p w14:paraId="04968ADF">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52" w:name="2.2.2 地方有关法律法规及相关文件"/>
      <w:bookmarkEnd w:id="52"/>
      <w:bookmarkStart w:id="53" w:name="2.2.2 地方有关法律法规及相关文件"/>
      <w:bookmarkEnd w:id="53"/>
      <w:bookmarkStart w:id="54" w:name="_Toc16004"/>
      <w:bookmarkStart w:id="55" w:name="_Toc27386"/>
      <w:r>
        <w:rPr>
          <w:rFonts w:hint="eastAsia"/>
          <w:color w:val="auto"/>
          <w:lang w:val="en-US" w:eastAsia="zh-CN"/>
        </w:rPr>
        <w:t>2.2.2</w:t>
      </w:r>
      <w:r>
        <w:rPr>
          <w:rFonts w:hint="default"/>
          <w:color w:val="auto"/>
          <w:lang w:val="en-US" w:eastAsia="zh-CN"/>
        </w:rPr>
        <w:t>地方有关法律法规及相关文件</w:t>
      </w:r>
      <w:bookmarkEnd w:id="54"/>
      <w:bookmarkEnd w:id="55"/>
    </w:p>
    <w:p w14:paraId="4F0AF2EC">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56" w:name="2.2.3 技术规范"/>
      <w:bookmarkEnd w:id="56"/>
      <w:bookmarkStart w:id="57" w:name="2.2.3 技术规范"/>
      <w:bookmarkEnd w:id="57"/>
      <w:bookmarkStart w:id="58" w:name="_Toc16871"/>
      <w:bookmarkStart w:id="59" w:name="_Toc22282"/>
      <w:r>
        <w:rPr>
          <w:rFonts w:hint="eastAsia"/>
          <w:color w:val="auto"/>
          <w:lang w:val="en-US" w:eastAsia="zh-CN"/>
        </w:rPr>
        <w:t>2.2.3</w:t>
      </w:r>
      <w:r>
        <w:rPr>
          <w:rFonts w:hint="default"/>
          <w:color w:val="auto"/>
          <w:lang w:val="en-US" w:eastAsia="zh-CN"/>
        </w:rPr>
        <w:t>技术规范</w:t>
      </w:r>
      <w:bookmarkEnd w:id="58"/>
      <w:bookmarkEnd w:id="59"/>
    </w:p>
    <w:p w14:paraId="24BD7C6B">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60" w:name="_Toc12985"/>
      <w:bookmarkStart w:id="61" w:name="_Toc25482"/>
      <w:r>
        <w:rPr>
          <w:rFonts w:hint="eastAsia"/>
          <w:color w:val="auto"/>
          <w:lang w:val="en-US" w:eastAsia="zh-CN"/>
        </w:rPr>
        <w:t>2.2.4</w:t>
      </w:r>
      <w:r>
        <w:rPr>
          <w:rFonts w:hint="default"/>
          <w:color w:val="auto"/>
          <w:lang w:val="en-US" w:eastAsia="zh-CN"/>
        </w:rPr>
        <w:t>本项目其他相关文件</w:t>
      </w:r>
      <w:bookmarkEnd w:id="60"/>
      <w:bookmarkEnd w:id="61"/>
    </w:p>
    <w:p w14:paraId="0228FA9A">
      <w:pPr>
        <w:pageBreakBefore w:val="0"/>
        <w:widowControl w:val="0"/>
        <w:kinsoku/>
        <w:wordWrap/>
        <w:overflowPunct/>
        <w:topLinePunct w:val="0"/>
        <w:autoSpaceDE w:val="0"/>
        <w:autoSpaceDN w:val="0"/>
        <w:bidi w:val="0"/>
        <w:adjustRightInd/>
        <w:snapToGrid/>
        <w:spacing w:before="0" w:after="0"/>
        <w:textAlignment w:val="auto"/>
        <w:rPr>
          <w:rFonts w:hint="default"/>
          <w:color w:val="auto"/>
        </w:rPr>
      </w:pPr>
      <w:r>
        <w:rPr>
          <w:rFonts w:hint="default" w:ascii="Times New Roman" w:hAnsi="Times New Roman" w:cs="Times New Roman"/>
          <w:color w:val="auto"/>
          <w:spacing w:val="0"/>
          <w:w w:val="100"/>
          <w:position w:val="0"/>
          <w:lang w:eastAsia="zh-CN"/>
        </w:rPr>
        <w:t>（</w:t>
      </w:r>
      <w:r>
        <w:rPr>
          <w:rFonts w:hint="default" w:ascii="Times New Roman" w:hAnsi="Times New Roman" w:cs="Times New Roman"/>
          <w:color w:val="auto"/>
          <w:spacing w:val="0"/>
          <w:w w:val="100"/>
          <w:position w:val="0"/>
          <w:lang w:val="en-US" w:eastAsia="zh-CN"/>
        </w:rPr>
        <w:t>1</w:t>
      </w:r>
      <w:r>
        <w:rPr>
          <w:rFonts w:hint="default" w:ascii="Times New Roman" w:hAnsi="Times New Roman" w:cs="Times New Roman"/>
          <w:color w:val="auto"/>
          <w:spacing w:val="0"/>
          <w:w w:val="100"/>
          <w:position w:val="0"/>
          <w:lang w:eastAsia="zh-CN"/>
        </w:rPr>
        <w:t>）</w:t>
      </w:r>
      <w:r>
        <w:rPr>
          <w:rFonts w:hint="eastAsia" w:cs="Times New Roman"/>
          <w:color w:val="auto"/>
          <w:spacing w:val="0"/>
          <w:w w:val="100"/>
          <w:position w:val="0"/>
          <w:lang w:eastAsia="zh-CN"/>
        </w:rPr>
        <w:t>托里县乌雪特乡人民政府</w:t>
      </w:r>
      <w:r>
        <w:rPr>
          <w:rFonts w:hint="default" w:ascii="Times New Roman" w:hAnsi="Times New Roman" w:cs="Times New Roman"/>
          <w:color w:val="auto"/>
          <w:spacing w:val="0"/>
          <w:w w:val="100"/>
          <w:position w:val="0"/>
        </w:rPr>
        <w:t>项目环境</w:t>
      </w:r>
      <w:r>
        <w:rPr>
          <w:rFonts w:hint="default"/>
          <w:color w:val="auto"/>
        </w:rPr>
        <w:t>影响评价工作委托书（见附件1）；</w:t>
      </w:r>
    </w:p>
    <w:p w14:paraId="60EBF40C">
      <w:pPr>
        <w:pageBreakBefore w:val="0"/>
        <w:widowControl w:val="0"/>
        <w:kinsoku/>
        <w:wordWrap/>
        <w:overflowPunct/>
        <w:topLinePunct w:val="0"/>
        <w:autoSpaceDE w:val="0"/>
        <w:autoSpaceDN w:val="0"/>
        <w:bidi w:val="0"/>
        <w:adjustRightInd/>
        <w:snapToGrid/>
        <w:spacing w:before="0" w:after="0"/>
        <w:textAlignment w:val="auto"/>
        <w:rPr>
          <w:rFonts w:hint="eastAsia"/>
          <w:color w:val="auto"/>
          <w:lang w:eastAsia="zh-CN"/>
        </w:rPr>
      </w:pPr>
      <w:r>
        <w:rPr>
          <w:rFonts w:hint="default"/>
          <w:color w:val="auto"/>
          <w:lang w:eastAsia="zh-CN"/>
        </w:rPr>
        <w:t>（</w:t>
      </w:r>
      <w:r>
        <w:rPr>
          <w:rFonts w:hint="default"/>
          <w:color w:val="auto"/>
          <w:lang w:val="en-US" w:eastAsia="zh-CN"/>
        </w:rPr>
        <w:t>2</w:t>
      </w:r>
      <w:r>
        <w:rPr>
          <w:rFonts w:hint="default"/>
          <w:color w:val="auto"/>
          <w:lang w:eastAsia="zh-CN"/>
        </w:rPr>
        <w:t>）</w:t>
      </w:r>
      <w:r>
        <w:rPr>
          <w:rFonts w:hint="default"/>
          <w:color w:val="auto"/>
        </w:rPr>
        <w:t>与本项目有关的其他技术资料。</w:t>
      </w:r>
    </w:p>
    <w:p w14:paraId="18478D3A">
      <w:pPr>
        <w:pStyle w:val="4"/>
        <w:pageBreakBefore w:val="0"/>
        <w:widowControl w:val="0"/>
        <w:kinsoku/>
        <w:wordWrap/>
        <w:overflowPunct/>
        <w:topLinePunct w:val="0"/>
        <w:autoSpaceDE w:val="0"/>
        <w:autoSpaceDN w:val="0"/>
        <w:bidi w:val="0"/>
        <w:adjustRightInd/>
        <w:snapToGrid/>
        <w:spacing w:before="0" w:after="0"/>
        <w:textAlignment w:val="auto"/>
        <w:rPr>
          <w:rFonts w:hint="default" w:ascii="Times New Roman" w:hAnsi="Times New Roman" w:cs="Times New Roman"/>
          <w:color w:val="auto"/>
          <w:spacing w:val="0"/>
          <w:w w:val="100"/>
          <w:position w:val="0"/>
        </w:rPr>
      </w:pPr>
      <w:bookmarkStart w:id="62" w:name="_bookmark9"/>
      <w:bookmarkEnd w:id="62"/>
      <w:bookmarkStart w:id="63" w:name="2.3 环境影响识别与评价因子筛选"/>
      <w:bookmarkEnd w:id="63"/>
      <w:bookmarkStart w:id="64" w:name="_Toc8324"/>
      <w:bookmarkStart w:id="65" w:name="_Toc25127"/>
      <w:bookmarkStart w:id="66" w:name="_Toc15897"/>
      <w:r>
        <w:rPr>
          <w:rFonts w:hint="default" w:ascii="Times New Roman" w:hAnsi="Times New Roman" w:cs="Times New Roman"/>
          <w:color w:val="auto"/>
          <w:spacing w:val="0"/>
          <w:w w:val="100"/>
          <w:position w:val="0"/>
          <w:lang w:val="en-US" w:eastAsia="zh-CN"/>
        </w:rPr>
        <w:t>2.3</w:t>
      </w:r>
      <w:r>
        <w:rPr>
          <w:rFonts w:hint="default" w:ascii="Times New Roman" w:hAnsi="Times New Roman" w:cs="Times New Roman"/>
          <w:color w:val="auto"/>
          <w:spacing w:val="0"/>
          <w:w w:val="100"/>
          <w:position w:val="0"/>
        </w:rPr>
        <w:t>环境影响识别与评价因子筛选</w:t>
      </w:r>
      <w:bookmarkEnd w:id="64"/>
      <w:bookmarkEnd w:id="65"/>
      <w:bookmarkEnd w:id="66"/>
    </w:p>
    <w:p w14:paraId="48C4AF37">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67" w:name="2.3.1 环境影响识别"/>
      <w:bookmarkEnd w:id="67"/>
      <w:bookmarkStart w:id="68" w:name="2.3.1 环境影响识别"/>
      <w:bookmarkEnd w:id="68"/>
      <w:bookmarkStart w:id="69" w:name="_Toc21523"/>
      <w:bookmarkStart w:id="70" w:name="_Toc26141"/>
      <w:r>
        <w:rPr>
          <w:rFonts w:hint="default"/>
          <w:color w:val="auto"/>
          <w:lang w:val="en-US" w:eastAsia="zh-CN"/>
        </w:rPr>
        <w:t>2.3.1环境影响识别</w:t>
      </w:r>
      <w:bookmarkEnd w:id="69"/>
      <w:bookmarkEnd w:id="70"/>
    </w:p>
    <w:p w14:paraId="67E1A5B2">
      <w:pPr>
        <w:pageBreakBefore w:val="0"/>
        <w:widowControl w:val="0"/>
        <w:kinsoku/>
        <w:wordWrap/>
        <w:overflowPunct/>
        <w:topLinePunct w:val="0"/>
        <w:autoSpaceDE w:val="0"/>
        <w:autoSpaceDN w:val="0"/>
        <w:bidi w:val="0"/>
        <w:adjustRightInd/>
        <w:snapToGrid/>
        <w:spacing w:before="0" w:after="0"/>
        <w:textAlignment w:val="auto"/>
        <w:rPr>
          <w:color w:val="auto"/>
          <w:spacing w:val="0"/>
          <w:w w:val="100"/>
          <w:position w:val="0"/>
        </w:rPr>
      </w:pPr>
      <w:r>
        <w:rPr>
          <w:color w:val="auto"/>
          <w:spacing w:val="0"/>
          <w:w w:val="100"/>
          <w:position w:val="0"/>
        </w:rPr>
        <w:t>根据项目的污染物排放特征及所在区域的环境特征，环评针对建设项目施工期及运营期的环境影响因素进行识别。具体见表</w:t>
      </w:r>
      <w:r>
        <w:rPr>
          <w:rFonts w:ascii="Times New Roman" w:eastAsia="Times New Roman"/>
          <w:color w:val="auto"/>
          <w:spacing w:val="0"/>
          <w:w w:val="100"/>
          <w:position w:val="0"/>
        </w:rPr>
        <w:t>2.3-1</w:t>
      </w:r>
      <w:r>
        <w:rPr>
          <w:color w:val="auto"/>
          <w:spacing w:val="0"/>
          <w:w w:val="100"/>
          <w:position w:val="0"/>
        </w:rPr>
        <w:t>。</w:t>
      </w:r>
    </w:p>
    <w:p w14:paraId="793B0158">
      <w:pPr>
        <w:pStyle w:val="43"/>
        <w:pageBreakBefore w:val="0"/>
        <w:kinsoku/>
        <w:wordWrap/>
        <w:overflowPunct/>
        <w:topLinePunct w:val="0"/>
        <w:bidi w:val="0"/>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rPr>
        <w:t>表2.3-1</w:t>
      </w:r>
      <w:r>
        <w:rPr>
          <w:rFonts w:hint="eastAsia" w:ascii="Times New Roman" w:hAnsi="Times New Roman" w:cs="Times New Roman"/>
          <w:b/>
          <w:bCs/>
          <w:color w:val="auto"/>
          <w:spacing w:val="0"/>
          <w:w w:val="100"/>
          <w:position w:val="0"/>
          <w:sz w:val="24"/>
          <w:szCs w:val="24"/>
          <w:lang w:val="en-US" w:eastAsia="zh-CN"/>
        </w:rPr>
        <w:t xml:space="preserve">   </w:t>
      </w:r>
      <w:r>
        <w:rPr>
          <w:rFonts w:hint="default" w:ascii="Times New Roman" w:hAnsi="Times New Roman" w:eastAsia="宋体" w:cs="Times New Roman"/>
          <w:b/>
          <w:bCs/>
          <w:color w:val="auto"/>
          <w:spacing w:val="0"/>
          <w:w w:val="100"/>
          <w:position w:val="0"/>
          <w:sz w:val="24"/>
          <w:szCs w:val="24"/>
        </w:rPr>
        <w:t>本项目环境影响因素识别表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46"/>
        <w:gridCol w:w="1093"/>
        <w:gridCol w:w="1196"/>
        <w:gridCol w:w="1400"/>
        <w:gridCol w:w="1278"/>
        <w:gridCol w:w="1392"/>
        <w:gridCol w:w="1147"/>
      </w:tblGrid>
      <w:tr w14:paraId="4419D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41" w:type="dxa"/>
            <w:noWrap w:val="0"/>
            <w:vAlign w:val="center"/>
          </w:tcPr>
          <w:p w14:paraId="2A8E46B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bookmarkStart w:id="71" w:name="2.3.2 评价因子筛选"/>
            <w:bookmarkEnd w:id="71"/>
            <w:bookmarkStart w:id="72" w:name="2.3.2 评价因子筛选"/>
            <w:bookmarkEnd w:id="72"/>
            <w:r>
              <w:rPr>
                <w:rFonts w:hint="eastAsia"/>
                <w:b/>
                <w:bCs/>
                <w:color w:val="auto"/>
              </w:rPr>
              <w:t>项目</w:t>
            </w:r>
          </w:p>
        </w:tc>
        <w:tc>
          <w:tcPr>
            <w:tcW w:w="1013" w:type="dxa"/>
            <w:noWrap w:val="0"/>
            <w:vAlign w:val="center"/>
          </w:tcPr>
          <w:p w14:paraId="4296F2CA">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地表水</w:t>
            </w:r>
          </w:p>
        </w:tc>
        <w:tc>
          <w:tcPr>
            <w:tcW w:w="1109" w:type="dxa"/>
            <w:noWrap w:val="0"/>
            <w:vAlign w:val="center"/>
          </w:tcPr>
          <w:p w14:paraId="1EB962E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地下水</w:t>
            </w:r>
          </w:p>
        </w:tc>
        <w:tc>
          <w:tcPr>
            <w:tcW w:w="1298" w:type="dxa"/>
            <w:noWrap w:val="0"/>
            <w:vAlign w:val="center"/>
          </w:tcPr>
          <w:p w14:paraId="40D1B3AD">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环境空气</w:t>
            </w:r>
          </w:p>
        </w:tc>
        <w:tc>
          <w:tcPr>
            <w:tcW w:w="1185" w:type="dxa"/>
            <w:noWrap w:val="0"/>
            <w:vAlign w:val="center"/>
          </w:tcPr>
          <w:p w14:paraId="3EED44CE">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声环境</w:t>
            </w:r>
          </w:p>
        </w:tc>
        <w:tc>
          <w:tcPr>
            <w:tcW w:w="1291" w:type="dxa"/>
            <w:noWrap w:val="0"/>
            <w:vAlign w:val="center"/>
          </w:tcPr>
          <w:p w14:paraId="6595DF5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生态环境</w:t>
            </w:r>
          </w:p>
        </w:tc>
        <w:tc>
          <w:tcPr>
            <w:tcW w:w="1063" w:type="dxa"/>
            <w:noWrap w:val="0"/>
            <w:vAlign w:val="center"/>
          </w:tcPr>
          <w:p w14:paraId="149109D9">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b/>
                <w:bCs/>
                <w:color w:val="auto"/>
              </w:rPr>
            </w:pPr>
            <w:r>
              <w:rPr>
                <w:rFonts w:hint="eastAsia"/>
                <w:b/>
                <w:bCs/>
                <w:color w:val="auto"/>
              </w:rPr>
              <w:t>社会环境</w:t>
            </w:r>
          </w:p>
        </w:tc>
      </w:tr>
      <w:tr w14:paraId="1C300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6" w:hRule="atLeast"/>
          <w:jc w:val="center"/>
        </w:trPr>
        <w:tc>
          <w:tcPr>
            <w:tcW w:w="1341" w:type="dxa"/>
            <w:noWrap w:val="0"/>
            <w:vAlign w:val="center"/>
          </w:tcPr>
          <w:p w14:paraId="26B5159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施工期</w:t>
            </w:r>
          </w:p>
        </w:tc>
        <w:tc>
          <w:tcPr>
            <w:tcW w:w="1013" w:type="dxa"/>
            <w:noWrap w:val="0"/>
            <w:vAlign w:val="center"/>
          </w:tcPr>
          <w:p w14:paraId="40BE6198">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p>
        </w:tc>
        <w:tc>
          <w:tcPr>
            <w:tcW w:w="1109" w:type="dxa"/>
            <w:noWrap w:val="0"/>
            <w:vAlign w:val="center"/>
          </w:tcPr>
          <w:p w14:paraId="1A8CA176">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p>
        </w:tc>
        <w:tc>
          <w:tcPr>
            <w:tcW w:w="1298" w:type="dxa"/>
            <w:noWrap w:val="0"/>
            <w:vAlign w:val="center"/>
          </w:tcPr>
          <w:p w14:paraId="21FBDC28">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185" w:type="dxa"/>
            <w:noWrap w:val="0"/>
            <w:vAlign w:val="center"/>
          </w:tcPr>
          <w:p w14:paraId="4E23A7EC">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291" w:type="dxa"/>
            <w:noWrap w:val="0"/>
            <w:vAlign w:val="center"/>
          </w:tcPr>
          <w:p w14:paraId="02095FD3">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063" w:type="dxa"/>
            <w:noWrap w:val="0"/>
            <w:vAlign w:val="center"/>
          </w:tcPr>
          <w:p w14:paraId="346E1317">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r>
      <w:tr w14:paraId="02E90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41" w:type="dxa"/>
            <w:noWrap w:val="0"/>
            <w:vAlign w:val="center"/>
          </w:tcPr>
          <w:p w14:paraId="002603E9">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运营期</w:t>
            </w:r>
          </w:p>
        </w:tc>
        <w:tc>
          <w:tcPr>
            <w:tcW w:w="1013" w:type="dxa"/>
            <w:noWrap w:val="0"/>
            <w:vAlign w:val="center"/>
          </w:tcPr>
          <w:p w14:paraId="2501601B">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p>
        </w:tc>
        <w:tc>
          <w:tcPr>
            <w:tcW w:w="1109" w:type="dxa"/>
            <w:noWrap w:val="0"/>
            <w:vAlign w:val="center"/>
          </w:tcPr>
          <w:p w14:paraId="3952B831">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298" w:type="dxa"/>
            <w:noWrap w:val="0"/>
            <w:vAlign w:val="center"/>
          </w:tcPr>
          <w:p w14:paraId="5AFC160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185" w:type="dxa"/>
            <w:noWrap w:val="0"/>
            <w:vAlign w:val="center"/>
          </w:tcPr>
          <w:p w14:paraId="6B6606E7">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291" w:type="dxa"/>
            <w:noWrap w:val="0"/>
            <w:vAlign w:val="center"/>
          </w:tcPr>
          <w:p w14:paraId="05614B0A">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1</w:t>
            </w:r>
          </w:p>
        </w:tc>
        <w:tc>
          <w:tcPr>
            <w:tcW w:w="1063" w:type="dxa"/>
            <w:noWrap w:val="0"/>
            <w:vAlign w:val="center"/>
          </w:tcPr>
          <w:p w14:paraId="615985A8">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rPr>
            </w:pPr>
            <w:r>
              <w:rPr>
                <w:rFonts w:hint="eastAsia"/>
                <w:color w:val="auto"/>
              </w:rPr>
              <w:t>○</w:t>
            </w:r>
            <w:r>
              <w:rPr>
                <w:rFonts w:hint="eastAsia"/>
                <w:color w:val="auto"/>
                <w:vertAlign w:val="subscript"/>
              </w:rPr>
              <w:t>3</w:t>
            </w:r>
          </w:p>
        </w:tc>
      </w:tr>
    </w:tbl>
    <w:p w14:paraId="25A7724B">
      <w:pPr>
        <w:pageBreakBefore w:val="0"/>
        <w:kinsoku/>
        <w:wordWrap/>
        <w:overflowPunct/>
        <w:topLinePunct w:val="0"/>
        <w:bidi w:val="0"/>
        <w:rPr>
          <w:rFonts w:hint="eastAsia"/>
          <w:color w:val="auto"/>
        </w:rPr>
      </w:pPr>
      <w:r>
        <w:rPr>
          <w:rFonts w:hint="eastAsia"/>
          <w:color w:val="auto"/>
        </w:rPr>
        <w:t>注：○有利影响；●不利影响；1影响程度轻微；2有影响；3影响明显；－无影响</w:t>
      </w:r>
    </w:p>
    <w:p w14:paraId="0CB8EB3F">
      <w:pPr>
        <w:pStyle w:val="5"/>
        <w:pageBreakBefore w:val="0"/>
        <w:kinsoku/>
        <w:wordWrap/>
        <w:overflowPunct/>
        <w:topLinePunct w:val="0"/>
        <w:bidi w:val="0"/>
        <w:rPr>
          <w:rFonts w:hint="default"/>
          <w:color w:val="auto"/>
          <w:lang w:val="en-US" w:eastAsia="zh-CN"/>
        </w:rPr>
      </w:pPr>
      <w:bookmarkStart w:id="73" w:name="_Toc1056"/>
      <w:bookmarkStart w:id="74" w:name="_Toc7082"/>
      <w:r>
        <w:rPr>
          <w:rFonts w:hint="default"/>
          <w:color w:val="auto"/>
          <w:lang w:val="en-US" w:eastAsia="zh-CN"/>
        </w:rPr>
        <w:t>2.3.2评价因子筛选</w:t>
      </w:r>
      <w:bookmarkEnd w:id="73"/>
      <w:bookmarkEnd w:id="74"/>
    </w:p>
    <w:p w14:paraId="6CA6B6A6">
      <w:pPr>
        <w:pageBreakBefore w:val="0"/>
        <w:kinsoku/>
        <w:wordWrap/>
        <w:overflowPunct/>
        <w:topLinePunct w:val="0"/>
        <w:bidi w:val="0"/>
        <w:rPr>
          <w:color w:val="auto"/>
          <w:spacing w:val="0"/>
          <w:w w:val="100"/>
          <w:position w:val="0"/>
        </w:rPr>
      </w:pPr>
      <w:r>
        <w:rPr>
          <w:color w:val="auto"/>
          <w:spacing w:val="0"/>
          <w:w w:val="100"/>
          <w:position w:val="0"/>
        </w:rPr>
        <w:t>根据环境影响因子识别结果，确定本项目评价因子。具体见表</w:t>
      </w:r>
      <w:r>
        <w:rPr>
          <w:rFonts w:ascii="Times New Roman" w:eastAsia="Times New Roman"/>
          <w:color w:val="auto"/>
          <w:spacing w:val="0"/>
          <w:w w:val="100"/>
          <w:position w:val="0"/>
        </w:rPr>
        <w:t>2.3-2</w:t>
      </w:r>
      <w:r>
        <w:rPr>
          <w:color w:val="auto"/>
          <w:spacing w:val="0"/>
          <w:w w:val="100"/>
          <w:position w:val="0"/>
        </w:rPr>
        <w:t>。</w:t>
      </w:r>
    </w:p>
    <w:p w14:paraId="38B3A946">
      <w:pPr>
        <w:pStyle w:val="43"/>
        <w:keepNext w:val="0"/>
        <w:keepLines w:val="0"/>
        <w:pageBreakBefore w:val="0"/>
        <w:widowControl/>
        <w:kinsoku/>
        <w:wordWrap/>
        <w:overflowPunct/>
        <w:topLinePunct w:val="0"/>
        <w:autoSpaceDE/>
        <w:autoSpaceDN/>
        <w:bidi w:val="0"/>
        <w:adjustRightInd w:val="0"/>
        <w:snapToGrid w:val="0"/>
        <w:spacing w:before="0" w:beforeLines="0"/>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rPr>
        <w:t>表2.3-2</w:t>
      </w:r>
      <w:r>
        <w:rPr>
          <w:rFonts w:hint="eastAsia" w:ascii="Times New Roman" w:hAnsi="Times New Roman" w:cs="Times New Roman"/>
          <w:b/>
          <w:bCs/>
          <w:color w:val="auto"/>
          <w:spacing w:val="0"/>
          <w:w w:val="100"/>
          <w:position w:val="0"/>
          <w:sz w:val="24"/>
          <w:szCs w:val="24"/>
          <w:lang w:val="en-US" w:eastAsia="zh-CN"/>
        </w:rPr>
        <w:t xml:space="preserve">   </w:t>
      </w:r>
      <w:r>
        <w:rPr>
          <w:rFonts w:hint="default" w:ascii="Times New Roman" w:hAnsi="Times New Roman" w:eastAsia="宋体" w:cs="Times New Roman"/>
          <w:b/>
          <w:bCs/>
          <w:color w:val="auto"/>
          <w:spacing w:val="0"/>
          <w:w w:val="100"/>
          <w:position w:val="0"/>
          <w:sz w:val="24"/>
          <w:szCs w:val="24"/>
        </w:rPr>
        <w:t>本项目评价因子一览表</w:t>
      </w:r>
    </w:p>
    <w:tbl>
      <w:tblPr>
        <w:tblStyle w:val="2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9"/>
        <w:gridCol w:w="1656"/>
        <w:gridCol w:w="5897"/>
      </w:tblGrid>
      <w:tr w14:paraId="3547F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noWrap w:val="0"/>
            <w:vAlign w:val="center"/>
          </w:tcPr>
          <w:p w14:paraId="1704A217">
            <w:pPr>
              <w:pStyle w:val="45"/>
              <w:pageBreakBefore w:val="0"/>
              <w:kinsoku/>
              <w:wordWrap/>
              <w:overflowPunct/>
              <w:topLinePunct w:val="0"/>
              <w:bidi w:val="0"/>
              <w:rPr>
                <w:rFonts w:hint="default"/>
                <w:b/>
                <w:bCs/>
                <w:color w:val="auto"/>
              </w:rPr>
            </w:pPr>
            <w:r>
              <w:rPr>
                <w:rFonts w:hint="default"/>
                <w:b/>
                <w:bCs/>
                <w:color w:val="auto"/>
              </w:rPr>
              <w:t>环境要素</w:t>
            </w:r>
          </w:p>
        </w:tc>
        <w:tc>
          <w:tcPr>
            <w:tcW w:w="1656" w:type="dxa"/>
            <w:noWrap w:val="0"/>
            <w:vAlign w:val="center"/>
          </w:tcPr>
          <w:p w14:paraId="34967314">
            <w:pPr>
              <w:pStyle w:val="45"/>
              <w:pageBreakBefore w:val="0"/>
              <w:kinsoku/>
              <w:wordWrap/>
              <w:overflowPunct/>
              <w:topLinePunct w:val="0"/>
              <w:bidi w:val="0"/>
              <w:rPr>
                <w:rFonts w:hint="default"/>
                <w:b/>
                <w:bCs/>
                <w:color w:val="auto"/>
              </w:rPr>
            </w:pPr>
            <w:r>
              <w:rPr>
                <w:rFonts w:hint="default"/>
                <w:b/>
                <w:bCs/>
                <w:color w:val="auto"/>
              </w:rPr>
              <w:t>评价类别</w:t>
            </w:r>
          </w:p>
        </w:tc>
        <w:tc>
          <w:tcPr>
            <w:tcW w:w="5897" w:type="dxa"/>
            <w:noWrap w:val="0"/>
            <w:vAlign w:val="center"/>
          </w:tcPr>
          <w:p w14:paraId="27AF24A6">
            <w:pPr>
              <w:pStyle w:val="45"/>
              <w:pageBreakBefore w:val="0"/>
              <w:kinsoku/>
              <w:wordWrap/>
              <w:overflowPunct/>
              <w:topLinePunct w:val="0"/>
              <w:bidi w:val="0"/>
              <w:rPr>
                <w:rFonts w:hint="default"/>
                <w:b/>
                <w:bCs/>
                <w:color w:val="auto"/>
              </w:rPr>
            </w:pPr>
            <w:r>
              <w:rPr>
                <w:rFonts w:hint="default"/>
                <w:b/>
                <w:bCs/>
                <w:color w:val="auto"/>
              </w:rPr>
              <w:t>分析因子</w:t>
            </w:r>
          </w:p>
        </w:tc>
      </w:tr>
      <w:tr w14:paraId="018F4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247E8B87">
            <w:pPr>
              <w:pStyle w:val="45"/>
              <w:pageBreakBefore w:val="0"/>
              <w:kinsoku/>
              <w:wordWrap/>
              <w:overflowPunct/>
              <w:topLinePunct w:val="0"/>
              <w:bidi w:val="0"/>
              <w:rPr>
                <w:rFonts w:hint="default"/>
                <w:color w:val="auto"/>
              </w:rPr>
            </w:pPr>
            <w:r>
              <w:rPr>
                <w:rFonts w:hint="default"/>
                <w:color w:val="auto"/>
              </w:rPr>
              <w:t>环境空气</w:t>
            </w:r>
          </w:p>
        </w:tc>
        <w:tc>
          <w:tcPr>
            <w:tcW w:w="1656" w:type="dxa"/>
            <w:noWrap w:val="0"/>
            <w:vAlign w:val="center"/>
          </w:tcPr>
          <w:p w14:paraId="596A7B39">
            <w:pPr>
              <w:pStyle w:val="45"/>
              <w:pageBreakBefore w:val="0"/>
              <w:kinsoku/>
              <w:wordWrap/>
              <w:overflowPunct/>
              <w:topLinePunct w:val="0"/>
              <w:bidi w:val="0"/>
              <w:rPr>
                <w:rFonts w:hint="default"/>
                <w:color w:val="auto"/>
              </w:rPr>
            </w:pPr>
            <w:r>
              <w:rPr>
                <w:rFonts w:hint="default"/>
                <w:color w:val="auto"/>
              </w:rPr>
              <w:t>现状评价</w:t>
            </w:r>
          </w:p>
        </w:tc>
        <w:tc>
          <w:tcPr>
            <w:tcW w:w="5897" w:type="dxa"/>
            <w:noWrap w:val="0"/>
            <w:vAlign w:val="center"/>
          </w:tcPr>
          <w:p w14:paraId="626C1C80">
            <w:pPr>
              <w:pStyle w:val="45"/>
              <w:pageBreakBefore w:val="0"/>
              <w:kinsoku/>
              <w:wordWrap/>
              <w:overflowPunct/>
              <w:topLinePunct w:val="0"/>
              <w:bidi w:val="0"/>
              <w:rPr>
                <w:rFonts w:hint="default"/>
                <w:color w:val="auto"/>
                <w:lang w:val="en-US" w:eastAsia="zh-CN"/>
              </w:rPr>
            </w:pPr>
            <w:r>
              <w:rPr>
                <w:rFonts w:hint="default"/>
                <w:color w:val="auto"/>
              </w:rPr>
              <w:t>SO</w:t>
            </w:r>
            <w:r>
              <w:rPr>
                <w:rFonts w:hint="default"/>
                <w:color w:val="auto"/>
                <w:vertAlign w:val="subscript"/>
              </w:rPr>
              <w:t>2</w:t>
            </w:r>
            <w:r>
              <w:rPr>
                <w:rFonts w:hint="default"/>
                <w:color w:val="auto"/>
              </w:rPr>
              <w:t>、NO</w:t>
            </w:r>
            <w:r>
              <w:rPr>
                <w:rFonts w:hint="default"/>
                <w:color w:val="auto"/>
                <w:vertAlign w:val="subscript"/>
              </w:rPr>
              <w:t>2</w:t>
            </w:r>
            <w:r>
              <w:rPr>
                <w:rFonts w:hint="default"/>
                <w:color w:val="auto"/>
              </w:rPr>
              <w:t>、PM</w:t>
            </w:r>
            <w:r>
              <w:rPr>
                <w:rFonts w:hint="default"/>
                <w:color w:val="auto"/>
                <w:vertAlign w:val="subscript"/>
              </w:rPr>
              <w:t>2.5</w:t>
            </w:r>
            <w:r>
              <w:rPr>
                <w:rFonts w:hint="default"/>
                <w:color w:val="auto"/>
              </w:rPr>
              <w:t>、PM</w:t>
            </w:r>
            <w:r>
              <w:rPr>
                <w:rFonts w:hint="default"/>
                <w:color w:val="auto"/>
                <w:vertAlign w:val="subscript"/>
              </w:rPr>
              <w:t>10</w:t>
            </w:r>
            <w:r>
              <w:rPr>
                <w:rFonts w:hint="default"/>
                <w:color w:val="auto"/>
              </w:rPr>
              <w:t>、CO、O</w:t>
            </w:r>
            <w:r>
              <w:rPr>
                <w:rFonts w:hint="default"/>
                <w:color w:val="auto"/>
                <w:vertAlign w:val="subscript"/>
              </w:rPr>
              <w:t>3</w:t>
            </w:r>
            <w:r>
              <w:rPr>
                <w:rFonts w:hint="default"/>
                <w:color w:val="auto"/>
              </w:rPr>
              <w:t>、非甲烷总烃</w:t>
            </w:r>
            <w:r>
              <w:rPr>
                <w:rFonts w:hint="eastAsia"/>
                <w:color w:val="auto"/>
                <w:lang w:eastAsia="zh-CN"/>
              </w:rPr>
              <w:t>、</w:t>
            </w:r>
            <w:r>
              <w:rPr>
                <w:rFonts w:hint="eastAsia"/>
                <w:color w:val="auto"/>
                <w:lang w:val="en-US" w:eastAsia="zh-CN"/>
              </w:rPr>
              <w:t>TSP</w:t>
            </w:r>
          </w:p>
        </w:tc>
      </w:tr>
      <w:tr w14:paraId="57F2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459CEDC5">
            <w:pPr>
              <w:pStyle w:val="45"/>
              <w:pageBreakBefore w:val="0"/>
              <w:kinsoku/>
              <w:wordWrap/>
              <w:overflowPunct/>
              <w:topLinePunct w:val="0"/>
              <w:bidi w:val="0"/>
              <w:rPr>
                <w:rFonts w:hint="default"/>
                <w:color w:val="auto"/>
              </w:rPr>
            </w:pPr>
          </w:p>
        </w:tc>
        <w:tc>
          <w:tcPr>
            <w:tcW w:w="1656" w:type="dxa"/>
            <w:noWrap w:val="0"/>
            <w:vAlign w:val="center"/>
          </w:tcPr>
          <w:p w14:paraId="08476F6B">
            <w:pPr>
              <w:pStyle w:val="45"/>
              <w:pageBreakBefore w:val="0"/>
              <w:kinsoku/>
              <w:wordWrap/>
              <w:overflowPunct/>
              <w:topLinePunct w:val="0"/>
              <w:bidi w:val="0"/>
              <w:rPr>
                <w:rFonts w:hint="default"/>
                <w:color w:val="auto"/>
              </w:rPr>
            </w:pPr>
            <w:r>
              <w:rPr>
                <w:rFonts w:hint="default"/>
                <w:color w:val="auto"/>
              </w:rPr>
              <w:t>影响分析</w:t>
            </w:r>
          </w:p>
        </w:tc>
        <w:tc>
          <w:tcPr>
            <w:tcW w:w="5897" w:type="dxa"/>
            <w:noWrap w:val="0"/>
            <w:vAlign w:val="center"/>
          </w:tcPr>
          <w:p w14:paraId="7FE3F89B">
            <w:pPr>
              <w:pStyle w:val="45"/>
              <w:pageBreakBefore w:val="0"/>
              <w:kinsoku/>
              <w:wordWrap/>
              <w:overflowPunct/>
              <w:topLinePunct w:val="0"/>
              <w:bidi w:val="0"/>
              <w:rPr>
                <w:rFonts w:hint="eastAsia" w:eastAsia="宋体"/>
                <w:color w:val="auto"/>
                <w:lang w:eastAsia="zh-CN"/>
              </w:rPr>
            </w:pPr>
            <w:r>
              <w:rPr>
                <w:rFonts w:hint="default"/>
                <w:color w:val="auto"/>
              </w:rPr>
              <w:t>非甲烷总烃、颗粒物</w:t>
            </w:r>
            <w:r>
              <w:rPr>
                <w:rFonts w:hint="eastAsia"/>
                <w:color w:val="auto"/>
                <w:lang w:eastAsia="zh-CN"/>
              </w:rPr>
              <w:t>、臭气浓度</w:t>
            </w:r>
          </w:p>
        </w:tc>
      </w:tr>
      <w:tr w14:paraId="59DBC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4D926126">
            <w:pPr>
              <w:pStyle w:val="45"/>
              <w:pageBreakBefore w:val="0"/>
              <w:kinsoku/>
              <w:wordWrap/>
              <w:overflowPunct/>
              <w:topLinePunct w:val="0"/>
              <w:bidi w:val="0"/>
              <w:rPr>
                <w:rFonts w:hint="default"/>
                <w:color w:val="auto"/>
              </w:rPr>
            </w:pPr>
            <w:r>
              <w:rPr>
                <w:rFonts w:hint="default"/>
                <w:color w:val="auto"/>
              </w:rPr>
              <w:t>声环境</w:t>
            </w:r>
          </w:p>
        </w:tc>
        <w:tc>
          <w:tcPr>
            <w:tcW w:w="1656" w:type="dxa"/>
            <w:noWrap w:val="0"/>
            <w:vAlign w:val="center"/>
          </w:tcPr>
          <w:p w14:paraId="7A5DFC16">
            <w:pPr>
              <w:pStyle w:val="45"/>
              <w:pageBreakBefore w:val="0"/>
              <w:kinsoku/>
              <w:wordWrap/>
              <w:overflowPunct/>
              <w:topLinePunct w:val="0"/>
              <w:bidi w:val="0"/>
              <w:rPr>
                <w:rFonts w:hint="default"/>
                <w:color w:val="auto"/>
              </w:rPr>
            </w:pPr>
            <w:r>
              <w:rPr>
                <w:rFonts w:hint="default"/>
                <w:color w:val="auto"/>
              </w:rPr>
              <w:t>现状评价</w:t>
            </w:r>
          </w:p>
        </w:tc>
        <w:tc>
          <w:tcPr>
            <w:tcW w:w="5897" w:type="dxa"/>
            <w:noWrap w:val="0"/>
            <w:vAlign w:val="center"/>
          </w:tcPr>
          <w:p w14:paraId="21CB8CD3">
            <w:pPr>
              <w:pStyle w:val="45"/>
              <w:pageBreakBefore w:val="0"/>
              <w:kinsoku/>
              <w:wordWrap/>
              <w:overflowPunct/>
              <w:topLinePunct w:val="0"/>
              <w:bidi w:val="0"/>
              <w:rPr>
                <w:rFonts w:hint="default"/>
                <w:color w:val="auto"/>
              </w:rPr>
            </w:pPr>
            <w:r>
              <w:rPr>
                <w:rFonts w:hint="default"/>
                <w:color w:val="auto"/>
              </w:rPr>
              <w:t>等效连续A声级</w:t>
            </w:r>
          </w:p>
        </w:tc>
      </w:tr>
      <w:tr w14:paraId="5628A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5A92E5CF">
            <w:pPr>
              <w:pStyle w:val="45"/>
              <w:pageBreakBefore w:val="0"/>
              <w:kinsoku/>
              <w:wordWrap/>
              <w:overflowPunct/>
              <w:topLinePunct w:val="0"/>
              <w:bidi w:val="0"/>
              <w:rPr>
                <w:rFonts w:hint="default"/>
                <w:color w:val="auto"/>
              </w:rPr>
            </w:pPr>
          </w:p>
        </w:tc>
        <w:tc>
          <w:tcPr>
            <w:tcW w:w="1656" w:type="dxa"/>
            <w:noWrap w:val="0"/>
            <w:vAlign w:val="center"/>
          </w:tcPr>
          <w:p w14:paraId="585F2AC2">
            <w:pPr>
              <w:pStyle w:val="45"/>
              <w:pageBreakBefore w:val="0"/>
              <w:kinsoku/>
              <w:wordWrap/>
              <w:overflowPunct/>
              <w:topLinePunct w:val="0"/>
              <w:bidi w:val="0"/>
              <w:rPr>
                <w:rFonts w:hint="default"/>
                <w:color w:val="auto"/>
              </w:rPr>
            </w:pPr>
            <w:r>
              <w:rPr>
                <w:rFonts w:hint="default"/>
                <w:color w:val="auto"/>
              </w:rPr>
              <w:t>影响分析</w:t>
            </w:r>
          </w:p>
        </w:tc>
        <w:tc>
          <w:tcPr>
            <w:tcW w:w="5897" w:type="dxa"/>
            <w:noWrap w:val="0"/>
            <w:vAlign w:val="center"/>
          </w:tcPr>
          <w:p w14:paraId="743E746F">
            <w:pPr>
              <w:pStyle w:val="45"/>
              <w:pageBreakBefore w:val="0"/>
              <w:kinsoku/>
              <w:wordWrap/>
              <w:overflowPunct/>
              <w:topLinePunct w:val="0"/>
              <w:bidi w:val="0"/>
              <w:rPr>
                <w:rFonts w:hint="default"/>
                <w:color w:val="auto"/>
              </w:rPr>
            </w:pPr>
            <w:r>
              <w:rPr>
                <w:rFonts w:hint="default"/>
                <w:color w:val="auto"/>
              </w:rPr>
              <w:t>等效连续A声级</w:t>
            </w:r>
          </w:p>
        </w:tc>
      </w:tr>
      <w:tr w14:paraId="29B669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6B4BA8A0">
            <w:pPr>
              <w:pStyle w:val="45"/>
              <w:pageBreakBefore w:val="0"/>
              <w:kinsoku/>
              <w:wordWrap/>
              <w:overflowPunct/>
              <w:topLinePunct w:val="0"/>
              <w:bidi w:val="0"/>
              <w:rPr>
                <w:rFonts w:hint="default"/>
                <w:color w:val="auto"/>
              </w:rPr>
            </w:pPr>
            <w:r>
              <w:rPr>
                <w:rFonts w:hint="default"/>
                <w:color w:val="auto"/>
              </w:rPr>
              <w:t>地下水环境</w:t>
            </w:r>
          </w:p>
        </w:tc>
        <w:tc>
          <w:tcPr>
            <w:tcW w:w="1656" w:type="dxa"/>
            <w:noWrap w:val="0"/>
            <w:vAlign w:val="center"/>
          </w:tcPr>
          <w:p w14:paraId="0EE646C9">
            <w:pPr>
              <w:pStyle w:val="45"/>
              <w:pageBreakBefore w:val="0"/>
              <w:kinsoku/>
              <w:wordWrap/>
              <w:overflowPunct/>
              <w:topLinePunct w:val="0"/>
              <w:bidi w:val="0"/>
              <w:rPr>
                <w:rFonts w:hint="default"/>
                <w:color w:val="auto"/>
              </w:rPr>
            </w:pPr>
            <w:r>
              <w:rPr>
                <w:rFonts w:hint="default"/>
                <w:color w:val="auto"/>
              </w:rPr>
              <w:t>现状评价</w:t>
            </w:r>
          </w:p>
        </w:tc>
        <w:tc>
          <w:tcPr>
            <w:tcW w:w="5897" w:type="dxa"/>
            <w:noWrap w:val="0"/>
            <w:vAlign w:val="center"/>
          </w:tcPr>
          <w:p w14:paraId="216BBDF8">
            <w:pPr>
              <w:pStyle w:val="45"/>
              <w:pageBreakBefore w:val="0"/>
              <w:kinsoku/>
              <w:wordWrap/>
              <w:overflowPunct/>
              <w:topLinePunct w:val="0"/>
              <w:bidi w:val="0"/>
              <w:jc w:val="center"/>
              <w:rPr>
                <w:rFonts w:hint="default"/>
                <w:color w:val="auto"/>
                <w:lang w:val="zh-CN"/>
              </w:rPr>
            </w:pPr>
            <w:r>
              <w:rPr>
                <w:rFonts w:hint="eastAsia" w:eastAsia="宋体"/>
                <w:color w:val="auto"/>
                <w:kern w:val="2"/>
                <w:sz w:val="21"/>
                <w:szCs w:val="21"/>
              </w:rPr>
              <w:t>K</w:t>
            </w:r>
            <w:r>
              <w:rPr>
                <w:rFonts w:hint="eastAsia" w:eastAsia="宋体"/>
                <w:color w:val="auto"/>
                <w:kern w:val="2"/>
                <w:sz w:val="21"/>
                <w:szCs w:val="21"/>
                <w:vertAlign w:val="superscript"/>
              </w:rPr>
              <w:t>+</w:t>
            </w:r>
            <w:r>
              <w:rPr>
                <w:rFonts w:hint="eastAsia" w:eastAsia="宋体"/>
                <w:color w:val="auto"/>
                <w:kern w:val="2"/>
                <w:sz w:val="21"/>
                <w:szCs w:val="21"/>
              </w:rPr>
              <w:t>、Na</w:t>
            </w:r>
            <w:r>
              <w:rPr>
                <w:rFonts w:hint="eastAsia" w:eastAsia="宋体"/>
                <w:color w:val="auto"/>
                <w:kern w:val="2"/>
                <w:sz w:val="21"/>
                <w:szCs w:val="21"/>
                <w:vertAlign w:val="superscript"/>
              </w:rPr>
              <w:t>+</w:t>
            </w:r>
            <w:r>
              <w:rPr>
                <w:rFonts w:hint="eastAsia" w:eastAsia="宋体"/>
                <w:color w:val="auto"/>
                <w:kern w:val="2"/>
                <w:sz w:val="21"/>
                <w:szCs w:val="21"/>
              </w:rPr>
              <w:t>、Ca</w:t>
            </w:r>
            <w:r>
              <w:rPr>
                <w:rFonts w:hint="eastAsia" w:eastAsia="宋体"/>
                <w:color w:val="auto"/>
                <w:kern w:val="2"/>
                <w:sz w:val="21"/>
                <w:szCs w:val="21"/>
                <w:vertAlign w:val="superscript"/>
              </w:rPr>
              <w:t>2+</w:t>
            </w:r>
            <w:r>
              <w:rPr>
                <w:rFonts w:hint="eastAsia" w:eastAsia="宋体"/>
                <w:color w:val="auto"/>
                <w:kern w:val="2"/>
                <w:sz w:val="21"/>
                <w:szCs w:val="21"/>
              </w:rPr>
              <w:t>、Mg</w:t>
            </w:r>
            <w:r>
              <w:rPr>
                <w:rFonts w:hint="eastAsia" w:eastAsia="宋体"/>
                <w:color w:val="auto"/>
                <w:kern w:val="2"/>
                <w:sz w:val="21"/>
                <w:szCs w:val="21"/>
                <w:vertAlign w:val="superscript"/>
              </w:rPr>
              <w:t>2+</w:t>
            </w:r>
            <w:r>
              <w:rPr>
                <w:rFonts w:hint="eastAsia" w:eastAsia="宋体"/>
                <w:color w:val="auto"/>
                <w:kern w:val="2"/>
                <w:sz w:val="21"/>
                <w:szCs w:val="21"/>
              </w:rPr>
              <w:t>、CO</w:t>
            </w:r>
            <w:r>
              <w:rPr>
                <w:rFonts w:hint="eastAsia" w:eastAsia="宋体"/>
                <w:color w:val="auto"/>
                <w:kern w:val="2"/>
                <w:sz w:val="21"/>
                <w:szCs w:val="21"/>
                <w:vertAlign w:val="subscript"/>
              </w:rPr>
              <w:t>3</w:t>
            </w:r>
            <w:r>
              <w:rPr>
                <w:rFonts w:hint="eastAsia" w:eastAsia="宋体"/>
                <w:color w:val="auto"/>
                <w:kern w:val="2"/>
                <w:sz w:val="21"/>
                <w:szCs w:val="21"/>
                <w:vertAlign w:val="superscript"/>
              </w:rPr>
              <w:t>2-</w:t>
            </w:r>
            <w:r>
              <w:rPr>
                <w:rFonts w:hint="eastAsia" w:eastAsia="宋体"/>
                <w:color w:val="auto"/>
                <w:kern w:val="2"/>
                <w:sz w:val="21"/>
                <w:szCs w:val="21"/>
              </w:rPr>
              <w:t>、HCO</w:t>
            </w:r>
            <w:r>
              <w:rPr>
                <w:rFonts w:hint="eastAsia" w:eastAsia="宋体"/>
                <w:color w:val="auto"/>
                <w:kern w:val="2"/>
                <w:sz w:val="21"/>
                <w:szCs w:val="21"/>
                <w:vertAlign w:val="superscript"/>
              </w:rPr>
              <w:t>3</w:t>
            </w:r>
            <w:r>
              <w:rPr>
                <w:rFonts w:hint="eastAsia" w:eastAsia="宋体"/>
                <w:color w:val="auto"/>
                <w:kern w:val="2"/>
                <w:sz w:val="21"/>
                <w:szCs w:val="21"/>
                <w:vertAlign w:val="superscript"/>
                <w:lang w:val="en-US" w:eastAsia="zh-CN"/>
              </w:rPr>
              <w:t>-</w:t>
            </w:r>
            <w:r>
              <w:rPr>
                <w:rFonts w:hint="eastAsia" w:eastAsia="宋体"/>
                <w:color w:val="auto"/>
                <w:kern w:val="2"/>
                <w:sz w:val="21"/>
                <w:szCs w:val="21"/>
              </w:rPr>
              <w:t xml:space="preserve"> 、Cl</w:t>
            </w:r>
            <w:r>
              <w:rPr>
                <w:rFonts w:hint="eastAsia" w:eastAsia="宋体"/>
                <w:color w:val="auto"/>
                <w:kern w:val="2"/>
                <w:sz w:val="21"/>
                <w:szCs w:val="21"/>
                <w:vertAlign w:val="superscript"/>
              </w:rPr>
              <w:t>-</w:t>
            </w:r>
            <w:r>
              <w:rPr>
                <w:rFonts w:hint="eastAsia" w:eastAsia="宋体"/>
                <w:color w:val="auto"/>
                <w:kern w:val="2"/>
                <w:sz w:val="21"/>
                <w:szCs w:val="21"/>
              </w:rPr>
              <w:t>（氯化物）、SO</w:t>
            </w:r>
            <w:r>
              <w:rPr>
                <w:rFonts w:hint="eastAsia" w:eastAsia="宋体"/>
                <w:color w:val="auto"/>
                <w:kern w:val="2"/>
                <w:sz w:val="21"/>
                <w:szCs w:val="21"/>
                <w:vertAlign w:val="subscript"/>
              </w:rPr>
              <w:t>4</w:t>
            </w:r>
            <w:r>
              <w:rPr>
                <w:rFonts w:hint="eastAsia" w:eastAsia="宋体"/>
                <w:color w:val="auto"/>
                <w:kern w:val="2"/>
                <w:sz w:val="21"/>
                <w:szCs w:val="21"/>
                <w:vertAlign w:val="superscript"/>
              </w:rPr>
              <w:t>2-</w:t>
            </w:r>
            <w:r>
              <w:rPr>
                <w:rFonts w:hint="eastAsia" w:eastAsia="宋体"/>
                <w:color w:val="auto"/>
                <w:kern w:val="2"/>
                <w:sz w:val="21"/>
                <w:szCs w:val="21"/>
              </w:rPr>
              <w:t>（硫酸盐）、pH、总硬度、溶解性总固体、铁、锰、铜、锌、铝、镍、挥发性酚类、阴离子表面活性剂、耗氧量、氨氮、硫化物、菌落总数、总大肠杆菌群、硝酸盐（以N计）、亚硝酸盐（以N计）、氰化物、氟化物、碘化物、汞、砷、硒、镉、六价铬、铅、耗氧量、氨氮、石油类</w:t>
            </w:r>
          </w:p>
        </w:tc>
      </w:tr>
      <w:tr w14:paraId="32719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1C9A6C0B">
            <w:pPr>
              <w:pStyle w:val="45"/>
              <w:pageBreakBefore w:val="0"/>
              <w:kinsoku/>
              <w:wordWrap/>
              <w:overflowPunct/>
              <w:topLinePunct w:val="0"/>
              <w:bidi w:val="0"/>
              <w:rPr>
                <w:rFonts w:hint="default"/>
                <w:color w:val="auto"/>
              </w:rPr>
            </w:pPr>
          </w:p>
        </w:tc>
        <w:tc>
          <w:tcPr>
            <w:tcW w:w="1656" w:type="dxa"/>
            <w:noWrap w:val="0"/>
            <w:vAlign w:val="center"/>
          </w:tcPr>
          <w:p w14:paraId="593A51F7">
            <w:pPr>
              <w:pStyle w:val="45"/>
              <w:pageBreakBefore w:val="0"/>
              <w:kinsoku/>
              <w:wordWrap/>
              <w:overflowPunct/>
              <w:topLinePunct w:val="0"/>
              <w:bidi w:val="0"/>
              <w:rPr>
                <w:rFonts w:hint="default"/>
                <w:color w:val="auto"/>
              </w:rPr>
            </w:pPr>
            <w:r>
              <w:rPr>
                <w:rFonts w:hint="default"/>
                <w:color w:val="auto"/>
              </w:rPr>
              <w:t>影响分析</w:t>
            </w:r>
          </w:p>
        </w:tc>
        <w:tc>
          <w:tcPr>
            <w:tcW w:w="5897" w:type="dxa"/>
            <w:noWrap w:val="0"/>
            <w:vAlign w:val="center"/>
          </w:tcPr>
          <w:p w14:paraId="0AC5461E">
            <w:pPr>
              <w:pStyle w:val="45"/>
              <w:pageBreakBefore w:val="0"/>
              <w:kinsoku/>
              <w:wordWrap/>
              <w:overflowPunct/>
              <w:topLinePunct w:val="0"/>
              <w:bidi w:val="0"/>
              <w:rPr>
                <w:rFonts w:hint="default"/>
                <w:color w:val="auto"/>
                <w:lang w:val="zh-CN"/>
              </w:rPr>
            </w:pPr>
            <w:r>
              <w:rPr>
                <w:rFonts w:hint="eastAsia"/>
                <w:color w:val="auto"/>
                <w:lang w:val="en-US" w:eastAsia="zh-CN"/>
              </w:rPr>
              <w:t>COD、BOD</w:t>
            </w:r>
            <w:r>
              <w:rPr>
                <w:rFonts w:hint="eastAsia"/>
                <w:color w:val="auto"/>
                <w:vertAlign w:val="subscript"/>
                <w:lang w:val="en-US" w:eastAsia="zh-CN"/>
              </w:rPr>
              <w:t>5</w:t>
            </w:r>
            <w:r>
              <w:rPr>
                <w:rFonts w:hint="eastAsia"/>
                <w:color w:val="auto"/>
                <w:lang w:val="en-US" w:eastAsia="zh-CN"/>
              </w:rPr>
              <w:t>、</w:t>
            </w:r>
            <w:r>
              <w:rPr>
                <w:rFonts w:hint="default"/>
                <w:color w:val="auto"/>
              </w:rPr>
              <w:t>氨氮、</w:t>
            </w:r>
            <w:r>
              <w:rPr>
                <w:rFonts w:hint="eastAsia"/>
                <w:color w:val="auto"/>
                <w:lang w:val="en-US" w:eastAsia="zh-CN"/>
              </w:rPr>
              <w:t>SS</w:t>
            </w:r>
            <w:r>
              <w:rPr>
                <w:rFonts w:hint="default"/>
                <w:color w:val="auto"/>
              </w:rPr>
              <w:t>等</w:t>
            </w:r>
          </w:p>
        </w:tc>
      </w:tr>
      <w:tr w14:paraId="42409A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590DD501">
            <w:pPr>
              <w:pStyle w:val="45"/>
              <w:pageBreakBefore w:val="0"/>
              <w:kinsoku/>
              <w:wordWrap/>
              <w:overflowPunct/>
              <w:topLinePunct w:val="0"/>
              <w:bidi w:val="0"/>
              <w:rPr>
                <w:rFonts w:hint="eastAsia" w:eastAsia="宋体"/>
                <w:color w:val="auto"/>
                <w:lang w:eastAsia="zh-CN"/>
              </w:rPr>
            </w:pPr>
            <w:r>
              <w:rPr>
                <w:rFonts w:hint="eastAsia"/>
                <w:color w:val="auto"/>
                <w:lang w:eastAsia="zh-CN"/>
              </w:rPr>
              <w:t>土壤环境</w:t>
            </w:r>
          </w:p>
        </w:tc>
        <w:tc>
          <w:tcPr>
            <w:tcW w:w="1656" w:type="dxa"/>
            <w:noWrap w:val="0"/>
            <w:vAlign w:val="center"/>
          </w:tcPr>
          <w:p w14:paraId="5D9DD328">
            <w:pPr>
              <w:pStyle w:val="45"/>
              <w:pageBreakBefore w:val="0"/>
              <w:kinsoku/>
              <w:wordWrap/>
              <w:overflowPunct/>
              <w:topLinePunct w:val="0"/>
              <w:bidi w:val="0"/>
              <w:ind w:left="-24" w:leftChars="-10" w:right="-24" w:rightChars="-10"/>
              <w:rPr>
                <w:rFonts w:hint="default"/>
                <w:color w:val="auto"/>
              </w:rPr>
            </w:pPr>
            <w:r>
              <w:rPr>
                <w:rFonts w:hint="default"/>
                <w:color w:val="auto"/>
              </w:rPr>
              <w:t>现状评价</w:t>
            </w:r>
          </w:p>
        </w:tc>
        <w:tc>
          <w:tcPr>
            <w:tcW w:w="5897" w:type="dxa"/>
            <w:noWrap w:val="0"/>
            <w:vAlign w:val="center"/>
          </w:tcPr>
          <w:p w14:paraId="3C77CF4B">
            <w:pPr>
              <w:pStyle w:val="45"/>
              <w:pageBreakBefore w:val="0"/>
              <w:kinsoku/>
              <w:wordWrap/>
              <w:overflowPunct/>
              <w:topLinePunct w:val="0"/>
              <w:bidi w:val="0"/>
              <w:rPr>
                <w:rFonts w:hint="eastAsia"/>
                <w:color w:val="auto"/>
                <w:lang w:val="en-US" w:eastAsia="zh-CN"/>
              </w:rPr>
            </w:pPr>
            <w:r>
              <w:rPr>
                <w:rFonts w:hint="default" w:ascii="Times New Roman" w:hAnsi="Times New Roman" w:cs="Times New Roman"/>
                <w:color w:val="auto"/>
                <w:sz w:val="21"/>
                <w:szCs w:val="21"/>
              </w:rPr>
              <w:t>砷、镉、六价铬、铜、铅、汞、镍、四氯化碳、氯仿、氯甲烷、1,1-二氯乙烷、1,2-二氯乙烷、1,1-二氯乙烯、顺-1,2-二氯乙烯、反-1,2-二氯乙烯、二氯甲烷、1,2-二氯丙烷、1,1,1,2-四氯乙烷、1,1,2,2,-四氯乙烷、四氯乙烯、1,1,1-三氯乙烷、1,1,2-三氯乙烷、三氯乙烯、1,2,3-三氯丙烷、氯乙烯、苯、氯苯、1,2-二氯苯、1,4-二氯苯、乙苯、苯乙烯、甲苯、间二甲苯+对二甲苯、邻二甲苯、硝基苯、苯胺、2-氯酚、苯并[a]蒽、苯并[a]芘、苯并[b]荧蒽、苯并[k]荧蒽、䓛、二苯并[a,h]蒽、茚并[1,2,3-cd]芘、萘</w:t>
            </w:r>
          </w:p>
        </w:tc>
      </w:tr>
      <w:tr w14:paraId="73235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50A67DAE">
            <w:pPr>
              <w:pStyle w:val="45"/>
              <w:pageBreakBefore w:val="0"/>
              <w:kinsoku/>
              <w:wordWrap/>
              <w:overflowPunct/>
              <w:topLinePunct w:val="0"/>
              <w:bidi w:val="0"/>
              <w:rPr>
                <w:rFonts w:hint="default"/>
                <w:color w:val="auto"/>
              </w:rPr>
            </w:pPr>
          </w:p>
        </w:tc>
        <w:tc>
          <w:tcPr>
            <w:tcW w:w="1656" w:type="dxa"/>
            <w:noWrap w:val="0"/>
            <w:vAlign w:val="center"/>
          </w:tcPr>
          <w:p w14:paraId="08B788D2">
            <w:pPr>
              <w:pStyle w:val="45"/>
              <w:pageBreakBefore w:val="0"/>
              <w:kinsoku/>
              <w:wordWrap/>
              <w:overflowPunct/>
              <w:topLinePunct w:val="0"/>
              <w:bidi w:val="0"/>
              <w:ind w:left="-24" w:leftChars="-10" w:right="-24" w:rightChars="-10"/>
              <w:rPr>
                <w:rFonts w:hint="default"/>
                <w:color w:val="auto"/>
              </w:rPr>
            </w:pPr>
            <w:r>
              <w:rPr>
                <w:rFonts w:hint="default"/>
                <w:color w:val="auto"/>
              </w:rPr>
              <w:t>影响分析</w:t>
            </w:r>
          </w:p>
        </w:tc>
        <w:tc>
          <w:tcPr>
            <w:tcW w:w="5897" w:type="dxa"/>
            <w:noWrap w:val="0"/>
            <w:vAlign w:val="center"/>
          </w:tcPr>
          <w:p w14:paraId="0FA7E81E">
            <w:pPr>
              <w:pStyle w:val="45"/>
              <w:pageBreakBefore w:val="0"/>
              <w:kinsoku/>
              <w:wordWrap/>
              <w:overflowPunct/>
              <w:topLinePunct w:val="0"/>
              <w:bidi w:val="0"/>
              <w:rPr>
                <w:rFonts w:hint="default"/>
                <w:color w:val="auto"/>
                <w:lang w:val="en-US" w:eastAsia="zh-CN"/>
              </w:rPr>
            </w:pPr>
            <w:r>
              <w:rPr>
                <w:rFonts w:hint="eastAsia"/>
                <w:color w:val="auto"/>
                <w:lang w:val="en-US" w:eastAsia="zh-CN"/>
              </w:rPr>
              <w:t>/</w:t>
            </w:r>
          </w:p>
        </w:tc>
      </w:tr>
      <w:tr w14:paraId="472ADE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6CE98D1A">
            <w:pPr>
              <w:pStyle w:val="45"/>
              <w:pageBreakBefore w:val="0"/>
              <w:kinsoku/>
              <w:wordWrap/>
              <w:overflowPunct/>
              <w:topLinePunct w:val="0"/>
              <w:bidi w:val="0"/>
              <w:rPr>
                <w:rFonts w:hint="default"/>
                <w:color w:val="auto"/>
              </w:rPr>
            </w:pPr>
            <w:r>
              <w:rPr>
                <w:rFonts w:hint="default"/>
                <w:color w:val="auto"/>
              </w:rPr>
              <w:t>生态环境</w:t>
            </w:r>
          </w:p>
        </w:tc>
        <w:tc>
          <w:tcPr>
            <w:tcW w:w="1656" w:type="dxa"/>
            <w:noWrap w:val="0"/>
            <w:vAlign w:val="center"/>
          </w:tcPr>
          <w:p w14:paraId="60C9E8FB">
            <w:pPr>
              <w:pStyle w:val="45"/>
              <w:pageBreakBefore w:val="0"/>
              <w:kinsoku/>
              <w:wordWrap/>
              <w:overflowPunct/>
              <w:topLinePunct w:val="0"/>
              <w:bidi w:val="0"/>
              <w:rPr>
                <w:rFonts w:hint="default"/>
                <w:color w:val="auto"/>
              </w:rPr>
            </w:pPr>
            <w:r>
              <w:rPr>
                <w:rFonts w:hint="default"/>
                <w:color w:val="auto"/>
              </w:rPr>
              <w:t>现状评价</w:t>
            </w:r>
          </w:p>
        </w:tc>
        <w:tc>
          <w:tcPr>
            <w:tcW w:w="5897" w:type="dxa"/>
            <w:noWrap w:val="0"/>
            <w:vAlign w:val="center"/>
          </w:tcPr>
          <w:p w14:paraId="0D46DF2E">
            <w:pPr>
              <w:pStyle w:val="45"/>
              <w:pageBreakBefore w:val="0"/>
              <w:kinsoku/>
              <w:wordWrap/>
              <w:overflowPunct/>
              <w:topLinePunct w:val="0"/>
              <w:bidi w:val="0"/>
              <w:rPr>
                <w:rFonts w:hint="default"/>
                <w:color w:val="auto"/>
              </w:rPr>
            </w:pPr>
            <w:r>
              <w:rPr>
                <w:rFonts w:hint="default"/>
                <w:color w:val="auto"/>
              </w:rPr>
              <w:t>生态系统的植被覆盖度、生产力、生物量、生态系统功能等，生境面积、质量、连通性等，物种分布范围、种群结构，植被现状、土地利用。</w:t>
            </w:r>
          </w:p>
        </w:tc>
      </w:tr>
      <w:tr w14:paraId="7B1D9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3A41138D">
            <w:pPr>
              <w:pStyle w:val="45"/>
              <w:pageBreakBefore w:val="0"/>
              <w:kinsoku/>
              <w:wordWrap/>
              <w:overflowPunct/>
              <w:topLinePunct w:val="0"/>
              <w:bidi w:val="0"/>
              <w:rPr>
                <w:rFonts w:hint="default"/>
                <w:color w:val="auto"/>
              </w:rPr>
            </w:pPr>
          </w:p>
        </w:tc>
        <w:tc>
          <w:tcPr>
            <w:tcW w:w="1656" w:type="dxa"/>
            <w:noWrap w:val="0"/>
            <w:vAlign w:val="center"/>
          </w:tcPr>
          <w:p w14:paraId="3EC2C6FC">
            <w:pPr>
              <w:pStyle w:val="45"/>
              <w:pageBreakBefore w:val="0"/>
              <w:kinsoku/>
              <w:wordWrap/>
              <w:overflowPunct/>
              <w:topLinePunct w:val="0"/>
              <w:bidi w:val="0"/>
              <w:rPr>
                <w:rFonts w:hint="default"/>
                <w:color w:val="auto"/>
              </w:rPr>
            </w:pPr>
            <w:r>
              <w:rPr>
                <w:rFonts w:hint="default"/>
                <w:color w:val="auto"/>
              </w:rPr>
              <w:t>影响分析</w:t>
            </w:r>
          </w:p>
        </w:tc>
        <w:tc>
          <w:tcPr>
            <w:tcW w:w="5897" w:type="dxa"/>
            <w:noWrap w:val="0"/>
            <w:vAlign w:val="center"/>
          </w:tcPr>
          <w:p w14:paraId="164D60FB">
            <w:pPr>
              <w:pStyle w:val="45"/>
              <w:pageBreakBefore w:val="0"/>
              <w:kinsoku/>
              <w:wordWrap/>
              <w:overflowPunct/>
              <w:topLinePunct w:val="0"/>
              <w:bidi w:val="0"/>
              <w:rPr>
                <w:rFonts w:hint="default"/>
                <w:color w:val="auto"/>
              </w:rPr>
            </w:pPr>
            <w:r>
              <w:rPr>
                <w:rFonts w:hint="default"/>
                <w:color w:val="auto"/>
              </w:rPr>
              <w:t>土地、植被、水土流失</w:t>
            </w:r>
          </w:p>
        </w:tc>
      </w:tr>
      <w:tr w14:paraId="2D7A5F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restart"/>
            <w:noWrap w:val="0"/>
            <w:vAlign w:val="center"/>
          </w:tcPr>
          <w:p w14:paraId="28EE8E1E">
            <w:pPr>
              <w:pStyle w:val="45"/>
              <w:pageBreakBefore w:val="0"/>
              <w:kinsoku/>
              <w:wordWrap/>
              <w:overflowPunct/>
              <w:topLinePunct w:val="0"/>
              <w:bidi w:val="0"/>
              <w:rPr>
                <w:rFonts w:hint="default"/>
                <w:color w:val="auto"/>
              </w:rPr>
            </w:pPr>
            <w:r>
              <w:rPr>
                <w:rFonts w:hint="default"/>
                <w:color w:val="auto"/>
              </w:rPr>
              <w:t>固体废物</w:t>
            </w:r>
          </w:p>
        </w:tc>
        <w:tc>
          <w:tcPr>
            <w:tcW w:w="1656" w:type="dxa"/>
            <w:noWrap w:val="0"/>
            <w:vAlign w:val="center"/>
          </w:tcPr>
          <w:p w14:paraId="5F523D08">
            <w:pPr>
              <w:pStyle w:val="45"/>
              <w:pageBreakBefore w:val="0"/>
              <w:kinsoku/>
              <w:wordWrap/>
              <w:overflowPunct/>
              <w:topLinePunct w:val="0"/>
              <w:bidi w:val="0"/>
              <w:rPr>
                <w:rFonts w:hint="default"/>
                <w:color w:val="auto"/>
              </w:rPr>
            </w:pPr>
            <w:r>
              <w:rPr>
                <w:rFonts w:hint="default"/>
                <w:color w:val="auto"/>
              </w:rPr>
              <w:t>污染源分析</w:t>
            </w:r>
          </w:p>
        </w:tc>
        <w:tc>
          <w:tcPr>
            <w:tcW w:w="5897" w:type="dxa"/>
            <w:noWrap w:val="0"/>
            <w:vAlign w:val="center"/>
          </w:tcPr>
          <w:p w14:paraId="0DCE0B46">
            <w:pPr>
              <w:pStyle w:val="45"/>
              <w:pageBreakBefore w:val="0"/>
              <w:kinsoku/>
              <w:wordWrap/>
              <w:overflowPunct/>
              <w:topLinePunct w:val="0"/>
              <w:bidi w:val="0"/>
              <w:jc w:val="center"/>
              <w:rPr>
                <w:rFonts w:hint="default"/>
                <w:color w:val="auto"/>
              </w:rPr>
            </w:pPr>
            <w:r>
              <w:rPr>
                <w:rFonts w:hint="default"/>
                <w:color w:val="auto"/>
              </w:rPr>
              <w:t>清洗</w:t>
            </w:r>
            <w:r>
              <w:rPr>
                <w:rFonts w:hint="eastAsia"/>
                <w:color w:val="auto"/>
                <w:lang w:eastAsia="zh-CN"/>
              </w:rPr>
              <w:t>废旧塑料</w:t>
            </w:r>
            <w:r>
              <w:rPr>
                <w:rFonts w:hint="default"/>
                <w:color w:val="auto"/>
              </w:rPr>
              <w:t>泥沙；残次品及边角废料</w:t>
            </w:r>
            <w:r>
              <w:rPr>
                <w:rFonts w:hint="eastAsia"/>
                <w:color w:val="auto"/>
                <w:lang w:eastAsia="zh-CN"/>
              </w:rPr>
              <w:t>；</w:t>
            </w:r>
            <w:r>
              <w:rPr>
                <w:rFonts w:hint="default"/>
                <w:color w:val="auto"/>
              </w:rPr>
              <w:t>废润滑油、废</w:t>
            </w:r>
            <w:r>
              <w:rPr>
                <w:rFonts w:hint="eastAsia"/>
                <w:color w:val="auto"/>
                <w:lang w:val="en-US" w:eastAsia="zh-CN"/>
              </w:rPr>
              <w:t>催化剂</w:t>
            </w:r>
            <w:r>
              <w:rPr>
                <w:rFonts w:hint="default"/>
                <w:color w:val="auto"/>
              </w:rPr>
              <w:t>；生活垃圾</w:t>
            </w:r>
          </w:p>
        </w:tc>
      </w:tr>
      <w:tr w14:paraId="788C0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99" w:type="dxa"/>
            <w:vMerge w:val="continue"/>
            <w:noWrap w:val="0"/>
            <w:vAlign w:val="center"/>
          </w:tcPr>
          <w:p w14:paraId="6CB2C32D">
            <w:pPr>
              <w:pStyle w:val="45"/>
              <w:pageBreakBefore w:val="0"/>
              <w:kinsoku/>
              <w:wordWrap/>
              <w:overflowPunct/>
              <w:topLinePunct w:val="0"/>
              <w:bidi w:val="0"/>
              <w:rPr>
                <w:rFonts w:hint="default"/>
                <w:color w:val="auto"/>
              </w:rPr>
            </w:pPr>
          </w:p>
        </w:tc>
        <w:tc>
          <w:tcPr>
            <w:tcW w:w="1656" w:type="dxa"/>
            <w:noWrap w:val="0"/>
            <w:vAlign w:val="center"/>
          </w:tcPr>
          <w:p w14:paraId="7A475B64">
            <w:pPr>
              <w:pStyle w:val="45"/>
              <w:pageBreakBefore w:val="0"/>
              <w:kinsoku/>
              <w:wordWrap/>
              <w:overflowPunct/>
              <w:topLinePunct w:val="0"/>
              <w:bidi w:val="0"/>
              <w:rPr>
                <w:rFonts w:hint="default"/>
                <w:color w:val="auto"/>
              </w:rPr>
            </w:pPr>
            <w:r>
              <w:rPr>
                <w:rFonts w:hint="default"/>
                <w:color w:val="auto"/>
              </w:rPr>
              <w:t>影响分析</w:t>
            </w:r>
          </w:p>
        </w:tc>
        <w:tc>
          <w:tcPr>
            <w:tcW w:w="5897" w:type="dxa"/>
            <w:noWrap w:val="0"/>
            <w:vAlign w:val="center"/>
          </w:tcPr>
          <w:p w14:paraId="165E78E7">
            <w:pPr>
              <w:pStyle w:val="45"/>
              <w:pageBreakBefore w:val="0"/>
              <w:kinsoku/>
              <w:wordWrap/>
              <w:overflowPunct/>
              <w:topLinePunct w:val="0"/>
              <w:bidi w:val="0"/>
              <w:jc w:val="center"/>
              <w:rPr>
                <w:rFonts w:hint="default"/>
                <w:color w:val="auto"/>
              </w:rPr>
            </w:pPr>
            <w:r>
              <w:rPr>
                <w:rFonts w:hint="default"/>
                <w:color w:val="auto"/>
              </w:rPr>
              <w:t>清洗废旧</w:t>
            </w:r>
            <w:r>
              <w:rPr>
                <w:rFonts w:hint="eastAsia"/>
                <w:color w:val="auto"/>
                <w:lang w:eastAsia="zh-CN"/>
              </w:rPr>
              <w:t>塑料</w:t>
            </w:r>
            <w:r>
              <w:rPr>
                <w:rFonts w:hint="default"/>
                <w:color w:val="auto"/>
              </w:rPr>
              <w:t>泥沙、残次品及边角废料、废润滑油、废</w:t>
            </w:r>
            <w:r>
              <w:rPr>
                <w:rFonts w:hint="eastAsia"/>
                <w:color w:val="auto"/>
                <w:lang w:val="en-US" w:eastAsia="zh-CN"/>
              </w:rPr>
              <w:t>催化剂</w:t>
            </w:r>
            <w:r>
              <w:rPr>
                <w:rFonts w:hint="eastAsia"/>
                <w:color w:val="auto"/>
                <w:lang w:eastAsia="zh-CN"/>
              </w:rPr>
              <w:t>；</w:t>
            </w:r>
            <w:r>
              <w:rPr>
                <w:rFonts w:hint="default"/>
                <w:color w:val="auto"/>
              </w:rPr>
              <w:t>生活垃圾</w:t>
            </w:r>
          </w:p>
        </w:tc>
      </w:tr>
    </w:tbl>
    <w:p w14:paraId="7D875DE2">
      <w:pPr>
        <w:pStyle w:val="4"/>
        <w:keepNext w:val="0"/>
        <w:keepLines w:val="0"/>
        <w:pageBreakBefore w:val="0"/>
        <w:widowControl/>
        <w:kinsoku/>
        <w:wordWrap/>
        <w:overflowPunct/>
        <w:topLinePunct w:val="0"/>
        <w:autoSpaceDE/>
        <w:autoSpaceDN/>
        <w:bidi w:val="0"/>
        <w:adjustRightInd w:val="0"/>
        <w:snapToGrid w:val="0"/>
        <w:spacing w:before="0" w:beforeLines="50"/>
        <w:textAlignment w:val="auto"/>
        <w:rPr>
          <w:rFonts w:hint="default"/>
          <w:color w:val="auto"/>
          <w:lang w:val="en-US" w:eastAsia="zh-CN"/>
        </w:rPr>
      </w:pPr>
      <w:bookmarkStart w:id="75" w:name="_bookmark10"/>
      <w:bookmarkEnd w:id="75"/>
      <w:bookmarkStart w:id="76" w:name="2.4 环境功能区划及评价标准"/>
      <w:bookmarkEnd w:id="76"/>
      <w:bookmarkStart w:id="77" w:name="_Toc4160"/>
      <w:bookmarkStart w:id="78" w:name="_Toc13628"/>
      <w:bookmarkStart w:id="79" w:name="_Toc3621"/>
      <w:r>
        <w:rPr>
          <w:rFonts w:hint="default"/>
          <w:color w:val="auto"/>
          <w:lang w:val="en-US" w:eastAsia="zh-CN"/>
        </w:rPr>
        <w:t>2.4环境功能区划及评价标准</w:t>
      </w:r>
      <w:bookmarkEnd w:id="77"/>
      <w:bookmarkEnd w:id="78"/>
      <w:bookmarkEnd w:id="79"/>
    </w:p>
    <w:p w14:paraId="5DEA74CB">
      <w:pPr>
        <w:pStyle w:val="5"/>
        <w:pageBreakBefore w:val="0"/>
        <w:widowControl w:val="0"/>
        <w:kinsoku/>
        <w:wordWrap/>
        <w:overflowPunct/>
        <w:topLinePunct w:val="0"/>
        <w:bidi w:val="0"/>
        <w:adjustRightInd/>
        <w:snapToGrid/>
        <w:spacing w:before="0" w:beforeLines="0" w:after="0" w:afterLines="0"/>
        <w:textAlignment w:val="auto"/>
        <w:rPr>
          <w:rFonts w:hint="default"/>
          <w:color w:val="auto"/>
          <w:lang w:val="en-US" w:eastAsia="zh-CN"/>
        </w:rPr>
      </w:pPr>
      <w:bookmarkStart w:id="80" w:name="2.4.1 环境功能区划"/>
      <w:bookmarkEnd w:id="80"/>
      <w:bookmarkStart w:id="81" w:name="2.4.1 环境功能区划"/>
      <w:bookmarkEnd w:id="81"/>
      <w:bookmarkStart w:id="82" w:name="_Toc14800"/>
      <w:bookmarkStart w:id="83" w:name="_Toc14076"/>
      <w:r>
        <w:rPr>
          <w:rFonts w:hint="default"/>
          <w:color w:val="auto"/>
          <w:lang w:val="en-US" w:eastAsia="zh-CN"/>
        </w:rPr>
        <w:t>2.4.1环境功能区划</w:t>
      </w:r>
      <w:bookmarkEnd w:id="82"/>
      <w:bookmarkEnd w:id="83"/>
    </w:p>
    <w:p w14:paraId="31EE6334">
      <w:pPr>
        <w:pageBreakBefore w:val="0"/>
        <w:widowControl w:val="0"/>
        <w:kinsoku/>
        <w:wordWrap/>
        <w:overflowPunct/>
        <w:topLinePunct w:val="0"/>
        <w:bidi w:val="0"/>
        <w:adjustRightInd/>
        <w:snapToGrid/>
        <w:spacing w:before="0" w:after="0"/>
        <w:textAlignment w:val="auto"/>
        <w:rPr>
          <w:rFonts w:hint="default"/>
          <w:color w:val="auto"/>
        </w:rPr>
      </w:pPr>
      <w:r>
        <w:rPr>
          <w:rFonts w:hint="eastAsia" w:ascii="Times New Roman" w:hAnsi="Times New Roman" w:cs="Times New Roman"/>
          <w:color w:val="auto"/>
          <w:spacing w:val="0"/>
          <w:w w:val="100"/>
          <w:position w:val="0"/>
          <w:lang w:eastAsia="zh-CN"/>
        </w:rPr>
        <w:t>（</w:t>
      </w:r>
      <w:r>
        <w:rPr>
          <w:rFonts w:hint="eastAsia" w:ascii="Times New Roman" w:hAnsi="Times New Roman" w:cs="Times New Roman"/>
          <w:color w:val="auto"/>
          <w:spacing w:val="0"/>
          <w:w w:val="100"/>
          <w:position w:val="0"/>
          <w:lang w:val="en-US" w:eastAsia="zh-CN"/>
        </w:rPr>
        <w:t>1</w:t>
      </w:r>
      <w:r>
        <w:rPr>
          <w:rFonts w:hint="eastAsia" w:ascii="Times New Roman" w:hAnsi="Times New Roman" w:cs="Times New Roman"/>
          <w:color w:val="auto"/>
          <w:spacing w:val="0"/>
          <w:w w:val="100"/>
          <w:position w:val="0"/>
          <w:lang w:eastAsia="zh-CN"/>
        </w:rPr>
        <w:t>）</w:t>
      </w:r>
      <w:r>
        <w:rPr>
          <w:rFonts w:hint="default" w:ascii="Times New Roman" w:hAnsi="Times New Roman" w:cs="Times New Roman"/>
          <w:color w:val="auto"/>
          <w:spacing w:val="0"/>
          <w:w w:val="100"/>
          <w:position w:val="0"/>
        </w:rPr>
        <w:t>环境空</w:t>
      </w:r>
      <w:r>
        <w:rPr>
          <w:rFonts w:hint="default"/>
          <w:color w:val="auto"/>
        </w:rPr>
        <w:t>气</w:t>
      </w:r>
    </w:p>
    <w:p w14:paraId="45AE5961">
      <w:pPr>
        <w:pageBreakBefore w:val="0"/>
        <w:widowControl w:val="0"/>
        <w:kinsoku/>
        <w:wordWrap/>
        <w:overflowPunct/>
        <w:topLinePunct w:val="0"/>
        <w:bidi w:val="0"/>
        <w:adjustRightInd/>
        <w:snapToGrid/>
        <w:spacing w:before="0" w:after="0"/>
        <w:textAlignment w:val="auto"/>
        <w:rPr>
          <w:rFonts w:hint="default"/>
          <w:color w:val="auto"/>
        </w:rPr>
      </w:pPr>
      <w:r>
        <w:rPr>
          <w:rFonts w:hint="default"/>
          <w:color w:val="auto"/>
        </w:rPr>
        <w:t>本项目位于</w:t>
      </w:r>
      <w:r>
        <w:rPr>
          <w:rFonts w:hint="eastAsia"/>
          <w:color w:val="auto"/>
          <w:lang w:eastAsia="zh-CN"/>
        </w:rPr>
        <w:t>新疆维吾尔自治区</w:t>
      </w:r>
      <w:r>
        <w:rPr>
          <w:rFonts w:hint="eastAsia" w:cs="Times New Roman"/>
          <w:color w:val="auto"/>
          <w:highlight w:val="none"/>
          <w:lang w:val="en-US" w:eastAsia="zh-CN"/>
        </w:rPr>
        <w:t>塔城地区</w:t>
      </w:r>
      <w:r>
        <w:rPr>
          <w:rFonts w:hint="eastAsia"/>
          <w:color w:val="auto"/>
          <w:lang w:eastAsia="zh-CN"/>
        </w:rPr>
        <w:t>托里县乌雪特乡</w:t>
      </w:r>
      <w:r>
        <w:rPr>
          <w:rFonts w:hint="default"/>
          <w:color w:val="auto"/>
        </w:rPr>
        <w:t>，周边无自然保护区、风景名胜区和其他需要特殊保护的区域。根据环境空气功能区分类，评价区环境空气功能区为二类区，执行《环境空气质量标准》（GB3095-2012）中二级标准。</w:t>
      </w:r>
    </w:p>
    <w:p w14:paraId="4904D4C1">
      <w:pPr>
        <w:pageBreakBefore w:val="0"/>
        <w:widowControl w:val="0"/>
        <w:kinsoku/>
        <w:wordWrap/>
        <w:overflowPunct/>
        <w:topLinePunct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地下水</w:t>
      </w:r>
    </w:p>
    <w:p w14:paraId="5801F888">
      <w:pPr>
        <w:pageBreakBefore w:val="0"/>
        <w:widowControl w:val="0"/>
        <w:kinsoku/>
        <w:wordWrap/>
        <w:overflowPunct/>
        <w:topLinePunct w:val="0"/>
        <w:bidi w:val="0"/>
        <w:adjustRightInd/>
        <w:snapToGrid/>
        <w:spacing w:before="0" w:after="0"/>
        <w:textAlignment w:val="auto"/>
        <w:rPr>
          <w:rFonts w:hint="default"/>
          <w:color w:val="auto"/>
        </w:rPr>
      </w:pPr>
      <w:r>
        <w:rPr>
          <w:rFonts w:hint="default"/>
          <w:color w:val="auto"/>
        </w:rPr>
        <w:t>根据《地下水质量标准》（GB/T14848-2017）中地下水质量分类</w:t>
      </w:r>
      <w:r>
        <w:rPr>
          <w:rFonts w:hint="eastAsia"/>
          <w:color w:val="auto"/>
          <w:lang w:eastAsia="zh-CN"/>
        </w:rPr>
        <w:t>“</w:t>
      </w:r>
      <w:r>
        <w:rPr>
          <w:rFonts w:hint="default"/>
          <w:color w:val="auto"/>
        </w:rPr>
        <w:t>以人体健康基准值为依据</w:t>
      </w:r>
      <w:r>
        <w:rPr>
          <w:rFonts w:hint="eastAsia"/>
          <w:color w:val="auto"/>
          <w:lang w:eastAsia="zh-CN"/>
        </w:rPr>
        <w:t>”</w:t>
      </w:r>
      <w:r>
        <w:rPr>
          <w:rFonts w:hint="default"/>
          <w:color w:val="auto"/>
        </w:rPr>
        <w:t>的要求，主要适用于集中式生活饮用水水源及工、农业用水的地下水为Ⅲ类水质。本项目所在区域地下水执行《地下水质量标准》（GB/T14848-2017）中的Ⅲ类标准。</w:t>
      </w:r>
    </w:p>
    <w:p w14:paraId="45F4BF78">
      <w:pPr>
        <w:pageBreakBefore w:val="0"/>
        <w:widowControl w:val="0"/>
        <w:kinsoku/>
        <w:wordWrap/>
        <w:overflowPunct/>
        <w:topLinePunct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3</w:t>
      </w:r>
      <w:r>
        <w:rPr>
          <w:rFonts w:hint="eastAsia"/>
          <w:color w:val="auto"/>
          <w:lang w:eastAsia="zh-CN"/>
        </w:rPr>
        <w:t>）</w:t>
      </w:r>
      <w:r>
        <w:rPr>
          <w:rFonts w:hint="default"/>
          <w:color w:val="auto"/>
        </w:rPr>
        <w:t>声环境</w:t>
      </w:r>
    </w:p>
    <w:p w14:paraId="7D65F11A">
      <w:pPr>
        <w:pageBreakBefore w:val="0"/>
        <w:widowControl w:val="0"/>
        <w:kinsoku/>
        <w:wordWrap/>
        <w:overflowPunct/>
        <w:topLinePunct w:val="0"/>
        <w:bidi w:val="0"/>
        <w:adjustRightInd/>
        <w:snapToGrid/>
        <w:spacing w:before="0" w:after="0"/>
        <w:textAlignment w:val="auto"/>
        <w:rPr>
          <w:rFonts w:hint="default"/>
          <w:color w:val="auto"/>
          <w:highlight w:val="none"/>
        </w:rPr>
      </w:pPr>
      <w:r>
        <w:rPr>
          <w:rFonts w:hint="default"/>
          <w:color w:val="auto"/>
          <w:highlight w:val="none"/>
        </w:rPr>
        <w:t>本项目位于</w:t>
      </w:r>
      <w:r>
        <w:rPr>
          <w:rFonts w:hint="eastAsia"/>
          <w:color w:val="auto"/>
          <w:highlight w:val="none"/>
          <w:lang w:eastAsia="zh-CN"/>
        </w:rPr>
        <w:t>新疆维吾尔自治区</w:t>
      </w:r>
      <w:r>
        <w:rPr>
          <w:rFonts w:hint="eastAsia" w:cs="Times New Roman"/>
          <w:color w:val="auto"/>
          <w:highlight w:val="none"/>
          <w:lang w:val="en-US" w:eastAsia="zh-CN"/>
        </w:rPr>
        <w:t>塔城地区</w:t>
      </w:r>
      <w:r>
        <w:rPr>
          <w:rFonts w:hint="eastAsia"/>
          <w:color w:val="auto"/>
          <w:highlight w:val="none"/>
          <w:lang w:eastAsia="zh-CN"/>
        </w:rPr>
        <w:t>托里县乌雪特乡</w:t>
      </w:r>
      <w:r>
        <w:rPr>
          <w:rFonts w:hint="default"/>
          <w:color w:val="auto"/>
          <w:highlight w:val="none"/>
        </w:rPr>
        <w:t>，根据声环境功能区划分，项目所在地为</w:t>
      </w:r>
      <w:r>
        <w:rPr>
          <w:rFonts w:hint="eastAsia"/>
          <w:color w:val="auto"/>
          <w:highlight w:val="none"/>
          <w:lang w:val="en-US" w:eastAsia="zh-CN"/>
        </w:rPr>
        <w:t>2</w:t>
      </w:r>
      <w:r>
        <w:rPr>
          <w:rFonts w:hint="default"/>
          <w:color w:val="auto"/>
          <w:highlight w:val="none"/>
        </w:rPr>
        <w:t>类声环境功能区，执行《声环境质量标准》（GB3096-2008）中</w:t>
      </w:r>
      <w:r>
        <w:rPr>
          <w:rFonts w:hint="eastAsia"/>
          <w:color w:val="auto"/>
          <w:highlight w:val="none"/>
          <w:lang w:val="en-US" w:eastAsia="zh-CN"/>
        </w:rPr>
        <w:t>2</w:t>
      </w:r>
      <w:r>
        <w:rPr>
          <w:rFonts w:hint="default"/>
          <w:color w:val="auto"/>
          <w:highlight w:val="none"/>
        </w:rPr>
        <w:t>类标准要求。</w:t>
      </w:r>
    </w:p>
    <w:p w14:paraId="77EDED83">
      <w:pPr>
        <w:pageBreakBefore w:val="0"/>
        <w:widowControl w:val="0"/>
        <w:kinsoku/>
        <w:wordWrap/>
        <w:overflowPunct/>
        <w:topLinePunct w:val="0"/>
        <w:bidi w:val="0"/>
        <w:adjustRightInd/>
        <w:snapToGrid/>
        <w:spacing w:before="0" w:after="0"/>
        <w:textAlignment w:val="auto"/>
        <w:rPr>
          <w:rFonts w:hint="default"/>
          <w:color w:val="auto"/>
        </w:rPr>
      </w:pPr>
      <w:r>
        <w:rPr>
          <w:rFonts w:hint="eastAsia"/>
          <w:color w:val="auto"/>
          <w:lang w:eastAsia="zh-CN"/>
        </w:rPr>
        <w:t>（</w:t>
      </w:r>
      <w:r>
        <w:rPr>
          <w:rFonts w:hint="eastAsia"/>
          <w:color w:val="auto"/>
          <w:lang w:val="en-US" w:eastAsia="zh-CN"/>
        </w:rPr>
        <w:t>4</w:t>
      </w:r>
      <w:r>
        <w:rPr>
          <w:rFonts w:hint="eastAsia"/>
          <w:color w:val="auto"/>
          <w:lang w:eastAsia="zh-CN"/>
        </w:rPr>
        <w:t>）</w:t>
      </w:r>
      <w:r>
        <w:rPr>
          <w:rFonts w:hint="default"/>
          <w:color w:val="auto"/>
        </w:rPr>
        <w:t>生态环境</w:t>
      </w:r>
    </w:p>
    <w:p w14:paraId="7DCB2CF0">
      <w:pPr>
        <w:pStyle w:val="65"/>
        <w:keepNext w:val="0"/>
        <w:keepLines w:val="0"/>
        <w:pageBreakBefore w:val="0"/>
        <w:widowControl w:val="0"/>
        <w:kinsoku/>
        <w:wordWrap/>
        <w:overflowPunct/>
        <w:topLinePunct w:val="0"/>
        <w:autoSpaceDE/>
        <w:autoSpaceDN/>
        <w:bidi w:val="0"/>
        <w:adjustRightInd/>
        <w:snapToGrid/>
        <w:spacing w:before="0" w:after="0"/>
        <w:ind w:firstLine="480"/>
        <w:textAlignment w:val="auto"/>
        <w:rPr>
          <w:rFonts w:hint="default" w:ascii="Times New Roman" w:hAnsi="Times New Roman" w:eastAsia="宋体" w:cs="宋体"/>
          <w:color w:val="auto"/>
          <w:sz w:val="24"/>
          <w:szCs w:val="22"/>
          <w:lang w:val="zh-CN" w:eastAsia="zh-CN" w:bidi="zh-CN"/>
        </w:rPr>
      </w:pPr>
      <w:bookmarkStart w:id="84" w:name="根据《新疆生态功能区划》，乌什县属于天山南坡草原牧业、绿洲农业生态亚区，乌什谷地"/>
      <w:bookmarkEnd w:id="84"/>
      <w:r>
        <w:rPr>
          <w:rFonts w:hint="default" w:ascii="Times New Roman" w:hAnsi="Times New Roman" w:eastAsia="宋体" w:cs="宋体"/>
          <w:color w:val="auto"/>
          <w:sz w:val="24"/>
          <w:szCs w:val="22"/>
          <w:lang w:val="zh-CN" w:eastAsia="zh-CN" w:bidi="zh-CN"/>
        </w:rPr>
        <w:t>根据《新疆生态功能区划》，项目区的生态功能区划见</w:t>
      </w:r>
      <w:r>
        <w:rPr>
          <w:rFonts w:hint="default" w:ascii="Times New Roman" w:hAnsi="Times New Roman" w:eastAsia="宋体" w:cs="宋体"/>
          <w:color w:val="auto"/>
          <w:sz w:val="24"/>
          <w:szCs w:val="22"/>
          <w:lang w:val="zh-CN" w:eastAsia="zh-CN" w:bidi="zh-CN"/>
        </w:rPr>
        <w:fldChar w:fldCharType="begin"/>
      </w:r>
      <w:r>
        <w:rPr>
          <w:rFonts w:hint="default" w:ascii="Times New Roman" w:hAnsi="Times New Roman" w:eastAsia="宋体" w:cs="宋体"/>
          <w:color w:val="auto"/>
          <w:sz w:val="24"/>
          <w:szCs w:val="22"/>
          <w:lang w:val="zh-CN" w:eastAsia="zh-CN" w:bidi="zh-CN"/>
        </w:rPr>
        <w:instrText xml:space="preserve"> REF _Ref111290984 \h  \* MERGEFORMAT </w:instrText>
      </w:r>
      <w:r>
        <w:rPr>
          <w:rFonts w:hint="default" w:ascii="Times New Roman" w:hAnsi="Times New Roman" w:eastAsia="宋体" w:cs="宋体"/>
          <w:color w:val="auto"/>
          <w:sz w:val="24"/>
          <w:szCs w:val="22"/>
          <w:lang w:val="zh-CN" w:eastAsia="zh-CN" w:bidi="zh-CN"/>
        </w:rPr>
        <w:fldChar w:fldCharType="separate"/>
      </w:r>
      <w:r>
        <w:rPr>
          <w:rFonts w:hint="default" w:ascii="Times New Roman" w:hAnsi="Times New Roman" w:eastAsia="宋体" w:cs="宋体"/>
          <w:color w:val="auto"/>
          <w:sz w:val="24"/>
          <w:szCs w:val="22"/>
          <w:lang w:val="zh-CN" w:eastAsia="zh-CN" w:bidi="zh-CN"/>
        </w:rPr>
        <w:t>表2.4</w:t>
      </w:r>
      <w:r>
        <w:rPr>
          <w:rFonts w:hint="default" w:ascii="Times New Roman" w:hAnsi="Times New Roman" w:eastAsia="宋体" w:cs="宋体"/>
          <w:color w:val="auto"/>
          <w:sz w:val="24"/>
          <w:szCs w:val="22"/>
          <w:lang w:val="zh-CN" w:eastAsia="zh-CN" w:bidi="zh-CN"/>
        </w:rPr>
        <w:noBreakHyphen/>
      </w:r>
      <w:r>
        <w:rPr>
          <w:rFonts w:hint="default" w:ascii="Times New Roman" w:hAnsi="Times New Roman" w:eastAsia="宋体" w:cs="宋体"/>
          <w:color w:val="auto"/>
          <w:sz w:val="24"/>
          <w:szCs w:val="22"/>
          <w:lang w:val="zh-CN" w:eastAsia="zh-CN" w:bidi="zh-CN"/>
        </w:rPr>
        <w:t>1</w:t>
      </w:r>
      <w:r>
        <w:rPr>
          <w:rFonts w:hint="default" w:ascii="Times New Roman" w:hAnsi="Times New Roman" w:eastAsia="宋体" w:cs="宋体"/>
          <w:color w:val="auto"/>
          <w:sz w:val="24"/>
          <w:szCs w:val="22"/>
          <w:lang w:val="zh-CN" w:eastAsia="zh-CN" w:bidi="zh-CN"/>
        </w:rPr>
        <w:fldChar w:fldCharType="end"/>
      </w:r>
      <w:r>
        <w:rPr>
          <w:rFonts w:hint="default" w:ascii="Times New Roman" w:hAnsi="Times New Roman" w:eastAsia="宋体" w:cs="宋体"/>
          <w:color w:val="auto"/>
          <w:sz w:val="24"/>
          <w:szCs w:val="22"/>
          <w:lang w:val="zh-CN" w:eastAsia="zh-CN" w:bidi="zh-CN"/>
        </w:rPr>
        <w:t>。</w:t>
      </w:r>
    </w:p>
    <w:p w14:paraId="40536D57">
      <w:pPr>
        <w:pStyle w:val="43"/>
        <w:keepNext/>
        <w:keepLines w:val="0"/>
        <w:pageBreakBefore w:val="0"/>
        <w:widowControl w:val="0"/>
        <w:kinsoku/>
        <w:wordWrap/>
        <w:overflowPunct/>
        <w:topLinePunct w:val="0"/>
        <w:autoSpaceDE/>
        <w:autoSpaceDN/>
        <w:bidi w:val="0"/>
        <w:adjustRightInd w:val="0"/>
        <w:snapToGrid w:val="0"/>
        <w:spacing w:before="0" w:beforeLines="0"/>
        <w:textAlignment w:val="auto"/>
        <w:rPr>
          <w:rFonts w:hint="default" w:ascii="Times New Roman" w:hAnsi="Times New Roman" w:eastAsia="宋体" w:cs="宋体"/>
          <w:b/>
          <w:bCs/>
          <w:color w:val="auto"/>
          <w:spacing w:val="0"/>
          <w:w w:val="100"/>
          <w:position w:val="0"/>
          <w:sz w:val="24"/>
          <w:lang w:eastAsia="zh-CN"/>
        </w:rPr>
      </w:pPr>
      <w:bookmarkStart w:id="85" w:name="2.4.2 评价标准"/>
      <w:bookmarkEnd w:id="85"/>
      <w:bookmarkStart w:id="86" w:name="2.4.2 评价标准"/>
      <w:bookmarkEnd w:id="86"/>
      <w:bookmarkStart w:id="87" w:name="_Toc20112"/>
      <w:r>
        <w:rPr>
          <w:rFonts w:hint="default" w:ascii="Times New Roman" w:hAnsi="Times New Roman" w:eastAsia="宋体" w:cs="宋体"/>
          <w:b/>
          <w:bCs/>
          <w:color w:val="auto"/>
          <w:spacing w:val="0"/>
          <w:w w:val="100"/>
          <w:position w:val="0"/>
          <w:sz w:val="24"/>
          <w:lang w:eastAsia="zh-CN"/>
        </w:rPr>
        <w:t>表</w:t>
      </w:r>
      <w:r>
        <w:rPr>
          <w:rFonts w:hint="eastAsia" w:cs="宋体"/>
          <w:b/>
          <w:bCs/>
          <w:color w:val="auto"/>
          <w:spacing w:val="0"/>
          <w:w w:val="100"/>
          <w:position w:val="0"/>
          <w:sz w:val="24"/>
          <w:lang w:val="en-US" w:eastAsia="zh-CN"/>
        </w:rPr>
        <w:t>2.4-1</w:t>
      </w:r>
      <w:r>
        <w:rPr>
          <w:rFonts w:hint="eastAsia" w:ascii="Times New Roman" w:hAnsi="Times New Roman" w:eastAsia="宋体" w:cs="宋体"/>
          <w:b/>
          <w:bCs/>
          <w:color w:val="auto"/>
          <w:spacing w:val="0"/>
          <w:w w:val="100"/>
          <w:position w:val="0"/>
          <w:sz w:val="24"/>
          <w:lang w:val="en-US" w:eastAsia="zh-CN"/>
        </w:rPr>
        <w:t xml:space="preserve">  </w:t>
      </w:r>
      <w:r>
        <w:rPr>
          <w:rFonts w:hint="eastAsia" w:cs="宋体"/>
          <w:b/>
          <w:bCs/>
          <w:color w:val="auto"/>
          <w:spacing w:val="0"/>
          <w:w w:val="100"/>
          <w:position w:val="0"/>
          <w:sz w:val="24"/>
          <w:lang w:val="en-US" w:eastAsia="zh-CN"/>
        </w:rPr>
        <w:t xml:space="preserve">  </w:t>
      </w:r>
      <w:r>
        <w:rPr>
          <w:rFonts w:hint="default" w:ascii="Times New Roman" w:hAnsi="Times New Roman" w:eastAsia="宋体" w:cs="宋体"/>
          <w:b/>
          <w:bCs/>
          <w:color w:val="auto"/>
          <w:spacing w:val="0"/>
          <w:w w:val="100"/>
          <w:position w:val="0"/>
          <w:sz w:val="24"/>
          <w:lang w:eastAsia="zh-CN"/>
        </w:rPr>
        <w:t>项目沿线生态功能区划表</w:t>
      </w:r>
    </w:p>
    <w:tbl>
      <w:tblPr>
        <w:tblStyle w:val="27"/>
        <w:tblW w:w="90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297"/>
        <w:gridCol w:w="6722"/>
      </w:tblGrid>
      <w:tr w14:paraId="728F33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l2br w:val="single" w:color="000000" w:sz="4" w:space="0"/>
            </w:tcBorders>
            <w:shd w:val="clear" w:color="auto" w:fill="auto"/>
            <w:vAlign w:val="top"/>
          </w:tcPr>
          <w:p w14:paraId="39998B80">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top"/>
              <w:rPr>
                <w:rStyle w:val="75"/>
                <w:rFonts w:hint="default" w:ascii="Times New Roman" w:hAnsi="Times New Roman" w:cs="Times New Roman"/>
                <w:color w:val="auto"/>
                <w:sz w:val="21"/>
                <w:szCs w:val="21"/>
                <w:lang w:val="en-US" w:eastAsia="zh-CN" w:bidi="ar"/>
              </w:rPr>
            </w:pPr>
            <w:r>
              <w:rPr>
                <w:rStyle w:val="75"/>
                <w:rFonts w:hint="default" w:ascii="Times New Roman" w:hAnsi="Times New Roman" w:cs="Times New Roman"/>
                <w:color w:val="auto"/>
                <w:sz w:val="21"/>
                <w:szCs w:val="21"/>
                <w:lang w:val="en-US" w:eastAsia="zh-CN" w:bidi="ar"/>
              </w:rPr>
              <w:t xml:space="preserve">          名称</w:t>
            </w:r>
          </w:p>
          <w:p w14:paraId="59EBF5DF">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both"/>
              <w:textAlignment w:val="top"/>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内容</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7C2D83">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lang w:eastAsia="zh-CN"/>
              </w:rPr>
              <w:t>Ⅱ准噶尔盆地温性荒漠与绿洲农业生态区——Ⅱ</w:t>
            </w:r>
            <w:r>
              <w:rPr>
                <w:rFonts w:hint="default" w:ascii="Times New Roman" w:hAnsi="Times New Roman" w:eastAsia="宋体" w:cs="Times New Roman"/>
                <w:i w:val="0"/>
                <w:iCs w:val="0"/>
                <w:color w:val="auto"/>
                <w:sz w:val="21"/>
                <w:szCs w:val="21"/>
                <w:u w:val="none"/>
                <w:lang w:val="en-US" w:eastAsia="zh-CN"/>
              </w:rPr>
              <w:t>3</w:t>
            </w:r>
            <w:r>
              <w:rPr>
                <w:rFonts w:hint="default" w:ascii="Times New Roman" w:hAnsi="Times New Roman" w:eastAsia="宋体" w:cs="Times New Roman"/>
                <w:i w:val="0"/>
                <w:iCs w:val="0"/>
                <w:color w:val="auto"/>
                <w:sz w:val="21"/>
                <w:szCs w:val="21"/>
                <w:u w:val="none"/>
                <w:lang w:eastAsia="zh-CN"/>
              </w:rPr>
              <w:t>准噶尔西部山地草原牧业及盆地绿洲农业生态亚区——</w:t>
            </w:r>
            <w:r>
              <w:rPr>
                <w:rFonts w:hint="default" w:ascii="Times New Roman" w:hAnsi="Times New Roman" w:eastAsia="宋体" w:cs="Times New Roman"/>
                <w:i w:val="0"/>
                <w:iCs w:val="0"/>
                <w:color w:val="auto"/>
                <w:sz w:val="21"/>
                <w:szCs w:val="21"/>
                <w:u w:val="none"/>
                <w:lang w:val="en-US" w:eastAsia="zh-CN"/>
              </w:rPr>
              <w:t>13托里谷地草原牧业、风蚀敏感生态功能区</w:t>
            </w:r>
          </w:p>
        </w:tc>
      </w:tr>
      <w:tr w14:paraId="352846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D5B4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主要生态服务功能</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248F9">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畜产品生产、土壤保持</w:t>
            </w:r>
          </w:p>
        </w:tc>
      </w:tr>
      <w:tr w14:paraId="476B1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C7068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主要生态环境问题</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C6E8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草场退化、毁草开荒、土壤风蚀、阿魏资源减少</w:t>
            </w:r>
          </w:p>
        </w:tc>
      </w:tr>
      <w:tr w14:paraId="1F1753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F3A6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top"/>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主要生态敏感因子、敏感程度</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8265A6">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生物多样性及其生境中度敏感，土壤侵蚀中度敏感</w:t>
            </w:r>
          </w:p>
        </w:tc>
      </w:tr>
      <w:tr w14:paraId="54E14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9AC0A">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主要保护目标</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2701">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top"/>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保护草场、保护阿魏等资源植物、防风固土</w:t>
            </w:r>
          </w:p>
        </w:tc>
      </w:tr>
      <w:tr w14:paraId="4BC98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2"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8ED1D">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主要保护措施</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CE942">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围栏封育、植树造林、退耕还草、严禁滥挖阿魏</w:t>
            </w:r>
          </w:p>
        </w:tc>
      </w:tr>
      <w:tr w14:paraId="681CF8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jc w:val="center"/>
        </w:trPr>
        <w:tc>
          <w:tcPr>
            <w:tcW w:w="22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C4E24">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Style w:val="75"/>
                <w:rFonts w:hint="default" w:ascii="Times New Roman" w:hAnsi="Times New Roman" w:cs="Times New Roman"/>
                <w:color w:val="auto"/>
                <w:sz w:val="21"/>
                <w:szCs w:val="21"/>
                <w:lang w:val="en-US" w:eastAsia="zh-CN" w:bidi="ar"/>
              </w:rPr>
              <w:t>适宜发展方向</w:t>
            </w:r>
          </w:p>
        </w:tc>
        <w:tc>
          <w:tcPr>
            <w:tcW w:w="672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19DDFE">
            <w:pPr>
              <w:keepNext w:val="0"/>
              <w:keepLines w:val="0"/>
              <w:pageBreakBefore w:val="0"/>
              <w:widowControl/>
              <w:suppressLineNumbers w:val="0"/>
              <w:kinsoku/>
              <w:wordWrap/>
              <w:overflowPunct/>
              <w:topLinePunct w:val="0"/>
              <w:autoSpaceDE w:val="0"/>
              <w:autoSpaceDN w:val="0"/>
              <w:bidi w:val="0"/>
              <w:adjustRightInd/>
              <w:snapToGrid/>
              <w:spacing w:line="240" w:lineRule="auto"/>
              <w:ind w:firstLine="0" w:firstLineChars="0"/>
              <w:jc w:val="center"/>
              <w:textAlignment w:val="center"/>
              <w:rPr>
                <w:rFonts w:hint="default" w:ascii="Times New Roman" w:hAnsi="Times New Roman" w:eastAsia="宋体" w:cs="Times New Roman"/>
                <w:i w:val="0"/>
                <w:iCs w:val="0"/>
                <w:color w:val="auto"/>
                <w:sz w:val="21"/>
                <w:szCs w:val="21"/>
                <w:u w:val="none"/>
              </w:rPr>
            </w:pPr>
            <w:r>
              <w:rPr>
                <w:rFonts w:hint="default" w:ascii="Times New Roman" w:hAnsi="Times New Roman" w:eastAsia="宋体" w:cs="Times New Roman"/>
                <w:i w:val="0"/>
                <w:iCs w:val="0"/>
                <w:color w:val="auto"/>
                <w:sz w:val="21"/>
                <w:szCs w:val="21"/>
                <w:u w:val="none"/>
              </w:rPr>
              <w:t>加强以草原为主的生态建设，促进畜牧业发展</w:t>
            </w:r>
          </w:p>
        </w:tc>
      </w:tr>
    </w:tbl>
    <w:p w14:paraId="732A0A58">
      <w:pPr>
        <w:pageBreakBefore w:val="0"/>
        <w:widowControl w:val="0"/>
        <w:kinsoku/>
        <w:wordWrap/>
        <w:overflowPunct/>
        <w:topLinePunct w:val="0"/>
        <w:autoSpaceDE w:val="0"/>
        <w:autoSpaceDN w:val="0"/>
        <w:bidi w:val="0"/>
        <w:adjustRightInd/>
        <w:snapToGrid/>
        <w:spacing w:before="0" w:after="0"/>
        <w:ind w:firstLine="480"/>
        <w:jc w:val="both"/>
        <w:textAlignment w:val="auto"/>
        <w:outlineLvl w:val="9"/>
        <w:rPr>
          <w:rFonts w:hint="eastAsia" w:cs="Times New Roman"/>
          <w:color w:val="auto"/>
          <w:highlight w:val="none"/>
          <w:lang w:eastAsia="zh-CN"/>
        </w:rPr>
      </w:pPr>
      <w:r>
        <w:rPr>
          <w:rFonts w:hint="eastAsia" w:cs="Times New Roman"/>
          <w:color w:val="auto"/>
          <w:highlight w:val="none"/>
          <w:lang w:eastAsia="zh-CN"/>
        </w:rPr>
        <w:t>（</w:t>
      </w:r>
      <w:r>
        <w:rPr>
          <w:rFonts w:hint="eastAsia" w:cs="Times New Roman"/>
          <w:color w:val="auto"/>
          <w:highlight w:val="none"/>
          <w:lang w:val="en-US" w:eastAsia="zh-CN"/>
        </w:rPr>
        <w:t>5</w:t>
      </w:r>
      <w:r>
        <w:rPr>
          <w:rFonts w:hint="eastAsia" w:cs="Times New Roman"/>
          <w:color w:val="auto"/>
          <w:highlight w:val="none"/>
          <w:lang w:eastAsia="zh-CN"/>
        </w:rPr>
        <w:t>）土壤环境</w:t>
      </w:r>
    </w:p>
    <w:p w14:paraId="348539DC">
      <w:pPr>
        <w:pageBreakBefore w:val="0"/>
        <w:widowControl w:val="0"/>
        <w:kinsoku/>
        <w:wordWrap/>
        <w:overflowPunct/>
        <w:topLinePunct w:val="0"/>
        <w:autoSpaceDE w:val="0"/>
        <w:autoSpaceDN w:val="0"/>
        <w:bidi w:val="0"/>
        <w:adjustRightInd/>
        <w:snapToGrid/>
        <w:spacing w:before="0" w:after="0"/>
        <w:textAlignment w:val="auto"/>
        <w:outlineLvl w:val="9"/>
        <w:rPr>
          <w:rFonts w:hint="default"/>
          <w:color w:val="auto"/>
          <w:lang w:val="en-US" w:eastAsia="zh-CN"/>
        </w:rPr>
      </w:pPr>
      <w:r>
        <w:rPr>
          <w:rFonts w:hint="eastAsia" w:cs="Times New Roman"/>
          <w:color w:val="auto"/>
          <w:lang w:eastAsia="zh-CN"/>
        </w:rPr>
        <w:t>本项目占地性质为工业用地，根据《土壤环境质量 建设用地土壤污染风险管控标准（试行）》（GB36600-2018），本项目土壤环境执行建设用地第二类用地土壤污染风险筛选值。</w:t>
      </w:r>
    </w:p>
    <w:p w14:paraId="6A1AFA34">
      <w:pPr>
        <w:pStyle w:val="5"/>
        <w:pageBreakBefore w:val="0"/>
        <w:widowControl w:val="0"/>
        <w:kinsoku/>
        <w:wordWrap/>
        <w:overflowPunct/>
        <w:topLinePunct w:val="0"/>
        <w:autoSpaceDE w:val="0"/>
        <w:autoSpaceDN w:val="0"/>
        <w:bidi w:val="0"/>
        <w:adjustRightInd/>
        <w:snapToGrid/>
        <w:spacing w:before="0" w:beforeLines="0" w:after="0" w:afterLines="0"/>
        <w:textAlignment w:val="auto"/>
        <w:rPr>
          <w:rFonts w:hint="default"/>
          <w:color w:val="auto"/>
          <w:lang w:val="en-US" w:eastAsia="zh-CN"/>
        </w:rPr>
      </w:pPr>
      <w:bookmarkStart w:id="88" w:name="_Toc4432"/>
      <w:r>
        <w:rPr>
          <w:rFonts w:hint="default"/>
          <w:color w:val="auto"/>
          <w:lang w:val="en-US" w:eastAsia="zh-CN"/>
        </w:rPr>
        <w:t>2.4.2评价标准</w:t>
      </w:r>
      <w:bookmarkEnd w:id="87"/>
      <w:bookmarkEnd w:id="88"/>
    </w:p>
    <w:p w14:paraId="31A7DBAB">
      <w:pPr>
        <w:pStyle w:val="6"/>
        <w:pageBreakBefore w:val="0"/>
        <w:widowControl w:val="0"/>
        <w:kinsoku/>
        <w:wordWrap/>
        <w:overflowPunct/>
        <w:topLinePunct w:val="0"/>
        <w:autoSpaceDE w:val="0"/>
        <w:autoSpaceDN w:val="0"/>
        <w:bidi w:val="0"/>
        <w:adjustRightInd/>
        <w:snapToGrid/>
        <w:spacing w:before="0" w:after="0"/>
        <w:textAlignment w:val="auto"/>
        <w:rPr>
          <w:rFonts w:hint="default" w:ascii="Times New Roman" w:hAnsi="Times New Roman" w:cs="Times New Roman"/>
          <w:color w:val="auto"/>
          <w:spacing w:val="0"/>
          <w:w w:val="100"/>
          <w:position w:val="0"/>
        </w:rPr>
      </w:pPr>
      <w:r>
        <w:rPr>
          <w:rFonts w:hint="default" w:ascii="Times New Roman" w:hAnsi="Times New Roman" w:cs="Times New Roman"/>
          <w:color w:val="auto"/>
          <w:spacing w:val="0"/>
          <w:w w:val="100"/>
          <w:position w:val="0"/>
          <w:lang w:val="en-US" w:eastAsia="zh-CN"/>
        </w:rPr>
        <w:t>2.4.2.1</w:t>
      </w:r>
      <w:r>
        <w:rPr>
          <w:rFonts w:hint="default" w:ascii="Times New Roman" w:hAnsi="Times New Roman" w:cs="Times New Roman"/>
          <w:color w:val="auto"/>
          <w:spacing w:val="0"/>
          <w:w w:val="100"/>
          <w:position w:val="0"/>
        </w:rPr>
        <w:t>环境质量标准</w:t>
      </w:r>
    </w:p>
    <w:p w14:paraId="7AB62B27">
      <w:pPr>
        <w:pStyle w:val="6"/>
        <w:keepNext/>
        <w:keepLines/>
        <w:pageBreakBefore w:val="0"/>
        <w:widowControl/>
        <w:kinsoku/>
        <w:wordWrap/>
        <w:overflowPunct/>
        <w:topLinePunct w:val="0"/>
        <w:autoSpaceDE/>
        <w:autoSpaceDN/>
        <w:bidi w:val="0"/>
        <w:adjustRightInd/>
        <w:snapToGrid/>
        <w:spacing w:before="0"/>
        <w:textAlignment w:val="auto"/>
        <w:rPr>
          <w:rFonts w:hint="eastAsia" w:eastAsia="宋体"/>
          <w:color w:val="auto"/>
          <w:spacing w:val="0"/>
          <w:w w:val="100"/>
          <w:position w:val="0"/>
          <w:lang w:eastAsia="zh-CN"/>
        </w:rPr>
      </w:pPr>
      <w:r>
        <w:rPr>
          <w:rFonts w:hint="default" w:ascii="Times New Roman" w:hAnsi="Times New Roman" w:cs="Times New Roman"/>
          <w:color w:val="auto"/>
          <w:spacing w:val="0"/>
          <w:w w:val="100"/>
          <w:position w:val="0"/>
          <w:lang w:val="en-US" w:eastAsia="zh-CN"/>
        </w:rPr>
        <w:t>2.4.2.2</w:t>
      </w:r>
      <w:r>
        <w:rPr>
          <w:rFonts w:hint="default" w:ascii="Times New Roman" w:hAnsi="Times New Roman" w:cs="Times New Roman"/>
          <w:color w:val="auto"/>
          <w:spacing w:val="0"/>
          <w:w w:val="100"/>
          <w:position w:val="0"/>
        </w:rPr>
        <w:t>污染物排放标准</w:t>
      </w:r>
    </w:p>
    <w:p w14:paraId="3791C0E0">
      <w:pPr>
        <w:pStyle w:val="4"/>
        <w:pageBreakBefore w:val="0"/>
        <w:widowControl w:val="0"/>
        <w:kinsoku/>
        <w:wordWrap/>
        <w:overflowPunct/>
        <w:topLinePunct w:val="0"/>
        <w:autoSpaceDE w:val="0"/>
        <w:autoSpaceDN w:val="0"/>
        <w:bidi w:val="0"/>
        <w:adjustRightInd/>
        <w:snapToGrid/>
        <w:spacing w:before="0" w:after="0"/>
        <w:textAlignment w:val="auto"/>
        <w:rPr>
          <w:rFonts w:hint="default" w:ascii="Times New Roman" w:hAnsi="Times New Roman" w:eastAsia="宋体" w:cs="Times New Roman"/>
          <w:color w:val="auto"/>
          <w:spacing w:val="0"/>
          <w:w w:val="100"/>
          <w:position w:val="0"/>
        </w:rPr>
      </w:pPr>
      <w:bookmarkStart w:id="89" w:name="2.5 评价等级及评价范围"/>
      <w:bookmarkEnd w:id="89"/>
      <w:bookmarkStart w:id="90" w:name="_bookmark11"/>
      <w:bookmarkEnd w:id="90"/>
      <w:bookmarkStart w:id="91" w:name="_Toc15925"/>
      <w:bookmarkStart w:id="92" w:name="_Toc22716"/>
      <w:bookmarkStart w:id="93" w:name="_Toc5194"/>
      <w:r>
        <w:rPr>
          <w:rFonts w:hint="default" w:ascii="Times New Roman" w:hAnsi="Times New Roman" w:eastAsia="宋体" w:cs="Times New Roman"/>
          <w:color w:val="auto"/>
          <w:spacing w:val="0"/>
          <w:w w:val="100"/>
          <w:position w:val="0"/>
          <w:lang w:val="en-US" w:eastAsia="zh-CN"/>
        </w:rPr>
        <w:t>2.5</w:t>
      </w:r>
      <w:r>
        <w:rPr>
          <w:rFonts w:hint="default" w:ascii="Times New Roman" w:hAnsi="Times New Roman" w:eastAsia="宋体" w:cs="Times New Roman"/>
          <w:color w:val="auto"/>
          <w:spacing w:val="0"/>
          <w:w w:val="100"/>
          <w:position w:val="0"/>
        </w:rPr>
        <w:t>评价等级及评价范围</w:t>
      </w:r>
      <w:bookmarkEnd w:id="91"/>
      <w:bookmarkEnd w:id="92"/>
      <w:bookmarkEnd w:id="93"/>
    </w:p>
    <w:p w14:paraId="32F46227">
      <w:pPr>
        <w:pStyle w:val="4"/>
        <w:keepNext w:val="0"/>
        <w:keepLines w:val="0"/>
        <w:pageBreakBefore w:val="0"/>
        <w:widowControl w:val="0"/>
        <w:kinsoku/>
        <w:wordWrap/>
        <w:overflowPunct/>
        <w:topLinePunct w:val="0"/>
        <w:autoSpaceDE w:val="0"/>
        <w:autoSpaceDN w:val="0"/>
        <w:bidi w:val="0"/>
        <w:adjustRightInd/>
        <w:snapToGrid/>
        <w:textAlignment w:val="auto"/>
        <w:rPr>
          <w:rFonts w:hint="default"/>
          <w:color w:val="auto"/>
          <w:highlight w:val="none"/>
        </w:rPr>
      </w:pPr>
      <w:bookmarkStart w:id="94" w:name="2.5.1 环境空气评价等级"/>
      <w:bookmarkEnd w:id="94"/>
      <w:bookmarkStart w:id="95" w:name="2.5.1 环境空气评价等级"/>
      <w:bookmarkEnd w:id="95"/>
      <w:bookmarkStart w:id="96" w:name="2.7 主要环境保护目标"/>
      <w:bookmarkEnd w:id="96"/>
      <w:bookmarkStart w:id="97" w:name="2.7 主要环境保护目标"/>
      <w:bookmarkEnd w:id="97"/>
      <w:bookmarkStart w:id="98" w:name="_Toc11378"/>
      <w:bookmarkStart w:id="99" w:name="_Toc13065"/>
      <w:bookmarkStart w:id="100" w:name="_Toc16638"/>
      <w:r>
        <w:rPr>
          <w:rFonts w:hint="default"/>
          <w:color w:val="auto"/>
          <w:highlight w:val="none"/>
          <w:lang w:val="en-US" w:eastAsia="zh-CN"/>
        </w:rPr>
        <w:t>2.</w:t>
      </w:r>
      <w:r>
        <w:rPr>
          <w:rFonts w:hint="eastAsia"/>
          <w:color w:val="auto"/>
          <w:highlight w:val="none"/>
          <w:lang w:val="en-US" w:eastAsia="zh-CN"/>
        </w:rPr>
        <w:t>6</w:t>
      </w:r>
      <w:r>
        <w:rPr>
          <w:rFonts w:hint="default"/>
          <w:color w:val="auto"/>
          <w:highlight w:val="none"/>
        </w:rPr>
        <w:t>主要环境保护目标</w:t>
      </w:r>
      <w:bookmarkEnd w:id="98"/>
      <w:bookmarkEnd w:id="99"/>
      <w:bookmarkEnd w:id="100"/>
    </w:p>
    <w:p w14:paraId="1FE4352E">
      <w:pPr>
        <w:keepNext w:val="0"/>
        <w:keepLines w:val="0"/>
        <w:pageBreakBefore w:val="0"/>
        <w:widowControl w:val="0"/>
        <w:kinsoku/>
        <w:wordWrap/>
        <w:overflowPunct/>
        <w:topLinePunct w:val="0"/>
        <w:autoSpaceDE w:val="0"/>
        <w:autoSpaceDN w:val="0"/>
        <w:bidi w:val="0"/>
        <w:adjustRightInd/>
        <w:snapToGrid/>
        <w:textAlignment w:val="auto"/>
        <w:rPr>
          <w:rFonts w:hint="default" w:ascii="Times New Roman" w:hAnsi="Times New Roman" w:cs="Times New Roman"/>
          <w:color w:val="auto"/>
          <w:spacing w:val="0"/>
          <w:w w:val="100"/>
          <w:position w:val="0"/>
          <w:sz w:val="28"/>
        </w:rPr>
      </w:pPr>
      <w:r>
        <w:rPr>
          <w:rFonts w:hint="default" w:ascii="Times New Roman" w:hAnsi="Times New Roman" w:cs="Times New Roman"/>
          <w:color w:val="auto"/>
          <w:spacing w:val="0"/>
          <w:w w:val="100"/>
          <w:position w:val="0"/>
        </w:rPr>
        <w:t>经过现场调查，评价区域内没有重点保护的文物单位和</w:t>
      </w:r>
      <w:r>
        <w:rPr>
          <w:rFonts w:hint="eastAsia" w:cs="Times New Roman"/>
          <w:color w:val="auto"/>
          <w:spacing w:val="0"/>
          <w:w w:val="100"/>
          <w:position w:val="0"/>
          <w:lang w:eastAsia="zh-CN"/>
        </w:rPr>
        <w:t>珍稀</w:t>
      </w:r>
      <w:r>
        <w:rPr>
          <w:rFonts w:hint="default" w:ascii="Times New Roman" w:hAnsi="Times New Roman" w:cs="Times New Roman"/>
          <w:color w:val="auto"/>
          <w:spacing w:val="0"/>
          <w:w w:val="100"/>
          <w:position w:val="0"/>
        </w:rPr>
        <w:t>动植物资源，项目厂址周围无自然保护区、风景名胜区等敏感点，根据项目周围环境特征及项目工程性质，本项目的环境保护目标详见表</w:t>
      </w:r>
      <w:r>
        <w:rPr>
          <w:rFonts w:hint="default" w:ascii="Times New Roman" w:hAnsi="Times New Roman" w:eastAsia="Times New Roman" w:cs="Times New Roman"/>
          <w:color w:val="auto"/>
          <w:spacing w:val="0"/>
          <w:w w:val="100"/>
          <w:position w:val="0"/>
        </w:rPr>
        <w:t>2.</w:t>
      </w:r>
      <w:r>
        <w:rPr>
          <w:rFonts w:hint="eastAsia" w:ascii="Times New Roman" w:hAnsi="Times New Roman" w:cs="Times New Roman"/>
          <w:color w:val="auto"/>
          <w:spacing w:val="0"/>
          <w:w w:val="100"/>
          <w:position w:val="0"/>
          <w:lang w:val="en-US" w:eastAsia="zh-CN"/>
        </w:rPr>
        <w:t>6</w:t>
      </w:r>
      <w:r>
        <w:rPr>
          <w:rFonts w:hint="default" w:ascii="Times New Roman" w:hAnsi="Times New Roman" w:eastAsia="Times New Roman" w:cs="Times New Roman"/>
          <w:color w:val="auto"/>
          <w:spacing w:val="0"/>
          <w:w w:val="100"/>
          <w:position w:val="0"/>
        </w:rPr>
        <w:t>-1</w:t>
      </w:r>
      <w:r>
        <w:rPr>
          <w:rFonts w:hint="default" w:ascii="Times New Roman" w:hAnsi="Times New Roman" w:cs="Times New Roman"/>
          <w:color w:val="auto"/>
          <w:spacing w:val="0"/>
          <w:w w:val="100"/>
          <w:position w:val="0"/>
        </w:rPr>
        <w:t>。环境保护目标分布见</w:t>
      </w:r>
      <w:r>
        <w:rPr>
          <w:rFonts w:hint="default" w:ascii="Times New Roman" w:hAnsi="Times New Roman" w:cs="Times New Roman"/>
          <w:color w:val="auto"/>
          <w:spacing w:val="0"/>
          <w:w w:val="100"/>
          <w:position w:val="0"/>
          <w:sz w:val="24"/>
        </w:rPr>
        <w:t>图</w:t>
      </w:r>
      <w:r>
        <w:rPr>
          <w:rFonts w:hint="eastAsia" w:cs="Times New Roman"/>
          <w:color w:val="auto"/>
          <w:spacing w:val="0"/>
          <w:w w:val="100"/>
          <w:position w:val="0"/>
          <w:sz w:val="24"/>
          <w:lang w:val="en-US" w:eastAsia="zh-CN"/>
        </w:rPr>
        <w:t>2.6-1</w:t>
      </w:r>
      <w:r>
        <w:rPr>
          <w:rFonts w:hint="default" w:ascii="Times New Roman" w:hAnsi="Times New Roman" w:cs="Times New Roman"/>
          <w:color w:val="auto"/>
          <w:spacing w:val="0"/>
          <w:w w:val="100"/>
          <w:position w:val="0"/>
          <w:sz w:val="28"/>
        </w:rPr>
        <w:t>。</w:t>
      </w:r>
    </w:p>
    <w:p w14:paraId="68506217">
      <w:pPr>
        <w:pStyle w:val="68"/>
        <w:keepNext w:val="0"/>
        <w:keepLines w:val="0"/>
        <w:pageBreakBefore w:val="0"/>
        <w:widowControl w:val="0"/>
        <w:kinsoku/>
        <w:wordWrap/>
        <w:overflowPunct/>
        <w:topLinePunct w:val="0"/>
        <w:autoSpaceDE w:val="0"/>
        <w:autoSpaceDN w:val="0"/>
        <w:bidi w:val="0"/>
        <w:adjustRightInd/>
        <w:snapToGrid/>
        <w:spacing w:before="0" w:beforeLines="30" w:line="240" w:lineRule="auto"/>
        <w:ind w:firstLine="0" w:firstLineChars="0"/>
        <w:textAlignment w:val="auto"/>
        <w:rPr>
          <w:rFonts w:hint="default" w:ascii="Times New Roman" w:hAnsi="Times New Roman" w:cs="Times New Roman"/>
          <w:color w:val="auto"/>
          <w:sz w:val="24"/>
          <w:szCs w:val="22"/>
        </w:rPr>
      </w:pPr>
      <w:r>
        <w:rPr>
          <w:rFonts w:hint="default" w:ascii="Times New Roman" w:hAnsi="Times New Roman" w:cs="Times New Roman"/>
          <w:bCs/>
          <w:color w:val="auto"/>
          <w:sz w:val="24"/>
          <w:szCs w:val="22"/>
        </w:rPr>
        <w:t>表2.</w:t>
      </w:r>
      <w:r>
        <w:rPr>
          <w:rFonts w:hint="eastAsia" w:ascii="Times New Roman" w:hAnsi="Times New Roman" w:cs="Times New Roman"/>
          <w:bCs/>
          <w:color w:val="auto"/>
          <w:sz w:val="24"/>
          <w:szCs w:val="22"/>
          <w:lang w:val="en-US" w:eastAsia="zh-CN"/>
        </w:rPr>
        <w:t>6</w:t>
      </w:r>
      <w:r>
        <w:rPr>
          <w:rFonts w:hint="default" w:ascii="Times New Roman" w:hAnsi="Times New Roman" w:cs="Times New Roman"/>
          <w:bCs/>
          <w:color w:val="auto"/>
          <w:sz w:val="24"/>
          <w:szCs w:val="22"/>
          <w:lang w:val="en-US"/>
        </w:rPr>
        <w:t>-1</w:t>
      </w:r>
      <w:r>
        <w:rPr>
          <w:rFonts w:hint="default" w:ascii="Times New Roman" w:hAnsi="Times New Roman" w:cs="Times New Roman"/>
          <w:bCs/>
          <w:color w:val="auto"/>
          <w:sz w:val="24"/>
          <w:szCs w:val="22"/>
        </w:rPr>
        <w:t xml:space="preserve">  </w:t>
      </w:r>
      <w:r>
        <w:rPr>
          <w:rFonts w:hint="default" w:ascii="Times New Roman" w:hAnsi="Times New Roman" w:cs="Times New Roman"/>
          <w:color w:val="auto"/>
          <w:sz w:val="24"/>
          <w:szCs w:val="22"/>
        </w:rPr>
        <w:t>主要环境保护目标</w:t>
      </w:r>
    </w:p>
    <w:tbl>
      <w:tblPr>
        <w:tblStyle w:val="41"/>
        <w:tblW w:w="946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31"/>
        <w:gridCol w:w="1302"/>
        <w:gridCol w:w="1303"/>
        <w:gridCol w:w="1410"/>
        <w:gridCol w:w="614"/>
        <w:gridCol w:w="645"/>
        <w:gridCol w:w="630"/>
        <w:gridCol w:w="510"/>
        <w:gridCol w:w="615"/>
        <w:gridCol w:w="1800"/>
      </w:tblGrid>
      <w:tr w14:paraId="06D4C8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631" w:type="dxa"/>
            <w:vMerge w:val="restart"/>
            <w:tcBorders>
              <w:tl2br w:val="nil"/>
              <w:tr2bl w:val="nil"/>
            </w:tcBorders>
            <w:vAlign w:val="center"/>
          </w:tcPr>
          <w:p w14:paraId="7D7C7E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b/>
                <w:bCs/>
                <w:color w:val="auto"/>
                <w:spacing w:val="6"/>
                <w:sz w:val="21"/>
                <w:szCs w:val="21"/>
                <w:lang w:eastAsia="zh-CN"/>
              </w:rPr>
              <w:t>环境要素</w:t>
            </w:r>
          </w:p>
        </w:tc>
        <w:tc>
          <w:tcPr>
            <w:tcW w:w="1302" w:type="dxa"/>
            <w:vMerge w:val="restart"/>
            <w:tcBorders>
              <w:tl2br w:val="nil"/>
              <w:tr2bl w:val="nil"/>
            </w:tcBorders>
            <w:vAlign w:val="center"/>
          </w:tcPr>
          <w:p w14:paraId="1C258C1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b/>
                <w:bCs/>
                <w:color w:val="auto"/>
                <w:spacing w:val="-6"/>
                <w:sz w:val="21"/>
                <w:szCs w:val="21"/>
                <w:lang w:eastAsia="zh-CN"/>
              </w:rPr>
              <w:t>保护目标</w:t>
            </w:r>
          </w:p>
        </w:tc>
        <w:tc>
          <w:tcPr>
            <w:tcW w:w="2713" w:type="dxa"/>
            <w:gridSpan w:val="2"/>
            <w:tcBorders>
              <w:tl2br w:val="nil"/>
              <w:tr2bl w:val="nil"/>
            </w:tcBorders>
            <w:vAlign w:val="center"/>
          </w:tcPr>
          <w:p w14:paraId="286C6F6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5"/>
                <w:sz w:val="21"/>
                <w:szCs w:val="21"/>
                <w:lang w:eastAsia="en-US"/>
              </w:rPr>
              <w:t>具体位置</w:t>
            </w:r>
          </w:p>
        </w:tc>
        <w:tc>
          <w:tcPr>
            <w:tcW w:w="614" w:type="dxa"/>
            <w:vMerge w:val="restart"/>
            <w:tcBorders>
              <w:tl2br w:val="nil"/>
              <w:tr2bl w:val="nil"/>
            </w:tcBorders>
            <w:vAlign w:val="center"/>
          </w:tcPr>
          <w:p w14:paraId="64E3238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8"/>
                <w:sz w:val="21"/>
                <w:szCs w:val="21"/>
                <w:lang w:eastAsia="en-US"/>
              </w:rPr>
              <w:t>保护</w:t>
            </w:r>
            <w:r>
              <w:rPr>
                <w:rFonts w:hint="default" w:ascii="Times New Roman" w:hAnsi="Times New Roman" w:cs="Times New Roman"/>
                <w:b/>
                <w:bCs/>
                <w:color w:val="auto"/>
                <w:spacing w:val="-7"/>
                <w:sz w:val="21"/>
                <w:szCs w:val="21"/>
                <w:lang w:eastAsia="en-US"/>
              </w:rPr>
              <w:t>对象</w:t>
            </w:r>
          </w:p>
        </w:tc>
        <w:tc>
          <w:tcPr>
            <w:tcW w:w="645" w:type="dxa"/>
            <w:vMerge w:val="restart"/>
            <w:tcBorders>
              <w:tl2br w:val="nil"/>
              <w:tr2bl w:val="nil"/>
            </w:tcBorders>
            <w:vAlign w:val="center"/>
          </w:tcPr>
          <w:p w14:paraId="79FF25A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8"/>
                <w:sz w:val="21"/>
                <w:szCs w:val="21"/>
                <w:lang w:eastAsia="en-US"/>
              </w:rPr>
              <w:t>保护</w:t>
            </w:r>
            <w:r>
              <w:rPr>
                <w:rFonts w:hint="default" w:ascii="Times New Roman" w:hAnsi="Times New Roman" w:cs="Times New Roman"/>
                <w:b/>
                <w:bCs/>
                <w:color w:val="auto"/>
                <w:sz w:val="21"/>
                <w:szCs w:val="21"/>
                <w:lang w:eastAsia="en-US"/>
              </w:rPr>
              <w:t>内容</w:t>
            </w:r>
          </w:p>
        </w:tc>
        <w:tc>
          <w:tcPr>
            <w:tcW w:w="630" w:type="dxa"/>
            <w:vMerge w:val="restart"/>
            <w:tcBorders>
              <w:tl2br w:val="nil"/>
              <w:tr2bl w:val="nil"/>
            </w:tcBorders>
            <w:vAlign w:val="center"/>
          </w:tcPr>
          <w:p w14:paraId="1E18F9B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z w:val="21"/>
                <w:szCs w:val="21"/>
                <w:lang w:eastAsia="en-US"/>
              </w:rPr>
              <w:t>环境功能区</w:t>
            </w:r>
          </w:p>
        </w:tc>
        <w:tc>
          <w:tcPr>
            <w:tcW w:w="1125" w:type="dxa"/>
            <w:gridSpan w:val="2"/>
            <w:tcBorders>
              <w:bottom w:val="single" w:color="auto" w:sz="4" w:space="0"/>
              <w:tl2br w:val="nil"/>
              <w:tr2bl w:val="nil"/>
            </w:tcBorders>
            <w:vAlign w:val="center"/>
          </w:tcPr>
          <w:p w14:paraId="46C393B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4"/>
                <w:sz w:val="21"/>
                <w:szCs w:val="21"/>
                <w:lang w:eastAsia="en-US"/>
              </w:rPr>
              <w:t>相对厂址</w:t>
            </w:r>
          </w:p>
        </w:tc>
        <w:tc>
          <w:tcPr>
            <w:tcW w:w="1800" w:type="dxa"/>
            <w:vMerge w:val="restart"/>
            <w:tcBorders>
              <w:tl2br w:val="nil"/>
              <w:tr2bl w:val="nil"/>
            </w:tcBorders>
            <w:vAlign w:val="center"/>
          </w:tcPr>
          <w:p w14:paraId="763ED10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b/>
                <w:bCs/>
                <w:color w:val="auto"/>
                <w:spacing w:val="-4"/>
                <w:sz w:val="21"/>
                <w:szCs w:val="21"/>
                <w:lang w:eastAsia="en-US"/>
              </w:rPr>
            </w:pPr>
            <w:r>
              <w:rPr>
                <w:rFonts w:hint="default" w:ascii="Times New Roman" w:hAnsi="Times New Roman" w:cs="Times New Roman"/>
                <w:b/>
                <w:bCs/>
                <w:color w:val="auto"/>
                <w:spacing w:val="-4"/>
                <w:sz w:val="21"/>
                <w:szCs w:val="21"/>
                <w:lang w:eastAsia="en-US"/>
              </w:rPr>
              <w:t>保护要求</w:t>
            </w:r>
          </w:p>
        </w:tc>
      </w:tr>
      <w:tr w14:paraId="181165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2" w:hRule="atLeast"/>
          <w:jc w:val="center"/>
        </w:trPr>
        <w:tc>
          <w:tcPr>
            <w:tcW w:w="631" w:type="dxa"/>
            <w:vMerge w:val="continue"/>
            <w:tcBorders>
              <w:tl2br w:val="nil"/>
              <w:tr2bl w:val="nil"/>
            </w:tcBorders>
            <w:vAlign w:val="center"/>
          </w:tcPr>
          <w:p w14:paraId="47BA39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c>
          <w:tcPr>
            <w:tcW w:w="1302" w:type="dxa"/>
            <w:vMerge w:val="continue"/>
            <w:tcBorders>
              <w:tl2br w:val="nil"/>
              <w:tr2bl w:val="nil"/>
            </w:tcBorders>
            <w:vAlign w:val="center"/>
          </w:tcPr>
          <w:p w14:paraId="59585CAF">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c>
          <w:tcPr>
            <w:tcW w:w="1303" w:type="dxa"/>
            <w:tcBorders>
              <w:tl2br w:val="nil"/>
              <w:tr2bl w:val="nil"/>
            </w:tcBorders>
            <w:vAlign w:val="center"/>
          </w:tcPr>
          <w:p w14:paraId="764C619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5"/>
                <w:sz w:val="21"/>
                <w:szCs w:val="21"/>
                <w:lang w:eastAsia="en-US"/>
              </w:rPr>
              <w:t>经度</w:t>
            </w:r>
          </w:p>
        </w:tc>
        <w:tc>
          <w:tcPr>
            <w:tcW w:w="1410" w:type="dxa"/>
            <w:tcBorders>
              <w:tl2br w:val="nil"/>
              <w:tr2bl w:val="nil"/>
            </w:tcBorders>
            <w:vAlign w:val="center"/>
          </w:tcPr>
          <w:p w14:paraId="42F3E82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5"/>
                <w:sz w:val="21"/>
                <w:szCs w:val="21"/>
                <w:lang w:eastAsia="en-US"/>
              </w:rPr>
              <w:t>纬度</w:t>
            </w:r>
          </w:p>
        </w:tc>
        <w:tc>
          <w:tcPr>
            <w:tcW w:w="614" w:type="dxa"/>
            <w:vMerge w:val="continue"/>
            <w:tcBorders>
              <w:tl2br w:val="nil"/>
              <w:tr2bl w:val="nil"/>
            </w:tcBorders>
            <w:vAlign w:val="center"/>
          </w:tcPr>
          <w:p w14:paraId="57280DD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c>
          <w:tcPr>
            <w:tcW w:w="645" w:type="dxa"/>
            <w:vMerge w:val="continue"/>
            <w:tcBorders>
              <w:tl2br w:val="nil"/>
              <w:tr2bl w:val="nil"/>
            </w:tcBorders>
            <w:vAlign w:val="center"/>
          </w:tcPr>
          <w:p w14:paraId="6FD93FD8">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c>
          <w:tcPr>
            <w:tcW w:w="630" w:type="dxa"/>
            <w:vMerge w:val="continue"/>
            <w:tcBorders>
              <w:tl2br w:val="nil"/>
              <w:tr2bl w:val="nil"/>
            </w:tcBorders>
            <w:vAlign w:val="center"/>
          </w:tcPr>
          <w:p w14:paraId="1EFBC8C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c>
          <w:tcPr>
            <w:tcW w:w="510" w:type="dxa"/>
            <w:tcBorders>
              <w:top w:val="single" w:color="auto" w:sz="4" w:space="0"/>
              <w:right w:val="single" w:color="auto" w:sz="4" w:space="0"/>
              <w:tl2br w:val="nil"/>
              <w:tr2bl w:val="nil"/>
            </w:tcBorders>
            <w:vAlign w:val="center"/>
          </w:tcPr>
          <w:p w14:paraId="0B59A16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6"/>
                <w:sz w:val="21"/>
                <w:szCs w:val="21"/>
                <w:lang w:eastAsia="en-US"/>
              </w:rPr>
              <w:t>位置</w:t>
            </w:r>
          </w:p>
        </w:tc>
        <w:tc>
          <w:tcPr>
            <w:tcW w:w="615" w:type="dxa"/>
            <w:tcBorders>
              <w:top w:val="single" w:color="auto" w:sz="4" w:space="0"/>
              <w:left w:val="single" w:color="auto" w:sz="4" w:space="0"/>
              <w:tl2br w:val="nil"/>
              <w:tr2bl w:val="nil"/>
            </w:tcBorders>
            <w:vAlign w:val="center"/>
          </w:tcPr>
          <w:p w14:paraId="779E2B2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b/>
                <w:bCs/>
                <w:color w:val="auto"/>
                <w:spacing w:val="-5"/>
                <w:sz w:val="21"/>
                <w:szCs w:val="21"/>
                <w:lang w:eastAsia="en-US"/>
              </w:rPr>
              <w:t>距离</w:t>
            </w:r>
          </w:p>
        </w:tc>
        <w:tc>
          <w:tcPr>
            <w:tcW w:w="1800" w:type="dxa"/>
            <w:vMerge w:val="continue"/>
            <w:tcBorders>
              <w:tl2br w:val="nil"/>
              <w:tr2bl w:val="nil"/>
            </w:tcBorders>
            <w:vAlign w:val="center"/>
          </w:tcPr>
          <w:p w14:paraId="2687596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p>
        </w:tc>
      </w:tr>
      <w:tr w14:paraId="4EEDC9E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5" w:hRule="atLeast"/>
          <w:jc w:val="center"/>
        </w:trPr>
        <w:tc>
          <w:tcPr>
            <w:tcW w:w="631" w:type="dxa"/>
            <w:tcBorders>
              <w:tl2br w:val="nil"/>
              <w:tr2bl w:val="nil"/>
            </w:tcBorders>
            <w:vAlign w:val="center"/>
          </w:tcPr>
          <w:p w14:paraId="34B7266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szCs w:val="21"/>
                <w:lang w:eastAsia="zh-CN"/>
              </w:rPr>
            </w:pPr>
            <w:r>
              <w:rPr>
                <w:rFonts w:hint="eastAsia" w:eastAsia="宋体" w:cs="Times New Roman"/>
                <w:color w:val="auto"/>
                <w:sz w:val="21"/>
                <w:szCs w:val="21"/>
                <w:lang w:eastAsia="zh-CN"/>
              </w:rPr>
              <w:t>环境空气</w:t>
            </w:r>
          </w:p>
        </w:tc>
        <w:tc>
          <w:tcPr>
            <w:tcW w:w="1302" w:type="dxa"/>
            <w:tcBorders>
              <w:tl2br w:val="nil"/>
              <w:tr2bl w:val="nil"/>
            </w:tcBorders>
            <w:vAlign w:val="center"/>
          </w:tcPr>
          <w:p w14:paraId="151747E5">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pacing w:val="-3"/>
                <w:sz w:val="21"/>
                <w:szCs w:val="21"/>
                <w:lang w:eastAsia="zh-CN"/>
              </w:rPr>
              <w:t>乌雪特乡</w:t>
            </w:r>
          </w:p>
        </w:tc>
        <w:tc>
          <w:tcPr>
            <w:tcW w:w="1303" w:type="dxa"/>
            <w:tcBorders>
              <w:tl2br w:val="nil"/>
              <w:tr2bl w:val="nil"/>
            </w:tcBorders>
            <w:vAlign w:val="center"/>
          </w:tcPr>
          <w:p w14:paraId="7876EB55">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en-US"/>
              </w:rPr>
            </w:pPr>
            <w:r>
              <w:rPr>
                <w:rFonts w:hint="default" w:ascii="Times New Roman" w:hAnsi="Times New Roman" w:eastAsia="宋体" w:cs="Times New Roman"/>
                <w:color w:val="auto"/>
                <w:sz w:val="21"/>
                <w:szCs w:val="21"/>
                <w:lang w:eastAsia="en-US"/>
              </w:rPr>
              <w:t>8</w:t>
            </w:r>
            <w:r>
              <w:rPr>
                <w:rFonts w:hint="eastAsia" w:cs="Times New Roman"/>
                <w:color w:val="auto"/>
                <w:sz w:val="21"/>
                <w:szCs w:val="21"/>
                <w:lang w:val="en-US" w:eastAsia="zh-CN"/>
              </w:rPr>
              <w:t>3</w:t>
            </w:r>
            <w:r>
              <w:rPr>
                <w:rFonts w:hint="default" w:ascii="Times New Roman" w:hAnsi="Times New Roman" w:eastAsia="宋体" w:cs="Times New Roman"/>
                <w:color w:val="auto"/>
                <w:sz w:val="21"/>
                <w:szCs w:val="21"/>
                <w:lang w:eastAsia="en-US"/>
              </w:rPr>
              <w:t>°5</w:t>
            </w:r>
            <w:r>
              <w:rPr>
                <w:rFonts w:hint="eastAsia" w:cs="Times New Roman"/>
                <w:color w:val="auto"/>
                <w:sz w:val="21"/>
                <w:szCs w:val="21"/>
                <w:lang w:val="en-US" w:eastAsia="zh-CN"/>
              </w:rPr>
              <w:t>8</w:t>
            </w:r>
            <w:r>
              <w:rPr>
                <w:rFonts w:hint="default" w:ascii="Times New Roman" w:hAnsi="Times New Roman" w:eastAsia="宋体" w:cs="Times New Roman"/>
                <w:color w:val="auto"/>
                <w:sz w:val="21"/>
                <w:szCs w:val="21"/>
                <w:lang w:eastAsia="en-US"/>
              </w:rPr>
              <w:t>′</w:t>
            </w:r>
            <w:r>
              <w:rPr>
                <w:rFonts w:hint="eastAsia" w:cs="Times New Roman"/>
                <w:color w:val="auto"/>
                <w:sz w:val="21"/>
                <w:szCs w:val="21"/>
                <w:lang w:val="en-US" w:eastAsia="zh-CN"/>
              </w:rPr>
              <w:t>21.639</w:t>
            </w:r>
            <w:r>
              <w:rPr>
                <w:rFonts w:hint="default" w:ascii="Times New Roman" w:hAnsi="Times New Roman" w:eastAsia="宋体" w:cs="Times New Roman"/>
                <w:color w:val="auto"/>
                <w:sz w:val="21"/>
                <w:szCs w:val="21"/>
                <w:lang w:eastAsia="en-US"/>
              </w:rPr>
              <w:t>″</w:t>
            </w:r>
          </w:p>
        </w:tc>
        <w:tc>
          <w:tcPr>
            <w:tcW w:w="1410" w:type="dxa"/>
            <w:tcBorders>
              <w:tl2br w:val="nil"/>
              <w:tr2bl w:val="nil"/>
            </w:tcBorders>
            <w:vAlign w:val="center"/>
          </w:tcPr>
          <w:p w14:paraId="526226FE">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lang w:eastAsia="en-US"/>
              </w:rPr>
            </w:pPr>
            <w:r>
              <w:rPr>
                <w:rFonts w:hint="default" w:ascii="Times New Roman" w:hAnsi="Times New Roman" w:eastAsia="宋体" w:cs="Times New Roman"/>
                <w:color w:val="auto"/>
                <w:sz w:val="21"/>
                <w:szCs w:val="21"/>
                <w:lang w:eastAsia="en-US"/>
              </w:rPr>
              <w:t>4</w:t>
            </w:r>
            <w:r>
              <w:rPr>
                <w:rFonts w:hint="eastAsia" w:cs="Times New Roman"/>
                <w:color w:val="auto"/>
                <w:sz w:val="21"/>
                <w:szCs w:val="21"/>
                <w:lang w:val="en-US" w:eastAsia="zh-CN"/>
              </w:rPr>
              <w:t>6</w:t>
            </w:r>
            <w:r>
              <w:rPr>
                <w:rFonts w:hint="default" w:ascii="Times New Roman" w:hAnsi="Times New Roman" w:eastAsia="宋体" w:cs="Times New Roman"/>
                <w:color w:val="auto"/>
                <w:sz w:val="21"/>
                <w:szCs w:val="21"/>
                <w:lang w:eastAsia="en-US"/>
              </w:rPr>
              <w:t>°</w:t>
            </w:r>
            <w:r>
              <w:rPr>
                <w:rFonts w:hint="eastAsia" w:cs="Times New Roman"/>
                <w:color w:val="auto"/>
                <w:sz w:val="21"/>
                <w:szCs w:val="21"/>
                <w:lang w:val="en-US" w:eastAsia="zh-CN"/>
              </w:rPr>
              <w:t>5</w:t>
            </w:r>
            <w:r>
              <w:rPr>
                <w:rFonts w:hint="default" w:ascii="Times New Roman" w:hAnsi="Times New Roman" w:eastAsia="宋体" w:cs="Times New Roman"/>
                <w:color w:val="auto"/>
                <w:sz w:val="21"/>
                <w:szCs w:val="21"/>
                <w:lang w:eastAsia="en-US"/>
              </w:rPr>
              <w:t>′</w:t>
            </w:r>
            <w:r>
              <w:rPr>
                <w:rFonts w:hint="eastAsia" w:cs="Times New Roman"/>
                <w:color w:val="auto"/>
                <w:sz w:val="21"/>
                <w:szCs w:val="21"/>
                <w:lang w:val="en-US" w:eastAsia="zh-CN"/>
              </w:rPr>
              <w:t>21.194</w:t>
            </w:r>
            <w:r>
              <w:rPr>
                <w:rFonts w:hint="default" w:ascii="Times New Roman" w:hAnsi="Times New Roman" w:eastAsia="宋体" w:cs="Times New Roman"/>
                <w:color w:val="auto"/>
                <w:sz w:val="21"/>
                <w:szCs w:val="21"/>
                <w:lang w:eastAsia="en-US"/>
              </w:rPr>
              <w:t>″</w:t>
            </w:r>
          </w:p>
        </w:tc>
        <w:tc>
          <w:tcPr>
            <w:tcW w:w="614" w:type="dxa"/>
            <w:tcBorders>
              <w:tl2br w:val="nil"/>
              <w:tr2bl w:val="nil"/>
            </w:tcBorders>
            <w:vAlign w:val="center"/>
          </w:tcPr>
          <w:p w14:paraId="0E2AD483">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5"/>
                <w:sz w:val="21"/>
                <w:szCs w:val="21"/>
                <w:lang w:eastAsia="en-US"/>
              </w:rPr>
              <w:t>村庄</w:t>
            </w:r>
          </w:p>
        </w:tc>
        <w:tc>
          <w:tcPr>
            <w:tcW w:w="645" w:type="dxa"/>
            <w:tcBorders>
              <w:tl2br w:val="nil"/>
              <w:tr2bl w:val="nil"/>
            </w:tcBorders>
            <w:vAlign w:val="center"/>
          </w:tcPr>
          <w:p w14:paraId="392898C6">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3"/>
                <w:sz w:val="21"/>
                <w:szCs w:val="21"/>
                <w:lang w:eastAsia="en-US"/>
              </w:rPr>
              <w:t>人群</w:t>
            </w:r>
          </w:p>
        </w:tc>
        <w:tc>
          <w:tcPr>
            <w:tcW w:w="630" w:type="dxa"/>
            <w:tcBorders>
              <w:tl2br w:val="nil"/>
              <w:tr2bl w:val="nil"/>
            </w:tcBorders>
            <w:vAlign w:val="center"/>
          </w:tcPr>
          <w:p w14:paraId="04E613DF">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1"/>
                <w:sz w:val="21"/>
                <w:szCs w:val="21"/>
                <w:lang w:eastAsia="en-US"/>
              </w:rPr>
              <w:t>二类</w:t>
            </w:r>
          </w:p>
        </w:tc>
        <w:tc>
          <w:tcPr>
            <w:tcW w:w="510" w:type="dxa"/>
            <w:tcBorders>
              <w:tl2br w:val="nil"/>
              <w:tr2bl w:val="nil"/>
            </w:tcBorders>
            <w:vAlign w:val="center"/>
          </w:tcPr>
          <w:p w14:paraId="3E800684">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lang w:eastAsia="zh-CN"/>
              </w:rPr>
            </w:pPr>
            <w:r>
              <w:rPr>
                <w:rFonts w:hint="eastAsia" w:cs="Times New Roman"/>
                <w:color w:val="auto"/>
                <w:sz w:val="21"/>
                <w:szCs w:val="21"/>
                <w:lang w:eastAsia="zh-CN"/>
              </w:rPr>
              <w:t>南</w:t>
            </w:r>
          </w:p>
        </w:tc>
        <w:tc>
          <w:tcPr>
            <w:tcW w:w="615" w:type="dxa"/>
            <w:tcBorders>
              <w:tl2br w:val="nil"/>
              <w:tr2bl w:val="nil"/>
            </w:tcBorders>
            <w:vAlign w:val="center"/>
          </w:tcPr>
          <w:p w14:paraId="10D0387F">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default" w:ascii="Times New Roman" w:hAnsi="Times New Roman" w:cs="Times New Roman"/>
                <w:color w:val="auto"/>
                <w:sz w:val="21"/>
                <w:szCs w:val="21"/>
                <w:lang w:eastAsia="en-US"/>
              </w:rPr>
            </w:pPr>
            <w:r>
              <w:rPr>
                <w:rFonts w:hint="eastAsia" w:cs="Times New Roman"/>
                <w:color w:val="auto"/>
                <w:spacing w:val="-4"/>
                <w:sz w:val="21"/>
                <w:szCs w:val="21"/>
                <w:lang w:val="en-US" w:eastAsia="zh-CN"/>
              </w:rPr>
              <w:t>1400</w:t>
            </w:r>
            <w:r>
              <w:rPr>
                <w:rFonts w:hint="default" w:ascii="Times New Roman" w:hAnsi="Times New Roman" w:cs="Times New Roman"/>
                <w:color w:val="auto"/>
                <w:spacing w:val="-4"/>
                <w:sz w:val="21"/>
                <w:szCs w:val="21"/>
                <w:lang w:eastAsia="en-US"/>
              </w:rPr>
              <w:t>m</w:t>
            </w:r>
          </w:p>
        </w:tc>
        <w:tc>
          <w:tcPr>
            <w:tcW w:w="1800" w:type="dxa"/>
            <w:tcBorders>
              <w:tl2br w:val="nil"/>
              <w:tr2bl w:val="nil"/>
            </w:tcBorders>
            <w:vAlign w:val="center"/>
          </w:tcPr>
          <w:p w14:paraId="2C91978E">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4"/>
                <w:sz w:val="21"/>
                <w:szCs w:val="21"/>
                <w:lang w:eastAsia="zh-CN"/>
              </w:rPr>
            </w:pPr>
            <w:r>
              <w:rPr>
                <w:rFonts w:hint="default" w:ascii="Times New Roman" w:hAnsi="Times New Roman" w:cs="Times New Roman"/>
                <w:color w:val="auto"/>
                <w:spacing w:val="-4"/>
                <w:sz w:val="21"/>
                <w:szCs w:val="21"/>
                <w:lang w:eastAsia="en-US"/>
              </w:rPr>
              <w:t>《环境空气质量标准》GB3095-2012二级</w:t>
            </w:r>
            <w:r>
              <w:rPr>
                <w:rFonts w:hint="eastAsia" w:cs="Times New Roman"/>
                <w:color w:val="auto"/>
                <w:spacing w:val="-4"/>
                <w:sz w:val="21"/>
                <w:szCs w:val="21"/>
                <w:lang w:eastAsia="zh-CN"/>
              </w:rPr>
              <w:t>及其修改单</w:t>
            </w:r>
          </w:p>
        </w:tc>
      </w:tr>
      <w:tr w14:paraId="3D0BCF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8" w:hRule="atLeast"/>
          <w:jc w:val="center"/>
        </w:trPr>
        <w:tc>
          <w:tcPr>
            <w:tcW w:w="1933" w:type="dxa"/>
            <w:gridSpan w:val="2"/>
            <w:tcBorders>
              <w:tl2br w:val="nil"/>
              <w:tr2bl w:val="nil"/>
            </w:tcBorders>
            <w:shd w:val="clear" w:color="auto" w:fill="auto"/>
            <w:vAlign w:val="center"/>
          </w:tcPr>
          <w:p w14:paraId="74DD477F">
            <w:pPr>
              <w:overflowPunct/>
              <w:autoSpaceDE/>
              <w:autoSpaceDN/>
              <w:spacing w:line="240" w:lineRule="auto"/>
              <w:ind w:left="0" w:leftChars="0" w:right="0" w:rightChars="0" w:firstLine="0" w:firstLineChars="0"/>
              <w:jc w:val="center"/>
              <w:rPr>
                <w:rFonts w:hint="eastAsia" w:ascii="Times New Roman" w:hAnsi="Times New Roman" w:eastAsia="宋体" w:cs="宋体"/>
                <w:color w:val="auto"/>
                <w:sz w:val="21"/>
                <w:szCs w:val="21"/>
                <w:lang w:val="zh-CN" w:eastAsia="zh-CN" w:bidi="zh-CN"/>
              </w:rPr>
            </w:pPr>
            <w:r>
              <w:rPr>
                <w:color w:val="auto"/>
                <w:sz w:val="21"/>
                <w:szCs w:val="21"/>
              </w:rPr>
              <w:t>声环境</w:t>
            </w:r>
          </w:p>
        </w:tc>
        <w:tc>
          <w:tcPr>
            <w:tcW w:w="5727" w:type="dxa"/>
            <w:gridSpan w:val="7"/>
            <w:tcBorders>
              <w:tl2br w:val="nil"/>
              <w:tr2bl w:val="nil"/>
            </w:tcBorders>
            <w:shd w:val="clear" w:color="auto" w:fill="auto"/>
            <w:vAlign w:val="center"/>
          </w:tcPr>
          <w:p w14:paraId="744534F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cs="Times New Roman"/>
                <w:color w:val="auto"/>
                <w:spacing w:val="-4"/>
                <w:sz w:val="21"/>
                <w:szCs w:val="21"/>
                <w:lang w:val="en-US" w:eastAsia="zh-CN"/>
              </w:rPr>
            </w:pPr>
            <w:r>
              <w:rPr>
                <w:color w:val="auto"/>
                <w:sz w:val="21"/>
                <w:szCs w:val="21"/>
              </w:rPr>
              <w:t>厂址附近200m范围内无声环境敏感目标</w:t>
            </w:r>
          </w:p>
        </w:tc>
        <w:tc>
          <w:tcPr>
            <w:tcW w:w="1800" w:type="dxa"/>
            <w:tcBorders>
              <w:tl2br w:val="nil"/>
              <w:tr2bl w:val="nil"/>
            </w:tcBorders>
            <w:vAlign w:val="center"/>
          </w:tcPr>
          <w:p w14:paraId="3707D95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pacing w:val="-4"/>
                <w:sz w:val="21"/>
                <w:szCs w:val="21"/>
                <w:lang w:val="en-US" w:eastAsia="zh-CN"/>
              </w:rPr>
            </w:pPr>
            <w:r>
              <w:rPr>
                <w:rFonts w:hint="eastAsia" w:cs="Times New Roman"/>
                <w:color w:val="auto"/>
                <w:spacing w:val="-4"/>
                <w:sz w:val="21"/>
                <w:szCs w:val="21"/>
                <w:lang w:val="en-US" w:eastAsia="zh-CN"/>
              </w:rPr>
              <w:t>/</w:t>
            </w:r>
          </w:p>
        </w:tc>
      </w:tr>
      <w:tr w14:paraId="54AF91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933" w:type="dxa"/>
            <w:gridSpan w:val="2"/>
            <w:tcBorders>
              <w:tl2br w:val="nil"/>
              <w:tr2bl w:val="nil"/>
            </w:tcBorders>
            <w:vAlign w:val="center"/>
          </w:tcPr>
          <w:p w14:paraId="0B81C06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eastAsia" w:cs="Times New Roman"/>
                <w:color w:val="auto"/>
                <w:sz w:val="21"/>
                <w:szCs w:val="21"/>
                <w:lang w:val="en-US" w:eastAsia="zh-CN"/>
              </w:rPr>
              <w:t>地下水环境</w:t>
            </w:r>
          </w:p>
        </w:tc>
        <w:tc>
          <w:tcPr>
            <w:tcW w:w="2713" w:type="dxa"/>
            <w:gridSpan w:val="2"/>
            <w:tcBorders>
              <w:tl2br w:val="nil"/>
              <w:tr2bl w:val="nil"/>
            </w:tcBorders>
            <w:vAlign w:val="center"/>
          </w:tcPr>
          <w:p w14:paraId="459EA36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z w:val="21"/>
                <w:szCs w:val="21"/>
                <w:lang w:eastAsia="en-US"/>
              </w:rPr>
              <w:t>项目区</w:t>
            </w:r>
          </w:p>
        </w:tc>
        <w:tc>
          <w:tcPr>
            <w:tcW w:w="614" w:type="dxa"/>
            <w:tcBorders>
              <w:tl2br w:val="nil"/>
              <w:tr2bl w:val="nil"/>
            </w:tcBorders>
            <w:vAlign w:val="center"/>
          </w:tcPr>
          <w:p w14:paraId="678920C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z w:val="21"/>
                <w:szCs w:val="21"/>
                <w:lang w:eastAsia="en-US"/>
              </w:rPr>
              <w:t>潜水含水层</w:t>
            </w:r>
          </w:p>
        </w:tc>
        <w:tc>
          <w:tcPr>
            <w:tcW w:w="645" w:type="dxa"/>
            <w:tcBorders>
              <w:tl2br w:val="nil"/>
              <w:tr2bl w:val="nil"/>
            </w:tcBorders>
            <w:vAlign w:val="center"/>
          </w:tcPr>
          <w:p w14:paraId="693A781D">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z w:val="21"/>
                <w:szCs w:val="21"/>
                <w:lang w:eastAsia="en-US"/>
              </w:rPr>
            </w:pPr>
            <w:r>
              <w:rPr>
                <w:rFonts w:hint="default" w:ascii="Times New Roman" w:hAnsi="Times New Roman" w:cs="Times New Roman"/>
                <w:color w:val="auto"/>
                <w:spacing w:val="4"/>
                <w:sz w:val="21"/>
                <w:szCs w:val="21"/>
                <w:lang w:eastAsia="en-US"/>
              </w:rPr>
              <w:t>项目区范围</w:t>
            </w:r>
            <w:r>
              <w:rPr>
                <w:rFonts w:hint="default" w:ascii="Times New Roman" w:hAnsi="Times New Roman" w:cs="Times New Roman"/>
                <w:color w:val="auto"/>
                <w:sz w:val="21"/>
                <w:szCs w:val="21"/>
                <w:lang w:eastAsia="en-US"/>
              </w:rPr>
              <w:t>内</w:t>
            </w:r>
          </w:p>
        </w:tc>
        <w:tc>
          <w:tcPr>
            <w:tcW w:w="630" w:type="dxa"/>
            <w:tcBorders>
              <w:tl2br w:val="nil"/>
              <w:tr2bl w:val="nil"/>
            </w:tcBorders>
            <w:vAlign w:val="center"/>
          </w:tcPr>
          <w:p w14:paraId="5F4BDB7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三类</w:t>
            </w:r>
          </w:p>
        </w:tc>
        <w:tc>
          <w:tcPr>
            <w:tcW w:w="1125" w:type="dxa"/>
            <w:gridSpan w:val="2"/>
            <w:tcBorders>
              <w:tl2br w:val="nil"/>
              <w:tr2bl w:val="nil"/>
            </w:tcBorders>
            <w:vAlign w:val="center"/>
          </w:tcPr>
          <w:p w14:paraId="43C47CB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w:t>
            </w:r>
          </w:p>
        </w:tc>
        <w:tc>
          <w:tcPr>
            <w:tcW w:w="1800" w:type="dxa"/>
            <w:tcBorders>
              <w:tl2br w:val="nil"/>
              <w:tr2bl w:val="nil"/>
            </w:tcBorders>
            <w:vAlign w:val="center"/>
          </w:tcPr>
          <w:p w14:paraId="0286C34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4"/>
                <w:sz w:val="21"/>
                <w:szCs w:val="21"/>
                <w:lang w:eastAsia="en-US"/>
              </w:rPr>
            </w:pPr>
            <w:r>
              <w:rPr>
                <w:rFonts w:hint="default" w:ascii="Times New Roman" w:hAnsi="Times New Roman" w:cs="Times New Roman"/>
                <w:color w:val="auto"/>
                <w:spacing w:val="-4"/>
                <w:sz w:val="21"/>
                <w:szCs w:val="21"/>
                <w:lang w:eastAsia="en-US"/>
              </w:rPr>
              <w:t>《地下水质量标准》（GB/T14848-2017）Ⅲ类标准</w:t>
            </w:r>
          </w:p>
        </w:tc>
      </w:tr>
      <w:tr w14:paraId="3F287F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933" w:type="dxa"/>
            <w:gridSpan w:val="2"/>
            <w:vMerge w:val="restart"/>
            <w:tcBorders>
              <w:tl2br w:val="nil"/>
              <w:tr2bl w:val="nil"/>
            </w:tcBorders>
            <w:vAlign w:val="center"/>
          </w:tcPr>
          <w:p w14:paraId="55349EC0">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3"/>
                <w:sz w:val="21"/>
                <w:szCs w:val="21"/>
                <w:lang w:eastAsia="en-US"/>
              </w:rPr>
            </w:pPr>
            <w:r>
              <w:rPr>
                <w:rFonts w:hint="default" w:ascii="Times New Roman" w:hAnsi="Times New Roman" w:cs="Times New Roman"/>
                <w:color w:val="auto"/>
                <w:spacing w:val="-3"/>
                <w:sz w:val="21"/>
                <w:szCs w:val="21"/>
                <w:lang w:eastAsia="en-US"/>
              </w:rPr>
              <w:t>土壤</w:t>
            </w:r>
          </w:p>
        </w:tc>
        <w:tc>
          <w:tcPr>
            <w:tcW w:w="2713" w:type="dxa"/>
            <w:gridSpan w:val="2"/>
            <w:tcBorders>
              <w:tl2br w:val="nil"/>
              <w:tr2bl w:val="nil"/>
            </w:tcBorders>
            <w:vAlign w:val="center"/>
          </w:tcPr>
          <w:p w14:paraId="5CE1460C">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position w:val="1"/>
                <w:sz w:val="21"/>
                <w:szCs w:val="21"/>
                <w:lang w:eastAsia="en-US"/>
              </w:rPr>
            </w:pPr>
            <w:r>
              <w:rPr>
                <w:rFonts w:hint="default" w:ascii="Times New Roman" w:hAnsi="Times New Roman" w:cs="Times New Roman"/>
                <w:color w:val="auto"/>
                <w:spacing w:val="-2"/>
                <w:position w:val="1"/>
                <w:sz w:val="21"/>
                <w:szCs w:val="21"/>
                <w:lang w:eastAsia="en-US"/>
              </w:rPr>
              <w:t>项目区</w:t>
            </w:r>
          </w:p>
        </w:tc>
        <w:tc>
          <w:tcPr>
            <w:tcW w:w="1259" w:type="dxa"/>
            <w:gridSpan w:val="2"/>
            <w:tcBorders>
              <w:tl2br w:val="nil"/>
              <w:tr2bl w:val="nil"/>
            </w:tcBorders>
            <w:vAlign w:val="center"/>
          </w:tcPr>
          <w:p w14:paraId="301882EA">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3"/>
                <w:sz w:val="21"/>
                <w:szCs w:val="21"/>
                <w:lang w:eastAsia="en-US"/>
              </w:rPr>
            </w:pPr>
            <w:r>
              <w:rPr>
                <w:rFonts w:hint="default" w:ascii="Times New Roman" w:hAnsi="Times New Roman" w:cs="Times New Roman"/>
                <w:color w:val="auto"/>
                <w:spacing w:val="7"/>
                <w:sz w:val="21"/>
                <w:szCs w:val="21"/>
                <w:lang w:eastAsia="en-US"/>
              </w:rPr>
              <w:t>建设用地</w:t>
            </w:r>
          </w:p>
        </w:tc>
        <w:tc>
          <w:tcPr>
            <w:tcW w:w="630" w:type="dxa"/>
            <w:tcBorders>
              <w:tl2br w:val="nil"/>
              <w:tr2bl w:val="nil"/>
            </w:tcBorders>
            <w:vAlign w:val="center"/>
          </w:tcPr>
          <w:p w14:paraId="33881557">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w:t>
            </w:r>
          </w:p>
        </w:tc>
        <w:tc>
          <w:tcPr>
            <w:tcW w:w="1125" w:type="dxa"/>
            <w:gridSpan w:val="2"/>
            <w:tcBorders>
              <w:tl2br w:val="nil"/>
              <w:tr2bl w:val="nil"/>
            </w:tcBorders>
            <w:vAlign w:val="center"/>
          </w:tcPr>
          <w:p w14:paraId="0D4E7833">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w:t>
            </w:r>
          </w:p>
        </w:tc>
        <w:tc>
          <w:tcPr>
            <w:tcW w:w="1800" w:type="dxa"/>
            <w:tcBorders>
              <w:tl2br w:val="nil"/>
              <w:tr2bl w:val="nil"/>
            </w:tcBorders>
            <w:vAlign w:val="center"/>
          </w:tcPr>
          <w:p w14:paraId="5B96130B">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4"/>
                <w:sz w:val="21"/>
                <w:szCs w:val="21"/>
                <w:lang w:eastAsia="en-US"/>
              </w:rPr>
            </w:pPr>
            <w:r>
              <w:rPr>
                <w:rFonts w:hint="default" w:ascii="Times New Roman" w:hAnsi="Times New Roman" w:cs="Times New Roman"/>
                <w:color w:val="auto"/>
                <w:spacing w:val="-4"/>
                <w:sz w:val="21"/>
                <w:szCs w:val="21"/>
                <w:lang w:eastAsia="en-US"/>
              </w:rPr>
              <w:t>《土壤环境质量 建设用地土壤污染风险管控标准（试行）》（GB36600-2018）表1中第二类用地筛选值标准</w:t>
            </w:r>
          </w:p>
        </w:tc>
      </w:tr>
      <w:tr w14:paraId="4999B8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933" w:type="dxa"/>
            <w:gridSpan w:val="2"/>
            <w:vMerge w:val="continue"/>
            <w:tcBorders>
              <w:tl2br w:val="nil"/>
              <w:tr2bl w:val="nil"/>
            </w:tcBorders>
            <w:vAlign w:val="center"/>
          </w:tcPr>
          <w:p w14:paraId="2C95F832">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3"/>
                <w:sz w:val="21"/>
                <w:szCs w:val="21"/>
                <w:lang w:eastAsia="en-US"/>
              </w:rPr>
            </w:pPr>
          </w:p>
        </w:tc>
        <w:tc>
          <w:tcPr>
            <w:tcW w:w="2713" w:type="dxa"/>
            <w:gridSpan w:val="2"/>
            <w:tcBorders>
              <w:tl2br w:val="nil"/>
              <w:tr2bl w:val="nil"/>
            </w:tcBorders>
            <w:vAlign w:val="center"/>
          </w:tcPr>
          <w:p w14:paraId="36F1BDD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eastAsia="宋体" w:cs="Times New Roman"/>
                <w:color w:val="auto"/>
                <w:spacing w:val="-2"/>
                <w:position w:val="1"/>
                <w:sz w:val="21"/>
                <w:szCs w:val="21"/>
                <w:lang w:val="en-US" w:eastAsia="zh-CN"/>
              </w:rPr>
            </w:pPr>
            <w:r>
              <w:rPr>
                <w:rFonts w:hint="eastAsia" w:cs="Times New Roman"/>
                <w:color w:val="auto"/>
                <w:spacing w:val="-2"/>
                <w:position w:val="1"/>
                <w:sz w:val="21"/>
                <w:szCs w:val="21"/>
                <w:lang w:eastAsia="zh-CN"/>
              </w:rPr>
              <w:t>周边</w:t>
            </w:r>
            <w:r>
              <w:rPr>
                <w:rFonts w:hint="eastAsia" w:cs="Times New Roman"/>
                <w:color w:val="auto"/>
                <w:spacing w:val="-2"/>
                <w:position w:val="1"/>
                <w:sz w:val="21"/>
                <w:szCs w:val="21"/>
                <w:lang w:val="en-US" w:eastAsia="zh-CN"/>
              </w:rPr>
              <w:t>200m</w:t>
            </w:r>
          </w:p>
        </w:tc>
        <w:tc>
          <w:tcPr>
            <w:tcW w:w="1259" w:type="dxa"/>
            <w:gridSpan w:val="2"/>
            <w:tcBorders>
              <w:tl2br w:val="nil"/>
              <w:tr2bl w:val="nil"/>
            </w:tcBorders>
            <w:vAlign w:val="center"/>
          </w:tcPr>
          <w:p w14:paraId="3C6756B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3"/>
                <w:sz w:val="21"/>
                <w:szCs w:val="21"/>
                <w:lang w:eastAsia="en-US"/>
              </w:rPr>
            </w:pPr>
            <w:r>
              <w:rPr>
                <w:rFonts w:hint="eastAsia" w:cs="Times New Roman"/>
                <w:color w:val="auto"/>
                <w:spacing w:val="7"/>
                <w:sz w:val="21"/>
                <w:szCs w:val="21"/>
                <w:lang w:eastAsia="zh-CN"/>
              </w:rPr>
              <w:t>一般</w:t>
            </w:r>
            <w:r>
              <w:rPr>
                <w:rFonts w:hint="default" w:ascii="Times New Roman" w:hAnsi="Times New Roman" w:cs="Times New Roman"/>
                <w:color w:val="auto"/>
                <w:spacing w:val="7"/>
                <w:sz w:val="21"/>
                <w:szCs w:val="21"/>
                <w:lang w:eastAsia="en-US"/>
              </w:rPr>
              <w:t>农田</w:t>
            </w:r>
          </w:p>
        </w:tc>
        <w:tc>
          <w:tcPr>
            <w:tcW w:w="630" w:type="dxa"/>
            <w:tcBorders>
              <w:tl2br w:val="nil"/>
              <w:tr2bl w:val="nil"/>
            </w:tcBorders>
            <w:vAlign w:val="center"/>
          </w:tcPr>
          <w:p w14:paraId="61DFCB5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w:t>
            </w:r>
          </w:p>
        </w:tc>
        <w:tc>
          <w:tcPr>
            <w:tcW w:w="1125" w:type="dxa"/>
            <w:gridSpan w:val="2"/>
            <w:tcBorders>
              <w:tl2br w:val="nil"/>
              <w:tr2bl w:val="nil"/>
            </w:tcBorders>
            <w:vAlign w:val="center"/>
          </w:tcPr>
          <w:p w14:paraId="11C4214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rFonts w:hint="default" w:ascii="Times New Roman" w:hAnsi="Times New Roman" w:cs="Times New Roman"/>
                <w:color w:val="auto"/>
                <w:spacing w:val="-2"/>
                <w:sz w:val="21"/>
                <w:szCs w:val="21"/>
                <w:lang w:eastAsia="en-US"/>
              </w:rPr>
              <w:t>/</w:t>
            </w:r>
          </w:p>
        </w:tc>
        <w:tc>
          <w:tcPr>
            <w:tcW w:w="1800" w:type="dxa"/>
            <w:tcBorders>
              <w:tl2br w:val="nil"/>
              <w:tr2bl w:val="nil"/>
            </w:tcBorders>
            <w:vAlign w:val="center"/>
          </w:tcPr>
          <w:p w14:paraId="634AF989">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4"/>
                <w:sz w:val="21"/>
                <w:szCs w:val="21"/>
                <w:lang w:eastAsia="en-US"/>
              </w:rPr>
            </w:pPr>
            <w:r>
              <w:rPr>
                <w:color w:val="auto"/>
                <w:sz w:val="21"/>
                <w:szCs w:val="21"/>
              </w:rPr>
              <w:t>《土壤环境质量 农用地土壤污染风险管控标准（试行）》（GB 15618-2018）中的筛选值标准</w:t>
            </w:r>
          </w:p>
        </w:tc>
      </w:tr>
      <w:tr w14:paraId="4A6392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4" w:hRule="atLeast"/>
          <w:jc w:val="center"/>
        </w:trPr>
        <w:tc>
          <w:tcPr>
            <w:tcW w:w="1933" w:type="dxa"/>
            <w:gridSpan w:val="2"/>
            <w:tcBorders>
              <w:tl2br w:val="nil"/>
              <w:tr2bl w:val="nil"/>
            </w:tcBorders>
            <w:shd w:val="clear" w:color="auto" w:fill="auto"/>
            <w:vAlign w:val="center"/>
          </w:tcPr>
          <w:p w14:paraId="0D409BF3">
            <w:pPr>
              <w:overflowPunct/>
              <w:autoSpaceDE/>
              <w:autoSpaceDN/>
              <w:spacing w:line="240" w:lineRule="auto"/>
              <w:ind w:left="0" w:leftChars="0" w:right="0" w:rightChars="0" w:firstLine="0" w:firstLineChars="0"/>
              <w:jc w:val="center"/>
              <w:rPr>
                <w:rFonts w:hint="default" w:ascii="Times New Roman" w:hAnsi="Times New Roman" w:eastAsia="宋体" w:cs="宋体"/>
                <w:color w:val="auto"/>
                <w:sz w:val="21"/>
                <w:szCs w:val="21"/>
                <w:lang w:val="zh-CN" w:eastAsia="en-US" w:bidi="zh-CN"/>
              </w:rPr>
            </w:pPr>
            <w:r>
              <w:rPr>
                <w:color w:val="auto"/>
                <w:sz w:val="21"/>
                <w:szCs w:val="21"/>
              </w:rPr>
              <w:t>生态环境</w:t>
            </w:r>
          </w:p>
        </w:tc>
        <w:tc>
          <w:tcPr>
            <w:tcW w:w="5727" w:type="dxa"/>
            <w:gridSpan w:val="7"/>
            <w:tcBorders>
              <w:tl2br w:val="nil"/>
              <w:tr2bl w:val="nil"/>
            </w:tcBorders>
            <w:shd w:val="clear" w:color="auto" w:fill="auto"/>
            <w:vAlign w:val="center"/>
          </w:tcPr>
          <w:p w14:paraId="3C4B6E06">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2"/>
                <w:sz w:val="21"/>
                <w:szCs w:val="21"/>
                <w:lang w:eastAsia="en-US"/>
              </w:rPr>
            </w:pPr>
            <w:r>
              <w:rPr>
                <w:color w:val="auto"/>
                <w:sz w:val="21"/>
                <w:szCs w:val="21"/>
              </w:rPr>
              <w:t>项目区植被、野生动物</w:t>
            </w:r>
          </w:p>
        </w:tc>
        <w:tc>
          <w:tcPr>
            <w:tcW w:w="1800" w:type="dxa"/>
            <w:tcBorders>
              <w:tl2br w:val="nil"/>
              <w:tr2bl w:val="nil"/>
            </w:tcBorders>
            <w:vAlign w:val="center"/>
          </w:tcPr>
          <w:p w14:paraId="3B5C8245">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default" w:ascii="Times New Roman" w:hAnsi="Times New Roman" w:cs="Times New Roman"/>
                <w:color w:val="auto"/>
                <w:spacing w:val="-4"/>
                <w:sz w:val="21"/>
                <w:szCs w:val="21"/>
                <w:lang w:eastAsia="en-US"/>
              </w:rPr>
            </w:pPr>
            <w:r>
              <w:rPr>
                <w:color w:val="auto"/>
                <w:sz w:val="21"/>
                <w:szCs w:val="21"/>
              </w:rPr>
              <w:t>生态不恶化，不使水土流失加重</w:t>
            </w:r>
          </w:p>
        </w:tc>
      </w:tr>
    </w:tbl>
    <w:p w14:paraId="17B540DC">
      <w:pPr>
        <w:rPr>
          <w:rFonts w:hint="default"/>
          <w:color w:val="auto"/>
        </w:rPr>
        <w:sectPr>
          <w:headerReference r:id="rId7" w:type="default"/>
          <w:footerReference r:id="rId8" w:type="default"/>
          <w:pgSz w:w="11910" w:h="16840"/>
          <w:pgMar w:top="1587" w:right="1587" w:bottom="1587" w:left="1587" w:header="897" w:footer="1185" w:gutter="0"/>
          <w:pgBorders>
            <w:top w:val="none" w:sz="0" w:space="0"/>
            <w:left w:val="none" w:sz="0" w:space="0"/>
            <w:bottom w:val="none" w:sz="0" w:space="0"/>
            <w:right w:val="none" w:sz="0" w:space="0"/>
          </w:pgBorders>
          <w:pgNumType w:fmt="decimal"/>
          <w:cols w:space="720" w:num="1"/>
        </w:sectPr>
      </w:pPr>
    </w:p>
    <w:p w14:paraId="13D2FE43">
      <w:pPr>
        <w:pStyle w:val="3"/>
        <w:pageBreakBefore w:val="0"/>
        <w:kinsoku/>
        <w:wordWrap/>
        <w:overflowPunct/>
        <w:topLinePunct w:val="0"/>
        <w:bidi w:val="0"/>
        <w:rPr>
          <w:color w:val="auto"/>
          <w:spacing w:val="0"/>
          <w:w w:val="100"/>
          <w:position w:val="0"/>
        </w:rPr>
      </w:pPr>
      <w:bookmarkStart w:id="101" w:name="_bookmark14"/>
      <w:bookmarkEnd w:id="101"/>
      <w:bookmarkStart w:id="102" w:name="3 建设项目工程概况"/>
      <w:bookmarkEnd w:id="102"/>
      <w:bookmarkStart w:id="103" w:name="_Toc21673"/>
      <w:bookmarkStart w:id="104" w:name="_Toc28125"/>
      <w:bookmarkStart w:id="105" w:name="_Toc13484"/>
      <w:r>
        <w:rPr>
          <w:rFonts w:hint="default" w:ascii="Times New Roman" w:hAnsi="Times New Roman" w:cs="Times New Roman"/>
          <w:color w:val="auto"/>
          <w:spacing w:val="0"/>
          <w:w w:val="100"/>
          <w:position w:val="0"/>
          <w:lang w:val="en-US" w:eastAsia="zh-CN"/>
        </w:rPr>
        <w:t>3</w:t>
      </w:r>
      <w:r>
        <w:rPr>
          <w:rFonts w:hint="default" w:ascii="Times New Roman" w:hAnsi="Times New Roman" w:cs="Times New Roman"/>
          <w:color w:val="auto"/>
          <w:spacing w:val="0"/>
          <w:w w:val="100"/>
          <w:position w:val="0"/>
        </w:rPr>
        <w:t>建设项目工程概况</w:t>
      </w:r>
      <w:bookmarkEnd w:id="103"/>
      <w:bookmarkEnd w:id="104"/>
      <w:bookmarkEnd w:id="105"/>
    </w:p>
    <w:p w14:paraId="17E0F2C8">
      <w:pPr>
        <w:pStyle w:val="4"/>
        <w:pageBreakBefore w:val="0"/>
        <w:kinsoku/>
        <w:wordWrap/>
        <w:overflowPunct/>
        <w:topLinePunct w:val="0"/>
        <w:bidi w:val="0"/>
        <w:rPr>
          <w:rFonts w:hint="default" w:ascii="Times New Roman" w:hAnsi="Times New Roman" w:cs="Times New Roman"/>
          <w:color w:val="auto"/>
          <w:spacing w:val="0"/>
          <w:w w:val="100"/>
          <w:position w:val="0"/>
          <w:highlight w:val="none"/>
        </w:rPr>
      </w:pPr>
      <w:bookmarkStart w:id="106" w:name="_bookmark15"/>
      <w:bookmarkEnd w:id="106"/>
      <w:bookmarkStart w:id="107" w:name="3.1项目概况"/>
      <w:bookmarkEnd w:id="107"/>
      <w:bookmarkStart w:id="108" w:name="_Toc15074"/>
      <w:bookmarkStart w:id="109" w:name="_Toc5122"/>
      <w:bookmarkStart w:id="110" w:name="_Toc25250"/>
      <w:bookmarkStart w:id="111" w:name="_Toc2152"/>
      <w:r>
        <w:rPr>
          <w:rFonts w:hint="default" w:ascii="Times New Roman" w:hAnsi="Times New Roman" w:cs="Times New Roman"/>
          <w:color w:val="auto"/>
          <w:spacing w:val="0"/>
          <w:w w:val="100"/>
          <w:position w:val="0"/>
          <w:highlight w:val="none"/>
          <w:lang w:val="en-US" w:eastAsia="zh-CN"/>
        </w:rPr>
        <w:t>3.</w:t>
      </w:r>
      <w:r>
        <w:rPr>
          <w:rFonts w:hint="eastAsia" w:cs="Times New Roman"/>
          <w:color w:val="auto"/>
          <w:spacing w:val="0"/>
          <w:w w:val="100"/>
          <w:position w:val="0"/>
          <w:highlight w:val="none"/>
          <w:lang w:val="en-US" w:eastAsia="zh-CN"/>
        </w:rPr>
        <w:t>1</w:t>
      </w:r>
      <w:r>
        <w:rPr>
          <w:rFonts w:hint="eastAsia" w:cs="Times New Roman"/>
          <w:color w:val="auto"/>
          <w:spacing w:val="0"/>
          <w:w w:val="100"/>
          <w:position w:val="0"/>
          <w:highlight w:val="none"/>
          <w:lang w:eastAsia="zh-CN"/>
        </w:rPr>
        <w:t>工程</w:t>
      </w:r>
      <w:r>
        <w:rPr>
          <w:rFonts w:hint="default" w:ascii="Times New Roman" w:hAnsi="Times New Roman" w:cs="Times New Roman"/>
          <w:color w:val="auto"/>
          <w:spacing w:val="0"/>
          <w:w w:val="100"/>
          <w:position w:val="0"/>
          <w:highlight w:val="none"/>
        </w:rPr>
        <w:t>概况</w:t>
      </w:r>
      <w:bookmarkEnd w:id="108"/>
      <w:bookmarkEnd w:id="109"/>
      <w:bookmarkEnd w:id="110"/>
    </w:p>
    <w:bookmarkEnd w:id="111"/>
    <w:p w14:paraId="28507841">
      <w:pPr>
        <w:pStyle w:val="5"/>
        <w:pageBreakBefore w:val="0"/>
        <w:kinsoku/>
        <w:wordWrap/>
        <w:overflowPunct/>
        <w:topLinePunct w:val="0"/>
        <w:bidi w:val="0"/>
        <w:rPr>
          <w:rFonts w:hint="default" w:ascii="Times New Roman" w:hAnsi="Times New Roman" w:cs="Times New Roman"/>
          <w:b/>
          <w:color w:val="auto"/>
          <w:spacing w:val="0"/>
          <w:w w:val="100"/>
          <w:position w:val="0"/>
          <w:sz w:val="28"/>
          <w:szCs w:val="28"/>
        </w:rPr>
      </w:pPr>
      <w:bookmarkStart w:id="112" w:name="3.1.1项目基本情况"/>
      <w:bookmarkEnd w:id="112"/>
      <w:bookmarkStart w:id="113" w:name="3.1.1项目基本情况"/>
      <w:bookmarkEnd w:id="113"/>
      <w:bookmarkStart w:id="114" w:name="_Toc26307"/>
      <w:bookmarkStart w:id="115" w:name="_Toc10624"/>
      <w:r>
        <w:rPr>
          <w:rFonts w:hint="default" w:ascii="Times New Roman" w:hAnsi="Times New Roman" w:cs="Times New Roman"/>
          <w:b/>
          <w:color w:val="auto"/>
          <w:spacing w:val="0"/>
          <w:w w:val="100"/>
          <w:position w:val="0"/>
          <w:sz w:val="28"/>
          <w:szCs w:val="28"/>
          <w:lang w:val="en-US" w:eastAsia="zh-CN"/>
        </w:rPr>
        <w:t>3.</w:t>
      </w:r>
      <w:r>
        <w:rPr>
          <w:rFonts w:hint="eastAsia" w:cs="Times New Roman"/>
          <w:b/>
          <w:color w:val="auto"/>
          <w:spacing w:val="0"/>
          <w:w w:val="100"/>
          <w:position w:val="0"/>
          <w:sz w:val="28"/>
          <w:szCs w:val="28"/>
          <w:lang w:val="en-US" w:eastAsia="zh-CN"/>
        </w:rPr>
        <w:t>1</w:t>
      </w:r>
      <w:r>
        <w:rPr>
          <w:rFonts w:hint="default" w:ascii="Times New Roman" w:hAnsi="Times New Roman" w:cs="Times New Roman"/>
          <w:b/>
          <w:color w:val="auto"/>
          <w:spacing w:val="0"/>
          <w:w w:val="100"/>
          <w:position w:val="0"/>
          <w:sz w:val="28"/>
          <w:szCs w:val="28"/>
          <w:lang w:val="en-US" w:eastAsia="zh-CN"/>
        </w:rPr>
        <w:t>.</w:t>
      </w:r>
      <w:r>
        <w:rPr>
          <w:rFonts w:hint="eastAsia" w:cs="Times New Roman"/>
          <w:b/>
          <w:color w:val="auto"/>
          <w:spacing w:val="0"/>
          <w:w w:val="100"/>
          <w:position w:val="0"/>
          <w:sz w:val="28"/>
          <w:szCs w:val="28"/>
          <w:lang w:val="en-US" w:eastAsia="zh-CN"/>
        </w:rPr>
        <w:t>1</w:t>
      </w:r>
      <w:r>
        <w:rPr>
          <w:rFonts w:hint="default" w:ascii="Times New Roman" w:hAnsi="Times New Roman" w:cs="Times New Roman"/>
          <w:b/>
          <w:color w:val="auto"/>
          <w:spacing w:val="0"/>
          <w:w w:val="100"/>
          <w:position w:val="0"/>
          <w:sz w:val="28"/>
          <w:szCs w:val="28"/>
        </w:rPr>
        <w:t>项目基本情况</w:t>
      </w:r>
      <w:bookmarkEnd w:id="114"/>
      <w:bookmarkEnd w:id="115"/>
    </w:p>
    <w:p w14:paraId="3901706F">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eastAsia="宋体"/>
          <w:color w:val="auto"/>
          <w:lang w:eastAsia="zh-CN"/>
        </w:rPr>
      </w:pPr>
      <w:r>
        <w:rPr>
          <w:rFonts w:hint="default" w:ascii="Times New Roman" w:hAnsi="Times New Roman" w:cs="Times New Roman"/>
          <w:color w:val="auto"/>
          <w:spacing w:val="0"/>
          <w:w w:val="100"/>
          <w:position w:val="0"/>
          <w:szCs w:val="24"/>
        </w:rPr>
        <w:t>项目名称：</w:t>
      </w:r>
      <w:r>
        <w:rPr>
          <w:rFonts w:hint="eastAsia" w:cs="Times New Roman"/>
          <w:color w:val="auto"/>
          <w:spacing w:val="0"/>
          <w:w w:val="100"/>
          <w:position w:val="0"/>
          <w:szCs w:val="24"/>
          <w:lang w:eastAsia="zh-CN"/>
        </w:rPr>
        <w:t>托里县乌雪特乡滴灌带厂房建设项目</w:t>
      </w:r>
    </w:p>
    <w:p w14:paraId="3F20B9ED">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eastAsia="宋体"/>
          <w:color w:val="auto"/>
          <w:lang w:eastAsia="zh-CN"/>
        </w:rPr>
      </w:pPr>
      <w:r>
        <w:rPr>
          <w:rFonts w:hint="default"/>
          <w:color w:val="auto"/>
        </w:rPr>
        <w:t>建设单位：</w:t>
      </w:r>
      <w:r>
        <w:rPr>
          <w:rFonts w:hint="eastAsia"/>
          <w:color w:val="auto"/>
          <w:lang w:eastAsia="zh-CN"/>
        </w:rPr>
        <w:t>托里县乌雪特乡人民政府</w:t>
      </w:r>
    </w:p>
    <w:p w14:paraId="62599EAB">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color w:val="auto"/>
        </w:rPr>
      </w:pPr>
      <w:r>
        <w:rPr>
          <w:rFonts w:hint="default"/>
          <w:color w:val="auto"/>
        </w:rPr>
        <w:t>建设性质：新建</w:t>
      </w:r>
    </w:p>
    <w:p w14:paraId="2905D32A">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eastAsia" w:ascii="Times New Roman" w:hAnsi="Times New Roman" w:cs="Times New Roman"/>
          <w:color w:val="auto"/>
          <w:spacing w:val="0"/>
          <w:w w:val="100"/>
          <w:position w:val="0"/>
          <w:szCs w:val="24"/>
          <w:highlight w:val="none"/>
          <w:lang w:val="en-US" w:eastAsia="zh-CN"/>
        </w:rPr>
      </w:pPr>
      <w:r>
        <w:rPr>
          <w:rFonts w:hint="default"/>
          <w:color w:val="auto"/>
        </w:rPr>
        <w:t>建设地点及周围环境情况：本项目位于</w:t>
      </w:r>
      <w:r>
        <w:rPr>
          <w:rFonts w:hint="eastAsia"/>
          <w:color w:val="auto"/>
          <w:lang w:eastAsia="zh-CN"/>
        </w:rPr>
        <w:t>新疆维吾尔自治区塔城地区托里县乌雪特乡</w:t>
      </w:r>
      <w:r>
        <w:rPr>
          <w:rFonts w:hint="default"/>
          <w:color w:val="auto"/>
        </w:rPr>
        <w:t>，</w:t>
      </w:r>
      <w:r>
        <w:rPr>
          <w:rFonts w:hint="eastAsia"/>
          <w:color w:val="auto"/>
          <w:lang w:eastAsia="zh-CN"/>
        </w:rPr>
        <w:t>项目地理位置图详见图</w:t>
      </w:r>
      <w:r>
        <w:rPr>
          <w:rFonts w:hint="eastAsia"/>
          <w:color w:val="auto"/>
          <w:lang w:val="en-US" w:eastAsia="zh-CN"/>
        </w:rPr>
        <w:t>3.1-1</w:t>
      </w:r>
      <w:r>
        <w:rPr>
          <w:rFonts w:hint="default"/>
          <w:color w:val="auto"/>
        </w:rPr>
        <w:t>。项目</w:t>
      </w:r>
      <w:r>
        <w:rPr>
          <w:rFonts w:hint="eastAsia"/>
          <w:color w:val="auto"/>
          <w:lang w:eastAsia="zh-CN"/>
        </w:rPr>
        <w:t>东侧和南侧为农田；西侧为乡村道路，隔路为林带；北侧为乡村道路，隔路为农田</w:t>
      </w:r>
      <w:r>
        <w:rPr>
          <w:rFonts w:hint="eastAsia" w:cs="Times New Roman"/>
          <w:color w:val="auto"/>
          <w:spacing w:val="0"/>
          <w:w w:val="100"/>
          <w:position w:val="0"/>
          <w:szCs w:val="24"/>
          <w:highlight w:val="none"/>
          <w:lang w:eastAsia="zh-CN"/>
        </w:rPr>
        <w:t>；</w:t>
      </w:r>
      <w:r>
        <w:rPr>
          <w:rFonts w:hint="eastAsia" w:ascii="Times New Roman" w:hAnsi="Times New Roman" w:cs="Times New Roman"/>
          <w:color w:val="auto"/>
          <w:spacing w:val="0"/>
          <w:w w:val="100"/>
          <w:position w:val="0"/>
          <w:szCs w:val="24"/>
          <w:highlight w:val="none"/>
          <w:lang w:eastAsia="zh-CN"/>
        </w:rPr>
        <w:t>项目周边关系图详见图</w:t>
      </w:r>
      <w:r>
        <w:rPr>
          <w:rFonts w:hint="eastAsia" w:cs="Times New Roman"/>
          <w:color w:val="auto"/>
          <w:spacing w:val="0"/>
          <w:w w:val="100"/>
          <w:position w:val="0"/>
          <w:szCs w:val="24"/>
          <w:highlight w:val="none"/>
          <w:lang w:val="en-US" w:eastAsia="zh-CN"/>
        </w:rPr>
        <w:t>3.1-2</w:t>
      </w:r>
      <w:r>
        <w:rPr>
          <w:rFonts w:hint="eastAsia" w:ascii="Times New Roman" w:hAnsi="Times New Roman" w:cs="Times New Roman"/>
          <w:color w:val="auto"/>
          <w:spacing w:val="0"/>
          <w:w w:val="100"/>
          <w:position w:val="0"/>
          <w:szCs w:val="24"/>
          <w:highlight w:val="none"/>
          <w:lang w:val="en-US" w:eastAsia="zh-CN"/>
        </w:rPr>
        <w:t>。</w:t>
      </w:r>
    </w:p>
    <w:p w14:paraId="00A1F284">
      <w:pPr>
        <w:keepNext w:val="0"/>
        <w:keepLines w:val="0"/>
        <w:pageBreakBefore w:val="0"/>
        <w:widowControl w:val="0"/>
        <w:kinsoku/>
        <w:wordWrap/>
        <w:overflowPunct/>
        <w:topLinePunct w:val="0"/>
        <w:autoSpaceDE w:val="0"/>
        <w:autoSpaceDN w:val="0"/>
        <w:bidi w:val="0"/>
        <w:adjustRightInd/>
        <w:snapToGrid/>
        <w:spacing w:line="360" w:lineRule="auto"/>
        <w:jc w:val="both"/>
        <w:textAlignment w:val="auto"/>
        <w:rPr>
          <w:rFonts w:hint="default"/>
          <w:color w:val="auto"/>
        </w:rPr>
      </w:pPr>
      <w:r>
        <w:rPr>
          <w:rFonts w:hint="default"/>
          <w:color w:val="auto"/>
        </w:rPr>
        <w:t>投资规模：项目总投资</w:t>
      </w:r>
      <w:r>
        <w:rPr>
          <w:rFonts w:hint="eastAsia"/>
          <w:color w:val="auto"/>
          <w:lang w:val="en-US" w:eastAsia="zh-CN"/>
        </w:rPr>
        <w:t>395</w:t>
      </w:r>
      <w:r>
        <w:rPr>
          <w:rFonts w:hint="default"/>
          <w:color w:val="auto"/>
        </w:rPr>
        <w:t>万元，所需资金</w:t>
      </w:r>
      <w:r>
        <w:rPr>
          <w:rFonts w:hint="eastAsia"/>
          <w:color w:val="auto"/>
          <w:lang w:eastAsia="zh-CN"/>
        </w:rPr>
        <w:t>为中央衔接补助资金</w:t>
      </w:r>
      <w:r>
        <w:rPr>
          <w:rFonts w:hint="default"/>
          <w:color w:val="auto"/>
        </w:rPr>
        <w:t>。</w:t>
      </w:r>
    </w:p>
    <w:p w14:paraId="52CD89D9">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21"/>
          <w:sz w:val="24"/>
          <w:highlight w:val="none"/>
        </w:rPr>
      </w:pPr>
      <w:r>
        <w:rPr>
          <w:rFonts w:hint="eastAsia" w:cs="Times New Roman"/>
          <w:b w:val="0"/>
          <w:bCs/>
          <w:color w:val="auto"/>
          <w:kern w:val="21"/>
          <w:sz w:val="24"/>
          <w:highlight w:val="none"/>
          <w:lang w:eastAsia="zh-CN"/>
        </w:rPr>
        <w:t>占地面积</w:t>
      </w:r>
      <w:r>
        <w:rPr>
          <w:rFonts w:hint="default" w:ascii="Times New Roman" w:hAnsi="Times New Roman" w:cs="Times New Roman"/>
          <w:b w:val="0"/>
          <w:bCs/>
          <w:color w:val="auto"/>
          <w:kern w:val="21"/>
          <w:sz w:val="24"/>
          <w:highlight w:val="none"/>
        </w:rPr>
        <w:t>：</w:t>
      </w:r>
      <w:r>
        <w:rPr>
          <w:rFonts w:hint="default" w:ascii="Times New Roman" w:hAnsi="Times New Roman" w:cs="Times New Roman"/>
          <w:color w:val="auto"/>
          <w:spacing w:val="0"/>
          <w:w w:val="100"/>
          <w:position w:val="0"/>
          <w:sz w:val="24"/>
          <w:szCs w:val="24"/>
          <w:highlight w:val="none"/>
        </w:rPr>
        <w:t>占地面积</w:t>
      </w:r>
      <w:r>
        <w:rPr>
          <w:rFonts w:hint="eastAsia" w:cs="Times New Roman"/>
          <w:color w:val="auto"/>
          <w:sz w:val="24"/>
          <w:szCs w:val="24"/>
          <w:highlight w:val="none"/>
          <w:lang w:val="en-US" w:eastAsia="zh-CN"/>
        </w:rPr>
        <w:t>7686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s="Times New Roman"/>
          <w:color w:val="auto"/>
          <w:kern w:val="21"/>
          <w:sz w:val="24"/>
          <w:highlight w:val="none"/>
          <w:lang w:eastAsia="zh-CN"/>
        </w:rPr>
        <w:t>。</w:t>
      </w:r>
    </w:p>
    <w:p w14:paraId="2B5B9FA8">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color w:val="0000FF"/>
          <w:sz w:val="24"/>
          <w:szCs w:val="24"/>
          <w:highlight w:val="none"/>
        </w:rPr>
      </w:pPr>
      <w:r>
        <w:rPr>
          <w:rFonts w:hint="eastAsia"/>
          <w:color w:val="auto"/>
          <w:lang w:eastAsia="zh-CN"/>
        </w:rPr>
        <w:t>劳动定员及</w:t>
      </w:r>
      <w:r>
        <w:rPr>
          <w:rFonts w:hint="default"/>
          <w:color w:val="auto"/>
        </w:rPr>
        <w:t>生产制度：本项目劳动定员共</w:t>
      </w:r>
      <w:r>
        <w:rPr>
          <w:rFonts w:hint="eastAsia"/>
          <w:color w:val="auto"/>
          <w:lang w:val="en-US" w:eastAsia="zh-CN"/>
        </w:rPr>
        <w:t>16</w:t>
      </w:r>
      <w:r>
        <w:rPr>
          <w:rFonts w:hint="default"/>
          <w:color w:val="auto"/>
        </w:rPr>
        <w:t>人</w:t>
      </w:r>
      <w:r>
        <w:rPr>
          <w:rFonts w:hint="eastAsia"/>
          <w:color w:val="auto"/>
          <w:lang w:eastAsia="zh-CN"/>
        </w:rPr>
        <w:t>，</w:t>
      </w:r>
      <w:r>
        <w:rPr>
          <w:color w:val="auto"/>
          <w:sz w:val="24"/>
          <w:szCs w:val="24"/>
          <w:highlight w:val="none"/>
        </w:rPr>
        <w:t>项目年运行</w:t>
      </w:r>
      <w:r>
        <w:rPr>
          <w:rFonts w:hint="eastAsia"/>
          <w:color w:val="auto"/>
          <w:sz w:val="24"/>
          <w:szCs w:val="24"/>
          <w:highlight w:val="none"/>
          <w:lang w:eastAsia="zh-CN"/>
        </w:rPr>
        <w:t>约</w:t>
      </w:r>
      <w:r>
        <w:rPr>
          <w:rFonts w:hint="eastAsia"/>
          <w:color w:val="auto"/>
          <w:sz w:val="24"/>
          <w:szCs w:val="24"/>
          <w:highlight w:val="none"/>
          <w:lang w:val="en-US" w:eastAsia="zh-CN"/>
        </w:rPr>
        <w:t>90</w:t>
      </w:r>
      <w:r>
        <w:rPr>
          <w:color w:val="auto"/>
          <w:sz w:val="24"/>
          <w:szCs w:val="24"/>
          <w:highlight w:val="none"/>
        </w:rPr>
        <w:t>天，每天</w:t>
      </w:r>
      <w:r>
        <w:rPr>
          <w:rFonts w:hint="eastAsia"/>
          <w:color w:val="auto"/>
          <w:sz w:val="24"/>
          <w:szCs w:val="24"/>
          <w:highlight w:val="none"/>
          <w:lang w:val="en-US" w:eastAsia="zh-CN"/>
        </w:rPr>
        <w:t>两</w:t>
      </w:r>
      <w:r>
        <w:rPr>
          <w:color w:val="auto"/>
          <w:sz w:val="24"/>
          <w:szCs w:val="24"/>
          <w:highlight w:val="none"/>
        </w:rPr>
        <w:t>班，每班</w:t>
      </w:r>
      <w:r>
        <w:rPr>
          <w:rFonts w:hint="eastAsia"/>
          <w:color w:val="auto"/>
          <w:sz w:val="24"/>
          <w:szCs w:val="24"/>
          <w:highlight w:val="none"/>
          <w:lang w:val="en-US" w:eastAsia="zh-CN"/>
        </w:rPr>
        <w:t>12</w:t>
      </w:r>
      <w:r>
        <w:rPr>
          <w:color w:val="auto"/>
          <w:sz w:val="24"/>
          <w:szCs w:val="24"/>
          <w:highlight w:val="none"/>
        </w:rPr>
        <w:t>小时，年运行时间</w:t>
      </w:r>
      <w:r>
        <w:rPr>
          <w:rFonts w:hint="eastAsia"/>
          <w:color w:val="auto"/>
          <w:sz w:val="24"/>
          <w:szCs w:val="24"/>
          <w:highlight w:val="none"/>
          <w:lang w:val="en-US" w:eastAsia="zh-CN"/>
        </w:rPr>
        <w:t>2160</w:t>
      </w:r>
      <w:r>
        <w:rPr>
          <w:color w:val="auto"/>
          <w:sz w:val="24"/>
          <w:szCs w:val="24"/>
          <w:highlight w:val="none"/>
        </w:rPr>
        <w:t>小时。</w:t>
      </w:r>
    </w:p>
    <w:p w14:paraId="57B5E9D5">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jc w:val="both"/>
        <w:textAlignment w:val="auto"/>
        <w:rPr>
          <w:rFonts w:hint="default" w:ascii="Times New Roman" w:hAnsi="Times New Roman" w:cs="Times New Roman"/>
          <w:color w:val="auto"/>
          <w:kern w:val="21"/>
          <w:sz w:val="24"/>
          <w:highlight w:val="none"/>
          <w:lang w:val="zh-CN"/>
        </w:rPr>
      </w:pPr>
      <w:r>
        <w:rPr>
          <w:rFonts w:hint="default" w:ascii="Times New Roman" w:hAnsi="Times New Roman" w:cs="Times New Roman"/>
          <w:b w:val="0"/>
          <w:bCs/>
          <w:color w:val="auto"/>
          <w:kern w:val="21"/>
          <w:sz w:val="24"/>
          <w:highlight w:val="none"/>
        </w:rPr>
        <w:t>建设周期</w:t>
      </w:r>
      <w:r>
        <w:rPr>
          <w:rFonts w:hint="default" w:ascii="Times New Roman" w:hAnsi="Times New Roman" w:cs="Times New Roman"/>
          <w:b w:val="0"/>
          <w:bCs/>
          <w:color w:val="auto"/>
          <w:kern w:val="21"/>
          <w:sz w:val="24"/>
          <w:highlight w:val="none"/>
          <w:lang w:val="zh-CN"/>
        </w:rPr>
        <w:t>：</w:t>
      </w:r>
      <w:r>
        <w:rPr>
          <w:rFonts w:hint="default" w:ascii="Times New Roman" w:hAnsi="Times New Roman" w:cs="Times New Roman"/>
          <w:color w:val="auto"/>
          <w:kern w:val="21"/>
          <w:sz w:val="24"/>
          <w:highlight w:val="none"/>
          <w:lang w:val="zh-CN"/>
        </w:rPr>
        <w:t>项目建设工期</w:t>
      </w:r>
      <w:r>
        <w:rPr>
          <w:rFonts w:hint="eastAsia" w:ascii="Times New Roman" w:hAnsi="Times New Roman" w:cs="Times New Roman"/>
          <w:color w:val="auto"/>
          <w:kern w:val="21"/>
          <w:sz w:val="24"/>
          <w:highlight w:val="none"/>
          <w:lang w:eastAsia="zh-CN"/>
        </w:rPr>
        <w:t>约</w:t>
      </w:r>
      <w:r>
        <w:rPr>
          <w:rFonts w:hint="eastAsia" w:cs="Times New Roman"/>
          <w:color w:val="auto"/>
          <w:kern w:val="21"/>
          <w:sz w:val="24"/>
          <w:highlight w:val="none"/>
          <w:lang w:val="en-US" w:eastAsia="zh-CN"/>
        </w:rPr>
        <w:t>9</w:t>
      </w:r>
      <w:r>
        <w:rPr>
          <w:rFonts w:hint="default" w:ascii="Times New Roman" w:hAnsi="Times New Roman" w:cs="Times New Roman"/>
          <w:color w:val="auto"/>
          <w:kern w:val="21"/>
          <w:sz w:val="24"/>
          <w:highlight w:val="none"/>
        </w:rPr>
        <w:t>个月</w:t>
      </w:r>
      <w:r>
        <w:rPr>
          <w:rFonts w:hint="default" w:ascii="Times New Roman" w:hAnsi="Times New Roman" w:cs="Times New Roman"/>
          <w:color w:val="auto"/>
          <w:kern w:val="21"/>
          <w:sz w:val="24"/>
          <w:highlight w:val="none"/>
          <w:lang w:val="zh-CN"/>
        </w:rPr>
        <w:t>。</w:t>
      </w:r>
    </w:p>
    <w:p w14:paraId="600DC9D0">
      <w:pPr>
        <w:pStyle w:val="5"/>
        <w:pageBreakBefore w:val="0"/>
        <w:kinsoku/>
        <w:wordWrap/>
        <w:overflowPunct/>
        <w:topLinePunct w:val="0"/>
        <w:bidi w:val="0"/>
        <w:rPr>
          <w:rFonts w:hint="default" w:ascii="Times New Roman" w:hAnsi="Times New Roman" w:cs="Times New Roman"/>
          <w:color w:val="auto"/>
          <w:spacing w:val="0"/>
          <w:w w:val="100"/>
          <w:position w:val="0"/>
          <w:sz w:val="28"/>
          <w:szCs w:val="28"/>
        </w:rPr>
      </w:pPr>
      <w:bookmarkStart w:id="116" w:name="3.1.2 建设规模及建设内容"/>
      <w:bookmarkEnd w:id="116"/>
      <w:bookmarkStart w:id="117" w:name="3.1.2 建设规模及建设内容"/>
      <w:bookmarkEnd w:id="117"/>
      <w:bookmarkStart w:id="118" w:name="_Toc28044"/>
      <w:bookmarkStart w:id="119" w:name="_Toc14202"/>
      <w:r>
        <w:rPr>
          <w:rFonts w:hint="default" w:ascii="Times New Roman" w:hAnsi="Times New Roman" w:cs="Times New Roman"/>
          <w:color w:val="auto"/>
          <w:spacing w:val="0"/>
          <w:w w:val="100"/>
          <w:position w:val="0"/>
          <w:sz w:val="28"/>
          <w:szCs w:val="28"/>
          <w:lang w:val="en-US" w:eastAsia="zh-CN"/>
        </w:rPr>
        <w:t>3.</w:t>
      </w:r>
      <w:r>
        <w:rPr>
          <w:rFonts w:hint="eastAsia" w:cs="Times New Roman"/>
          <w:color w:val="auto"/>
          <w:spacing w:val="0"/>
          <w:w w:val="100"/>
          <w:position w:val="0"/>
          <w:sz w:val="28"/>
          <w:szCs w:val="28"/>
          <w:lang w:val="en-US" w:eastAsia="zh-CN"/>
        </w:rPr>
        <w:t>1</w:t>
      </w:r>
      <w:r>
        <w:rPr>
          <w:rFonts w:hint="default" w:ascii="Times New Roman" w:hAnsi="Times New Roman" w:cs="Times New Roman"/>
          <w:color w:val="auto"/>
          <w:spacing w:val="0"/>
          <w:w w:val="100"/>
          <w:position w:val="0"/>
          <w:sz w:val="28"/>
          <w:szCs w:val="28"/>
          <w:lang w:val="en-US" w:eastAsia="zh-CN"/>
        </w:rPr>
        <w:t>.</w:t>
      </w:r>
      <w:r>
        <w:rPr>
          <w:rFonts w:hint="eastAsia" w:cs="Times New Roman"/>
          <w:color w:val="auto"/>
          <w:spacing w:val="0"/>
          <w:w w:val="100"/>
          <w:position w:val="0"/>
          <w:sz w:val="28"/>
          <w:szCs w:val="28"/>
          <w:lang w:val="en-US" w:eastAsia="zh-CN"/>
        </w:rPr>
        <w:t>2</w:t>
      </w:r>
      <w:r>
        <w:rPr>
          <w:rFonts w:hint="default" w:ascii="Times New Roman" w:hAnsi="Times New Roman" w:cs="Times New Roman"/>
          <w:color w:val="auto"/>
          <w:spacing w:val="0"/>
          <w:w w:val="100"/>
          <w:position w:val="0"/>
          <w:sz w:val="28"/>
          <w:szCs w:val="28"/>
        </w:rPr>
        <w:t>建设规模及建设内容</w:t>
      </w:r>
      <w:bookmarkEnd w:id="118"/>
      <w:bookmarkEnd w:id="119"/>
    </w:p>
    <w:p w14:paraId="5A1252AD">
      <w:pPr>
        <w:pageBreakBefore w:val="0"/>
        <w:kinsoku/>
        <w:wordWrap/>
        <w:overflowPunct/>
        <w:topLinePunct w:val="0"/>
        <w:bidi w:val="0"/>
        <w:rPr>
          <w:rFonts w:hint="default" w:ascii="Times New Roman" w:hAnsi="Times New Roman" w:cs="Times New Roman"/>
          <w:color w:val="auto"/>
          <w:spacing w:val="0"/>
          <w:w w:val="100"/>
          <w:position w:val="0"/>
          <w:sz w:val="24"/>
          <w:szCs w:val="24"/>
        </w:rPr>
      </w:pPr>
      <w:r>
        <w:rPr>
          <w:rFonts w:hint="default" w:ascii="Times New Roman" w:hAnsi="Times New Roman" w:cs="Times New Roman"/>
          <w:color w:val="auto"/>
          <w:spacing w:val="0"/>
          <w:w w:val="100"/>
          <w:position w:val="0"/>
          <w:sz w:val="24"/>
          <w:szCs w:val="24"/>
          <w:highlight w:val="none"/>
        </w:rPr>
        <w:t>建设内容</w:t>
      </w:r>
      <w:r>
        <w:rPr>
          <w:rFonts w:hint="eastAsia" w:cs="Times New Roman"/>
          <w:color w:val="auto"/>
          <w:spacing w:val="0"/>
          <w:w w:val="100"/>
          <w:position w:val="0"/>
          <w:sz w:val="24"/>
          <w:szCs w:val="24"/>
          <w:highlight w:val="none"/>
          <w:lang w:eastAsia="zh-CN"/>
        </w:rPr>
        <w:t>：</w:t>
      </w:r>
      <w:r>
        <w:rPr>
          <w:rFonts w:hint="default" w:ascii="Times New Roman" w:hAnsi="Times New Roman" w:cs="Times New Roman"/>
          <w:color w:val="auto"/>
          <w:spacing w:val="0"/>
          <w:w w:val="100"/>
          <w:position w:val="0"/>
          <w:sz w:val="24"/>
          <w:szCs w:val="24"/>
          <w:highlight w:val="none"/>
        </w:rPr>
        <w:t>本项目占地面积</w:t>
      </w:r>
      <w:r>
        <w:rPr>
          <w:rFonts w:hint="eastAsia" w:cs="Times New Roman"/>
          <w:color w:val="auto"/>
          <w:sz w:val="24"/>
          <w:szCs w:val="24"/>
          <w:highlight w:val="none"/>
          <w:lang w:val="en-US" w:eastAsia="zh-CN"/>
        </w:rPr>
        <w:t>7686</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s="Times New Roman"/>
          <w:color w:val="auto"/>
          <w:spacing w:val="0"/>
          <w:w w:val="100"/>
          <w:position w:val="0"/>
          <w:sz w:val="24"/>
          <w:szCs w:val="24"/>
          <w:highlight w:val="none"/>
          <w:lang w:eastAsia="zh-CN"/>
        </w:rPr>
        <w:t>，建筑</w:t>
      </w:r>
      <w:r>
        <w:rPr>
          <w:rFonts w:hint="default" w:ascii="Times New Roman" w:hAnsi="Times New Roman" w:cs="Times New Roman"/>
          <w:color w:val="auto"/>
          <w:spacing w:val="0"/>
          <w:w w:val="100"/>
          <w:position w:val="0"/>
          <w:sz w:val="24"/>
          <w:szCs w:val="24"/>
          <w:highlight w:val="none"/>
        </w:rPr>
        <w:t>面积</w:t>
      </w:r>
      <w:r>
        <w:rPr>
          <w:rFonts w:hint="eastAsia" w:cs="Times New Roman"/>
          <w:color w:val="auto"/>
          <w:sz w:val="24"/>
          <w:szCs w:val="24"/>
          <w:highlight w:val="none"/>
          <w:lang w:val="en-US" w:eastAsia="zh-CN"/>
        </w:rPr>
        <w:t>4114.32</w:t>
      </w:r>
      <w:r>
        <w:rPr>
          <w:rFonts w:hint="default" w:ascii="Times New Roman" w:hAnsi="Times New Roman" w:cs="Times New Roman"/>
          <w:color w:val="auto"/>
          <w:sz w:val="24"/>
          <w:szCs w:val="24"/>
          <w:highlight w:val="none"/>
          <w:lang w:val="en-US" w:eastAsia="zh-CN"/>
        </w:rPr>
        <w:t>m</w:t>
      </w:r>
      <w:r>
        <w:rPr>
          <w:rFonts w:hint="default" w:ascii="Times New Roman" w:hAnsi="Times New Roman" w:cs="Times New Roman"/>
          <w:color w:val="auto"/>
          <w:sz w:val="24"/>
          <w:szCs w:val="24"/>
          <w:highlight w:val="none"/>
          <w:vertAlign w:val="superscript"/>
          <w:lang w:val="en-US" w:eastAsia="zh-CN"/>
        </w:rPr>
        <w:t>2</w:t>
      </w:r>
      <w:r>
        <w:rPr>
          <w:rFonts w:hint="eastAsia" w:cs="Times New Roman"/>
          <w:color w:val="auto"/>
          <w:spacing w:val="0"/>
          <w:w w:val="100"/>
          <w:position w:val="0"/>
          <w:sz w:val="24"/>
          <w:szCs w:val="24"/>
          <w:highlight w:val="none"/>
          <w:lang w:eastAsia="zh-CN"/>
        </w:rPr>
        <w:t>，</w:t>
      </w:r>
      <w:r>
        <w:rPr>
          <w:rFonts w:hint="default" w:ascii="Times New Roman" w:hAnsi="Times New Roman" w:cs="Times New Roman"/>
          <w:color w:val="auto"/>
          <w:spacing w:val="0"/>
          <w:w w:val="100"/>
          <w:position w:val="0"/>
          <w:sz w:val="24"/>
          <w:szCs w:val="24"/>
          <w:highlight w:val="none"/>
        </w:rPr>
        <w:t>主要</w:t>
      </w:r>
      <w:r>
        <w:rPr>
          <w:rFonts w:hint="eastAsia" w:cs="Times New Roman"/>
          <w:color w:val="auto"/>
          <w:spacing w:val="0"/>
          <w:w w:val="100"/>
          <w:position w:val="0"/>
          <w:sz w:val="24"/>
          <w:szCs w:val="24"/>
          <w:highlight w:val="none"/>
          <w:lang w:eastAsia="zh-CN"/>
        </w:rPr>
        <w:t>建设</w:t>
      </w:r>
      <w:r>
        <w:rPr>
          <w:rFonts w:hint="eastAsia" w:cs="Times New Roman"/>
          <w:color w:val="auto"/>
          <w:spacing w:val="0"/>
          <w:w w:val="100"/>
          <w:position w:val="0"/>
          <w:sz w:val="24"/>
          <w:szCs w:val="24"/>
          <w:highlight w:val="none"/>
          <w:lang w:val="en-US" w:eastAsia="zh-CN"/>
        </w:rPr>
        <w:t>生产车间、造粒车间、库房</w:t>
      </w:r>
      <w:r>
        <w:rPr>
          <w:rFonts w:hint="eastAsia" w:cs="Times New Roman"/>
          <w:color w:val="auto"/>
          <w:spacing w:val="0"/>
          <w:w w:val="100"/>
          <w:position w:val="0"/>
          <w:sz w:val="24"/>
          <w:szCs w:val="24"/>
          <w:highlight w:val="none"/>
          <w:lang w:eastAsia="zh-CN"/>
        </w:rPr>
        <w:t>，</w:t>
      </w:r>
      <w:r>
        <w:rPr>
          <w:rFonts w:hint="default" w:ascii="Times New Roman" w:hAnsi="Times New Roman" w:eastAsia="宋体" w:cs="Times New Roman"/>
          <w:color w:val="auto"/>
          <w:spacing w:val="0"/>
          <w:w w:val="100"/>
          <w:kern w:val="0"/>
          <w:position w:val="0"/>
          <w:sz w:val="24"/>
          <w:szCs w:val="24"/>
          <w:highlight w:val="none"/>
          <w:lang w:val="en-US" w:eastAsia="zh-CN"/>
        </w:rPr>
        <w:t>并配套建设</w:t>
      </w:r>
      <w:r>
        <w:rPr>
          <w:rFonts w:hint="eastAsia" w:cs="Times New Roman"/>
          <w:color w:val="auto"/>
          <w:spacing w:val="0"/>
          <w:w w:val="100"/>
          <w:kern w:val="0"/>
          <w:position w:val="0"/>
          <w:sz w:val="24"/>
          <w:szCs w:val="24"/>
          <w:highlight w:val="none"/>
          <w:lang w:val="en-US" w:eastAsia="zh-CN"/>
        </w:rPr>
        <w:t>综合用房、循环水池</w:t>
      </w:r>
      <w:r>
        <w:rPr>
          <w:rFonts w:hint="default" w:ascii="Times New Roman" w:hAnsi="Times New Roman" w:eastAsia="宋体" w:cs="Times New Roman"/>
          <w:color w:val="auto"/>
          <w:spacing w:val="0"/>
          <w:w w:val="100"/>
          <w:kern w:val="0"/>
          <w:position w:val="0"/>
          <w:sz w:val="24"/>
          <w:szCs w:val="24"/>
          <w:highlight w:val="none"/>
          <w:lang w:val="en-US" w:eastAsia="zh-CN"/>
        </w:rPr>
        <w:t>、</w:t>
      </w:r>
      <w:r>
        <w:rPr>
          <w:rFonts w:hint="eastAsia" w:cs="Times New Roman"/>
          <w:color w:val="auto"/>
          <w:spacing w:val="0"/>
          <w:w w:val="100"/>
          <w:kern w:val="0"/>
          <w:position w:val="0"/>
          <w:sz w:val="24"/>
          <w:szCs w:val="24"/>
          <w:highlight w:val="none"/>
          <w:lang w:val="en-US" w:eastAsia="zh-CN"/>
        </w:rPr>
        <w:t>消防水池</w:t>
      </w:r>
      <w:r>
        <w:rPr>
          <w:rFonts w:hint="default" w:ascii="Times New Roman" w:hAnsi="Times New Roman" w:cs="Times New Roman"/>
          <w:color w:val="auto"/>
          <w:spacing w:val="0"/>
          <w:w w:val="100"/>
          <w:position w:val="0"/>
          <w:sz w:val="24"/>
          <w:szCs w:val="24"/>
          <w:highlight w:val="none"/>
        </w:rPr>
        <w:t>等基础设施。</w:t>
      </w:r>
      <w:r>
        <w:rPr>
          <w:rFonts w:hint="default" w:ascii="Times New Roman" w:hAnsi="Times New Roman" w:cs="Times New Roman"/>
          <w:color w:val="auto"/>
          <w:spacing w:val="0"/>
          <w:w w:val="100"/>
          <w:position w:val="0"/>
          <w:sz w:val="24"/>
          <w:szCs w:val="24"/>
        </w:rPr>
        <w:t>项目工程组成情况见表</w:t>
      </w:r>
      <w:r>
        <w:rPr>
          <w:rFonts w:hint="default" w:ascii="Times New Roman" w:hAnsi="Times New Roman" w:eastAsia="Times New Roman" w:cs="Times New Roman"/>
          <w:color w:val="auto"/>
          <w:spacing w:val="0"/>
          <w:w w:val="100"/>
          <w:position w:val="0"/>
          <w:sz w:val="24"/>
          <w:szCs w:val="24"/>
        </w:rPr>
        <w:t>3.</w:t>
      </w:r>
      <w:r>
        <w:rPr>
          <w:rFonts w:hint="eastAsia" w:cs="Times New Roman"/>
          <w:color w:val="auto"/>
          <w:spacing w:val="0"/>
          <w:w w:val="100"/>
          <w:position w:val="0"/>
          <w:sz w:val="24"/>
          <w:szCs w:val="24"/>
          <w:lang w:val="en-US" w:eastAsia="zh-CN"/>
        </w:rPr>
        <w:t>1</w:t>
      </w:r>
      <w:r>
        <w:rPr>
          <w:rFonts w:hint="default" w:ascii="Times New Roman" w:hAnsi="Times New Roman" w:eastAsia="Times New Roman" w:cs="Times New Roman"/>
          <w:color w:val="auto"/>
          <w:spacing w:val="0"/>
          <w:w w:val="100"/>
          <w:position w:val="0"/>
          <w:sz w:val="24"/>
          <w:szCs w:val="24"/>
        </w:rPr>
        <w:t>-</w:t>
      </w:r>
      <w:r>
        <w:rPr>
          <w:rFonts w:hint="eastAsia" w:cs="Times New Roman"/>
          <w:color w:val="auto"/>
          <w:spacing w:val="0"/>
          <w:w w:val="100"/>
          <w:position w:val="0"/>
          <w:sz w:val="24"/>
          <w:szCs w:val="24"/>
          <w:lang w:val="en-US" w:eastAsia="zh-CN"/>
        </w:rPr>
        <w:t>1</w:t>
      </w:r>
      <w:r>
        <w:rPr>
          <w:rFonts w:hint="default" w:ascii="Times New Roman" w:hAnsi="Times New Roman" w:cs="Times New Roman"/>
          <w:color w:val="auto"/>
          <w:spacing w:val="0"/>
          <w:w w:val="100"/>
          <w:position w:val="0"/>
          <w:sz w:val="24"/>
          <w:szCs w:val="24"/>
        </w:rPr>
        <w:t>。</w:t>
      </w:r>
    </w:p>
    <w:p w14:paraId="5C6CF82C">
      <w:pPr>
        <w:pStyle w:val="43"/>
        <w:keepNext w:val="0"/>
        <w:keepLines w:val="0"/>
        <w:pageBreakBefore w:val="0"/>
        <w:widowControl w:val="0"/>
        <w:kinsoku/>
        <w:wordWrap/>
        <w:overflowPunct/>
        <w:topLinePunct w:val="0"/>
        <w:autoSpaceDE w:val="0"/>
        <w:autoSpaceDN w:val="0"/>
        <w:bidi w:val="0"/>
        <w:adjustRightInd w:val="0"/>
        <w:snapToGrid w:val="0"/>
        <w:spacing w:before="0" w:beforeLines="0"/>
        <w:textAlignment w:val="auto"/>
        <w:rPr>
          <w:rFonts w:hint="default"/>
          <w:color w:val="auto"/>
          <w:lang w:eastAsia="zh-CN"/>
        </w:rPr>
      </w:pPr>
      <w:r>
        <w:rPr>
          <w:rFonts w:hint="default"/>
          <w:color w:val="auto"/>
        </w:rPr>
        <w:t>表3.</w:t>
      </w:r>
      <w:r>
        <w:rPr>
          <w:rFonts w:hint="eastAsia"/>
          <w:color w:val="auto"/>
          <w:lang w:val="en-US" w:eastAsia="zh-CN"/>
        </w:rPr>
        <w:t>1</w:t>
      </w:r>
      <w:r>
        <w:rPr>
          <w:rFonts w:hint="default"/>
          <w:color w:val="auto"/>
        </w:rPr>
        <w:t>-</w:t>
      </w:r>
      <w:r>
        <w:rPr>
          <w:rFonts w:hint="eastAsia"/>
          <w:color w:val="auto"/>
          <w:lang w:val="en-US" w:eastAsia="zh-CN"/>
        </w:rPr>
        <w:t xml:space="preserve">1  </w:t>
      </w:r>
      <w:r>
        <w:rPr>
          <w:rFonts w:hint="default"/>
          <w:color w:val="auto"/>
        </w:rPr>
        <w:t>项目内容及建设规模</w:t>
      </w:r>
    </w:p>
    <w:tbl>
      <w:tblPr>
        <w:tblStyle w:val="27"/>
        <w:tblW w:w="48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9"/>
        <w:gridCol w:w="557"/>
        <w:gridCol w:w="711"/>
        <w:gridCol w:w="6185"/>
        <w:gridCol w:w="706"/>
      </w:tblGrid>
      <w:tr w14:paraId="3425A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56" w:type="pct"/>
            <w:noWrap w:val="0"/>
            <w:vAlign w:val="center"/>
          </w:tcPr>
          <w:p w14:paraId="557D6EE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bookmarkStart w:id="120" w:name="3.1.3 生产规模及产品方案"/>
            <w:bookmarkEnd w:id="120"/>
            <w:bookmarkStart w:id="121" w:name="3.1.3 生产规模及产品方案"/>
            <w:bookmarkEnd w:id="121"/>
            <w:bookmarkStart w:id="122" w:name="_Toc13861"/>
            <w:bookmarkStart w:id="123" w:name="_Toc12153"/>
            <w:r>
              <w:rPr>
                <w:rFonts w:hint="eastAsia"/>
                <w:color w:val="auto"/>
              </w:rPr>
              <w:t>工程名称</w:t>
            </w:r>
          </w:p>
        </w:tc>
        <w:tc>
          <w:tcPr>
            <w:tcW w:w="706" w:type="pct"/>
            <w:gridSpan w:val="2"/>
            <w:noWrap w:val="0"/>
            <w:vAlign w:val="center"/>
          </w:tcPr>
          <w:p w14:paraId="58DD2958">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工程内容</w:t>
            </w:r>
          </w:p>
        </w:tc>
        <w:tc>
          <w:tcPr>
            <w:tcW w:w="3444" w:type="pct"/>
            <w:noWrap w:val="0"/>
            <w:vAlign w:val="center"/>
          </w:tcPr>
          <w:p w14:paraId="082464A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工程规模</w:t>
            </w:r>
          </w:p>
        </w:tc>
        <w:tc>
          <w:tcPr>
            <w:tcW w:w="393" w:type="pct"/>
            <w:noWrap w:val="0"/>
            <w:vAlign w:val="center"/>
          </w:tcPr>
          <w:p w14:paraId="086A198A">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备注</w:t>
            </w:r>
          </w:p>
        </w:tc>
      </w:tr>
      <w:tr w14:paraId="0688A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6" w:type="pct"/>
            <w:vMerge w:val="restart"/>
            <w:noWrap w:val="0"/>
            <w:vAlign w:val="center"/>
          </w:tcPr>
          <w:p w14:paraId="2823DDA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主体工程</w:t>
            </w:r>
          </w:p>
        </w:tc>
        <w:tc>
          <w:tcPr>
            <w:tcW w:w="706" w:type="pct"/>
            <w:gridSpan w:val="2"/>
            <w:noWrap w:val="0"/>
            <w:vAlign w:val="center"/>
          </w:tcPr>
          <w:p w14:paraId="383D41F1">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加工</w:t>
            </w:r>
            <w:r>
              <w:rPr>
                <w:rFonts w:hint="eastAsia"/>
                <w:color w:val="auto"/>
              </w:rPr>
              <w:t>车间</w:t>
            </w:r>
          </w:p>
        </w:tc>
        <w:tc>
          <w:tcPr>
            <w:tcW w:w="3444" w:type="pct"/>
            <w:noWrap w:val="0"/>
            <w:vAlign w:val="center"/>
          </w:tcPr>
          <w:p w14:paraId="1FA07A46">
            <w:pPr>
              <w:pStyle w:val="63"/>
              <w:keepNext w:val="0"/>
              <w:keepLines w:val="0"/>
              <w:pageBreakBefore w:val="0"/>
              <w:kinsoku/>
              <w:wordWrap/>
              <w:topLinePunct w:val="0"/>
              <w:autoSpaceDE w:val="0"/>
              <w:autoSpaceDN w:val="0"/>
              <w:bidi w:val="0"/>
              <w:snapToGrid/>
              <w:spacing w:line="240" w:lineRule="auto"/>
              <w:ind w:firstLine="0" w:firstLineChars="0"/>
              <w:rPr>
                <w:rFonts w:hint="default"/>
                <w:color w:val="auto"/>
                <w:sz w:val="21"/>
                <w:szCs w:val="21"/>
                <w:highlight w:val="none"/>
                <w:lang w:val="en-US" w:eastAsia="zh-CN"/>
              </w:rPr>
            </w:pPr>
            <w:r>
              <w:rPr>
                <w:rFonts w:hint="eastAsia"/>
                <w:color w:val="auto"/>
                <w:sz w:val="21"/>
                <w:szCs w:val="21"/>
                <w:highlight w:val="none"/>
                <w:lang w:val="en-US" w:eastAsia="zh-CN"/>
              </w:rPr>
              <w:t>建筑面积1000m</w:t>
            </w:r>
            <w:r>
              <w:rPr>
                <w:rFonts w:hint="eastAsia"/>
                <w:color w:val="auto"/>
                <w:sz w:val="21"/>
                <w:szCs w:val="21"/>
                <w:highlight w:val="none"/>
                <w:vertAlign w:val="superscript"/>
                <w:lang w:val="en-US" w:eastAsia="zh-CN"/>
              </w:rPr>
              <w:t>2</w:t>
            </w:r>
            <w:r>
              <w:rPr>
                <w:rFonts w:hint="eastAsia"/>
                <w:color w:val="auto"/>
                <w:sz w:val="21"/>
                <w:szCs w:val="21"/>
                <w:highlight w:val="none"/>
                <w:lang w:val="en-US" w:eastAsia="zh-CN"/>
              </w:rPr>
              <w:t>，车间内建设3条滴灌带生产线，</w:t>
            </w:r>
            <w:r>
              <w:rPr>
                <w:rFonts w:hint="default"/>
                <w:color w:val="auto"/>
                <w:sz w:val="21"/>
                <w:szCs w:val="21"/>
                <w:highlight w:val="none"/>
                <w:lang w:val="en-GB" w:eastAsia="zh-CN"/>
              </w:rPr>
              <w:t>年</w:t>
            </w:r>
            <w:r>
              <w:rPr>
                <w:rFonts w:hint="eastAsia"/>
                <w:color w:val="auto"/>
                <w:sz w:val="21"/>
                <w:szCs w:val="21"/>
                <w:highlight w:val="none"/>
                <w:lang w:val="en-GB" w:eastAsia="zh-CN"/>
              </w:rPr>
              <w:t>产滴灌带</w:t>
            </w:r>
            <w:r>
              <w:rPr>
                <w:rFonts w:hint="eastAsia"/>
                <w:color w:val="auto"/>
                <w:sz w:val="21"/>
                <w:szCs w:val="21"/>
                <w:highlight w:val="none"/>
                <w:lang w:val="en-US" w:eastAsia="zh-CN"/>
              </w:rPr>
              <w:t>40</w:t>
            </w:r>
            <w:r>
              <w:rPr>
                <w:rFonts w:hint="default"/>
                <w:color w:val="auto"/>
                <w:sz w:val="21"/>
                <w:szCs w:val="21"/>
                <w:highlight w:val="none"/>
                <w:lang w:val="en-US" w:eastAsia="zh-CN"/>
              </w:rPr>
              <w:t>00</w:t>
            </w:r>
            <w:r>
              <w:rPr>
                <w:rFonts w:hint="eastAsia"/>
                <w:color w:val="auto"/>
                <w:sz w:val="21"/>
                <w:szCs w:val="21"/>
                <w:highlight w:val="none"/>
                <w:lang w:val="en-US" w:eastAsia="zh-CN"/>
              </w:rPr>
              <w:t>吨，1条水带生产线，年产水带2000吨</w:t>
            </w:r>
          </w:p>
        </w:tc>
        <w:tc>
          <w:tcPr>
            <w:tcW w:w="393" w:type="pct"/>
            <w:vMerge w:val="restart"/>
            <w:noWrap w:val="0"/>
            <w:vAlign w:val="center"/>
          </w:tcPr>
          <w:p w14:paraId="36418E19">
            <w:pPr>
              <w:pStyle w:val="63"/>
              <w:keepNext w:val="0"/>
              <w:keepLines w:val="0"/>
              <w:pageBreakBefore w:val="0"/>
              <w:kinsoku/>
              <w:wordWrap/>
              <w:topLinePunct w:val="0"/>
              <w:autoSpaceDE w:val="0"/>
              <w:autoSpaceDN w:val="0"/>
              <w:bidi w:val="0"/>
              <w:snapToGrid/>
              <w:spacing w:line="240" w:lineRule="auto"/>
              <w:ind w:firstLine="0" w:firstLineChars="0"/>
              <w:rPr>
                <w:rFonts w:hint="default"/>
                <w:color w:val="auto"/>
                <w:lang w:val="en-US" w:eastAsia="zh-CN"/>
              </w:rPr>
            </w:pPr>
            <w:r>
              <w:rPr>
                <w:rFonts w:hint="eastAsia"/>
                <w:color w:val="auto"/>
                <w:lang w:val="en-US" w:eastAsia="zh-CN"/>
              </w:rPr>
              <w:t>新建</w:t>
            </w:r>
          </w:p>
        </w:tc>
      </w:tr>
      <w:tr w14:paraId="4DD8BB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456" w:type="pct"/>
            <w:vMerge w:val="continue"/>
            <w:noWrap w:val="0"/>
            <w:vAlign w:val="center"/>
          </w:tcPr>
          <w:p w14:paraId="16D3DBA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shd w:val="clear" w:color="auto" w:fill="auto"/>
            <w:noWrap w:val="0"/>
            <w:vAlign w:val="center"/>
          </w:tcPr>
          <w:p w14:paraId="14705769">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lang w:val="en-US" w:eastAsia="zh-CN" w:bidi="ar-SA"/>
              </w:rPr>
            </w:pPr>
            <w:r>
              <w:rPr>
                <w:rFonts w:hint="eastAsia"/>
                <w:color w:val="auto"/>
                <w:lang w:val="en-US" w:eastAsia="zh-CN"/>
              </w:rPr>
              <w:t>造粒</w:t>
            </w:r>
            <w:r>
              <w:rPr>
                <w:rFonts w:hint="eastAsia"/>
                <w:color w:val="auto"/>
              </w:rPr>
              <w:t>车间</w:t>
            </w:r>
          </w:p>
        </w:tc>
        <w:tc>
          <w:tcPr>
            <w:tcW w:w="3444" w:type="pct"/>
            <w:shd w:val="clear" w:color="auto" w:fill="auto"/>
            <w:noWrap w:val="0"/>
            <w:vAlign w:val="center"/>
          </w:tcPr>
          <w:p w14:paraId="14C0A025">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color w:val="auto"/>
                <w:sz w:val="21"/>
                <w:szCs w:val="21"/>
                <w:highlight w:val="none"/>
                <w:lang w:val="en-US" w:eastAsia="zh-CN" w:bidi="ar-SA"/>
              </w:rPr>
            </w:pPr>
            <w:r>
              <w:rPr>
                <w:rFonts w:hint="eastAsia"/>
                <w:color w:val="auto"/>
                <w:sz w:val="21"/>
                <w:szCs w:val="21"/>
                <w:highlight w:val="none"/>
                <w:lang w:val="en-US" w:eastAsia="zh-CN"/>
              </w:rPr>
              <w:t>建筑面积400m</w:t>
            </w:r>
            <w:r>
              <w:rPr>
                <w:rFonts w:hint="eastAsia"/>
                <w:color w:val="auto"/>
                <w:sz w:val="21"/>
                <w:szCs w:val="21"/>
                <w:highlight w:val="none"/>
                <w:vertAlign w:val="superscript"/>
                <w:lang w:val="en-US" w:eastAsia="zh-CN"/>
              </w:rPr>
              <w:t>2</w:t>
            </w:r>
            <w:r>
              <w:rPr>
                <w:rFonts w:hint="eastAsia"/>
                <w:color w:val="auto"/>
                <w:sz w:val="21"/>
                <w:szCs w:val="21"/>
                <w:highlight w:val="none"/>
                <w:lang w:val="en-US" w:eastAsia="zh-CN"/>
              </w:rPr>
              <w:t>，车间内建设1条造粒生产线，</w:t>
            </w:r>
            <w:r>
              <w:rPr>
                <w:rFonts w:hint="default"/>
                <w:color w:val="auto"/>
                <w:sz w:val="21"/>
                <w:szCs w:val="21"/>
                <w:highlight w:val="none"/>
                <w:lang w:val="en-GB" w:eastAsia="zh-CN"/>
              </w:rPr>
              <w:t>年处理废旧塑料</w:t>
            </w:r>
            <w:r>
              <w:rPr>
                <w:rFonts w:hint="eastAsia"/>
                <w:color w:val="auto"/>
                <w:sz w:val="21"/>
                <w:szCs w:val="21"/>
                <w:highlight w:val="none"/>
                <w:lang w:val="en-US" w:eastAsia="zh-CN"/>
              </w:rPr>
              <w:t>55</w:t>
            </w:r>
            <w:r>
              <w:rPr>
                <w:rFonts w:hint="default"/>
                <w:color w:val="auto"/>
                <w:sz w:val="21"/>
                <w:szCs w:val="21"/>
                <w:highlight w:val="none"/>
                <w:lang w:val="en-US" w:eastAsia="zh-CN"/>
              </w:rPr>
              <w:t>00t</w:t>
            </w:r>
          </w:p>
        </w:tc>
        <w:tc>
          <w:tcPr>
            <w:tcW w:w="393" w:type="pct"/>
            <w:vMerge w:val="continue"/>
            <w:noWrap w:val="0"/>
            <w:vAlign w:val="center"/>
          </w:tcPr>
          <w:p w14:paraId="54E4B31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p>
        </w:tc>
      </w:tr>
      <w:tr w14:paraId="60CF9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 w:hRule="atLeast"/>
          <w:jc w:val="center"/>
        </w:trPr>
        <w:tc>
          <w:tcPr>
            <w:tcW w:w="456" w:type="pct"/>
            <w:vMerge w:val="restart"/>
            <w:noWrap w:val="0"/>
            <w:vAlign w:val="center"/>
          </w:tcPr>
          <w:p w14:paraId="7C545D6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辅助工程</w:t>
            </w:r>
          </w:p>
        </w:tc>
        <w:tc>
          <w:tcPr>
            <w:tcW w:w="706" w:type="pct"/>
            <w:gridSpan w:val="2"/>
            <w:noWrap w:val="0"/>
            <w:vAlign w:val="center"/>
          </w:tcPr>
          <w:p w14:paraId="7DCA8574">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综合用房</w:t>
            </w:r>
          </w:p>
        </w:tc>
        <w:tc>
          <w:tcPr>
            <w:tcW w:w="3444" w:type="pct"/>
            <w:noWrap w:val="0"/>
            <w:vAlign w:val="center"/>
          </w:tcPr>
          <w:p w14:paraId="10314F7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新建一座综合用房</w:t>
            </w:r>
            <w:r>
              <w:rPr>
                <w:rFonts w:hint="eastAsia"/>
                <w:color w:val="auto"/>
              </w:rPr>
              <w:t>，面积为</w:t>
            </w:r>
            <w:r>
              <w:rPr>
                <w:rFonts w:hint="eastAsia"/>
                <w:color w:val="auto"/>
                <w:highlight w:val="none"/>
                <w:lang w:val="en-US" w:eastAsia="zh-CN"/>
              </w:rPr>
              <w:t>504.4</w:t>
            </w: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2</w:t>
            </w:r>
          </w:p>
        </w:tc>
        <w:tc>
          <w:tcPr>
            <w:tcW w:w="393" w:type="pct"/>
            <w:noWrap w:val="0"/>
            <w:vAlign w:val="center"/>
          </w:tcPr>
          <w:p w14:paraId="4FB327C4">
            <w:pPr>
              <w:pStyle w:val="63"/>
              <w:keepNext w:val="0"/>
              <w:keepLines w:val="0"/>
              <w:pageBreakBefore w:val="0"/>
              <w:kinsoku/>
              <w:wordWrap/>
              <w:topLinePunct w:val="0"/>
              <w:autoSpaceDE w:val="0"/>
              <w:autoSpaceDN w:val="0"/>
              <w:bidi w:val="0"/>
              <w:snapToGrid/>
              <w:spacing w:line="240" w:lineRule="auto"/>
              <w:ind w:firstLine="0" w:firstLineChars="0"/>
              <w:rPr>
                <w:rFonts w:hint="default"/>
                <w:color w:val="auto"/>
                <w:lang w:val="en-US"/>
              </w:rPr>
            </w:pPr>
            <w:r>
              <w:rPr>
                <w:rFonts w:hint="eastAsia"/>
                <w:color w:val="auto"/>
                <w:lang w:val="en-US" w:eastAsia="zh-CN"/>
              </w:rPr>
              <w:t>新建</w:t>
            </w:r>
          </w:p>
        </w:tc>
      </w:tr>
      <w:tr w14:paraId="6B6B1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56" w:type="pct"/>
            <w:vMerge w:val="continue"/>
            <w:noWrap w:val="0"/>
            <w:vAlign w:val="center"/>
          </w:tcPr>
          <w:p w14:paraId="458D628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258B5C76">
            <w:pPr>
              <w:pStyle w:val="63"/>
              <w:keepNext w:val="0"/>
              <w:keepLines w:val="0"/>
              <w:pageBreakBefore w:val="0"/>
              <w:kinsoku/>
              <w:wordWrap/>
              <w:topLinePunct w:val="0"/>
              <w:autoSpaceDE w:val="0"/>
              <w:autoSpaceDN w:val="0"/>
              <w:bidi w:val="0"/>
              <w:snapToGrid/>
              <w:spacing w:line="240" w:lineRule="auto"/>
              <w:ind w:firstLine="0" w:firstLineChars="0"/>
              <w:rPr>
                <w:rFonts w:hint="default" w:eastAsia="宋体"/>
                <w:color w:val="auto"/>
                <w:lang w:val="en-US" w:eastAsia="zh-CN"/>
              </w:rPr>
            </w:pPr>
            <w:r>
              <w:rPr>
                <w:rFonts w:hint="eastAsia"/>
                <w:color w:val="auto"/>
                <w:lang w:val="en-US" w:eastAsia="zh-CN"/>
              </w:rPr>
              <w:t>成品库房</w:t>
            </w:r>
          </w:p>
        </w:tc>
        <w:tc>
          <w:tcPr>
            <w:tcW w:w="3444" w:type="pct"/>
            <w:noWrap w:val="0"/>
            <w:vAlign w:val="center"/>
          </w:tcPr>
          <w:p w14:paraId="7527820A">
            <w:pPr>
              <w:pStyle w:val="63"/>
              <w:keepNext w:val="0"/>
              <w:keepLines w:val="0"/>
              <w:pageBreakBefore w:val="0"/>
              <w:kinsoku/>
              <w:wordWrap/>
              <w:topLinePunct w:val="0"/>
              <w:autoSpaceDE w:val="0"/>
              <w:autoSpaceDN w:val="0"/>
              <w:bidi w:val="0"/>
              <w:snapToGrid/>
              <w:spacing w:line="240" w:lineRule="auto"/>
              <w:ind w:firstLine="0" w:firstLineChars="0"/>
              <w:rPr>
                <w:rFonts w:hint="default"/>
                <w:color w:val="auto"/>
                <w:lang w:val="en-US" w:eastAsia="zh-CN"/>
              </w:rPr>
            </w:pPr>
            <w:r>
              <w:rPr>
                <w:rFonts w:hint="eastAsia"/>
                <w:color w:val="auto"/>
                <w:lang w:val="en-US" w:eastAsia="zh-CN"/>
              </w:rPr>
              <w:t>建筑面积约1257.7</w:t>
            </w: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2</w:t>
            </w:r>
            <w:r>
              <w:rPr>
                <w:rFonts w:hint="eastAsia"/>
                <w:color w:val="auto"/>
                <w:lang w:val="en-US" w:eastAsia="zh-CN"/>
              </w:rPr>
              <w:t>，储存成品，地面硬化</w:t>
            </w:r>
          </w:p>
        </w:tc>
        <w:tc>
          <w:tcPr>
            <w:tcW w:w="393" w:type="pct"/>
            <w:noWrap w:val="0"/>
            <w:vAlign w:val="center"/>
          </w:tcPr>
          <w:p w14:paraId="184B85DF">
            <w:pPr>
              <w:pStyle w:val="63"/>
              <w:keepNext w:val="0"/>
              <w:keepLines w:val="0"/>
              <w:pageBreakBefore w:val="0"/>
              <w:kinsoku/>
              <w:wordWrap/>
              <w:topLinePunct w:val="0"/>
              <w:autoSpaceDE w:val="0"/>
              <w:autoSpaceDN w:val="0"/>
              <w:bidi w:val="0"/>
              <w:snapToGrid/>
              <w:spacing w:line="240" w:lineRule="auto"/>
              <w:ind w:firstLine="0" w:firstLineChars="0"/>
              <w:rPr>
                <w:rFonts w:hint="default"/>
                <w:color w:val="auto"/>
                <w:lang w:val="en-US" w:eastAsia="zh-CN"/>
              </w:rPr>
            </w:pPr>
            <w:r>
              <w:rPr>
                <w:rFonts w:hint="eastAsia"/>
                <w:color w:val="auto"/>
                <w:lang w:val="en-US" w:eastAsia="zh-CN"/>
              </w:rPr>
              <w:t>新建</w:t>
            </w:r>
          </w:p>
        </w:tc>
      </w:tr>
      <w:tr w14:paraId="50176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56" w:type="pct"/>
            <w:vMerge w:val="continue"/>
            <w:noWrap w:val="0"/>
            <w:vAlign w:val="center"/>
          </w:tcPr>
          <w:p w14:paraId="5367032C">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581BDD1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厂房</w:t>
            </w:r>
          </w:p>
        </w:tc>
        <w:tc>
          <w:tcPr>
            <w:tcW w:w="3444" w:type="pct"/>
            <w:noWrap w:val="0"/>
            <w:vAlign w:val="center"/>
          </w:tcPr>
          <w:p w14:paraId="597DC842">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建筑面积约912.22</w:t>
            </w: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2</w:t>
            </w:r>
            <w:r>
              <w:rPr>
                <w:rFonts w:hint="eastAsia"/>
                <w:color w:val="auto"/>
                <w:lang w:val="en-US" w:eastAsia="zh-CN"/>
              </w:rPr>
              <w:t>，储存原料，地面硬化</w:t>
            </w:r>
          </w:p>
        </w:tc>
        <w:tc>
          <w:tcPr>
            <w:tcW w:w="393" w:type="pct"/>
            <w:noWrap w:val="0"/>
            <w:vAlign w:val="center"/>
          </w:tcPr>
          <w:p w14:paraId="0F5002CE">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2B0C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56" w:type="pct"/>
            <w:vMerge w:val="continue"/>
            <w:noWrap w:val="0"/>
            <w:vAlign w:val="center"/>
          </w:tcPr>
          <w:p w14:paraId="6A341BA1">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15396B1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值班室及磅房</w:t>
            </w:r>
          </w:p>
        </w:tc>
        <w:tc>
          <w:tcPr>
            <w:tcW w:w="3444" w:type="pct"/>
            <w:noWrap w:val="0"/>
            <w:vAlign w:val="center"/>
          </w:tcPr>
          <w:p w14:paraId="501E75AD">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建筑面积约40</w:t>
            </w: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2</w:t>
            </w:r>
            <w:r>
              <w:rPr>
                <w:rFonts w:hint="eastAsia"/>
                <w:color w:val="auto"/>
                <w:lang w:val="en-US" w:eastAsia="zh-CN"/>
              </w:rPr>
              <w:t>，地面硬化</w:t>
            </w:r>
          </w:p>
        </w:tc>
        <w:tc>
          <w:tcPr>
            <w:tcW w:w="393" w:type="pct"/>
            <w:noWrap w:val="0"/>
            <w:vAlign w:val="center"/>
          </w:tcPr>
          <w:p w14:paraId="0E3E8662">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5E70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2" w:hRule="atLeast"/>
          <w:jc w:val="center"/>
        </w:trPr>
        <w:tc>
          <w:tcPr>
            <w:tcW w:w="456" w:type="pct"/>
            <w:vMerge w:val="continue"/>
            <w:noWrap w:val="0"/>
            <w:vAlign w:val="center"/>
          </w:tcPr>
          <w:p w14:paraId="43769AAD">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5A90C51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危废暂存间</w:t>
            </w:r>
          </w:p>
        </w:tc>
        <w:tc>
          <w:tcPr>
            <w:tcW w:w="3444" w:type="pct"/>
            <w:noWrap w:val="0"/>
            <w:vAlign w:val="center"/>
          </w:tcPr>
          <w:p w14:paraId="799BB1C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建筑面积约5</w:t>
            </w:r>
            <w:r>
              <w:rPr>
                <w:rFonts w:hint="eastAsia"/>
                <w:color w:val="auto"/>
                <w:sz w:val="21"/>
                <w:szCs w:val="21"/>
                <w:highlight w:val="none"/>
                <w:lang w:val="en-US" w:eastAsia="zh-CN"/>
              </w:rPr>
              <w:t>m</w:t>
            </w:r>
            <w:r>
              <w:rPr>
                <w:rFonts w:hint="eastAsia"/>
                <w:color w:val="auto"/>
                <w:sz w:val="21"/>
                <w:szCs w:val="21"/>
                <w:highlight w:val="none"/>
                <w:vertAlign w:val="superscript"/>
                <w:lang w:val="en-US" w:eastAsia="zh-CN"/>
              </w:rPr>
              <w:t>2</w:t>
            </w:r>
            <w:r>
              <w:rPr>
                <w:rFonts w:hint="eastAsia"/>
                <w:color w:val="auto"/>
                <w:lang w:val="en-US" w:eastAsia="zh-CN"/>
              </w:rPr>
              <w:t>，按规范要求防渗</w:t>
            </w:r>
          </w:p>
        </w:tc>
        <w:tc>
          <w:tcPr>
            <w:tcW w:w="393" w:type="pct"/>
            <w:noWrap w:val="0"/>
            <w:vAlign w:val="center"/>
          </w:tcPr>
          <w:p w14:paraId="363A41E5">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165E1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2" w:hRule="atLeast"/>
          <w:jc w:val="center"/>
        </w:trPr>
        <w:tc>
          <w:tcPr>
            <w:tcW w:w="456" w:type="pct"/>
            <w:vMerge w:val="continue"/>
            <w:noWrap w:val="0"/>
            <w:vAlign w:val="center"/>
          </w:tcPr>
          <w:p w14:paraId="1641E152">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5AA4ABD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水池</w:t>
            </w:r>
          </w:p>
        </w:tc>
        <w:tc>
          <w:tcPr>
            <w:tcW w:w="3444" w:type="pct"/>
            <w:noWrap w:val="0"/>
            <w:vAlign w:val="center"/>
          </w:tcPr>
          <w:p w14:paraId="38B4D004">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val="en-US" w:eastAsia="zh-CN"/>
              </w:rPr>
            </w:pPr>
            <w:r>
              <w:rPr>
                <w:rFonts w:hint="eastAsia"/>
                <w:color w:val="auto"/>
              </w:rPr>
              <w:t>一座</w:t>
            </w:r>
            <w:r>
              <w:rPr>
                <w:rFonts w:hint="eastAsia"/>
                <w:color w:val="auto"/>
                <w:highlight w:val="none"/>
                <w:lang w:val="en-US" w:eastAsia="zh-CN"/>
              </w:rPr>
              <w:t>24</w:t>
            </w:r>
            <w:r>
              <w:rPr>
                <w:rFonts w:hint="eastAsia" w:cs="宋体"/>
                <w:smallCaps w:val="0"/>
                <w:color w:val="auto"/>
                <w:spacing w:val="0"/>
                <w:w w:val="100"/>
                <w:position w:val="0"/>
                <w:sz w:val="21"/>
                <w:szCs w:val="21"/>
                <w:highlight w:val="none"/>
                <w:lang w:val="en-US" w:eastAsia="zh-CN"/>
              </w:rPr>
              <w:t>m</w:t>
            </w:r>
            <w:r>
              <w:rPr>
                <w:rFonts w:hint="eastAsia" w:cs="宋体"/>
                <w:smallCaps w:val="0"/>
                <w:color w:val="auto"/>
                <w:spacing w:val="0"/>
                <w:w w:val="100"/>
                <w:position w:val="0"/>
                <w:sz w:val="21"/>
                <w:szCs w:val="21"/>
                <w:highlight w:val="none"/>
                <w:vertAlign w:val="superscript"/>
                <w:lang w:val="en-US" w:eastAsia="zh-CN"/>
              </w:rPr>
              <w:t>3</w:t>
            </w:r>
            <w:r>
              <w:rPr>
                <w:rFonts w:hint="eastAsia"/>
                <w:color w:val="auto"/>
                <w:lang w:val="en-US" w:eastAsia="zh-CN"/>
              </w:rPr>
              <w:t>循环</w:t>
            </w:r>
            <w:r>
              <w:rPr>
                <w:rFonts w:hint="eastAsia"/>
                <w:color w:val="auto"/>
              </w:rPr>
              <w:t>水池，</w:t>
            </w:r>
            <w:r>
              <w:rPr>
                <w:rFonts w:hint="eastAsia"/>
                <w:color w:val="auto"/>
                <w:lang w:eastAsia="zh-CN"/>
              </w:rPr>
              <w:t>滴灌带成品冷却水循环后使用；一座</w:t>
            </w:r>
            <w:r>
              <w:rPr>
                <w:rFonts w:hint="eastAsia"/>
                <w:color w:val="auto"/>
                <w:highlight w:val="none"/>
                <w:lang w:val="en-US" w:eastAsia="zh-CN"/>
              </w:rPr>
              <w:t>300</w:t>
            </w:r>
            <w:r>
              <w:rPr>
                <w:rFonts w:hint="eastAsia" w:cs="宋体"/>
                <w:smallCaps w:val="0"/>
                <w:color w:val="auto"/>
                <w:spacing w:val="0"/>
                <w:w w:val="100"/>
                <w:position w:val="0"/>
                <w:sz w:val="21"/>
                <w:szCs w:val="21"/>
                <w:highlight w:val="none"/>
                <w:lang w:val="en-US" w:eastAsia="zh-CN"/>
              </w:rPr>
              <w:t>m</w:t>
            </w:r>
            <w:r>
              <w:rPr>
                <w:rFonts w:hint="eastAsia" w:cs="宋体"/>
                <w:smallCaps w:val="0"/>
                <w:color w:val="auto"/>
                <w:spacing w:val="0"/>
                <w:w w:val="100"/>
                <w:position w:val="0"/>
                <w:sz w:val="21"/>
                <w:szCs w:val="21"/>
                <w:highlight w:val="none"/>
                <w:vertAlign w:val="superscript"/>
                <w:lang w:val="en-US" w:eastAsia="zh-CN"/>
              </w:rPr>
              <w:t>3</w:t>
            </w:r>
            <w:r>
              <w:rPr>
                <w:rFonts w:hint="eastAsia"/>
                <w:color w:val="auto"/>
                <w:lang w:val="en-US" w:eastAsia="zh-CN"/>
              </w:rPr>
              <w:t>沉淀</w:t>
            </w:r>
            <w:r>
              <w:rPr>
                <w:rFonts w:hint="eastAsia"/>
                <w:color w:val="auto"/>
              </w:rPr>
              <w:t>水池</w:t>
            </w:r>
            <w:r>
              <w:rPr>
                <w:rFonts w:hint="eastAsia"/>
                <w:color w:val="auto"/>
                <w:lang w:eastAsia="zh-CN"/>
              </w:rPr>
              <w:t>，生产</w:t>
            </w:r>
            <w:r>
              <w:rPr>
                <w:rFonts w:hint="eastAsia"/>
                <w:color w:val="auto"/>
              </w:rPr>
              <w:t>废水经沉淀处理后循环使用</w:t>
            </w:r>
            <w:r>
              <w:rPr>
                <w:rFonts w:hint="eastAsia"/>
                <w:color w:val="auto"/>
                <w:lang w:eastAsia="zh-CN"/>
              </w:rPr>
              <w:t>，</w:t>
            </w:r>
            <w:r>
              <w:rPr>
                <w:rFonts w:hint="eastAsia"/>
                <w:color w:val="auto"/>
                <w:lang w:val="en-US" w:eastAsia="zh-CN"/>
              </w:rPr>
              <w:t>可满足生产需求；</w:t>
            </w:r>
            <w:r>
              <w:rPr>
                <w:rFonts w:hint="eastAsia"/>
                <w:color w:val="auto"/>
                <w:lang w:eastAsia="zh-CN"/>
              </w:rPr>
              <w:t>一座</w:t>
            </w:r>
            <w:r>
              <w:rPr>
                <w:rFonts w:hint="eastAsia"/>
                <w:color w:val="auto"/>
                <w:highlight w:val="none"/>
                <w:lang w:val="en-US" w:eastAsia="zh-CN"/>
              </w:rPr>
              <w:t>550</w:t>
            </w:r>
            <w:r>
              <w:rPr>
                <w:rFonts w:hint="eastAsia" w:cs="宋体"/>
                <w:smallCaps w:val="0"/>
                <w:color w:val="auto"/>
                <w:spacing w:val="0"/>
                <w:w w:val="100"/>
                <w:position w:val="0"/>
                <w:sz w:val="21"/>
                <w:szCs w:val="21"/>
                <w:highlight w:val="none"/>
                <w:lang w:val="en-US" w:eastAsia="zh-CN"/>
              </w:rPr>
              <w:t>m</w:t>
            </w:r>
            <w:r>
              <w:rPr>
                <w:rFonts w:hint="eastAsia" w:cs="宋体"/>
                <w:smallCaps w:val="0"/>
                <w:color w:val="auto"/>
                <w:spacing w:val="0"/>
                <w:w w:val="100"/>
                <w:position w:val="0"/>
                <w:sz w:val="21"/>
                <w:szCs w:val="21"/>
                <w:highlight w:val="none"/>
                <w:vertAlign w:val="superscript"/>
                <w:lang w:val="en-US" w:eastAsia="zh-CN"/>
              </w:rPr>
              <w:t>3</w:t>
            </w:r>
            <w:r>
              <w:rPr>
                <w:rFonts w:hint="eastAsia"/>
                <w:color w:val="auto"/>
                <w:lang w:val="en-US" w:eastAsia="zh-CN"/>
              </w:rPr>
              <w:t>消防</w:t>
            </w:r>
            <w:r>
              <w:rPr>
                <w:rFonts w:hint="eastAsia"/>
                <w:color w:val="auto"/>
              </w:rPr>
              <w:t>水池</w:t>
            </w:r>
            <w:r>
              <w:rPr>
                <w:rFonts w:hint="eastAsia"/>
                <w:color w:val="auto"/>
                <w:lang w:eastAsia="zh-CN"/>
              </w:rPr>
              <w:t>。</w:t>
            </w:r>
          </w:p>
        </w:tc>
        <w:tc>
          <w:tcPr>
            <w:tcW w:w="393" w:type="pct"/>
            <w:noWrap w:val="0"/>
            <w:vAlign w:val="center"/>
          </w:tcPr>
          <w:p w14:paraId="03BEA249">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val="en-US" w:eastAsia="zh-CN"/>
              </w:rPr>
              <w:t>新建</w:t>
            </w:r>
          </w:p>
        </w:tc>
      </w:tr>
      <w:tr w14:paraId="0FAAF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 w:hRule="atLeast"/>
          <w:jc w:val="center"/>
        </w:trPr>
        <w:tc>
          <w:tcPr>
            <w:tcW w:w="456" w:type="pct"/>
            <w:vMerge w:val="restart"/>
            <w:noWrap w:val="0"/>
            <w:vAlign w:val="center"/>
          </w:tcPr>
          <w:p w14:paraId="20AFFF2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公用工程</w:t>
            </w:r>
          </w:p>
        </w:tc>
        <w:tc>
          <w:tcPr>
            <w:tcW w:w="706" w:type="pct"/>
            <w:gridSpan w:val="2"/>
            <w:noWrap w:val="0"/>
            <w:vAlign w:val="center"/>
          </w:tcPr>
          <w:p w14:paraId="26A2A7E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供电</w:t>
            </w:r>
          </w:p>
        </w:tc>
        <w:tc>
          <w:tcPr>
            <w:tcW w:w="3444" w:type="pct"/>
            <w:noWrap w:val="0"/>
            <w:vAlign w:val="center"/>
          </w:tcPr>
          <w:p w14:paraId="39827AC9">
            <w:pPr>
              <w:pStyle w:val="63"/>
              <w:keepNext w:val="0"/>
              <w:keepLines w:val="0"/>
              <w:pageBreakBefore w:val="0"/>
              <w:kinsoku/>
              <w:wordWrap/>
              <w:topLinePunct w:val="0"/>
              <w:autoSpaceDE w:val="0"/>
              <w:autoSpaceDN w:val="0"/>
              <w:bidi w:val="0"/>
              <w:snapToGrid/>
              <w:spacing w:line="240" w:lineRule="auto"/>
              <w:ind w:firstLine="0" w:firstLineChars="0"/>
              <w:rPr>
                <w:rFonts w:hint="default" w:eastAsia="宋体"/>
                <w:color w:val="auto"/>
                <w:lang w:val="en-US" w:eastAsia="zh-CN"/>
              </w:rPr>
            </w:pPr>
            <w:r>
              <w:rPr>
                <w:rFonts w:hint="eastAsia"/>
                <w:color w:val="auto"/>
                <w:lang w:val="en-US" w:eastAsia="zh-CN"/>
              </w:rPr>
              <w:t>连接市政供电电网供应</w:t>
            </w:r>
          </w:p>
        </w:tc>
        <w:tc>
          <w:tcPr>
            <w:tcW w:w="393" w:type="pct"/>
            <w:noWrap w:val="0"/>
            <w:vAlign w:val="center"/>
          </w:tcPr>
          <w:p w14:paraId="63E1847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w:t>
            </w:r>
          </w:p>
        </w:tc>
      </w:tr>
      <w:tr w14:paraId="71495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456" w:type="pct"/>
            <w:vMerge w:val="continue"/>
            <w:noWrap w:val="0"/>
            <w:vAlign w:val="center"/>
          </w:tcPr>
          <w:p w14:paraId="0D5714C5">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20913343">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供水</w:t>
            </w:r>
          </w:p>
        </w:tc>
        <w:tc>
          <w:tcPr>
            <w:tcW w:w="3444" w:type="pct"/>
            <w:noWrap w:val="0"/>
            <w:vAlign w:val="center"/>
          </w:tcPr>
          <w:p w14:paraId="2C69C20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连接市政供水管网</w:t>
            </w:r>
          </w:p>
        </w:tc>
        <w:tc>
          <w:tcPr>
            <w:tcW w:w="393" w:type="pct"/>
            <w:noWrap w:val="0"/>
            <w:vAlign w:val="center"/>
          </w:tcPr>
          <w:p w14:paraId="4AA796FC">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w:t>
            </w:r>
          </w:p>
        </w:tc>
      </w:tr>
      <w:tr w14:paraId="5A38BD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 w:hRule="atLeast"/>
          <w:jc w:val="center"/>
        </w:trPr>
        <w:tc>
          <w:tcPr>
            <w:tcW w:w="456" w:type="pct"/>
            <w:vMerge w:val="continue"/>
            <w:noWrap w:val="0"/>
            <w:vAlign w:val="center"/>
          </w:tcPr>
          <w:p w14:paraId="2CB3375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2A8D0FFE">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排水</w:t>
            </w:r>
          </w:p>
        </w:tc>
        <w:tc>
          <w:tcPr>
            <w:tcW w:w="3444" w:type="pct"/>
            <w:noWrap w:val="0"/>
            <w:vAlign w:val="center"/>
          </w:tcPr>
          <w:p w14:paraId="522446B2">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rPr>
              <w:t>一座</w:t>
            </w:r>
            <w:r>
              <w:rPr>
                <w:rFonts w:hint="eastAsia"/>
                <w:color w:val="auto"/>
                <w:highlight w:val="none"/>
                <w:lang w:val="en-US" w:eastAsia="zh-CN"/>
              </w:rPr>
              <w:t>300</w:t>
            </w:r>
            <w:r>
              <w:rPr>
                <w:rFonts w:hint="eastAsia" w:cs="宋体"/>
                <w:smallCaps w:val="0"/>
                <w:color w:val="auto"/>
                <w:spacing w:val="0"/>
                <w:w w:val="100"/>
                <w:position w:val="0"/>
                <w:sz w:val="21"/>
                <w:szCs w:val="21"/>
                <w:highlight w:val="none"/>
                <w:lang w:val="en-US" w:eastAsia="zh-CN"/>
              </w:rPr>
              <w:t>m</w:t>
            </w:r>
            <w:r>
              <w:rPr>
                <w:rFonts w:hint="eastAsia" w:cs="宋体"/>
                <w:smallCaps w:val="0"/>
                <w:color w:val="auto"/>
                <w:spacing w:val="0"/>
                <w:w w:val="100"/>
                <w:position w:val="0"/>
                <w:sz w:val="21"/>
                <w:szCs w:val="21"/>
                <w:highlight w:val="none"/>
                <w:vertAlign w:val="superscript"/>
                <w:lang w:val="en-US" w:eastAsia="zh-CN"/>
              </w:rPr>
              <w:t>3</w:t>
            </w:r>
            <w:r>
              <w:rPr>
                <w:rFonts w:hint="eastAsia"/>
                <w:color w:val="auto"/>
                <w:lang w:val="en-US" w:eastAsia="zh-CN"/>
              </w:rPr>
              <w:t>沉淀</w:t>
            </w:r>
            <w:r>
              <w:rPr>
                <w:rFonts w:hint="eastAsia"/>
                <w:color w:val="auto"/>
              </w:rPr>
              <w:t>水池，</w:t>
            </w:r>
            <w:r>
              <w:rPr>
                <w:rFonts w:hint="eastAsia"/>
                <w:color w:val="auto"/>
                <w:lang w:val="en-US" w:eastAsia="zh-CN"/>
              </w:rPr>
              <w:t>生产</w:t>
            </w:r>
            <w:r>
              <w:rPr>
                <w:rFonts w:hint="eastAsia"/>
                <w:color w:val="auto"/>
              </w:rPr>
              <w:t>废水经沉淀处理后循环使用</w:t>
            </w:r>
            <w:r>
              <w:rPr>
                <w:rFonts w:hint="eastAsia"/>
                <w:color w:val="auto"/>
                <w:lang w:eastAsia="zh-CN"/>
              </w:rPr>
              <w:t>，</w:t>
            </w:r>
            <w:r>
              <w:rPr>
                <w:rFonts w:hint="eastAsia"/>
                <w:color w:val="auto"/>
                <w:lang w:val="en-US" w:eastAsia="zh-CN"/>
              </w:rPr>
              <w:t>可满足生产需求；冷却水经循环水池冷却后循环利用。</w:t>
            </w:r>
          </w:p>
          <w:p w14:paraId="0D6C71B1">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ascii="Times New Roman" w:hAnsi="Times New Roman" w:eastAsia="宋体" w:cs="宋体"/>
                <w:smallCaps w:val="0"/>
                <w:color w:val="auto"/>
                <w:spacing w:val="0"/>
                <w:w w:val="100"/>
                <w:position w:val="0"/>
                <w:sz w:val="21"/>
                <w:szCs w:val="21"/>
                <w:highlight w:val="none"/>
                <w:lang w:eastAsia="zh-CN"/>
              </w:rPr>
              <w:t>生活污水经</w:t>
            </w:r>
            <w:r>
              <w:rPr>
                <w:rFonts w:hint="eastAsia" w:cs="宋体"/>
                <w:smallCaps w:val="0"/>
                <w:color w:val="auto"/>
                <w:spacing w:val="0"/>
                <w:w w:val="100"/>
                <w:position w:val="0"/>
                <w:sz w:val="21"/>
                <w:szCs w:val="21"/>
                <w:highlight w:val="none"/>
                <w:lang w:val="en-US" w:eastAsia="zh-CN"/>
              </w:rPr>
              <w:t>5m</w:t>
            </w:r>
            <w:r>
              <w:rPr>
                <w:rFonts w:hint="eastAsia" w:cs="宋体"/>
                <w:smallCaps w:val="0"/>
                <w:color w:val="auto"/>
                <w:spacing w:val="0"/>
                <w:w w:val="100"/>
                <w:position w:val="0"/>
                <w:sz w:val="21"/>
                <w:szCs w:val="21"/>
                <w:highlight w:val="none"/>
                <w:vertAlign w:val="superscript"/>
                <w:lang w:val="en-US" w:eastAsia="zh-CN"/>
              </w:rPr>
              <w:t>3</w:t>
            </w:r>
            <w:r>
              <w:rPr>
                <w:rFonts w:hint="eastAsia" w:cs="宋体"/>
                <w:smallCaps w:val="0"/>
                <w:color w:val="auto"/>
                <w:spacing w:val="0"/>
                <w:w w:val="100"/>
                <w:position w:val="0"/>
                <w:sz w:val="21"/>
                <w:szCs w:val="21"/>
                <w:highlight w:val="none"/>
                <w:lang w:val="en-US" w:eastAsia="zh-CN"/>
              </w:rPr>
              <w:t>/d</w:t>
            </w:r>
            <w:r>
              <w:rPr>
                <w:rFonts w:hint="eastAsia" w:cs="宋体"/>
                <w:smallCaps w:val="0"/>
                <w:color w:val="auto"/>
                <w:spacing w:val="0"/>
                <w:w w:val="100"/>
                <w:position w:val="0"/>
                <w:sz w:val="21"/>
                <w:szCs w:val="21"/>
                <w:highlight w:val="none"/>
                <w:lang w:eastAsia="zh-CN"/>
              </w:rPr>
              <w:t>地埋式一体化</w:t>
            </w:r>
            <w:r>
              <w:rPr>
                <w:rFonts w:hint="eastAsia" w:ascii="Times New Roman" w:hAnsi="Times New Roman" w:eastAsia="宋体" w:cs="宋体"/>
                <w:smallCaps w:val="0"/>
                <w:color w:val="auto"/>
                <w:spacing w:val="0"/>
                <w:w w:val="100"/>
                <w:position w:val="0"/>
                <w:sz w:val="21"/>
                <w:szCs w:val="21"/>
                <w:highlight w:val="none"/>
                <w:lang w:eastAsia="zh-CN"/>
              </w:rPr>
              <w:t>污水处理设施处理后</w:t>
            </w:r>
            <w:r>
              <w:rPr>
                <w:rFonts w:hint="default" w:ascii="Times New Roman" w:hAnsi="Times New Roman" w:eastAsia="宋体" w:cs="Times New Roman"/>
                <w:color w:val="auto"/>
                <w:spacing w:val="0"/>
                <w:w w:val="100"/>
                <w:sz w:val="21"/>
                <w:szCs w:val="21"/>
                <w:lang w:eastAsia="zh-CN"/>
              </w:rPr>
              <w:t>排入下水管网，最终进入乌雪特乡污水处理站</w:t>
            </w:r>
          </w:p>
        </w:tc>
        <w:tc>
          <w:tcPr>
            <w:tcW w:w="393" w:type="pct"/>
            <w:noWrap w:val="0"/>
            <w:vAlign w:val="center"/>
          </w:tcPr>
          <w:p w14:paraId="61E516C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w:t>
            </w:r>
          </w:p>
        </w:tc>
      </w:tr>
      <w:tr w14:paraId="76885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 w:hRule="atLeast"/>
          <w:jc w:val="center"/>
        </w:trPr>
        <w:tc>
          <w:tcPr>
            <w:tcW w:w="456" w:type="pct"/>
            <w:vMerge w:val="continue"/>
            <w:noWrap w:val="0"/>
            <w:vAlign w:val="center"/>
          </w:tcPr>
          <w:p w14:paraId="4CDB61C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noWrap w:val="0"/>
            <w:vAlign w:val="center"/>
          </w:tcPr>
          <w:p w14:paraId="02FBC0B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rPr>
              <w:t>供热</w:t>
            </w:r>
          </w:p>
        </w:tc>
        <w:tc>
          <w:tcPr>
            <w:tcW w:w="3444" w:type="pct"/>
            <w:noWrap w:val="0"/>
            <w:vAlign w:val="center"/>
          </w:tcPr>
          <w:p w14:paraId="236D6CE5">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员工生活用热采用电加热</w:t>
            </w:r>
            <w:r>
              <w:rPr>
                <w:rFonts w:hint="eastAsia"/>
                <w:color w:val="auto"/>
                <w:lang w:val="en-US" w:eastAsia="zh-CN"/>
              </w:rPr>
              <w:t>器</w:t>
            </w:r>
          </w:p>
        </w:tc>
        <w:tc>
          <w:tcPr>
            <w:tcW w:w="393" w:type="pct"/>
            <w:noWrap w:val="0"/>
            <w:vAlign w:val="center"/>
          </w:tcPr>
          <w:p w14:paraId="4949E8E1">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w:t>
            </w:r>
          </w:p>
        </w:tc>
      </w:tr>
      <w:tr w14:paraId="2DB08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56" w:type="pct"/>
            <w:vMerge w:val="restart"/>
            <w:noWrap w:val="0"/>
            <w:vAlign w:val="center"/>
          </w:tcPr>
          <w:p w14:paraId="4929A2F1">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rPr>
              <w:t>环保工程</w:t>
            </w:r>
          </w:p>
        </w:tc>
        <w:tc>
          <w:tcPr>
            <w:tcW w:w="310" w:type="pct"/>
            <w:vMerge w:val="restart"/>
            <w:noWrap w:val="0"/>
            <w:vAlign w:val="center"/>
          </w:tcPr>
          <w:p w14:paraId="3E0E6ED0">
            <w:pPr>
              <w:pStyle w:val="63"/>
              <w:keepNext w:val="0"/>
              <w:keepLines w:val="0"/>
              <w:pageBreakBefore w:val="0"/>
              <w:kinsoku/>
              <w:wordWrap/>
              <w:topLinePunct w:val="0"/>
              <w:autoSpaceDE w:val="0"/>
              <w:autoSpaceDN w:val="0"/>
              <w:bidi w:val="0"/>
              <w:snapToGrid/>
              <w:spacing w:line="240" w:lineRule="auto"/>
              <w:ind w:firstLine="0" w:firstLineChars="0"/>
              <w:rPr>
                <w:color w:val="auto"/>
              </w:rPr>
            </w:pPr>
            <w:r>
              <w:rPr>
                <w:rFonts w:hint="eastAsia"/>
                <w:color w:val="auto"/>
              </w:rPr>
              <w:t>废气治理</w:t>
            </w:r>
          </w:p>
        </w:tc>
        <w:tc>
          <w:tcPr>
            <w:tcW w:w="395" w:type="pct"/>
            <w:noWrap w:val="0"/>
            <w:vAlign w:val="center"/>
          </w:tcPr>
          <w:p w14:paraId="108ECF31">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有组织</w:t>
            </w:r>
          </w:p>
        </w:tc>
        <w:tc>
          <w:tcPr>
            <w:tcW w:w="3444" w:type="pct"/>
            <w:noWrap w:val="0"/>
            <w:vAlign w:val="center"/>
          </w:tcPr>
          <w:p w14:paraId="24F974DC">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val="en-US" w:eastAsia="zh-CN"/>
              </w:rPr>
              <w:t>加工车间和</w:t>
            </w:r>
            <w:r>
              <w:rPr>
                <w:rFonts w:hint="eastAsia"/>
                <w:color w:val="auto"/>
                <w:lang w:eastAsia="zh-CN"/>
              </w:rPr>
              <w:t>造粒车间有机废气收集后经一套“催化燃烧（RCO）”处理后由</w:t>
            </w:r>
            <w:r>
              <w:rPr>
                <w:color w:val="auto"/>
              </w:rPr>
              <w:t>15m高排气筒</w:t>
            </w:r>
            <w:r>
              <w:rPr>
                <w:rFonts w:hint="eastAsia"/>
                <w:color w:val="auto"/>
                <w:lang w:eastAsia="zh-CN"/>
              </w:rPr>
              <w:t>（</w:t>
            </w:r>
            <w:r>
              <w:rPr>
                <w:rFonts w:hint="eastAsia"/>
                <w:color w:val="auto"/>
                <w:lang w:val="en-US" w:eastAsia="zh-CN"/>
              </w:rPr>
              <w:t>DA001</w:t>
            </w:r>
            <w:r>
              <w:rPr>
                <w:rFonts w:hint="eastAsia"/>
                <w:color w:val="auto"/>
                <w:lang w:eastAsia="zh-CN"/>
              </w:rPr>
              <w:t>）</w:t>
            </w:r>
            <w:r>
              <w:rPr>
                <w:color w:val="auto"/>
              </w:rPr>
              <w:t>排放</w:t>
            </w:r>
          </w:p>
        </w:tc>
        <w:tc>
          <w:tcPr>
            <w:tcW w:w="393" w:type="pct"/>
            <w:noWrap w:val="0"/>
            <w:vAlign w:val="center"/>
          </w:tcPr>
          <w:p w14:paraId="16F49503">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val="en-US" w:eastAsia="zh-CN"/>
              </w:rPr>
              <w:t>新建</w:t>
            </w:r>
          </w:p>
        </w:tc>
      </w:tr>
      <w:tr w14:paraId="58AFB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56" w:type="pct"/>
            <w:vMerge w:val="continue"/>
            <w:noWrap w:val="0"/>
            <w:vAlign w:val="center"/>
          </w:tcPr>
          <w:p w14:paraId="49877058">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p>
        </w:tc>
        <w:tc>
          <w:tcPr>
            <w:tcW w:w="310" w:type="pct"/>
            <w:vMerge w:val="continue"/>
            <w:noWrap w:val="0"/>
            <w:vAlign w:val="center"/>
          </w:tcPr>
          <w:p w14:paraId="0C1C079E">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95" w:type="pct"/>
            <w:vMerge w:val="restart"/>
            <w:noWrap w:val="0"/>
            <w:vAlign w:val="center"/>
          </w:tcPr>
          <w:p w14:paraId="5605BA4C">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无组织</w:t>
            </w:r>
          </w:p>
        </w:tc>
        <w:tc>
          <w:tcPr>
            <w:tcW w:w="3444" w:type="pct"/>
            <w:noWrap w:val="0"/>
            <w:vAlign w:val="center"/>
          </w:tcPr>
          <w:p w14:paraId="78B133D9">
            <w:pPr>
              <w:pStyle w:val="84"/>
              <w:keepNext w:val="0"/>
              <w:keepLines w:val="0"/>
              <w:pageBreakBefore w:val="0"/>
              <w:widowControl w:val="0"/>
              <w:shd w:val="clear" w:color="auto" w:fill="auto"/>
              <w:kinsoku/>
              <w:wordWrap/>
              <w:topLinePunct w:val="0"/>
              <w:autoSpaceDE w:val="0"/>
              <w:autoSpaceDN w:val="0"/>
              <w:bidi w:val="0"/>
              <w:snapToGrid/>
              <w:spacing w:before="0" w:after="0" w:line="317" w:lineRule="exact"/>
              <w:ind w:left="0" w:leftChars="0" w:right="0" w:rightChars="0" w:firstLine="0" w:firstLineChars="0"/>
              <w:jc w:val="center"/>
              <w:rPr>
                <w:rFonts w:hint="eastAsia"/>
                <w:color w:val="auto"/>
                <w:lang w:eastAsia="zh-CN"/>
              </w:rPr>
            </w:pPr>
            <w:r>
              <w:rPr>
                <w:rFonts w:hint="eastAsia" w:ascii="Times New Roman" w:hAnsi="Times New Roman" w:eastAsia="宋体" w:cs="宋体"/>
                <w:smallCaps w:val="0"/>
                <w:color w:val="auto"/>
                <w:sz w:val="21"/>
                <w:szCs w:val="21"/>
                <w:highlight w:val="none"/>
                <w:lang w:val="en-US" w:eastAsia="zh-CN"/>
              </w:rPr>
              <w:t>废旧</w:t>
            </w:r>
            <w:r>
              <w:rPr>
                <w:rFonts w:hint="eastAsia" w:ascii="Times New Roman" w:hAnsi="Times New Roman" w:eastAsia="宋体" w:cs="宋体"/>
                <w:smallCaps w:val="0"/>
                <w:color w:val="auto"/>
                <w:sz w:val="21"/>
                <w:szCs w:val="21"/>
                <w:highlight w:val="none"/>
              </w:rPr>
              <w:t>滴灌带破碎采用湿法破碎</w:t>
            </w:r>
          </w:p>
        </w:tc>
        <w:tc>
          <w:tcPr>
            <w:tcW w:w="393" w:type="pct"/>
            <w:vMerge w:val="restart"/>
            <w:noWrap w:val="0"/>
            <w:vAlign w:val="center"/>
          </w:tcPr>
          <w:p w14:paraId="1E0FD6C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55DAA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 w:hRule="atLeast"/>
          <w:jc w:val="center"/>
        </w:trPr>
        <w:tc>
          <w:tcPr>
            <w:tcW w:w="456" w:type="pct"/>
            <w:vMerge w:val="continue"/>
            <w:noWrap w:val="0"/>
            <w:vAlign w:val="center"/>
          </w:tcPr>
          <w:p w14:paraId="493E30B3">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eastAsia="zh-CN"/>
              </w:rPr>
            </w:pPr>
          </w:p>
        </w:tc>
        <w:tc>
          <w:tcPr>
            <w:tcW w:w="310" w:type="pct"/>
            <w:vMerge w:val="continue"/>
            <w:noWrap w:val="0"/>
            <w:vAlign w:val="center"/>
          </w:tcPr>
          <w:p w14:paraId="576FFE8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95" w:type="pct"/>
            <w:vMerge w:val="continue"/>
            <w:noWrap w:val="0"/>
            <w:vAlign w:val="center"/>
          </w:tcPr>
          <w:p w14:paraId="7C2A8F8C">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eastAsia="zh-CN"/>
              </w:rPr>
            </w:pPr>
          </w:p>
        </w:tc>
        <w:tc>
          <w:tcPr>
            <w:tcW w:w="3444" w:type="pct"/>
            <w:noWrap w:val="0"/>
            <w:vAlign w:val="center"/>
          </w:tcPr>
          <w:p w14:paraId="7683B68B">
            <w:pPr>
              <w:pStyle w:val="84"/>
              <w:keepNext w:val="0"/>
              <w:keepLines w:val="0"/>
              <w:pageBreakBefore w:val="0"/>
              <w:widowControl w:val="0"/>
              <w:shd w:val="clear" w:color="auto" w:fill="auto"/>
              <w:kinsoku/>
              <w:wordWrap/>
              <w:topLinePunct w:val="0"/>
              <w:autoSpaceDE w:val="0"/>
              <w:autoSpaceDN w:val="0"/>
              <w:bidi w:val="0"/>
              <w:snapToGrid/>
              <w:spacing w:before="0" w:after="0" w:line="317" w:lineRule="exact"/>
              <w:ind w:left="0" w:leftChars="0" w:right="0" w:rightChars="0" w:firstLine="0" w:firstLineChars="0"/>
              <w:jc w:val="center"/>
              <w:rPr>
                <w:rFonts w:hint="eastAsia"/>
                <w:color w:val="auto"/>
                <w:lang w:eastAsia="zh-CN"/>
              </w:rPr>
            </w:pPr>
            <w:r>
              <w:rPr>
                <w:rFonts w:hint="eastAsia" w:ascii="Times New Roman" w:hAnsi="Times New Roman" w:eastAsia="宋体" w:cs="宋体"/>
                <w:smallCaps w:val="0"/>
                <w:color w:val="auto"/>
                <w:sz w:val="21"/>
                <w:szCs w:val="21"/>
                <w:highlight w:val="none"/>
                <w:lang w:val="en-US" w:eastAsia="zh-CN"/>
              </w:rPr>
              <w:t>项目</w:t>
            </w:r>
            <w:r>
              <w:rPr>
                <w:rFonts w:hint="eastAsia" w:ascii="Times New Roman" w:hAnsi="Times New Roman" w:cs="宋体"/>
                <w:smallCaps w:val="0"/>
                <w:color w:val="auto"/>
                <w:sz w:val="21"/>
                <w:szCs w:val="21"/>
                <w:highlight w:val="none"/>
                <w:lang w:val="en-US" w:eastAsia="zh-CN"/>
              </w:rPr>
              <w:t>设置密闭式集气罩，负压收集</w:t>
            </w:r>
          </w:p>
        </w:tc>
        <w:tc>
          <w:tcPr>
            <w:tcW w:w="393" w:type="pct"/>
            <w:vMerge w:val="continue"/>
            <w:noWrap w:val="0"/>
            <w:vAlign w:val="center"/>
          </w:tcPr>
          <w:p w14:paraId="1992262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p>
        </w:tc>
      </w:tr>
      <w:tr w14:paraId="0B9B8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56" w:type="pct"/>
            <w:vMerge w:val="continue"/>
            <w:noWrap w:val="0"/>
            <w:vAlign w:val="center"/>
          </w:tcPr>
          <w:p w14:paraId="28672AD5">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eastAsia="zh-CN"/>
              </w:rPr>
            </w:pPr>
          </w:p>
        </w:tc>
        <w:tc>
          <w:tcPr>
            <w:tcW w:w="310" w:type="pct"/>
            <w:vMerge w:val="continue"/>
            <w:noWrap w:val="0"/>
            <w:vAlign w:val="center"/>
          </w:tcPr>
          <w:p w14:paraId="5BDE1158">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95" w:type="pct"/>
            <w:vMerge w:val="continue"/>
            <w:noWrap w:val="0"/>
            <w:vAlign w:val="center"/>
          </w:tcPr>
          <w:p w14:paraId="5FADA93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eastAsia="zh-CN"/>
              </w:rPr>
            </w:pPr>
          </w:p>
        </w:tc>
        <w:tc>
          <w:tcPr>
            <w:tcW w:w="3444" w:type="pct"/>
            <w:noWrap w:val="0"/>
            <w:vAlign w:val="center"/>
          </w:tcPr>
          <w:p w14:paraId="26324410">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eastAsia"/>
                <w:color w:val="auto"/>
                <w:lang w:eastAsia="zh-CN"/>
              </w:rPr>
            </w:pPr>
            <w:r>
              <w:rPr>
                <w:rFonts w:hint="eastAsia" w:ascii="Times New Roman" w:hAnsi="Times New Roman" w:cs="宋体"/>
                <w:smallCaps w:val="0"/>
                <w:color w:val="auto"/>
                <w:sz w:val="21"/>
                <w:szCs w:val="21"/>
                <w:highlight w:val="none"/>
                <w:lang w:val="en-US" w:eastAsia="zh-CN"/>
              </w:rPr>
              <w:t>原料堆放过程洒水降尘</w:t>
            </w:r>
          </w:p>
        </w:tc>
        <w:tc>
          <w:tcPr>
            <w:tcW w:w="393" w:type="pct"/>
            <w:vMerge w:val="continue"/>
            <w:noWrap w:val="0"/>
            <w:vAlign w:val="center"/>
          </w:tcPr>
          <w:p w14:paraId="298C7E84">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p>
        </w:tc>
      </w:tr>
      <w:tr w14:paraId="42B6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56" w:type="pct"/>
            <w:vMerge w:val="continue"/>
            <w:noWrap w:val="0"/>
            <w:vAlign w:val="center"/>
          </w:tcPr>
          <w:p w14:paraId="490CD737">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vMerge w:val="restart"/>
            <w:noWrap w:val="0"/>
            <w:vAlign w:val="center"/>
          </w:tcPr>
          <w:p w14:paraId="202C0562">
            <w:pPr>
              <w:pStyle w:val="63"/>
              <w:keepNext w:val="0"/>
              <w:keepLines w:val="0"/>
              <w:pageBreakBefore w:val="0"/>
              <w:kinsoku/>
              <w:wordWrap/>
              <w:topLinePunct w:val="0"/>
              <w:autoSpaceDE w:val="0"/>
              <w:autoSpaceDN w:val="0"/>
              <w:bidi w:val="0"/>
              <w:snapToGrid/>
              <w:spacing w:line="240" w:lineRule="auto"/>
              <w:ind w:firstLine="0" w:firstLineChars="0"/>
              <w:rPr>
                <w:color w:val="auto"/>
              </w:rPr>
            </w:pPr>
            <w:r>
              <w:rPr>
                <w:rFonts w:hint="eastAsia"/>
                <w:color w:val="auto"/>
              </w:rPr>
              <w:t>废水治理</w:t>
            </w:r>
          </w:p>
        </w:tc>
        <w:tc>
          <w:tcPr>
            <w:tcW w:w="3444" w:type="pct"/>
            <w:noWrap w:val="0"/>
            <w:vAlign w:val="center"/>
          </w:tcPr>
          <w:p w14:paraId="7B1DFA87">
            <w:pPr>
              <w:pStyle w:val="63"/>
              <w:keepNext w:val="0"/>
              <w:keepLines w:val="0"/>
              <w:pageBreakBefore w:val="0"/>
              <w:kinsoku/>
              <w:wordWrap/>
              <w:topLinePunct w:val="0"/>
              <w:autoSpaceDE w:val="0"/>
              <w:autoSpaceDN w:val="0"/>
              <w:bidi w:val="0"/>
              <w:snapToGrid/>
              <w:spacing w:line="240" w:lineRule="auto"/>
              <w:ind w:firstLine="0" w:firstLineChars="0"/>
              <w:rPr>
                <w:rFonts w:hint="default" w:eastAsia="宋体"/>
                <w:color w:val="auto"/>
                <w:lang w:val="en-US" w:eastAsia="zh-CN"/>
              </w:rPr>
            </w:pPr>
            <w:r>
              <w:rPr>
                <w:rFonts w:hint="eastAsia"/>
                <w:color w:val="auto"/>
                <w:lang w:val="en-US" w:eastAsia="zh-CN"/>
              </w:rPr>
              <w:t>清洗废水</w:t>
            </w:r>
            <w:r>
              <w:rPr>
                <w:color w:val="auto"/>
              </w:rPr>
              <w:t>经</w:t>
            </w:r>
            <w:r>
              <w:rPr>
                <w:rFonts w:hint="eastAsia"/>
                <w:color w:val="auto"/>
                <w:lang w:val="en-US" w:eastAsia="zh-CN"/>
              </w:rPr>
              <w:t>清洗废水</w:t>
            </w:r>
            <w:r>
              <w:rPr>
                <w:color w:val="auto"/>
              </w:rPr>
              <w:t>循环沉淀池</w:t>
            </w:r>
            <w:r>
              <w:rPr>
                <w:rFonts w:hint="eastAsia"/>
                <w:color w:val="auto"/>
                <w:lang w:val="en-US" w:eastAsia="zh-CN"/>
              </w:rPr>
              <w:t>循环使用不外排</w:t>
            </w:r>
          </w:p>
        </w:tc>
        <w:tc>
          <w:tcPr>
            <w:tcW w:w="393" w:type="pct"/>
            <w:noWrap w:val="0"/>
            <w:vAlign w:val="center"/>
          </w:tcPr>
          <w:p w14:paraId="173C7C2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r>
              <w:rPr>
                <w:rFonts w:hint="eastAsia"/>
                <w:color w:val="auto"/>
                <w:lang w:val="en-US" w:eastAsia="zh-CN"/>
              </w:rPr>
              <w:t>新建</w:t>
            </w:r>
          </w:p>
        </w:tc>
      </w:tr>
      <w:tr w14:paraId="586DD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56" w:type="pct"/>
            <w:vMerge w:val="continue"/>
            <w:noWrap w:val="0"/>
            <w:vAlign w:val="center"/>
          </w:tcPr>
          <w:p w14:paraId="1F70BF0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vMerge w:val="continue"/>
            <w:noWrap w:val="0"/>
            <w:vAlign w:val="center"/>
          </w:tcPr>
          <w:p w14:paraId="1F4C70B7">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444" w:type="pct"/>
            <w:noWrap w:val="0"/>
            <w:vAlign w:val="center"/>
          </w:tcPr>
          <w:p w14:paraId="68C4EBC8">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eastAsia="zh-CN"/>
              </w:rPr>
            </w:pPr>
            <w:r>
              <w:rPr>
                <w:rFonts w:hint="eastAsia" w:ascii="Times New Roman" w:hAnsi="Times New Roman" w:cs="宋体"/>
                <w:smallCaps w:val="0"/>
                <w:color w:val="auto"/>
                <w:spacing w:val="0"/>
                <w:w w:val="100"/>
                <w:position w:val="0"/>
                <w:sz w:val="21"/>
                <w:szCs w:val="21"/>
                <w:highlight w:val="none"/>
                <w:lang w:eastAsia="zh-CN"/>
              </w:rPr>
              <w:t>生活污水经</w:t>
            </w:r>
            <w:r>
              <w:rPr>
                <w:rFonts w:hint="eastAsia" w:cs="宋体"/>
                <w:smallCaps w:val="0"/>
                <w:color w:val="auto"/>
                <w:spacing w:val="0"/>
                <w:w w:val="100"/>
                <w:position w:val="0"/>
                <w:sz w:val="21"/>
                <w:szCs w:val="21"/>
                <w:highlight w:val="none"/>
                <w:lang w:val="en-US" w:eastAsia="zh-CN"/>
              </w:rPr>
              <w:t>5m</w:t>
            </w:r>
            <w:r>
              <w:rPr>
                <w:rFonts w:hint="eastAsia" w:cs="宋体"/>
                <w:smallCaps w:val="0"/>
                <w:color w:val="auto"/>
                <w:spacing w:val="0"/>
                <w:w w:val="100"/>
                <w:position w:val="0"/>
                <w:sz w:val="21"/>
                <w:szCs w:val="21"/>
                <w:highlight w:val="none"/>
                <w:vertAlign w:val="superscript"/>
                <w:lang w:val="en-US" w:eastAsia="zh-CN"/>
              </w:rPr>
              <w:t>3</w:t>
            </w:r>
            <w:r>
              <w:rPr>
                <w:rFonts w:hint="eastAsia" w:cs="宋体"/>
                <w:smallCaps w:val="0"/>
                <w:color w:val="auto"/>
                <w:spacing w:val="0"/>
                <w:w w:val="100"/>
                <w:position w:val="0"/>
                <w:sz w:val="21"/>
                <w:szCs w:val="21"/>
                <w:highlight w:val="none"/>
                <w:lang w:val="en-US" w:eastAsia="zh-CN"/>
              </w:rPr>
              <w:t>/d</w:t>
            </w:r>
            <w:r>
              <w:rPr>
                <w:rFonts w:hint="eastAsia" w:cs="宋体"/>
                <w:smallCaps w:val="0"/>
                <w:color w:val="auto"/>
                <w:spacing w:val="0"/>
                <w:w w:val="100"/>
                <w:position w:val="0"/>
                <w:sz w:val="21"/>
                <w:szCs w:val="21"/>
                <w:highlight w:val="none"/>
                <w:lang w:eastAsia="zh-CN"/>
              </w:rPr>
              <w:t>地埋式一体化</w:t>
            </w:r>
            <w:r>
              <w:rPr>
                <w:rFonts w:hint="eastAsia" w:ascii="Times New Roman" w:hAnsi="Times New Roman" w:eastAsia="宋体" w:cs="宋体"/>
                <w:smallCaps w:val="0"/>
                <w:color w:val="auto"/>
                <w:spacing w:val="0"/>
                <w:w w:val="100"/>
                <w:position w:val="0"/>
                <w:sz w:val="21"/>
                <w:szCs w:val="21"/>
                <w:highlight w:val="none"/>
                <w:lang w:eastAsia="zh-CN"/>
              </w:rPr>
              <w:t>污水处理设施处理后</w:t>
            </w:r>
            <w:r>
              <w:rPr>
                <w:rFonts w:hint="default" w:ascii="Times New Roman" w:hAnsi="Times New Roman" w:eastAsia="宋体" w:cs="Times New Roman"/>
                <w:color w:val="auto"/>
                <w:spacing w:val="0"/>
                <w:w w:val="100"/>
                <w:sz w:val="21"/>
                <w:szCs w:val="21"/>
                <w:lang w:eastAsia="zh-CN"/>
              </w:rPr>
              <w:t>排入下水管网，最终进入乌雪特乡污水处理站</w:t>
            </w:r>
          </w:p>
        </w:tc>
        <w:tc>
          <w:tcPr>
            <w:tcW w:w="393" w:type="pct"/>
            <w:noWrap w:val="0"/>
            <w:vAlign w:val="center"/>
          </w:tcPr>
          <w:p w14:paraId="1981F30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53CC7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56" w:type="pct"/>
            <w:vMerge w:val="continue"/>
            <w:noWrap w:val="0"/>
            <w:vAlign w:val="center"/>
          </w:tcPr>
          <w:p w14:paraId="33F2812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shd w:val="clear" w:color="auto" w:fill="auto"/>
            <w:noWrap w:val="0"/>
            <w:vAlign w:val="center"/>
          </w:tcPr>
          <w:p w14:paraId="3F259DA1">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lang w:val="en-US" w:eastAsia="zh-CN" w:bidi="ar-SA"/>
              </w:rPr>
            </w:pPr>
            <w:r>
              <w:rPr>
                <w:rFonts w:hint="eastAsia"/>
                <w:color w:val="auto"/>
              </w:rPr>
              <w:t>噪声治理</w:t>
            </w:r>
          </w:p>
        </w:tc>
        <w:tc>
          <w:tcPr>
            <w:tcW w:w="3444" w:type="pct"/>
            <w:shd w:val="clear" w:color="auto" w:fill="auto"/>
            <w:noWrap w:val="0"/>
            <w:vAlign w:val="center"/>
          </w:tcPr>
          <w:p w14:paraId="58CA44BA">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lang w:val="en-US" w:eastAsia="zh-CN" w:bidi="ar-SA"/>
              </w:rPr>
            </w:pPr>
            <w:r>
              <w:rPr>
                <w:rFonts w:hint="eastAsia"/>
                <w:color w:val="auto"/>
              </w:rPr>
              <w:t>设备基础安装减振软垫或阻尼弹簧减振器，风机等设备采取隔声、减振、降噪等措施</w:t>
            </w:r>
          </w:p>
        </w:tc>
        <w:tc>
          <w:tcPr>
            <w:tcW w:w="393" w:type="pct"/>
            <w:noWrap w:val="0"/>
            <w:vAlign w:val="center"/>
          </w:tcPr>
          <w:p w14:paraId="3D79D249">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0092A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56" w:type="pct"/>
            <w:vMerge w:val="continue"/>
            <w:noWrap w:val="0"/>
            <w:vAlign w:val="center"/>
          </w:tcPr>
          <w:p w14:paraId="5CC6328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10" w:type="pct"/>
            <w:vMerge w:val="restart"/>
            <w:shd w:val="clear" w:color="auto" w:fill="auto"/>
            <w:noWrap w:val="0"/>
            <w:vAlign w:val="center"/>
          </w:tcPr>
          <w:p w14:paraId="729364B8">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lang w:val="en-US" w:eastAsia="zh-CN" w:bidi="ar-SA"/>
              </w:rPr>
            </w:pPr>
            <w:r>
              <w:rPr>
                <w:rFonts w:hint="eastAsia"/>
                <w:color w:val="auto"/>
              </w:rPr>
              <w:t>固废处置</w:t>
            </w:r>
          </w:p>
        </w:tc>
        <w:tc>
          <w:tcPr>
            <w:tcW w:w="395" w:type="pct"/>
            <w:shd w:val="clear" w:color="auto" w:fill="auto"/>
            <w:noWrap w:val="0"/>
            <w:vAlign w:val="center"/>
          </w:tcPr>
          <w:p w14:paraId="33652D1F">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一般固废</w:t>
            </w:r>
          </w:p>
        </w:tc>
        <w:tc>
          <w:tcPr>
            <w:tcW w:w="3444" w:type="pct"/>
            <w:shd w:val="clear" w:color="auto" w:fill="auto"/>
            <w:noWrap w:val="0"/>
            <w:vAlign w:val="center"/>
          </w:tcPr>
          <w:p w14:paraId="26E02A94">
            <w:pPr>
              <w:keepNext w:val="0"/>
              <w:keepLines w:val="0"/>
              <w:pageBreakBefore w:val="0"/>
              <w:widowControl w:val="0"/>
              <w:kinsoku/>
              <w:wordWrap/>
              <w:overflowPunct/>
              <w:topLinePunct w:val="0"/>
              <w:autoSpaceDE w:val="0"/>
              <w:autoSpaceDN w:val="0"/>
              <w:bidi w:val="0"/>
              <w:adjustRightInd/>
              <w:snapToGrid/>
              <w:spacing w:line="240" w:lineRule="auto"/>
              <w:ind w:firstLine="0" w:firstLineChars="0"/>
              <w:jc w:val="center"/>
              <w:textAlignment w:val="auto"/>
              <w:rPr>
                <w:rFonts w:hint="eastAsia" w:ascii="Times New Roman" w:hAnsi="Times New Roman" w:eastAsia="宋体" w:cs="Times New Roman"/>
                <w:color w:val="auto"/>
                <w:sz w:val="21"/>
                <w:lang w:val="en-US" w:eastAsia="zh-CN" w:bidi="ar-SA"/>
              </w:rPr>
            </w:pPr>
            <w:r>
              <w:rPr>
                <w:rFonts w:hint="default" w:ascii="Times New Roman" w:hAnsi="Times New Roman" w:eastAsia="宋体" w:cs="Times New Roman"/>
                <w:color w:val="auto"/>
                <w:sz w:val="21"/>
                <w:szCs w:val="20"/>
                <w:lang w:val="en-US" w:eastAsia="zh-CN" w:bidi="ar-SA"/>
              </w:rPr>
              <w:t>分拣废物</w:t>
            </w:r>
            <w:r>
              <w:rPr>
                <w:rFonts w:hint="eastAsia" w:ascii="Times New Roman" w:hAnsi="Times New Roman" w:eastAsia="宋体" w:cs="Times New Roman"/>
                <w:color w:val="auto"/>
                <w:sz w:val="21"/>
                <w:szCs w:val="20"/>
                <w:lang w:val="en-US" w:eastAsia="zh-CN" w:bidi="ar-SA"/>
              </w:rPr>
              <w:t>集中收集后</w:t>
            </w:r>
            <w:r>
              <w:rPr>
                <w:rFonts w:hint="eastAsia" w:cs="Times New Roman"/>
                <w:color w:val="auto"/>
                <w:sz w:val="21"/>
                <w:szCs w:val="20"/>
                <w:lang w:val="en-US" w:eastAsia="zh-CN" w:bidi="ar-SA"/>
              </w:rPr>
              <w:t>作为</w:t>
            </w:r>
            <w:r>
              <w:rPr>
                <w:rFonts w:hint="eastAsia" w:ascii="Times New Roman" w:hAnsi="Times New Roman" w:eastAsia="宋体" w:cs="Times New Roman"/>
                <w:color w:val="auto"/>
                <w:sz w:val="21"/>
                <w:szCs w:val="20"/>
                <w:lang w:val="en-US" w:eastAsia="zh-CN" w:bidi="ar-SA"/>
              </w:rPr>
              <w:t>建筑渣土运至固废填埋场处置；</w:t>
            </w:r>
            <w:r>
              <w:rPr>
                <w:rFonts w:hint="default" w:ascii="Times New Roman" w:hAnsi="Times New Roman" w:eastAsia="宋体" w:cs="Times New Roman"/>
                <w:color w:val="auto"/>
                <w:sz w:val="21"/>
                <w:szCs w:val="20"/>
                <w:lang w:val="en-US" w:eastAsia="zh-CN" w:bidi="ar-SA"/>
              </w:rPr>
              <w:t>沉淀池污泥</w:t>
            </w:r>
            <w:r>
              <w:rPr>
                <w:rFonts w:ascii="Times New Roman" w:hAnsi="Times New Roman" w:eastAsia="宋体" w:cs="Times New Roman"/>
                <w:color w:val="auto"/>
                <w:sz w:val="21"/>
                <w:szCs w:val="20"/>
                <w:lang w:val="en-US" w:eastAsia="zh-CN" w:bidi="ar-SA"/>
              </w:rPr>
              <w:t>自然干化后</w:t>
            </w:r>
            <w:r>
              <w:rPr>
                <w:rFonts w:hint="eastAsia" w:ascii="Times New Roman" w:hAnsi="Times New Roman" w:eastAsia="宋体" w:cs="Times New Roman"/>
                <w:color w:val="auto"/>
                <w:sz w:val="21"/>
                <w:szCs w:val="20"/>
                <w:lang w:val="en-US" w:eastAsia="zh-CN" w:bidi="ar-SA"/>
              </w:rPr>
              <w:t>运至一般固废填埋场处置；</w:t>
            </w:r>
            <w:r>
              <w:rPr>
                <w:rFonts w:hint="default" w:ascii="Times New Roman" w:hAnsi="Times New Roman" w:eastAsia="宋体" w:cs="Times New Roman"/>
                <w:color w:val="auto"/>
                <w:sz w:val="21"/>
                <w:szCs w:val="20"/>
                <w:lang w:val="en-US" w:eastAsia="zh-CN" w:bidi="ar-SA"/>
              </w:rPr>
              <w:t>不合格品收集后回用于生产</w:t>
            </w:r>
            <w:r>
              <w:rPr>
                <w:rFonts w:hint="eastAsia" w:cs="Times New Roman"/>
                <w:color w:val="auto"/>
                <w:sz w:val="21"/>
                <w:szCs w:val="20"/>
                <w:lang w:val="en-US" w:eastAsia="zh-CN" w:bidi="ar-SA"/>
              </w:rPr>
              <w:t>。</w:t>
            </w:r>
          </w:p>
        </w:tc>
        <w:tc>
          <w:tcPr>
            <w:tcW w:w="393" w:type="pct"/>
            <w:noWrap w:val="0"/>
            <w:vAlign w:val="center"/>
          </w:tcPr>
          <w:p w14:paraId="2E286B3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0C352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4" w:hRule="atLeast"/>
          <w:jc w:val="center"/>
        </w:trPr>
        <w:tc>
          <w:tcPr>
            <w:tcW w:w="456" w:type="pct"/>
            <w:vMerge w:val="continue"/>
            <w:noWrap w:val="0"/>
            <w:vAlign w:val="center"/>
          </w:tcPr>
          <w:p w14:paraId="448DB4DD">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10" w:type="pct"/>
            <w:vMerge w:val="continue"/>
            <w:shd w:val="clear" w:color="auto" w:fill="auto"/>
            <w:noWrap w:val="0"/>
            <w:vAlign w:val="center"/>
          </w:tcPr>
          <w:p w14:paraId="6959850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95" w:type="pct"/>
            <w:shd w:val="clear" w:color="auto" w:fill="auto"/>
            <w:noWrap w:val="0"/>
            <w:vAlign w:val="center"/>
          </w:tcPr>
          <w:p w14:paraId="043031A6">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生活垃圾</w:t>
            </w:r>
          </w:p>
        </w:tc>
        <w:tc>
          <w:tcPr>
            <w:tcW w:w="3444" w:type="pct"/>
            <w:shd w:val="clear" w:color="auto" w:fill="auto"/>
            <w:noWrap w:val="0"/>
            <w:vAlign w:val="center"/>
          </w:tcPr>
          <w:p w14:paraId="3280C328">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rPr>
              <w:t>生活垃圾集中收集后清运至生活垃圾填埋场处置</w:t>
            </w:r>
          </w:p>
        </w:tc>
        <w:tc>
          <w:tcPr>
            <w:tcW w:w="393" w:type="pct"/>
            <w:noWrap w:val="0"/>
            <w:vAlign w:val="center"/>
          </w:tcPr>
          <w:p w14:paraId="44362CD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2E295A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jc w:val="center"/>
        </w:trPr>
        <w:tc>
          <w:tcPr>
            <w:tcW w:w="456" w:type="pct"/>
            <w:vMerge w:val="continue"/>
            <w:noWrap w:val="0"/>
            <w:vAlign w:val="center"/>
          </w:tcPr>
          <w:p w14:paraId="00A7570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10" w:type="pct"/>
            <w:vMerge w:val="continue"/>
            <w:shd w:val="clear" w:color="auto" w:fill="auto"/>
            <w:noWrap w:val="0"/>
            <w:vAlign w:val="center"/>
          </w:tcPr>
          <w:p w14:paraId="4F4766A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395" w:type="pct"/>
            <w:shd w:val="clear" w:color="auto" w:fill="auto"/>
            <w:noWrap w:val="0"/>
            <w:vAlign w:val="center"/>
          </w:tcPr>
          <w:p w14:paraId="659290EB">
            <w:pPr>
              <w:pStyle w:val="63"/>
              <w:keepNext w:val="0"/>
              <w:keepLines w:val="0"/>
              <w:pageBreakBefore w:val="0"/>
              <w:kinsoku/>
              <w:wordWrap/>
              <w:topLinePunct w:val="0"/>
              <w:autoSpaceDE w:val="0"/>
              <w:autoSpaceDN w:val="0"/>
              <w:bidi w:val="0"/>
              <w:snapToGrid/>
              <w:spacing w:line="240" w:lineRule="auto"/>
              <w:ind w:firstLine="0" w:firstLineChars="0"/>
              <w:rPr>
                <w:rFonts w:hint="eastAsia" w:eastAsia="宋体"/>
                <w:color w:val="auto"/>
                <w:lang w:eastAsia="zh-CN"/>
              </w:rPr>
            </w:pPr>
            <w:r>
              <w:rPr>
                <w:rFonts w:hint="eastAsia"/>
                <w:color w:val="auto"/>
                <w:lang w:eastAsia="zh-CN"/>
              </w:rPr>
              <w:t>危险废物</w:t>
            </w:r>
          </w:p>
        </w:tc>
        <w:tc>
          <w:tcPr>
            <w:tcW w:w="3444" w:type="pct"/>
            <w:shd w:val="clear" w:color="auto" w:fill="auto"/>
            <w:noWrap w:val="0"/>
            <w:vAlign w:val="center"/>
          </w:tcPr>
          <w:p w14:paraId="502049EF">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default" w:ascii="Times New Roman" w:hAnsi="Times New Roman" w:cs="Times New Roman"/>
                <w:color w:val="auto"/>
                <w:kern w:val="21"/>
                <w:szCs w:val="21"/>
                <w:highlight w:val="none"/>
              </w:rPr>
              <w:t>新建一座危险废物暂存间，面积</w:t>
            </w:r>
            <w:r>
              <w:rPr>
                <w:rFonts w:hint="eastAsia" w:ascii="Times New Roman" w:hAnsi="Times New Roman" w:cs="Times New Roman"/>
                <w:color w:val="auto"/>
                <w:kern w:val="21"/>
                <w:szCs w:val="21"/>
                <w:highlight w:val="none"/>
                <w:lang w:eastAsia="zh-CN"/>
              </w:rPr>
              <w:t>约</w:t>
            </w:r>
            <w:r>
              <w:rPr>
                <w:rFonts w:hint="eastAsia" w:cs="Times New Roman"/>
                <w:color w:val="auto"/>
                <w:kern w:val="21"/>
                <w:szCs w:val="21"/>
                <w:highlight w:val="none"/>
                <w:lang w:val="en-US" w:eastAsia="zh-CN"/>
              </w:rPr>
              <w:t>5</w:t>
            </w:r>
            <w:r>
              <w:rPr>
                <w:rFonts w:hint="default" w:ascii="Times New Roman" w:hAnsi="Times New Roman" w:cs="Times New Roman"/>
                <w:color w:val="auto"/>
                <w:kern w:val="21"/>
                <w:szCs w:val="21"/>
                <w:highlight w:val="none"/>
              </w:rPr>
              <w:t>m</w:t>
            </w:r>
            <w:r>
              <w:rPr>
                <w:rFonts w:hint="default" w:ascii="Times New Roman" w:hAnsi="Times New Roman" w:cs="Times New Roman"/>
                <w:color w:val="auto"/>
                <w:kern w:val="21"/>
                <w:szCs w:val="21"/>
                <w:highlight w:val="none"/>
                <w:vertAlign w:val="superscript"/>
              </w:rPr>
              <w:t>2</w:t>
            </w:r>
            <w:r>
              <w:rPr>
                <w:rFonts w:hint="eastAsia" w:ascii="Times New Roman" w:hAnsi="Times New Roman" w:cs="Times New Roman"/>
                <w:color w:val="auto"/>
                <w:kern w:val="21"/>
                <w:szCs w:val="21"/>
                <w:highlight w:val="none"/>
                <w:vertAlign w:val="baseline"/>
                <w:lang w:eastAsia="zh-CN"/>
              </w:rPr>
              <w:t>，</w:t>
            </w:r>
            <w:r>
              <w:rPr>
                <w:rFonts w:hint="eastAsia"/>
                <w:color w:val="auto"/>
                <w:lang w:eastAsia="zh-CN"/>
              </w:rPr>
              <w:t>危险废物集中分类收集暂存于危险废物暂存间，委托有资质单位处置</w:t>
            </w:r>
          </w:p>
        </w:tc>
        <w:tc>
          <w:tcPr>
            <w:tcW w:w="393" w:type="pct"/>
            <w:noWrap w:val="0"/>
            <w:vAlign w:val="center"/>
          </w:tcPr>
          <w:p w14:paraId="0186293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00F59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456" w:type="pct"/>
            <w:vMerge w:val="continue"/>
            <w:noWrap w:val="0"/>
            <w:vAlign w:val="center"/>
          </w:tcPr>
          <w:p w14:paraId="7F3C22C5">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shd w:val="clear" w:color="auto" w:fill="auto"/>
            <w:noWrap w:val="0"/>
            <w:vAlign w:val="center"/>
          </w:tcPr>
          <w:p w14:paraId="4A08113D">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lang w:val="zh-CN" w:eastAsia="zh-CN"/>
              </w:rPr>
            </w:pPr>
            <w:r>
              <w:rPr>
                <w:rFonts w:hint="default" w:ascii="Times New Roman" w:hAnsi="Times New Roman" w:eastAsia="宋体" w:cs="Times New Roman"/>
                <w:color w:val="auto"/>
                <w:lang w:eastAsia="zh-CN"/>
              </w:rPr>
              <w:t>地下水防治</w:t>
            </w:r>
          </w:p>
        </w:tc>
        <w:tc>
          <w:tcPr>
            <w:tcW w:w="3444" w:type="pct"/>
            <w:shd w:val="clear" w:color="auto" w:fill="auto"/>
            <w:noWrap w:val="0"/>
            <w:vAlign w:val="center"/>
          </w:tcPr>
          <w:p w14:paraId="73AF5154">
            <w:pPr>
              <w:pStyle w:val="63"/>
              <w:keepNext w:val="0"/>
              <w:keepLines w:val="0"/>
              <w:pageBreakBefore w:val="0"/>
              <w:kinsoku/>
              <w:wordWrap/>
              <w:topLinePunct w:val="0"/>
              <w:autoSpaceDE w:val="0"/>
              <w:autoSpaceDN w:val="0"/>
              <w:bidi w:val="0"/>
              <w:snapToGrid/>
              <w:spacing w:line="240" w:lineRule="auto"/>
              <w:ind w:firstLine="0" w:firstLineChars="0"/>
              <w:rPr>
                <w:rFonts w:hint="default" w:ascii="Times New Roman" w:hAnsi="Times New Roman" w:eastAsia="宋体" w:cs="Times New Roman"/>
                <w:color w:val="auto"/>
                <w:lang w:val="zh-CN" w:eastAsia="zh-CN"/>
              </w:rPr>
            </w:pPr>
            <w:r>
              <w:rPr>
                <w:rFonts w:hint="default" w:ascii="Times New Roman" w:hAnsi="Times New Roman" w:eastAsia="宋体" w:cs="Times New Roman"/>
                <w:color w:val="auto"/>
                <w:lang w:eastAsia="zh-CN"/>
              </w:rPr>
              <w:t>分区防渗，车间进行</w:t>
            </w:r>
            <w:r>
              <w:rPr>
                <w:rFonts w:hint="eastAsia" w:ascii="Times New Roman" w:hAnsi="Times New Roman" w:eastAsia="宋体" w:cs="Times New Roman"/>
                <w:color w:val="auto"/>
                <w:lang w:eastAsia="zh-CN"/>
              </w:rPr>
              <w:t>一般防渗</w:t>
            </w:r>
            <w:r>
              <w:rPr>
                <w:rFonts w:hint="default" w:ascii="Times New Roman" w:hAnsi="Times New Roman" w:eastAsia="宋体" w:cs="Times New Roman"/>
                <w:color w:val="auto"/>
                <w:lang w:eastAsia="zh-CN"/>
              </w:rPr>
              <w:t>处理，危废暂存间按照《危险废物贮存污染控制标准》（GB18597-20</w:t>
            </w:r>
            <w:r>
              <w:rPr>
                <w:rFonts w:hint="eastAsia" w:ascii="Times New Roman" w:hAnsi="Times New Roman" w:eastAsia="宋体" w:cs="Times New Roman"/>
                <w:color w:val="auto"/>
                <w:lang w:val="en-US" w:eastAsia="zh-CN"/>
              </w:rPr>
              <w:t>23</w:t>
            </w:r>
            <w:r>
              <w:rPr>
                <w:rFonts w:hint="default" w:ascii="Times New Roman" w:hAnsi="Times New Roman" w:eastAsia="宋体" w:cs="Times New Roman"/>
                <w:color w:val="auto"/>
                <w:lang w:eastAsia="zh-CN"/>
              </w:rPr>
              <w:t>）要求进行，地面进行防渗、防腐处理</w:t>
            </w:r>
          </w:p>
        </w:tc>
        <w:tc>
          <w:tcPr>
            <w:tcW w:w="393" w:type="pct"/>
            <w:noWrap w:val="0"/>
            <w:vAlign w:val="center"/>
          </w:tcPr>
          <w:p w14:paraId="069218F0">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r>
              <w:rPr>
                <w:rFonts w:hint="eastAsia"/>
                <w:color w:val="auto"/>
                <w:lang w:val="en-US" w:eastAsia="zh-CN"/>
              </w:rPr>
              <w:t>新建</w:t>
            </w:r>
          </w:p>
        </w:tc>
      </w:tr>
      <w:tr w14:paraId="2557E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 w:hRule="atLeast"/>
          <w:jc w:val="center"/>
        </w:trPr>
        <w:tc>
          <w:tcPr>
            <w:tcW w:w="456" w:type="pct"/>
            <w:vMerge w:val="continue"/>
            <w:noWrap w:val="0"/>
            <w:vAlign w:val="center"/>
          </w:tcPr>
          <w:p w14:paraId="50FA5166">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rPr>
            </w:pPr>
          </w:p>
        </w:tc>
        <w:tc>
          <w:tcPr>
            <w:tcW w:w="706" w:type="pct"/>
            <w:gridSpan w:val="2"/>
            <w:shd w:val="clear" w:color="auto" w:fill="auto"/>
            <w:noWrap w:val="0"/>
            <w:vAlign w:val="center"/>
          </w:tcPr>
          <w:p w14:paraId="212DED50">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eastAsia" w:ascii="Times New Roman" w:hAnsi="Times New Roman" w:eastAsia="宋体" w:cs="Times New Roman"/>
                <w:color w:val="auto"/>
                <w:sz w:val="21"/>
                <w:szCs w:val="20"/>
                <w:lang w:val="zh-CN" w:eastAsia="zh-CN" w:bidi="ar-SA"/>
              </w:rPr>
            </w:pPr>
            <w:r>
              <w:rPr>
                <w:rFonts w:hint="default" w:ascii="Times New Roman" w:hAnsi="Times New Roman" w:eastAsia="宋体" w:cs="Times New Roman"/>
                <w:color w:val="auto"/>
                <w:sz w:val="21"/>
                <w:szCs w:val="20"/>
                <w:lang w:val="en-US" w:eastAsia="zh-CN" w:bidi="ar-SA"/>
              </w:rPr>
              <w:t>环境风险</w:t>
            </w:r>
          </w:p>
        </w:tc>
        <w:tc>
          <w:tcPr>
            <w:tcW w:w="3444" w:type="pct"/>
            <w:shd w:val="clear" w:color="auto" w:fill="auto"/>
            <w:noWrap w:val="0"/>
            <w:vAlign w:val="center"/>
          </w:tcPr>
          <w:p w14:paraId="640AD187">
            <w:pPr>
              <w:keepNext w:val="0"/>
              <w:keepLines w:val="0"/>
              <w:pageBreakBefore w:val="0"/>
              <w:widowControl/>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zh-CN" w:eastAsia="zh-CN" w:bidi="ar-SA"/>
              </w:rPr>
            </w:pPr>
            <w:r>
              <w:rPr>
                <w:rFonts w:hint="default" w:ascii="Times New Roman" w:hAnsi="Times New Roman" w:eastAsia="宋体" w:cs="Times New Roman"/>
                <w:color w:val="auto"/>
                <w:sz w:val="21"/>
                <w:szCs w:val="20"/>
                <w:lang w:val="en-US" w:eastAsia="zh-CN" w:bidi="ar-SA"/>
              </w:rPr>
              <w:t>设置通风、防火设施；</w:t>
            </w:r>
            <w:r>
              <w:rPr>
                <w:rFonts w:hint="eastAsia" w:ascii="Times New Roman" w:hAnsi="Times New Roman" w:eastAsia="宋体" w:cs="Times New Roman"/>
                <w:color w:val="auto"/>
                <w:sz w:val="21"/>
                <w:szCs w:val="20"/>
                <w:lang w:val="en-US" w:eastAsia="zh-CN" w:bidi="ar-SA"/>
              </w:rPr>
              <w:t>建设1</w:t>
            </w:r>
            <w:r>
              <w:rPr>
                <w:rFonts w:hint="default" w:ascii="Times New Roman" w:hAnsi="Times New Roman" w:eastAsia="宋体" w:cs="Times New Roman"/>
                <w:color w:val="auto"/>
                <w:sz w:val="21"/>
                <w:szCs w:val="20"/>
                <w:lang w:val="en-US" w:eastAsia="zh-CN" w:bidi="ar-SA"/>
              </w:rPr>
              <w:t>座</w:t>
            </w:r>
            <w:r>
              <w:rPr>
                <w:rFonts w:hint="eastAsia" w:cs="Times New Roman"/>
                <w:color w:val="auto"/>
                <w:sz w:val="21"/>
                <w:szCs w:val="20"/>
                <w:lang w:val="en-US" w:eastAsia="zh-CN" w:bidi="ar-SA"/>
              </w:rPr>
              <w:t>550</w:t>
            </w:r>
            <w:r>
              <w:rPr>
                <w:rFonts w:hint="default" w:ascii="Times New Roman" w:hAnsi="Times New Roman" w:eastAsia="宋体" w:cs="Times New Roman"/>
                <w:color w:val="auto"/>
                <w:sz w:val="21"/>
                <w:szCs w:val="20"/>
                <w:lang w:val="en-US" w:eastAsia="zh-CN" w:bidi="ar-SA"/>
              </w:rPr>
              <w:t>m</w:t>
            </w:r>
            <w:r>
              <w:rPr>
                <w:rFonts w:hint="default" w:ascii="Times New Roman" w:hAnsi="Times New Roman" w:eastAsia="宋体" w:cs="Times New Roman"/>
                <w:color w:val="auto"/>
                <w:sz w:val="21"/>
                <w:szCs w:val="20"/>
                <w:vertAlign w:val="superscript"/>
                <w:lang w:val="en-US" w:eastAsia="zh-CN" w:bidi="ar-SA"/>
              </w:rPr>
              <w:t>3</w:t>
            </w:r>
            <w:r>
              <w:rPr>
                <w:rFonts w:hint="default" w:ascii="Times New Roman" w:hAnsi="Times New Roman" w:eastAsia="宋体" w:cs="Times New Roman"/>
                <w:color w:val="auto"/>
                <w:sz w:val="21"/>
                <w:szCs w:val="20"/>
                <w:lang w:val="en-US" w:eastAsia="zh-CN" w:bidi="ar-SA"/>
              </w:rPr>
              <w:t>消防水池</w:t>
            </w:r>
            <w:r>
              <w:rPr>
                <w:rFonts w:hint="eastAsia" w:ascii="Times New Roman" w:hAnsi="Times New Roman" w:eastAsia="宋体" w:cs="Times New Roman"/>
                <w:color w:val="auto"/>
                <w:sz w:val="21"/>
                <w:szCs w:val="20"/>
                <w:lang w:val="en-US" w:eastAsia="zh-CN" w:bidi="ar-SA"/>
              </w:rPr>
              <w:t>及泵房</w:t>
            </w:r>
            <w:r>
              <w:rPr>
                <w:rFonts w:hint="eastAsia" w:cs="Times New Roman"/>
                <w:color w:val="auto"/>
                <w:sz w:val="21"/>
                <w:szCs w:val="20"/>
                <w:lang w:val="en-US" w:eastAsia="zh-CN" w:bidi="ar-SA"/>
              </w:rPr>
              <w:t>；</w:t>
            </w:r>
            <w:r>
              <w:rPr>
                <w:rFonts w:hint="eastAsia" w:ascii="Times New Roman" w:hAnsi="Times New Roman" w:eastAsia="宋体" w:cs="宋体"/>
                <w:smallCaps w:val="0"/>
                <w:color w:val="auto"/>
                <w:spacing w:val="0"/>
                <w:w w:val="100"/>
                <w:position w:val="0"/>
                <w:sz w:val="21"/>
                <w:szCs w:val="21"/>
                <w:highlight w:val="none"/>
                <w:lang w:eastAsia="zh-CN"/>
              </w:rPr>
              <w:t>制</w:t>
            </w:r>
            <w:r>
              <w:rPr>
                <w:rFonts w:hint="eastAsia" w:ascii="Times New Roman" w:hAnsi="Times New Roman" w:cs="宋体"/>
                <w:smallCaps w:val="0"/>
                <w:color w:val="auto"/>
                <w:spacing w:val="0"/>
                <w:w w:val="100"/>
                <w:position w:val="0"/>
                <w:sz w:val="21"/>
                <w:szCs w:val="21"/>
                <w:highlight w:val="none"/>
                <w:lang w:eastAsia="zh-CN"/>
              </w:rPr>
              <w:t>定</w:t>
            </w:r>
            <w:r>
              <w:rPr>
                <w:rFonts w:hint="eastAsia" w:ascii="Times New Roman" w:hAnsi="Times New Roman" w:eastAsia="宋体" w:cs="宋体"/>
                <w:smallCaps w:val="0"/>
                <w:color w:val="auto"/>
                <w:spacing w:val="0"/>
                <w:w w:val="100"/>
                <w:position w:val="0"/>
                <w:sz w:val="21"/>
                <w:szCs w:val="21"/>
                <w:highlight w:val="none"/>
                <w:lang w:eastAsia="zh-CN"/>
              </w:rPr>
              <w:t>环境风险事故应急预案，报有关部门备案。</w:t>
            </w:r>
          </w:p>
        </w:tc>
        <w:tc>
          <w:tcPr>
            <w:tcW w:w="393" w:type="pct"/>
            <w:noWrap w:val="0"/>
            <w:vAlign w:val="center"/>
          </w:tcPr>
          <w:p w14:paraId="1023BB6D">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szCs w:val="20"/>
                <w:lang w:val="en-US" w:eastAsia="zh-CN" w:bidi="ar-SA"/>
              </w:rPr>
            </w:pPr>
            <w:r>
              <w:rPr>
                <w:rFonts w:hint="eastAsia"/>
                <w:color w:val="auto"/>
                <w:lang w:val="en-US" w:eastAsia="zh-CN"/>
              </w:rPr>
              <w:t>新建</w:t>
            </w:r>
          </w:p>
        </w:tc>
      </w:tr>
    </w:tbl>
    <w:p w14:paraId="5C94153D">
      <w:pPr>
        <w:pStyle w:val="5"/>
        <w:keepNext/>
        <w:keepLines/>
        <w:pageBreakBefore w:val="0"/>
        <w:widowControl/>
        <w:kinsoku/>
        <w:wordWrap/>
        <w:overflowPunct/>
        <w:topLinePunct w:val="0"/>
        <w:autoSpaceDE/>
        <w:autoSpaceDN/>
        <w:bidi w:val="0"/>
        <w:adjustRightInd w:val="0"/>
        <w:snapToGrid w:val="0"/>
        <w:spacing w:before="0" w:beforeLines="50"/>
        <w:textAlignment w:val="auto"/>
        <w:rPr>
          <w:rFonts w:hint="default" w:ascii="Times New Roman" w:hAnsi="Times New Roman" w:cs="Times New Roman"/>
          <w:color w:val="auto"/>
          <w:spacing w:val="0"/>
          <w:w w:val="100"/>
          <w:position w:val="0"/>
          <w:sz w:val="28"/>
          <w:szCs w:val="28"/>
        </w:rPr>
      </w:pPr>
      <w:r>
        <w:rPr>
          <w:rFonts w:hint="default" w:ascii="Times New Roman" w:hAnsi="Times New Roman" w:cs="Times New Roman"/>
          <w:color w:val="auto"/>
          <w:spacing w:val="0"/>
          <w:w w:val="100"/>
          <w:position w:val="0"/>
          <w:sz w:val="28"/>
          <w:szCs w:val="28"/>
          <w:lang w:val="en-US" w:eastAsia="zh-CN"/>
        </w:rPr>
        <w:t>3.</w:t>
      </w:r>
      <w:r>
        <w:rPr>
          <w:rFonts w:hint="eastAsia" w:cs="Times New Roman"/>
          <w:color w:val="auto"/>
          <w:spacing w:val="0"/>
          <w:w w:val="100"/>
          <w:position w:val="0"/>
          <w:sz w:val="28"/>
          <w:szCs w:val="28"/>
          <w:lang w:val="en-US" w:eastAsia="zh-CN"/>
        </w:rPr>
        <w:t>1</w:t>
      </w:r>
      <w:r>
        <w:rPr>
          <w:rFonts w:hint="default" w:ascii="Times New Roman" w:hAnsi="Times New Roman" w:cs="Times New Roman"/>
          <w:color w:val="auto"/>
          <w:spacing w:val="0"/>
          <w:w w:val="100"/>
          <w:position w:val="0"/>
          <w:sz w:val="28"/>
          <w:szCs w:val="28"/>
          <w:lang w:val="en-US" w:eastAsia="zh-CN"/>
        </w:rPr>
        <w:t>.</w:t>
      </w:r>
      <w:r>
        <w:rPr>
          <w:rFonts w:hint="eastAsia" w:cs="Times New Roman"/>
          <w:color w:val="auto"/>
          <w:spacing w:val="0"/>
          <w:w w:val="100"/>
          <w:position w:val="0"/>
          <w:sz w:val="28"/>
          <w:szCs w:val="28"/>
          <w:lang w:val="en-US" w:eastAsia="zh-CN"/>
        </w:rPr>
        <w:t>3</w:t>
      </w:r>
      <w:r>
        <w:rPr>
          <w:rFonts w:hint="default" w:ascii="Times New Roman" w:hAnsi="Times New Roman" w:cs="Times New Roman"/>
          <w:color w:val="auto"/>
          <w:spacing w:val="0"/>
          <w:w w:val="100"/>
          <w:position w:val="0"/>
          <w:sz w:val="28"/>
          <w:szCs w:val="28"/>
        </w:rPr>
        <w:t>生产规模及产品方案</w:t>
      </w:r>
      <w:bookmarkEnd w:id="122"/>
      <w:bookmarkEnd w:id="123"/>
    </w:p>
    <w:p w14:paraId="20F4E41B">
      <w:pPr>
        <w:spacing w:line="360" w:lineRule="auto"/>
        <w:ind w:firstLine="480"/>
        <w:rPr>
          <w:color w:val="auto"/>
        </w:rPr>
      </w:pPr>
      <w:r>
        <w:rPr>
          <w:color w:val="auto"/>
        </w:rPr>
        <w:t>（1）建设规模：</w:t>
      </w:r>
    </w:p>
    <w:p w14:paraId="7A42EA71">
      <w:pPr>
        <w:bidi w:val="0"/>
        <w:rPr>
          <w:rFonts w:hint="default" w:ascii="Times New Roman" w:hAnsi="Times New Roman" w:eastAsia="宋体" w:cs="宋体"/>
          <w:color w:val="auto"/>
          <w:lang w:val="en-US" w:eastAsia="zh-CN"/>
        </w:rPr>
      </w:pPr>
      <w:r>
        <w:rPr>
          <w:rFonts w:hint="eastAsia" w:cs="宋体"/>
          <w:color w:val="auto"/>
          <w:lang w:val="en-US" w:eastAsia="zh-CN"/>
        </w:rPr>
        <w:t>加工</w:t>
      </w:r>
      <w:r>
        <w:rPr>
          <w:rFonts w:hint="eastAsia" w:ascii="Times New Roman" w:hAnsi="Times New Roman" w:eastAsia="宋体" w:cs="宋体"/>
          <w:color w:val="auto"/>
          <w:lang w:val="en-US" w:eastAsia="zh-CN"/>
        </w:rPr>
        <w:t>车间：新建</w:t>
      </w:r>
      <w:r>
        <w:rPr>
          <w:rFonts w:hint="eastAsia" w:cs="宋体"/>
          <w:color w:val="auto"/>
          <w:lang w:val="en-US" w:eastAsia="zh-CN"/>
        </w:rPr>
        <w:t>3</w:t>
      </w:r>
      <w:r>
        <w:rPr>
          <w:rFonts w:hint="eastAsia" w:ascii="Times New Roman" w:hAnsi="Times New Roman" w:eastAsia="宋体" w:cs="宋体"/>
          <w:color w:val="auto"/>
          <w:lang w:val="en-US" w:eastAsia="zh-CN"/>
        </w:rPr>
        <w:t>条</w:t>
      </w:r>
      <w:r>
        <w:rPr>
          <w:rFonts w:hint="eastAsia" w:cs="宋体"/>
          <w:color w:val="auto"/>
          <w:lang w:val="en-US" w:eastAsia="zh-CN"/>
        </w:rPr>
        <w:t>滴灌带生产线，</w:t>
      </w:r>
      <w:r>
        <w:rPr>
          <w:rFonts w:hint="default" w:ascii="Times New Roman" w:hAnsi="Times New Roman" w:eastAsia="宋体" w:cs="宋体"/>
          <w:color w:val="auto"/>
          <w:lang w:val="en-GB" w:eastAsia="zh-Hans"/>
        </w:rPr>
        <w:t>年</w:t>
      </w:r>
      <w:r>
        <w:rPr>
          <w:rFonts w:hint="eastAsia" w:cs="宋体"/>
          <w:color w:val="auto"/>
          <w:lang w:val="en-GB" w:eastAsia="zh-CN"/>
        </w:rPr>
        <w:t>产滴灌带</w:t>
      </w:r>
      <w:r>
        <w:rPr>
          <w:rFonts w:hint="eastAsia" w:cs="宋体"/>
          <w:color w:val="auto"/>
          <w:lang w:val="en-US" w:eastAsia="zh-CN"/>
        </w:rPr>
        <w:t>4000t；1条水带</w:t>
      </w:r>
      <w:r>
        <w:rPr>
          <w:rFonts w:hint="eastAsia" w:ascii="Times New Roman" w:hAnsi="Times New Roman" w:eastAsia="宋体" w:cs="宋体"/>
          <w:color w:val="auto"/>
          <w:lang w:val="en-US" w:eastAsia="zh-CN"/>
        </w:rPr>
        <w:t>生产线</w:t>
      </w:r>
      <w:r>
        <w:rPr>
          <w:rFonts w:hint="eastAsia" w:cs="宋体"/>
          <w:color w:val="auto"/>
          <w:lang w:val="en-US" w:eastAsia="zh-CN"/>
        </w:rPr>
        <w:t>，年产水带2000t。</w:t>
      </w:r>
    </w:p>
    <w:p w14:paraId="1249736F">
      <w:pPr>
        <w:bidi w:val="0"/>
        <w:rPr>
          <w:rFonts w:hint="default" w:ascii="Times New Roman" w:hAnsi="Times New Roman" w:eastAsia="宋体" w:cs="宋体"/>
          <w:color w:val="auto"/>
          <w:lang w:val="en-US" w:eastAsia="zh-CN"/>
        </w:rPr>
      </w:pPr>
      <w:r>
        <w:rPr>
          <w:rFonts w:hint="eastAsia"/>
          <w:color w:val="auto"/>
          <w:lang w:val="en-US" w:eastAsia="zh-CN"/>
        </w:rPr>
        <w:t>造粒车间</w:t>
      </w:r>
      <w:r>
        <w:rPr>
          <w:rFonts w:hint="eastAsia" w:ascii="Times New Roman" w:hAnsi="Times New Roman" w:eastAsia="宋体" w:cs="宋体"/>
          <w:color w:val="auto"/>
          <w:lang w:val="en-US" w:eastAsia="zh-CN"/>
        </w:rPr>
        <w:t>：新建</w:t>
      </w:r>
      <w:r>
        <w:rPr>
          <w:rFonts w:hint="eastAsia" w:cs="宋体"/>
          <w:color w:val="auto"/>
          <w:lang w:val="en-US" w:eastAsia="zh-CN"/>
        </w:rPr>
        <w:t>1</w:t>
      </w:r>
      <w:r>
        <w:rPr>
          <w:rFonts w:hint="eastAsia" w:ascii="Times New Roman" w:hAnsi="Times New Roman" w:eastAsia="宋体" w:cs="宋体"/>
          <w:color w:val="auto"/>
          <w:lang w:val="en-US" w:eastAsia="zh-CN"/>
        </w:rPr>
        <w:t>条造粒生产线，</w:t>
      </w:r>
      <w:r>
        <w:rPr>
          <w:rFonts w:hint="default" w:ascii="Times New Roman" w:hAnsi="Times New Roman" w:eastAsia="宋体" w:cs="宋体"/>
          <w:color w:val="auto"/>
          <w:lang w:val="en-GB" w:eastAsia="zh-CN"/>
        </w:rPr>
        <w:t>年处理废旧塑料</w:t>
      </w:r>
      <w:r>
        <w:rPr>
          <w:rFonts w:hint="eastAsia" w:cs="宋体"/>
          <w:color w:val="auto"/>
          <w:lang w:val="en-US" w:eastAsia="zh-CN"/>
        </w:rPr>
        <w:t>55</w:t>
      </w:r>
      <w:r>
        <w:rPr>
          <w:rFonts w:hint="eastAsia" w:ascii="Times New Roman" w:hAnsi="Times New Roman" w:eastAsia="宋体" w:cs="宋体"/>
          <w:color w:val="auto"/>
          <w:lang w:val="en-US" w:eastAsia="zh-CN"/>
        </w:rPr>
        <w:t>0</w:t>
      </w:r>
      <w:r>
        <w:rPr>
          <w:rFonts w:hint="default" w:ascii="Times New Roman" w:hAnsi="Times New Roman" w:eastAsia="宋体" w:cs="宋体"/>
          <w:color w:val="auto"/>
          <w:lang w:val="en-US" w:eastAsia="zh-CN"/>
        </w:rPr>
        <w:t>0t</w:t>
      </w:r>
      <w:r>
        <w:rPr>
          <w:rFonts w:hint="eastAsia" w:cs="宋体"/>
          <w:color w:val="auto"/>
          <w:lang w:val="en-US" w:eastAsia="zh-CN"/>
        </w:rPr>
        <w:t>。</w:t>
      </w:r>
    </w:p>
    <w:p w14:paraId="4567FE38">
      <w:pPr>
        <w:spacing w:line="360" w:lineRule="auto"/>
        <w:ind w:firstLine="480"/>
        <w:rPr>
          <w:color w:val="auto"/>
        </w:rPr>
      </w:pPr>
      <w:r>
        <w:rPr>
          <w:color w:val="auto"/>
        </w:rPr>
        <w:t>（2）产品方案：</w:t>
      </w:r>
    </w:p>
    <w:p w14:paraId="5CAA1E7B">
      <w:pPr>
        <w:spacing w:line="360" w:lineRule="auto"/>
        <w:ind w:firstLine="480"/>
        <w:rPr>
          <w:color w:val="auto"/>
        </w:rPr>
      </w:pPr>
      <w:r>
        <w:rPr>
          <w:color w:val="auto"/>
        </w:rPr>
        <w:t>产品方案见下表3.</w:t>
      </w:r>
      <w:r>
        <w:rPr>
          <w:rFonts w:hint="eastAsia"/>
          <w:color w:val="auto"/>
          <w:lang w:val="en-US" w:eastAsia="zh-CN"/>
        </w:rPr>
        <w:t>1</w:t>
      </w:r>
      <w:r>
        <w:rPr>
          <w:color w:val="auto"/>
        </w:rPr>
        <w:t>-2。</w:t>
      </w:r>
    </w:p>
    <w:p w14:paraId="03F99A72">
      <w:pPr>
        <w:pStyle w:val="74"/>
        <w:keepNext w:val="0"/>
        <w:keepLines w:val="0"/>
        <w:pageBreakBefore w:val="0"/>
        <w:widowControl w:val="0"/>
        <w:kinsoku/>
        <w:wordWrap/>
        <w:overflowPunct w:val="0"/>
        <w:topLinePunct w:val="0"/>
        <w:autoSpaceDE w:val="0"/>
        <w:autoSpaceDN w:val="0"/>
        <w:bidi w:val="0"/>
        <w:adjustRightInd w:val="0"/>
        <w:snapToGrid w:val="0"/>
        <w:spacing w:before="0" w:beforeLines="0"/>
        <w:ind w:firstLine="0"/>
        <w:textAlignment w:val="auto"/>
        <w:rPr>
          <w:rFonts w:hint="default" w:ascii="Times New Roman" w:hAnsi="Times New Roman" w:eastAsia="宋体" w:cs="Times New Roman"/>
          <w:b/>
          <w:color w:val="auto"/>
          <w:sz w:val="24"/>
          <w:szCs w:val="24"/>
          <w:lang w:val="zh-CN" w:eastAsia="zh-CN" w:bidi="zh-CN"/>
        </w:rPr>
      </w:pPr>
      <w:r>
        <w:rPr>
          <w:rFonts w:hint="default" w:ascii="Times New Roman" w:hAnsi="Times New Roman" w:eastAsia="宋体" w:cs="Times New Roman"/>
          <w:b/>
          <w:color w:val="auto"/>
          <w:sz w:val="24"/>
          <w:szCs w:val="24"/>
          <w:lang w:val="zh-CN" w:eastAsia="zh-CN" w:bidi="zh-CN"/>
        </w:rPr>
        <w:t>表</w:t>
      </w:r>
      <w:r>
        <w:rPr>
          <w:rFonts w:hint="eastAsia" w:ascii="Times New Roman" w:hAnsi="Times New Roman" w:eastAsia="宋体" w:cs="Times New Roman"/>
          <w:b/>
          <w:color w:val="auto"/>
          <w:sz w:val="24"/>
          <w:szCs w:val="24"/>
          <w:lang w:val="zh-CN" w:eastAsia="zh-CN" w:bidi="zh-CN"/>
        </w:rPr>
        <w:t>3</w:t>
      </w:r>
      <w:r>
        <w:rPr>
          <w:rFonts w:hint="default" w:ascii="Times New Roman" w:hAnsi="Times New Roman" w:eastAsia="宋体" w:cs="Times New Roman"/>
          <w:b/>
          <w:color w:val="auto"/>
          <w:sz w:val="24"/>
          <w:szCs w:val="24"/>
          <w:lang w:val="zh-CN" w:eastAsia="zh-CN" w:bidi="zh-CN"/>
        </w:rPr>
        <w:t>.</w:t>
      </w:r>
      <w:r>
        <w:rPr>
          <w:rFonts w:hint="eastAsia" w:cs="Times New Roman"/>
          <w:b/>
          <w:color w:val="auto"/>
          <w:sz w:val="24"/>
          <w:szCs w:val="24"/>
          <w:lang w:val="en-US" w:eastAsia="zh-CN" w:bidi="zh-CN"/>
        </w:rPr>
        <w:t>1</w:t>
      </w:r>
      <w:r>
        <w:rPr>
          <w:rFonts w:hint="default" w:ascii="Times New Roman" w:hAnsi="Times New Roman" w:eastAsia="宋体" w:cs="Times New Roman"/>
          <w:b/>
          <w:color w:val="auto"/>
          <w:sz w:val="24"/>
          <w:szCs w:val="24"/>
          <w:lang w:val="zh-CN" w:eastAsia="zh-CN" w:bidi="zh-CN"/>
        </w:rPr>
        <w:t>-2</w:t>
      </w:r>
      <w:r>
        <w:rPr>
          <w:rFonts w:hint="eastAsia" w:ascii="Times New Roman" w:hAnsi="Times New Roman" w:eastAsia="宋体" w:cs="Times New Roman"/>
          <w:b/>
          <w:color w:val="auto"/>
          <w:sz w:val="24"/>
          <w:szCs w:val="24"/>
          <w:lang w:val="zh-CN" w:eastAsia="zh-CN" w:bidi="zh-CN"/>
        </w:rPr>
        <w:t xml:space="preserve">  </w:t>
      </w:r>
      <w:r>
        <w:rPr>
          <w:rFonts w:hint="default" w:ascii="Times New Roman" w:hAnsi="Times New Roman" w:eastAsia="宋体" w:cs="Times New Roman"/>
          <w:b/>
          <w:color w:val="auto"/>
          <w:sz w:val="24"/>
          <w:szCs w:val="24"/>
          <w:lang w:val="zh-CN" w:eastAsia="zh-CN" w:bidi="zh-CN"/>
        </w:rPr>
        <w:t>项目产品方案</w:t>
      </w:r>
    </w:p>
    <w:tbl>
      <w:tblPr>
        <w:tblStyle w:val="27"/>
        <w:tblW w:w="9132" w:type="dxa"/>
        <w:jc w:val="center"/>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791"/>
        <w:gridCol w:w="1966"/>
        <w:gridCol w:w="2805"/>
        <w:gridCol w:w="2181"/>
        <w:gridCol w:w="1389"/>
      </w:tblGrid>
      <w:tr w14:paraId="15FA1574">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45" w:hRule="atLeast"/>
          <w:jc w:val="center"/>
        </w:trPr>
        <w:tc>
          <w:tcPr>
            <w:tcW w:w="791" w:type="dxa"/>
            <w:tcBorders>
              <w:top w:val="single" w:color="auto" w:sz="2" w:space="0"/>
            </w:tcBorders>
            <w:noWrap w:val="0"/>
            <w:vAlign w:val="center"/>
          </w:tcPr>
          <w:p w14:paraId="62D83625">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序号</w:t>
            </w:r>
          </w:p>
        </w:tc>
        <w:tc>
          <w:tcPr>
            <w:tcW w:w="1966" w:type="dxa"/>
            <w:tcBorders>
              <w:top w:val="single" w:color="auto" w:sz="2" w:space="0"/>
            </w:tcBorders>
            <w:noWrap w:val="0"/>
            <w:vAlign w:val="center"/>
          </w:tcPr>
          <w:p w14:paraId="139061D4">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ascii="Times New Roman" w:hAnsi="Times New Roman" w:eastAsia="宋体" w:cs="Times New Roman"/>
                <w:color w:val="auto"/>
                <w:sz w:val="21"/>
                <w:szCs w:val="20"/>
                <w:lang w:val="en-US" w:eastAsia="zh-CN" w:bidi="ar-SA"/>
              </w:rPr>
              <w:t>车间</w:t>
            </w:r>
          </w:p>
        </w:tc>
        <w:tc>
          <w:tcPr>
            <w:tcW w:w="2805" w:type="dxa"/>
            <w:tcBorders>
              <w:top w:val="single" w:color="auto" w:sz="2" w:space="0"/>
            </w:tcBorders>
            <w:noWrap w:val="0"/>
            <w:vAlign w:val="center"/>
          </w:tcPr>
          <w:p w14:paraId="6EF89D95">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生产线名称</w:t>
            </w:r>
          </w:p>
        </w:tc>
        <w:tc>
          <w:tcPr>
            <w:tcW w:w="2181" w:type="dxa"/>
            <w:tcBorders>
              <w:top w:val="single" w:color="auto" w:sz="2" w:space="0"/>
            </w:tcBorders>
            <w:noWrap w:val="0"/>
            <w:vAlign w:val="center"/>
          </w:tcPr>
          <w:p w14:paraId="7074685F">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产品名称</w:t>
            </w:r>
          </w:p>
        </w:tc>
        <w:tc>
          <w:tcPr>
            <w:tcW w:w="1389" w:type="dxa"/>
            <w:tcBorders>
              <w:top w:val="single" w:color="auto" w:sz="2" w:space="0"/>
            </w:tcBorders>
            <w:noWrap w:val="0"/>
            <w:vAlign w:val="center"/>
          </w:tcPr>
          <w:p w14:paraId="42F0EE4C">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产量</w:t>
            </w:r>
          </w:p>
        </w:tc>
      </w:tr>
      <w:tr w14:paraId="3EBF4580">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791" w:type="dxa"/>
            <w:vMerge w:val="restart"/>
            <w:noWrap w:val="0"/>
            <w:vAlign w:val="center"/>
          </w:tcPr>
          <w:p w14:paraId="3DC3801E">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1</w:t>
            </w:r>
          </w:p>
        </w:tc>
        <w:tc>
          <w:tcPr>
            <w:tcW w:w="1966" w:type="dxa"/>
            <w:vMerge w:val="restart"/>
            <w:noWrap w:val="0"/>
            <w:vAlign w:val="center"/>
          </w:tcPr>
          <w:p w14:paraId="0C003DEF">
            <w:pPr>
              <w:pStyle w:val="63"/>
              <w:keepNext w:val="0"/>
              <w:keepLines w:val="0"/>
              <w:pageBreakBefore w:val="0"/>
              <w:kinsoku/>
              <w:wordWrap/>
              <w:topLinePunct w:val="0"/>
              <w:autoSpaceDE w:val="0"/>
              <w:autoSpaceDN w:val="0"/>
              <w:bidi w:val="0"/>
              <w:snapToGrid/>
              <w:spacing w:line="240" w:lineRule="auto"/>
              <w:ind w:firstLine="0" w:firstLineChars="0"/>
              <w:rPr>
                <w:rFonts w:hint="default" w:ascii="Times New Roman" w:hAnsi="Times New Roman" w:eastAsia="宋体" w:cs="Times New Roman"/>
                <w:color w:val="auto"/>
                <w:sz w:val="21"/>
                <w:szCs w:val="20"/>
                <w:lang w:val="en-US" w:eastAsia="zh-CN" w:bidi="ar-SA"/>
              </w:rPr>
            </w:pPr>
            <w:r>
              <w:rPr>
                <w:rFonts w:hint="eastAsia"/>
                <w:color w:val="auto"/>
                <w:lang w:val="en-US" w:eastAsia="zh-CN"/>
              </w:rPr>
              <w:t>加工</w:t>
            </w:r>
            <w:r>
              <w:rPr>
                <w:rFonts w:hint="eastAsia"/>
                <w:color w:val="auto"/>
              </w:rPr>
              <w:t>车间</w:t>
            </w:r>
          </w:p>
        </w:tc>
        <w:tc>
          <w:tcPr>
            <w:tcW w:w="2805" w:type="dxa"/>
            <w:noWrap w:val="0"/>
            <w:vAlign w:val="center"/>
          </w:tcPr>
          <w:p w14:paraId="2112A89F">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滴灌带</w:t>
            </w:r>
            <w:r>
              <w:rPr>
                <w:rFonts w:hint="default" w:ascii="Times New Roman" w:hAnsi="Times New Roman" w:eastAsia="宋体" w:cs="Times New Roman"/>
                <w:color w:val="auto"/>
                <w:sz w:val="21"/>
                <w:szCs w:val="20"/>
                <w:lang w:val="en-US" w:eastAsia="zh-CN" w:bidi="ar-SA"/>
              </w:rPr>
              <w:t>生产线（</w:t>
            </w:r>
            <w:r>
              <w:rPr>
                <w:rFonts w:hint="eastAsia" w:cs="Times New Roman"/>
                <w:color w:val="auto"/>
                <w:sz w:val="21"/>
                <w:szCs w:val="20"/>
                <w:lang w:val="en-US" w:eastAsia="zh-CN" w:bidi="ar-SA"/>
              </w:rPr>
              <w:t>3</w:t>
            </w:r>
            <w:r>
              <w:rPr>
                <w:rFonts w:hint="default" w:ascii="Times New Roman" w:hAnsi="Times New Roman" w:eastAsia="宋体" w:cs="Times New Roman"/>
                <w:color w:val="auto"/>
                <w:sz w:val="21"/>
                <w:szCs w:val="20"/>
                <w:lang w:val="en-US" w:eastAsia="zh-CN" w:bidi="ar-SA"/>
              </w:rPr>
              <w:t>条）</w:t>
            </w:r>
          </w:p>
        </w:tc>
        <w:tc>
          <w:tcPr>
            <w:tcW w:w="2181" w:type="dxa"/>
            <w:noWrap w:val="0"/>
            <w:vAlign w:val="center"/>
          </w:tcPr>
          <w:p w14:paraId="0CD39C89">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滴灌带</w:t>
            </w:r>
          </w:p>
        </w:tc>
        <w:tc>
          <w:tcPr>
            <w:tcW w:w="1389" w:type="dxa"/>
            <w:noWrap w:val="0"/>
            <w:vAlign w:val="center"/>
          </w:tcPr>
          <w:p w14:paraId="73850C5D">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4</w:t>
            </w:r>
            <w:r>
              <w:rPr>
                <w:rFonts w:hint="eastAsia" w:ascii="Times New Roman" w:hAnsi="Times New Roman" w:eastAsia="宋体" w:cs="Times New Roman"/>
                <w:color w:val="auto"/>
                <w:sz w:val="21"/>
                <w:szCs w:val="20"/>
                <w:lang w:val="en-US" w:eastAsia="zh-CN" w:bidi="ar-SA"/>
              </w:rPr>
              <w:t>0</w:t>
            </w:r>
            <w:r>
              <w:rPr>
                <w:rFonts w:hint="default" w:ascii="Times New Roman" w:hAnsi="Times New Roman" w:eastAsia="宋体" w:cs="Times New Roman"/>
                <w:color w:val="auto"/>
                <w:sz w:val="21"/>
                <w:szCs w:val="20"/>
                <w:lang w:val="en-US" w:eastAsia="zh-CN" w:bidi="ar-SA"/>
              </w:rPr>
              <w:t>00t/a</w:t>
            </w:r>
          </w:p>
        </w:tc>
      </w:tr>
      <w:tr w14:paraId="5032D7C9">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791" w:type="dxa"/>
            <w:vMerge w:val="continue"/>
            <w:noWrap w:val="0"/>
            <w:vAlign w:val="center"/>
          </w:tcPr>
          <w:p w14:paraId="0F473BA2">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p>
        </w:tc>
        <w:tc>
          <w:tcPr>
            <w:tcW w:w="1966" w:type="dxa"/>
            <w:vMerge w:val="continue"/>
            <w:noWrap w:val="0"/>
            <w:vAlign w:val="center"/>
          </w:tcPr>
          <w:p w14:paraId="227BD4BB">
            <w:pPr>
              <w:pStyle w:val="63"/>
              <w:keepNext w:val="0"/>
              <w:keepLines w:val="0"/>
              <w:pageBreakBefore w:val="0"/>
              <w:kinsoku/>
              <w:wordWrap/>
              <w:topLinePunct w:val="0"/>
              <w:autoSpaceDE w:val="0"/>
              <w:autoSpaceDN w:val="0"/>
              <w:bidi w:val="0"/>
              <w:snapToGrid/>
              <w:spacing w:line="240" w:lineRule="auto"/>
              <w:ind w:firstLine="0" w:firstLineChars="0"/>
              <w:rPr>
                <w:rFonts w:hint="eastAsia"/>
                <w:color w:val="auto"/>
                <w:lang w:val="en-US" w:eastAsia="zh-CN"/>
              </w:rPr>
            </w:pPr>
          </w:p>
        </w:tc>
        <w:tc>
          <w:tcPr>
            <w:tcW w:w="2805" w:type="dxa"/>
            <w:noWrap w:val="0"/>
            <w:vAlign w:val="center"/>
          </w:tcPr>
          <w:p w14:paraId="24A20105">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eastAsia" w:cs="Times New Roman"/>
                <w:color w:val="auto"/>
                <w:sz w:val="21"/>
                <w:szCs w:val="20"/>
                <w:lang w:val="en-US" w:eastAsia="zh-CN" w:bidi="ar-SA"/>
              </w:rPr>
            </w:pPr>
            <w:r>
              <w:rPr>
                <w:rFonts w:hint="eastAsia" w:cs="Times New Roman"/>
                <w:color w:val="auto"/>
                <w:sz w:val="21"/>
                <w:szCs w:val="20"/>
                <w:lang w:val="en-US" w:eastAsia="zh-CN" w:bidi="ar-SA"/>
              </w:rPr>
              <w:t>水带</w:t>
            </w:r>
            <w:r>
              <w:rPr>
                <w:rFonts w:hint="default" w:ascii="Times New Roman" w:hAnsi="Times New Roman" w:eastAsia="宋体" w:cs="Times New Roman"/>
                <w:color w:val="auto"/>
                <w:sz w:val="21"/>
                <w:szCs w:val="20"/>
                <w:lang w:val="en-US" w:eastAsia="zh-CN" w:bidi="ar-SA"/>
              </w:rPr>
              <w:t>生产线（</w:t>
            </w:r>
            <w:r>
              <w:rPr>
                <w:rFonts w:hint="eastAsia" w:cs="Times New Roman"/>
                <w:color w:val="auto"/>
                <w:sz w:val="21"/>
                <w:szCs w:val="20"/>
                <w:lang w:val="en-US" w:eastAsia="zh-CN" w:bidi="ar-SA"/>
              </w:rPr>
              <w:t>1</w:t>
            </w:r>
            <w:r>
              <w:rPr>
                <w:rFonts w:hint="default" w:ascii="Times New Roman" w:hAnsi="Times New Roman" w:eastAsia="宋体" w:cs="Times New Roman"/>
                <w:color w:val="auto"/>
                <w:sz w:val="21"/>
                <w:szCs w:val="20"/>
                <w:lang w:val="en-US" w:eastAsia="zh-CN" w:bidi="ar-SA"/>
              </w:rPr>
              <w:t>条）</w:t>
            </w:r>
          </w:p>
        </w:tc>
        <w:tc>
          <w:tcPr>
            <w:tcW w:w="2181" w:type="dxa"/>
            <w:noWrap w:val="0"/>
            <w:vAlign w:val="center"/>
          </w:tcPr>
          <w:p w14:paraId="32505F13">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水带</w:t>
            </w:r>
          </w:p>
        </w:tc>
        <w:tc>
          <w:tcPr>
            <w:tcW w:w="1389" w:type="dxa"/>
            <w:noWrap w:val="0"/>
            <w:vAlign w:val="center"/>
          </w:tcPr>
          <w:p w14:paraId="526F6697">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eastAsia"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2</w:t>
            </w:r>
            <w:r>
              <w:rPr>
                <w:rFonts w:hint="eastAsia" w:ascii="Times New Roman" w:hAnsi="Times New Roman" w:eastAsia="宋体" w:cs="Times New Roman"/>
                <w:color w:val="auto"/>
                <w:sz w:val="21"/>
                <w:szCs w:val="20"/>
                <w:lang w:val="en-US" w:eastAsia="zh-CN" w:bidi="ar-SA"/>
              </w:rPr>
              <w:t>0</w:t>
            </w:r>
            <w:r>
              <w:rPr>
                <w:rFonts w:hint="default" w:ascii="Times New Roman" w:hAnsi="Times New Roman" w:eastAsia="宋体" w:cs="Times New Roman"/>
                <w:color w:val="auto"/>
                <w:sz w:val="21"/>
                <w:szCs w:val="20"/>
                <w:lang w:val="en-US" w:eastAsia="zh-CN" w:bidi="ar-SA"/>
              </w:rPr>
              <w:t>00t/a</w:t>
            </w:r>
          </w:p>
        </w:tc>
      </w:tr>
      <w:tr w14:paraId="584C94BD">
        <w:tblPrEx>
          <w:tblBorders>
            <w:top w:val="single" w:color="auto" w:sz="2" w:space="0"/>
            <w:left w:val="single" w:color="auto" w:sz="2" w:space="0"/>
            <w:bottom w:val="single" w:color="auto" w:sz="2" w:space="0"/>
            <w:right w:val="single" w:color="auto" w:sz="2" w:space="0"/>
            <w:insideH w:val="single" w:color="auto" w:sz="6" w:space="0"/>
            <w:insideV w:val="single" w:color="auto" w:sz="6" w:space="0"/>
          </w:tblBorders>
          <w:tblCellMar>
            <w:top w:w="0" w:type="dxa"/>
            <w:left w:w="108" w:type="dxa"/>
            <w:bottom w:w="0" w:type="dxa"/>
            <w:right w:w="108" w:type="dxa"/>
          </w:tblCellMar>
        </w:tblPrEx>
        <w:trPr>
          <w:trHeight w:val="259" w:hRule="atLeast"/>
          <w:jc w:val="center"/>
        </w:trPr>
        <w:tc>
          <w:tcPr>
            <w:tcW w:w="791" w:type="dxa"/>
            <w:noWrap w:val="0"/>
            <w:vAlign w:val="center"/>
          </w:tcPr>
          <w:p w14:paraId="32BD45F2">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2</w:t>
            </w:r>
          </w:p>
        </w:tc>
        <w:tc>
          <w:tcPr>
            <w:tcW w:w="1966" w:type="dxa"/>
            <w:shd w:val="clear" w:color="auto" w:fill="auto"/>
            <w:noWrap w:val="0"/>
            <w:vAlign w:val="center"/>
          </w:tcPr>
          <w:p w14:paraId="4601832A">
            <w:pPr>
              <w:pStyle w:val="63"/>
              <w:keepNext w:val="0"/>
              <w:keepLines w:val="0"/>
              <w:pageBreakBefore w:val="0"/>
              <w:kinsoku/>
              <w:wordWrap/>
              <w:topLinePunct w:val="0"/>
              <w:autoSpaceDE w:val="0"/>
              <w:autoSpaceDN w:val="0"/>
              <w:bidi w:val="0"/>
              <w:snapToGrid/>
              <w:spacing w:line="240" w:lineRule="auto"/>
              <w:ind w:firstLine="0" w:firstLineChars="0"/>
              <w:rPr>
                <w:rFonts w:hint="eastAsia" w:ascii="Times New Roman" w:hAnsi="Times New Roman" w:eastAsia="宋体" w:cs="Times New Roman"/>
                <w:color w:val="auto"/>
                <w:sz w:val="21"/>
                <w:szCs w:val="20"/>
                <w:lang w:val="en-US" w:eastAsia="zh-CN" w:bidi="ar-SA"/>
              </w:rPr>
            </w:pPr>
            <w:r>
              <w:rPr>
                <w:rFonts w:hint="eastAsia"/>
                <w:color w:val="auto"/>
                <w:sz w:val="21"/>
                <w:szCs w:val="21"/>
                <w:highlight w:val="none"/>
                <w:lang w:val="en-US" w:eastAsia="zh-CN"/>
              </w:rPr>
              <w:t>造粒</w:t>
            </w:r>
            <w:r>
              <w:rPr>
                <w:rFonts w:hint="eastAsia"/>
                <w:color w:val="auto"/>
              </w:rPr>
              <w:t>车间</w:t>
            </w:r>
          </w:p>
        </w:tc>
        <w:tc>
          <w:tcPr>
            <w:tcW w:w="2805" w:type="dxa"/>
            <w:shd w:val="clear" w:color="auto" w:fill="auto"/>
            <w:noWrap w:val="0"/>
            <w:vAlign w:val="center"/>
          </w:tcPr>
          <w:p w14:paraId="2AF97005">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eastAsia"/>
                <w:color w:val="auto"/>
                <w:sz w:val="21"/>
                <w:szCs w:val="21"/>
                <w:highlight w:val="none"/>
                <w:lang w:val="en-US" w:eastAsia="zh-CN"/>
              </w:rPr>
              <w:t>造粒生产线</w:t>
            </w:r>
            <w:r>
              <w:rPr>
                <w:rFonts w:hint="default" w:ascii="Times New Roman" w:hAnsi="Times New Roman" w:eastAsia="宋体" w:cs="Times New Roman"/>
                <w:color w:val="auto"/>
                <w:sz w:val="21"/>
                <w:szCs w:val="20"/>
                <w:lang w:val="en-US" w:eastAsia="zh-CN" w:bidi="ar-SA"/>
              </w:rPr>
              <w:t>（</w:t>
            </w:r>
            <w:r>
              <w:rPr>
                <w:rFonts w:hint="eastAsia" w:cs="Times New Roman"/>
                <w:color w:val="auto"/>
                <w:sz w:val="21"/>
                <w:szCs w:val="20"/>
                <w:lang w:val="en-US" w:eastAsia="zh-CN" w:bidi="ar-SA"/>
              </w:rPr>
              <w:t>1</w:t>
            </w:r>
            <w:r>
              <w:rPr>
                <w:rFonts w:hint="default" w:ascii="Times New Roman" w:hAnsi="Times New Roman" w:eastAsia="宋体" w:cs="Times New Roman"/>
                <w:color w:val="auto"/>
                <w:sz w:val="21"/>
                <w:szCs w:val="20"/>
                <w:lang w:val="en-US" w:eastAsia="zh-CN" w:bidi="ar-SA"/>
              </w:rPr>
              <w:t>条）</w:t>
            </w:r>
          </w:p>
        </w:tc>
        <w:tc>
          <w:tcPr>
            <w:tcW w:w="2181" w:type="dxa"/>
            <w:shd w:val="clear" w:color="auto" w:fill="auto"/>
            <w:noWrap w:val="0"/>
            <w:vAlign w:val="center"/>
          </w:tcPr>
          <w:p w14:paraId="1A43B06F">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default" w:ascii="Times New Roman" w:hAnsi="Times New Roman" w:eastAsia="宋体" w:cs="Times New Roman"/>
                <w:color w:val="auto"/>
                <w:sz w:val="21"/>
                <w:szCs w:val="20"/>
                <w:lang w:val="en-US" w:eastAsia="zh-CN" w:bidi="ar-SA"/>
              </w:rPr>
            </w:pPr>
            <w:r>
              <w:rPr>
                <w:rFonts w:hint="default" w:ascii="Times New Roman" w:hAnsi="Times New Roman" w:eastAsia="宋体" w:cs="Times New Roman"/>
                <w:color w:val="auto"/>
                <w:sz w:val="21"/>
                <w:szCs w:val="20"/>
                <w:lang w:val="en-US" w:eastAsia="zh-CN" w:bidi="ar-SA"/>
              </w:rPr>
              <w:t>再生颗粒</w:t>
            </w:r>
          </w:p>
        </w:tc>
        <w:tc>
          <w:tcPr>
            <w:tcW w:w="1389" w:type="dxa"/>
            <w:shd w:val="clear" w:color="auto" w:fill="auto"/>
            <w:noWrap w:val="0"/>
            <w:vAlign w:val="center"/>
          </w:tcPr>
          <w:p w14:paraId="34F18BED">
            <w:pPr>
              <w:keepNext w:val="0"/>
              <w:keepLines w:val="0"/>
              <w:pageBreakBefore w:val="0"/>
              <w:kinsoku/>
              <w:wordWrap/>
              <w:topLinePunct w:val="0"/>
              <w:autoSpaceDE w:val="0"/>
              <w:autoSpaceDN w:val="0"/>
              <w:bidi w:val="0"/>
              <w:snapToGrid/>
              <w:spacing w:line="240" w:lineRule="auto"/>
              <w:ind w:left="0" w:leftChars="0" w:right="0" w:rightChars="0" w:firstLine="0" w:firstLineChars="0"/>
              <w:jc w:val="center"/>
              <w:rPr>
                <w:rFonts w:hint="eastAsia" w:ascii="Times New Roman" w:hAnsi="Times New Roman" w:eastAsia="宋体" w:cs="Times New Roman"/>
                <w:color w:val="auto"/>
                <w:sz w:val="21"/>
                <w:szCs w:val="20"/>
                <w:lang w:val="en-US" w:eastAsia="zh-CN" w:bidi="ar-SA"/>
              </w:rPr>
            </w:pPr>
            <w:r>
              <w:rPr>
                <w:rFonts w:hint="eastAsia" w:cs="Times New Roman"/>
                <w:color w:val="auto"/>
                <w:sz w:val="21"/>
                <w:szCs w:val="20"/>
                <w:lang w:val="en-US" w:eastAsia="zh-CN" w:bidi="ar-SA"/>
              </w:rPr>
              <w:t>55</w:t>
            </w:r>
            <w:r>
              <w:rPr>
                <w:rFonts w:hint="default" w:ascii="Times New Roman" w:hAnsi="Times New Roman" w:eastAsia="宋体" w:cs="Times New Roman"/>
                <w:color w:val="auto"/>
                <w:sz w:val="21"/>
                <w:szCs w:val="20"/>
                <w:lang w:val="en-US" w:eastAsia="zh-CN" w:bidi="ar-SA"/>
              </w:rPr>
              <w:t>00t/a</w:t>
            </w:r>
          </w:p>
        </w:tc>
      </w:tr>
    </w:tbl>
    <w:p w14:paraId="3909A0E7">
      <w:pPr>
        <w:pStyle w:val="5"/>
        <w:keepNext/>
        <w:keepLines/>
        <w:pageBreakBefore w:val="0"/>
        <w:widowControl/>
        <w:kinsoku/>
        <w:wordWrap/>
        <w:overflowPunct/>
        <w:topLinePunct w:val="0"/>
        <w:autoSpaceDE/>
        <w:autoSpaceDN/>
        <w:bidi w:val="0"/>
        <w:adjustRightInd w:val="0"/>
        <w:snapToGrid w:val="0"/>
        <w:spacing w:before="0" w:beforeLines="50"/>
        <w:jc w:val="both"/>
        <w:textAlignment w:val="auto"/>
        <w:rPr>
          <w:rFonts w:hint="default" w:ascii="Times New Roman" w:hAnsi="Times New Roman" w:cs="Times New Roman"/>
          <w:color w:val="auto"/>
          <w:spacing w:val="0"/>
          <w:w w:val="100"/>
          <w:position w:val="0"/>
          <w:sz w:val="28"/>
          <w:szCs w:val="28"/>
        </w:rPr>
      </w:pPr>
      <w:bookmarkStart w:id="124" w:name="3.1.4 主要生产设备"/>
      <w:bookmarkEnd w:id="124"/>
      <w:bookmarkStart w:id="125" w:name="3.1.4 主要生产设备"/>
      <w:bookmarkEnd w:id="125"/>
      <w:bookmarkStart w:id="126" w:name="_Toc6830"/>
      <w:bookmarkStart w:id="127" w:name="_Toc16554"/>
      <w:r>
        <w:rPr>
          <w:rFonts w:hint="default" w:ascii="Times New Roman" w:hAnsi="Times New Roman" w:cs="Times New Roman"/>
          <w:color w:val="auto"/>
          <w:spacing w:val="0"/>
          <w:w w:val="100"/>
          <w:position w:val="0"/>
          <w:sz w:val="28"/>
          <w:szCs w:val="28"/>
          <w:lang w:val="en-US" w:eastAsia="zh-CN"/>
        </w:rPr>
        <w:t>3.</w:t>
      </w:r>
      <w:r>
        <w:rPr>
          <w:rFonts w:hint="eastAsia" w:cs="Times New Roman"/>
          <w:color w:val="auto"/>
          <w:spacing w:val="0"/>
          <w:w w:val="100"/>
          <w:position w:val="0"/>
          <w:sz w:val="28"/>
          <w:szCs w:val="28"/>
          <w:lang w:val="en-US" w:eastAsia="zh-CN"/>
        </w:rPr>
        <w:t>1</w:t>
      </w:r>
      <w:r>
        <w:rPr>
          <w:rFonts w:hint="default" w:ascii="Times New Roman" w:hAnsi="Times New Roman" w:cs="Times New Roman"/>
          <w:color w:val="auto"/>
          <w:spacing w:val="0"/>
          <w:w w:val="100"/>
          <w:position w:val="0"/>
          <w:sz w:val="28"/>
          <w:szCs w:val="28"/>
          <w:lang w:val="en-US" w:eastAsia="zh-CN"/>
        </w:rPr>
        <w:t>.</w:t>
      </w:r>
      <w:r>
        <w:rPr>
          <w:rFonts w:hint="eastAsia" w:cs="Times New Roman"/>
          <w:color w:val="auto"/>
          <w:spacing w:val="0"/>
          <w:w w:val="100"/>
          <w:position w:val="0"/>
          <w:sz w:val="28"/>
          <w:szCs w:val="28"/>
          <w:lang w:val="en-US" w:eastAsia="zh-CN"/>
        </w:rPr>
        <w:t>4</w:t>
      </w:r>
      <w:r>
        <w:rPr>
          <w:rFonts w:hint="default" w:ascii="Times New Roman" w:hAnsi="Times New Roman" w:cs="Times New Roman"/>
          <w:color w:val="auto"/>
          <w:spacing w:val="0"/>
          <w:w w:val="100"/>
          <w:position w:val="0"/>
          <w:sz w:val="28"/>
          <w:szCs w:val="28"/>
        </w:rPr>
        <w:t>主要生产设备</w:t>
      </w:r>
      <w:bookmarkEnd w:id="126"/>
      <w:bookmarkEnd w:id="127"/>
    </w:p>
    <w:p w14:paraId="2CE3034C">
      <w:pPr>
        <w:pageBreakBefore w:val="0"/>
        <w:kinsoku/>
        <w:wordWrap/>
        <w:overflowPunct/>
        <w:topLinePunct w:val="0"/>
        <w:bidi w:val="0"/>
        <w:rPr>
          <w:rFonts w:hint="eastAsia" w:eastAsia="宋体"/>
          <w:color w:val="auto"/>
          <w:spacing w:val="0"/>
          <w:w w:val="100"/>
          <w:position w:val="0"/>
          <w:lang w:val="en-US" w:eastAsia="zh-CN"/>
        </w:rPr>
      </w:pPr>
      <w:r>
        <w:rPr>
          <w:color w:val="auto"/>
          <w:spacing w:val="0"/>
          <w:w w:val="100"/>
          <w:position w:val="0"/>
        </w:rPr>
        <w:t>本项目主要设备清单见下表</w:t>
      </w:r>
      <w:r>
        <w:rPr>
          <w:rFonts w:ascii="Times New Roman" w:eastAsia="Times New Roman"/>
          <w:color w:val="auto"/>
          <w:spacing w:val="0"/>
          <w:w w:val="100"/>
          <w:position w:val="0"/>
        </w:rPr>
        <w:t>3.</w:t>
      </w:r>
      <w:r>
        <w:rPr>
          <w:rFonts w:hint="eastAsia"/>
          <w:color w:val="auto"/>
          <w:spacing w:val="0"/>
          <w:w w:val="100"/>
          <w:position w:val="0"/>
          <w:lang w:val="en-US" w:eastAsia="zh-CN"/>
        </w:rPr>
        <w:t>1</w:t>
      </w:r>
      <w:r>
        <w:rPr>
          <w:rFonts w:ascii="Times New Roman" w:eastAsia="Times New Roman"/>
          <w:color w:val="auto"/>
          <w:spacing w:val="0"/>
          <w:w w:val="100"/>
          <w:position w:val="0"/>
        </w:rPr>
        <w:t>-</w:t>
      </w:r>
      <w:r>
        <w:rPr>
          <w:rFonts w:hint="eastAsia"/>
          <w:color w:val="auto"/>
          <w:spacing w:val="0"/>
          <w:w w:val="100"/>
          <w:position w:val="0"/>
          <w:lang w:val="en-US" w:eastAsia="zh-CN"/>
        </w:rPr>
        <w:t>4</w:t>
      </w:r>
      <w:r>
        <w:rPr>
          <w:color w:val="auto"/>
          <w:spacing w:val="0"/>
          <w:w w:val="100"/>
          <w:position w:val="0"/>
        </w:rPr>
        <w:t>。</w:t>
      </w:r>
    </w:p>
    <w:p w14:paraId="2C9E00DD">
      <w:pPr>
        <w:pStyle w:val="43"/>
        <w:pageBreakBefore w:val="0"/>
        <w:kinsoku/>
        <w:wordWrap/>
        <w:overflowPunct/>
        <w:topLinePunct w:val="0"/>
        <w:bidi w:val="0"/>
        <w:rPr>
          <w:rFonts w:hint="eastAsia"/>
          <w:color w:val="auto"/>
        </w:rPr>
      </w:pPr>
      <w:r>
        <w:rPr>
          <w:rFonts w:hint="eastAsia"/>
          <w:color w:val="auto"/>
        </w:rPr>
        <w:t>表3.</w:t>
      </w:r>
      <w:r>
        <w:rPr>
          <w:rFonts w:hint="eastAsia"/>
          <w:color w:val="auto"/>
          <w:lang w:val="en-US" w:eastAsia="zh-CN"/>
        </w:rPr>
        <w:t>1</w:t>
      </w:r>
      <w:r>
        <w:rPr>
          <w:rFonts w:hint="eastAsia"/>
          <w:color w:val="auto"/>
        </w:rPr>
        <w:t>-</w:t>
      </w:r>
      <w:r>
        <w:rPr>
          <w:rFonts w:hint="eastAsia"/>
          <w:color w:val="auto"/>
          <w:lang w:val="en-US" w:eastAsia="zh-CN"/>
        </w:rPr>
        <w:t xml:space="preserve">4  </w:t>
      </w:r>
      <w:r>
        <w:rPr>
          <w:rFonts w:hint="eastAsia"/>
          <w:color w:val="auto"/>
        </w:rPr>
        <w:t>项目主要设备清单一览表</w:t>
      </w:r>
    </w:p>
    <w:p w14:paraId="6C2AB609">
      <w:pPr>
        <w:pStyle w:val="5"/>
        <w:keepNext/>
        <w:keepLines/>
        <w:pageBreakBefore w:val="0"/>
        <w:widowControl/>
        <w:kinsoku/>
        <w:wordWrap/>
        <w:overflowPunct/>
        <w:topLinePunct w:val="0"/>
        <w:autoSpaceDE/>
        <w:autoSpaceDN/>
        <w:bidi w:val="0"/>
        <w:adjustRightInd w:val="0"/>
        <w:snapToGrid w:val="0"/>
        <w:spacing w:before="0" w:beforeLines="50"/>
        <w:textAlignment w:val="auto"/>
        <w:rPr>
          <w:rFonts w:hint="default"/>
          <w:color w:val="auto"/>
          <w:sz w:val="28"/>
          <w:szCs w:val="28"/>
        </w:rPr>
      </w:pPr>
      <w:bookmarkStart w:id="128" w:name="3.1.5 主要原辅材料及理化性质"/>
      <w:bookmarkEnd w:id="128"/>
      <w:bookmarkStart w:id="129" w:name="3.1.5 主要原辅材料及理化性质"/>
      <w:bookmarkEnd w:id="129"/>
      <w:bookmarkStart w:id="130" w:name="_Toc29315"/>
      <w:bookmarkStart w:id="131" w:name="_Toc17595"/>
      <w:r>
        <w:rPr>
          <w:rFonts w:hint="default"/>
          <w:color w:val="auto"/>
          <w:sz w:val="28"/>
          <w:szCs w:val="28"/>
          <w:lang w:val="en-US" w:eastAsia="zh-CN"/>
        </w:rPr>
        <w:t>3.</w:t>
      </w:r>
      <w:r>
        <w:rPr>
          <w:rFonts w:hint="eastAsia"/>
          <w:color w:val="auto"/>
          <w:sz w:val="28"/>
          <w:szCs w:val="28"/>
          <w:lang w:val="en-US" w:eastAsia="zh-CN"/>
        </w:rPr>
        <w:t>1</w:t>
      </w:r>
      <w:r>
        <w:rPr>
          <w:rFonts w:hint="default"/>
          <w:color w:val="auto"/>
          <w:sz w:val="28"/>
          <w:szCs w:val="28"/>
          <w:lang w:val="en-US" w:eastAsia="zh-CN"/>
        </w:rPr>
        <w:t>.</w:t>
      </w:r>
      <w:r>
        <w:rPr>
          <w:rFonts w:hint="eastAsia"/>
          <w:color w:val="auto"/>
          <w:sz w:val="28"/>
          <w:szCs w:val="28"/>
          <w:lang w:val="en-US" w:eastAsia="zh-CN"/>
        </w:rPr>
        <w:t>5</w:t>
      </w:r>
      <w:r>
        <w:rPr>
          <w:rFonts w:hint="default"/>
          <w:color w:val="auto"/>
          <w:sz w:val="28"/>
          <w:szCs w:val="28"/>
        </w:rPr>
        <w:t>主要原辅材料及理化性质</w:t>
      </w:r>
      <w:bookmarkEnd w:id="130"/>
      <w:bookmarkEnd w:id="131"/>
    </w:p>
    <w:p w14:paraId="01ABAF90">
      <w:pPr>
        <w:pStyle w:val="6"/>
        <w:pageBreakBefore w:val="0"/>
        <w:kinsoku/>
        <w:wordWrap/>
        <w:overflowPunct/>
        <w:topLinePunct w:val="0"/>
        <w:bidi w:val="0"/>
        <w:rPr>
          <w:rFonts w:hint="default" w:ascii="Times New Roman" w:hAnsi="Times New Roman" w:eastAsia="宋体" w:cs="Times New Roman"/>
          <w:b/>
          <w:bCs/>
          <w:color w:val="auto"/>
          <w:spacing w:val="0"/>
          <w:w w:val="100"/>
          <w:position w:val="0"/>
          <w:sz w:val="24"/>
        </w:rPr>
      </w:pPr>
      <w:r>
        <w:rPr>
          <w:rFonts w:hint="eastAsia" w:ascii="Times New Roman" w:hAnsi="Times New Roman" w:cs="Times New Roman"/>
          <w:b/>
          <w:bCs/>
          <w:color w:val="auto"/>
          <w:spacing w:val="0"/>
          <w:w w:val="100"/>
          <w:position w:val="0"/>
          <w:sz w:val="24"/>
          <w:lang w:val="en-US" w:eastAsia="zh-CN"/>
        </w:rPr>
        <w:t>3.</w:t>
      </w:r>
      <w:r>
        <w:rPr>
          <w:rFonts w:hint="eastAsia" w:cs="Times New Roman"/>
          <w:b/>
          <w:bCs/>
          <w:color w:val="auto"/>
          <w:spacing w:val="0"/>
          <w:w w:val="100"/>
          <w:position w:val="0"/>
          <w:sz w:val="24"/>
          <w:lang w:val="en-US" w:eastAsia="zh-CN"/>
        </w:rPr>
        <w:t>1</w:t>
      </w:r>
      <w:r>
        <w:rPr>
          <w:rFonts w:hint="eastAsia" w:ascii="Times New Roman" w:hAnsi="Times New Roman" w:cs="Times New Roman"/>
          <w:b/>
          <w:bCs/>
          <w:color w:val="auto"/>
          <w:spacing w:val="0"/>
          <w:w w:val="100"/>
          <w:position w:val="0"/>
          <w:sz w:val="24"/>
          <w:lang w:val="en-US" w:eastAsia="zh-CN"/>
        </w:rPr>
        <w:t>.</w:t>
      </w:r>
      <w:r>
        <w:rPr>
          <w:rFonts w:hint="eastAsia" w:cs="Times New Roman"/>
          <w:b/>
          <w:bCs/>
          <w:color w:val="auto"/>
          <w:spacing w:val="0"/>
          <w:w w:val="100"/>
          <w:position w:val="0"/>
          <w:sz w:val="24"/>
          <w:lang w:val="en-US" w:eastAsia="zh-CN"/>
        </w:rPr>
        <w:t>5</w:t>
      </w:r>
      <w:r>
        <w:rPr>
          <w:rFonts w:hint="eastAsia" w:ascii="Times New Roman" w:hAnsi="Times New Roman" w:cs="Times New Roman"/>
          <w:b/>
          <w:bCs/>
          <w:color w:val="auto"/>
          <w:spacing w:val="0"/>
          <w:w w:val="100"/>
          <w:position w:val="0"/>
          <w:sz w:val="24"/>
          <w:lang w:val="en-US" w:eastAsia="zh-CN"/>
        </w:rPr>
        <w:t>.1</w:t>
      </w:r>
      <w:r>
        <w:rPr>
          <w:rFonts w:hint="default" w:ascii="Times New Roman" w:hAnsi="Times New Roman" w:eastAsia="宋体" w:cs="Times New Roman"/>
          <w:b/>
          <w:bCs/>
          <w:color w:val="auto"/>
          <w:spacing w:val="0"/>
          <w:w w:val="100"/>
          <w:position w:val="0"/>
          <w:sz w:val="24"/>
        </w:rPr>
        <w:t>主要原辅材料</w:t>
      </w:r>
    </w:p>
    <w:p w14:paraId="3D8F51AE">
      <w:pPr>
        <w:pageBreakBefore w:val="0"/>
        <w:kinsoku/>
        <w:wordWrap/>
        <w:overflowPunct/>
        <w:topLinePunct w:val="0"/>
        <w:bidi w:val="0"/>
        <w:rPr>
          <w:rFonts w:hint="default"/>
          <w:color w:val="auto"/>
        </w:rPr>
      </w:pPr>
      <w:r>
        <w:rPr>
          <w:rFonts w:hint="default"/>
          <w:color w:val="auto"/>
        </w:rPr>
        <w:t>本项目严格控制原料进厂把关程序，严禁有毒有害废塑料包装进厂。本项目原料</w:t>
      </w:r>
      <w:r>
        <w:rPr>
          <w:rFonts w:hint="eastAsia"/>
          <w:color w:val="auto"/>
          <w:lang w:eastAsia="zh-CN"/>
        </w:rPr>
        <w:t>仅收集乌雪特乡</w:t>
      </w:r>
      <w:r>
        <w:rPr>
          <w:rFonts w:hint="default"/>
          <w:color w:val="auto"/>
          <w:lang w:eastAsia="zh-CN"/>
        </w:rPr>
        <w:t>附近</w:t>
      </w:r>
      <w:r>
        <w:rPr>
          <w:rFonts w:hint="default"/>
          <w:color w:val="auto"/>
        </w:rPr>
        <w:t>农户的废旧废滴灌带，收购量为</w:t>
      </w:r>
      <w:r>
        <w:rPr>
          <w:rFonts w:hint="eastAsia"/>
          <w:color w:val="auto"/>
          <w:lang w:val="en-US" w:eastAsia="zh-CN"/>
        </w:rPr>
        <w:t>55</w:t>
      </w:r>
      <w:r>
        <w:rPr>
          <w:rFonts w:hint="default"/>
          <w:color w:val="auto"/>
        </w:rPr>
        <w:t>00吨/年。项目原辅材料和资（能）源消耗情况见表3.</w:t>
      </w:r>
      <w:r>
        <w:rPr>
          <w:rFonts w:hint="eastAsia"/>
          <w:color w:val="auto"/>
          <w:lang w:val="en-US" w:eastAsia="zh-CN"/>
        </w:rPr>
        <w:t>1</w:t>
      </w:r>
      <w:r>
        <w:rPr>
          <w:rFonts w:hint="default"/>
          <w:color w:val="auto"/>
        </w:rPr>
        <w:t>-</w:t>
      </w:r>
      <w:r>
        <w:rPr>
          <w:rFonts w:hint="eastAsia"/>
          <w:color w:val="auto"/>
          <w:lang w:val="en-US" w:eastAsia="zh-CN"/>
        </w:rPr>
        <w:t>5</w:t>
      </w:r>
      <w:r>
        <w:rPr>
          <w:rFonts w:hint="default"/>
          <w:color w:val="auto"/>
        </w:rPr>
        <w:t>。</w:t>
      </w:r>
    </w:p>
    <w:p w14:paraId="3CB4DCD5">
      <w:pPr>
        <w:pStyle w:val="43"/>
        <w:keepNext w:val="0"/>
        <w:keepLines w:val="0"/>
        <w:pageBreakBefore w:val="0"/>
        <w:widowControl/>
        <w:kinsoku/>
        <w:wordWrap/>
        <w:overflowPunct/>
        <w:topLinePunct w:val="0"/>
        <w:autoSpaceDE/>
        <w:autoSpaceDN/>
        <w:bidi w:val="0"/>
        <w:adjustRightInd w:val="0"/>
        <w:snapToGrid w:val="0"/>
        <w:spacing w:before="0" w:beforeLines="0"/>
        <w:textAlignment w:val="auto"/>
        <w:rPr>
          <w:rFonts w:hint="eastAsia"/>
          <w:color w:val="auto"/>
          <w:highlight w:val="none"/>
        </w:rPr>
      </w:pPr>
      <w:r>
        <w:rPr>
          <w:rFonts w:hint="eastAsia"/>
          <w:color w:val="auto"/>
          <w:highlight w:val="none"/>
        </w:rPr>
        <w:t>表3.</w:t>
      </w:r>
      <w:r>
        <w:rPr>
          <w:rFonts w:hint="eastAsia"/>
          <w:color w:val="auto"/>
          <w:highlight w:val="none"/>
          <w:lang w:val="en-US" w:eastAsia="zh-CN"/>
        </w:rPr>
        <w:t>1</w:t>
      </w:r>
      <w:r>
        <w:rPr>
          <w:rFonts w:hint="eastAsia"/>
          <w:color w:val="auto"/>
          <w:highlight w:val="none"/>
        </w:rPr>
        <w:t>-</w:t>
      </w:r>
      <w:r>
        <w:rPr>
          <w:rFonts w:hint="eastAsia"/>
          <w:color w:val="auto"/>
          <w:highlight w:val="none"/>
          <w:lang w:val="en-US" w:eastAsia="zh-CN"/>
        </w:rPr>
        <w:t xml:space="preserve">5  </w:t>
      </w:r>
      <w:r>
        <w:rPr>
          <w:rFonts w:hint="eastAsia"/>
          <w:color w:val="auto"/>
          <w:highlight w:val="none"/>
        </w:rPr>
        <w:t>主要原辅材料品种、年需要量表</w:t>
      </w:r>
    </w:p>
    <w:tbl>
      <w:tblPr>
        <w:tblStyle w:val="27"/>
        <w:tblW w:w="5000" w:type="pct"/>
        <w:jc w:val="center"/>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07"/>
        <w:gridCol w:w="2206"/>
        <w:gridCol w:w="1260"/>
        <w:gridCol w:w="1185"/>
        <w:gridCol w:w="2815"/>
        <w:gridCol w:w="1053"/>
      </w:tblGrid>
      <w:tr w14:paraId="674E03F1">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noWrap w:val="0"/>
            <w:vAlign w:val="center"/>
          </w:tcPr>
          <w:p w14:paraId="6CA1CC8B">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序号</w:t>
            </w:r>
          </w:p>
        </w:tc>
        <w:tc>
          <w:tcPr>
            <w:tcW w:w="2206" w:type="dxa"/>
            <w:tcBorders>
              <w:tl2br w:val="nil"/>
              <w:tr2bl w:val="nil"/>
            </w:tcBorders>
            <w:noWrap w:val="0"/>
            <w:vAlign w:val="center"/>
          </w:tcPr>
          <w:p w14:paraId="7F68A4EC">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名称</w:t>
            </w:r>
          </w:p>
        </w:tc>
        <w:tc>
          <w:tcPr>
            <w:tcW w:w="1260" w:type="dxa"/>
            <w:tcBorders>
              <w:tl2br w:val="nil"/>
              <w:tr2bl w:val="nil"/>
            </w:tcBorders>
            <w:noWrap w:val="0"/>
            <w:vAlign w:val="center"/>
          </w:tcPr>
          <w:p w14:paraId="66BB2724">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单位</w:t>
            </w:r>
          </w:p>
        </w:tc>
        <w:tc>
          <w:tcPr>
            <w:tcW w:w="1185" w:type="dxa"/>
            <w:tcBorders>
              <w:tl2br w:val="nil"/>
              <w:tr2bl w:val="nil"/>
            </w:tcBorders>
            <w:noWrap w:val="0"/>
            <w:vAlign w:val="center"/>
          </w:tcPr>
          <w:p w14:paraId="7CE62DB7">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数量</w:t>
            </w:r>
          </w:p>
        </w:tc>
        <w:tc>
          <w:tcPr>
            <w:tcW w:w="2815" w:type="dxa"/>
            <w:tcBorders>
              <w:tl2br w:val="nil"/>
              <w:tr2bl w:val="nil"/>
            </w:tcBorders>
            <w:noWrap w:val="0"/>
            <w:vAlign w:val="center"/>
          </w:tcPr>
          <w:p w14:paraId="24F5C205">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来源</w:t>
            </w:r>
          </w:p>
        </w:tc>
        <w:tc>
          <w:tcPr>
            <w:tcW w:w="1053" w:type="dxa"/>
            <w:tcBorders>
              <w:tl2br w:val="nil"/>
              <w:tr2bl w:val="nil"/>
            </w:tcBorders>
            <w:noWrap w:val="0"/>
            <w:vAlign w:val="center"/>
          </w:tcPr>
          <w:p w14:paraId="63451827">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运输方式</w:t>
            </w:r>
          </w:p>
        </w:tc>
      </w:tr>
      <w:tr w14:paraId="4916F91F">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noWrap w:val="0"/>
            <w:vAlign w:val="center"/>
          </w:tcPr>
          <w:p w14:paraId="05AE7246">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1</w:t>
            </w:r>
          </w:p>
        </w:tc>
        <w:tc>
          <w:tcPr>
            <w:tcW w:w="2206" w:type="dxa"/>
            <w:tcBorders>
              <w:tl2br w:val="nil"/>
              <w:tr2bl w:val="nil"/>
            </w:tcBorders>
            <w:noWrap w:val="0"/>
            <w:vAlign w:val="center"/>
          </w:tcPr>
          <w:p w14:paraId="53FE4BBE">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废旧滴灌带</w:t>
            </w:r>
          </w:p>
        </w:tc>
        <w:tc>
          <w:tcPr>
            <w:tcW w:w="1260" w:type="dxa"/>
            <w:tcBorders>
              <w:tl2br w:val="nil"/>
              <w:tr2bl w:val="nil"/>
            </w:tcBorders>
            <w:noWrap w:val="0"/>
            <w:vAlign w:val="center"/>
          </w:tcPr>
          <w:p w14:paraId="5140602D">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t/a</w:t>
            </w:r>
          </w:p>
        </w:tc>
        <w:tc>
          <w:tcPr>
            <w:tcW w:w="1185" w:type="dxa"/>
            <w:tcBorders>
              <w:tl2br w:val="nil"/>
              <w:tr2bl w:val="nil"/>
            </w:tcBorders>
            <w:noWrap w:val="0"/>
            <w:vAlign w:val="center"/>
          </w:tcPr>
          <w:p w14:paraId="01D47077">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55</w:t>
            </w:r>
            <w:r>
              <w:rPr>
                <w:rFonts w:hint="default"/>
                <w:color w:val="auto"/>
                <w:highlight w:val="none"/>
                <w:lang w:val="en-US" w:eastAsia="zh-CN"/>
              </w:rPr>
              <w:t>00</w:t>
            </w:r>
          </w:p>
        </w:tc>
        <w:tc>
          <w:tcPr>
            <w:tcW w:w="2815" w:type="dxa"/>
            <w:tcBorders>
              <w:tl2br w:val="nil"/>
              <w:tr2bl w:val="nil"/>
            </w:tcBorders>
            <w:noWrap w:val="0"/>
            <w:vAlign w:val="center"/>
          </w:tcPr>
          <w:p w14:paraId="2F62AA7A">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eastAsia="宋体"/>
                <w:color w:val="auto"/>
                <w:highlight w:val="none"/>
                <w:lang w:eastAsia="zh-CN"/>
              </w:rPr>
            </w:pPr>
            <w:r>
              <w:rPr>
                <w:rFonts w:hint="default"/>
                <w:color w:val="auto"/>
                <w:highlight w:val="none"/>
              </w:rPr>
              <w:t>当地农户</w:t>
            </w:r>
          </w:p>
        </w:tc>
        <w:tc>
          <w:tcPr>
            <w:tcW w:w="1053" w:type="dxa"/>
            <w:tcBorders>
              <w:tl2br w:val="nil"/>
              <w:tr2bl w:val="nil"/>
            </w:tcBorders>
            <w:noWrap w:val="0"/>
            <w:vAlign w:val="center"/>
          </w:tcPr>
          <w:p w14:paraId="4022A667">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汽车</w:t>
            </w:r>
          </w:p>
        </w:tc>
      </w:tr>
      <w:tr w14:paraId="3F533CB9">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noWrap w:val="0"/>
            <w:vAlign w:val="center"/>
          </w:tcPr>
          <w:p w14:paraId="4C237F51">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eastAsia="宋体"/>
                <w:color w:val="auto"/>
                <w:highlight w:val="none"/>
                <w:lang w:val="en-US" w:eastAsia="zh-CN"/>
              </w:rPr>
            </w:pPr>
            <w:r>
              <w:rPr>
                <w:rFonts w:hint="eastAsia"/>
                <w:color w:val="auto"/>
                <w:highlight w:val="none"/>
                <w:lang w:val="en-US" w:eastAsia="zh-CN"/>
              </w:rPr>
              <w:t>2</w:t>
            </w:r>
          </w:p>
        </w:tc>
        <w:tc>
          <w:tcPr>
            <w:tcW w:w="2206" w:type="dxa"/>
            <w:tcBorders>
              <w:tl2br w:val="nil"/>
              <w:tr2bl w:val="nil"/>
            </w:tcBorders>
            <w:noWrap w:val="0"/>
            <w:vAlign w:val="center"/>
          </w:tcPr>
          <w:p w14:paraId="7D70280E">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ascii="Times New Roman" w:hAnsi="Times New Roman" w:cs="Times New Roman"/>
                <w:bCs/>
                <w:color w:val="auto"/>
                <w:kern w:val="0"/>
                <w:szCs w:val="21"/>
                <w:highlight w:val="none"/>
                <w:lang w:val="en-US" w:eastAsia="zh-CN"/>
              </w:rPr>
              <w:t>再生PE颗粒</w:t>
            </w:r>
          </w:p>
        </w:tc>
        <w:tc>
          <w:tcPr>
            <w:tcW w:w="1260" w:type="dxa"/>
            <w:tcBorders>
              <w:tl2br w:val="nil"/>
              <w:tr2bl w:val="nil"/>
            </w:tcBorders>
            <w:noWrap w:val="0"/>
            <w:vAlign w:val="center"/>
          </w:tcPr>
          <w:p w14:paraId="7D532DD1">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t/a</w:t>
            </w:r>
          </w:p>
        </w:tc>
        <w:tc>
          <w:tcPr>
            <w:tcW w:w="1185" w:type="dxa"/>
            <w:tcBorders>
              <w:tl2br w:val="nil"/>
              <w:tr2bl w:val="nil"/>
            </w:tcBorders>
            <w:noWrap w:val="0"/>
            <w:vAlign w:val="center"/>
          </w:tcPr>
          <w:p w14:paraId="261654F9">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5256.065</w:t>
            </w:r>
          </w:p>
        </w:tc>
        <w:tc>
          <w:tcPr>
            <w:tcW w:w="2815" w:type="dxa"/>
            <w:tcBorders>
              <w:tl2br w:val="nil"/>
              <w:tr2bl w:val="nil"/>
            </w:tcBorders>
            <w:noWrap w:val="0"/>
            <w:vAlign w:val="center"/>
          </w:tcPr>
          <w:p w14:paraId="2A0CC0FA">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eastAsia="宋体"/>
                <w:color w:val="auto"/>
                <w:highlight w:val="none"/>
                <w:lang w:val="en-US" w:eastAsia="zh-CN"/>
              </w:rPr>
            </w:pPr>
            <w:r>
              <w:rPr>
                <w:rFonts w:hint="eastAsia"/>
                <w:color w:val="auto"/>
                <w:highlight w:val="none"/>
                <w:lang w:val="en-US" w:eastAsia="zh-CN"/>
              </w:rPr>
              <w:t>/</w:t>
            </w:r>
          </w:p>
        </w:tc>
        <w:tc>
          <w:tcPr>
            <w:tcW w:w="1053" w:type="dxa"/>
            <w:tcBorders>
              <w:tl2br w:val="nil"/>
              <w:tr2bl w:val="nil"/>
            </w:tcBorders>
            <w:noWrap w:val="0"/>
            <w:vAlign w:val="center"/>
          </w:tcPr>
          <w:p w14:paraId="37E6FC68">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eastAsia="宋体"/>
                <w:color w:val="auto"/>
                <w:highlight w:val="none"/>
                <w:lang w:val="en-US" w:eastAsia="zh-CN"/>
              </w:rPr>
            </w:pPr>
            <w:r>
              <w:rPr>
                <w:rFonts w:hint="eastAsia"/>
                <w:color w:val="auto"/>
                <w:highlight w:val="none"/>
                <w:lang w:val="en-US" w:eastAsia="zh-CN"/>
              </w:rPr>
              <w:t>/</w:t>
            </w:r>
          </w:p>
        </w:tc>
      </w:tr>
      <w:tr w14:paraId="6EE18FE9">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shd w:val="clear" w:color="auto" w:fill="auto"/>
            <w:noWrap w:val="0"/>
            <w:vAlign w:val="center"/>
          </w:tcPr>
          <w:p w14:paraId="481471FA">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snapToGrid w:val="0"/>
                <w:color w:val="auto"/>
                <w:sz w:val="21"/>
                <w:szCs w:val="21"/>
                <w:highlight w:val="none"/>
                <w:lang w:eastAsia="zh-CN"/>
              </w:rPr>
            </w:pPr>
            <w:r>
              <w:rPr>
                <w:rFonts w:hint="eastAsia"/>
                <w:color w:val="auto"/>
                <w:highlight w:val="none"/>
                <w:lang w:val="en-US" w:eastAsia="zh-CN"/>
              </w:rPr>
              <w:t>3</w:t>
            </w:r>
          </w:p>
        </w:tc>
        <w:tc>
          <w:tcPr>
            <w:tcW w:w="2206" w:type="dxa"/>
            <w:tcBorders>
              <w:tl2br w:val="nil"/>
              <w:tr2bl w:val="nil"/>
            </w:tcBorders>
            <w:noWrap w:val="0"/>
            <w:vAlign w:val="center"/>
          </w:tcPr>
          <w:p w14:paraId="525FAF58">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ascii="Times New Roman" w:hAnsi="Times New Roman" w:cs="Times New Roman"/>
                <w:bCs/>
                <w:color w:val="auto"/>
                <w:kern w:val="0"/>
                <w:szCs w:val="21"/>
                <w:highlight w:val="none"/>
                <w:lang w:val="en-US" w:eastAsia="zh-CN"/>
              </w:rPr>
              <w:t>新PE</w:t>
            </w:r>
            <w:r>
              <w:rPr>
                <w:rFonts w:hint="default" w:ascii="Times New Roman" w:hAnsi="Times New Roman" w:cs="Times New Roman"/>
                <w:bCs/>
                <w:color w:val="auto"/>
                <w:kern w:val="0"/>
                <w:szCs w:val="21"/>
                <w:highlight w:val="none"/>
              </w:rPr>
              <w:t>颗粒</w:t>
            </w:r>
          </w:p>
        </w:tc>
        <w:tc>
          <w:tcPr>
            <w:tcW w:w="1260" w:type="dxa"/>
            <w:tcBorders>
              <w:tl2br w:val="nil"/>
              <w:tr2bl w:val="nil"/>
            </w:tcBorders>
            <w:noWrap w:val="0"/>
            <w:vAlign w:val="center"/>
          </w:tcPr>
          <w:p w14:paraId="31724742">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t/a</w:t>
            </w:r>
          </w:p>
        </w:tc>
        <w:tc>
          <w:tcPr>
            <w:tcW w:w="1185" w:type="dxa"/>
            <w:tcBorders>
              <w:tl2br w:val="nil"/>
              <w:tr2bl w:val="nil"/>
            </w:tcBorders>
            <w:noWrap w:val="0"/>
            <w:vAlign w:val="center"/>
          </w:tcPr>
          <w:p w14:paraId="2AB934F5">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698.935</w:t>
            </w:r>
          </w:p>
        </w:tc>
        <w:tc>
          <w:tcPr>
            <w:tcW w:w="2815" w:type="dxa"/>
            <w:tcBorders>
              <w:tl2br w:val="nil"/>
              <w:tr2bl w:val="nil"/>
            </w:tcBorders>
            <w:noWrap w:val="0"/>
            <w:vAlign w:val="center"/>
          </w:tcPr>
          <w:p w14:paraId="00015589">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市场采购</w:t>
            </w:r>
          </w:p>
        </w:tc>
        <w:tc>
          <w:tcPr>
            <w:tcW w:w="1053" w:type="dxa"/>
            <w:tcBorders>
              <w:tl2br w:val="nil"/>
              <w:tr2bl w:val="nil"/>
            </w:tcBorders>
            <w:noWrap w:val="0"/>
            <w:vAlign w:val="center"/>
          </w:tcPr>
          <w:p w14:paraId="2DB7FBEB">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汽车</w:t>
            </w:r>
          </w:p>
        </w:tc>
      </w:tr>
      <w:tr w14:paraId="267FA7A5">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shd w:val="clear" w:color="auto" w:fill="auto"/>
            <w:noWrap w:val="0"/>
            <w:vAlign w:val="center"/>
          </w:tcPr>
          <w:p w14:paraId="6B49AE8C">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snapToGrid w:val="0"/>
                <w:color w:val="auto"/>
                <w:sz w:val="21"/>
                <w:szCs w:val="21"/>
                <w:highlight w:val="none"/>
                <w:lang w:eastAsia="zh-CN"/>
              </w:rPr>
            </w:pPr>
            <w:r>
              <w:rPr>
                <w:rFonts w:hint="eastAsia"/>
                <w:color w:val="auto"/>
                <w:highlight w:val="none"/>
                <w:lang w:val="en-US" w:eastAsia="zh-CN"/>
              </w:rPr>
              <w:t>4</w:t>
            </w:r>
          </w:p>
        </w:tc>
        <w:tc>
          <w:tcPr>
            <w:tcW w:w="2206" w:type="dxa"/>
            <w:tcBorders>
              <w:tl2br w:val="nil"/>
              <w:tr2bl w:val="nil"/>
            </w:tcBorders>
            <w:noWrap w:val="0"/>
            <w:vAlign w:val="center"/>
          </w:tcPr>
          <w:p w14:paraId="425B8346">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色母</w:t>
            </w:r>
          </w:p>
        </w:tc>
        <w:tc>
          <w:tcPr>
            <w:tcW w:w="1260" w:type="dxa"/>
            <w:tcBorders>
              <w:tl2br w:val="nil"/>
              <w:tr2bl w:val="nil"/>
            </w:tcBorders>
            <w:noWrap w:val="0"/>
            <w:vAlign w:val="center"/>
          </w:tcPr>
          <w:p w14:paraId="3F9D7638">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t/a</w:t>
            </w:r>
          </w:p>
        </w:tc>
        <w:tc>
          <w:tcPr>
            <w:tcW w:w="1185" w:type="dxa"/>
            <w:tcBorders>
              <w:tl2br w:val="nil"/>
              <w:tr2bl w:val="nil"/>
            </w:tcBorders>
            <w:noWrap w:val="0"/>
            <w:vAlign w:val="center"/>
          </w:tcPr>
          <w:p w14:paraId="509C5993">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18</w:t>
            </w:r>
          </w:p>
        </w:tc>
        <w:tc>
          <w:tcPr>
            <w:tcW w:w="2815" w:type="dxa"/>
            <w:tcBorders>
              <w:tl2br w:val="nil"/>
              <w:tr2bl w:val="nil"/>
            </w:tcBorders>
            <w:shd w:val="clear" w:color="auto" w:fill="auto"/>
            <w:noWrap w:val="0"/>
            <w:vAlign w:val="center"/>
          </w:tcPr>
          <w:p w14:paraId="37627C51">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lang w:bidi="zh-CN"/>
              </w:rPr>
            </w:pPr>
            <w:r>
              <w:rPr>
                <w:rFonts w:hint="default" w:ascii="Times New Roman" w:hAnsi="Times New Roman" w:eastAsia="宋体" w:cs="Times New Roman"/>
                <w:snapToGrid w:val="0"/>
                <w:color w:val="auto"/>
                <w:sz w:val="21"/>
                <w:szCs w:val="21"/>
                <w:highlight w:val="none"/>
              </w:rPr>
              <w:t>市场采购</w:t>
            </w:r>
          </w:p>
        </w:tc>
        <w:tc>
          <w:tcPr>
            <w:tcW w:w="1053" w:type="dxa"/>
            <w:tcBorders>
              <w:tl2br w:val="nil"/>
              <w:tr2bl w:val="nil"/>
            </w:tcBorders>
            <w:shd w:val="clear" w:color="auto" w:fill="auto"/>
            <w:noWrap w:val="0"/>
            <w:vAlign w:val="center"/>
          </w:tcPr>
          <w:p w14:paraId="0913F3E1">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汽车</w:t>
            </w:r>
          </w:p>
        </w:tc>
      </w:tr>
      <w:tr w14:paraId="501608DA">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shd w:val="clear" w:color="auto" w:fill="auto"/>
            <w:noWrap w:val="0"/>
            <w:vAlign w:val="center"/>
          </w:tcPr>
          <w:p w14:paraId="0FC278C9">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5</w:t>
            </w:r>
          </w:p>
        </w:tc>
        <w:tc>
          <w:tcPr>
            <w:tcW w:w="2206" w:type="dxa"/>
            <w:tcBorders>
              <w:tl2br w:val="nil"/>
              <w:tr2bl w:val="nil"/>
            </w:tcBorders>
            <w:noWrap w:val="0"/>
            <w:vAlign w:val="center"/>
          </w:tcPr>
          <w:p w14:paraId="3FCF6290">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抗老化剂</w:t>
            </w:r>
          </w:p>
        </w:tc>
        <w:tc>
          <w:tcPr>
            <w:tcW w:w="1260" w:type="dxa"/>
            <w:tcBorders>
              <w:tl2br w:val="nil"/>
              <w:tr2bl w:val="nil"/>
            </w:tcBorders>
            <w:noWrap w:val="0"/>
            <w:vAlign w:val="center"/>
          </w:tcPr>
          <w:p w14:paraId="56653E76">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rPr>
            </w:pPr>
            <w:r>
              <w:rPr>
                <w:rFonts w:hint="default"/>
                <w:color w:val="auto"/>
                <w:highlight w:val="none"/>
              </w:rPr>
              <w:t>t/a</w:t>
            </w:r>
          </w:p>
        </w:tc>
        <w:tc>
          <w:tcPr>
            <w:tcW w:w="1185" w:type="dxa"/>
            <w:tcBorders>
              <w:tl2br w:val="nil"/>
              <w:tr2bl w:val="nil"/>
            </w:tcBorders>
            <w:noWrap w:val="0"/>
            <w:vAlign w:val="center"/>
          </w:tcPr>
          <w:p w14:paraId="41642B0C">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54</w:t>
            </w:r>
          </w:p>
        </w:tc>
        <w:tc>
          <w:tcPr>
            <w:tcW w:w="2815" w:type="dxa"/>
            <w:tcBorders>
              <w:tl2br w:val="nil"/>
              <w:tr2bl w:val="nil"/>
            </w:tcBorders>
            <w:shd w:val="clear" w:color="auto" w:fill="auto"/>
            <w:noWrap w:val="0"/>
            <w:vAlign w:val="center"/>
          </w:tcPr>
          <w:p w14:paraId="252348C4">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lang w:val="zh-CN" w:eastAsia="zh-CN" w:bidi="zh-CN"/>
              </w:rPr>
            </w:pPr>
            <w:r>
              <w:rPr>
                <w:rFonts w:hint="default" w:ascii="Times New Roman" w:hAnsi="Times New Roman" w:eastAsia="宋体" w:cs="Times New Roman"/>
                <w:snapToGrid w:val="0"/>
                <w:color w:val="auto"/>
                <w:sz w:val="21"/>
                <w:szCs w:val="21"/>
                <w:highlight w:val="none"/>
              </w:rPr>
              <w:t>市场采购</w:t>
            </w:r>
          </w:p>
        </w:tc>
        <w:tc>
          <w:tcPr>
            <w:tcW w:w="1053" w:type="dxa"/>
            <w:tcBorders>
              <w:tl2br w:val="nil"/>
              <w:tr2bl w:val="nil"/>
            </w:tcBorders>
            <w:shd w:val="clear" w:color="auto" w:fill="auto"/>
            <w:noWrap w:val="0"/>
            <w:vAlign w:val="center"/>
          </w:tcPr>
          <w:p w14:paraId="642EEEA1">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汽车</w:t>
            </w:r>
          </w:p>
        </w:tc>
      </w:tr>
      <w:tr w14:paraId="68CA32FF">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shd w:val="clear" w:color="auto" w:fill="auto"/>
            <w:noWrap w:val="0"/>
            <w:vAlign w:val="center"/>
          </w:tcPr>
          <w:p w14:paraId="1B2918CF">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6</w:t>
            </w:r>
          </w:p>
        </w:tc>
        <w:tc>
          <w:tcPr>
            <w:tcW w:w="2206" w:type="dxa"/>
            <w:tcBorders>
              <w:tl2br w:val="nil"/>
              <w:tr2bl w:val="nil"/>
            </w:tcBorders>
            <w:noWrap w:val="0"/>
            <w:vAlign w:val="center"/>
          </w:tcPr>
          <w:p w14:paraId="00E261BC">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水</w:t>
            </w:r>
          </w:p>
        </w:tc>
        <w:tc>
          <w:tcPr>
            <w:tcW w:w="1260" w:type="dxa"/>
            <w:tcBorders>
              <w:tl2br w:val="nil"/>
              <w:tr2bl w:val="nil"/>
            </w:tcBorders>
            <w:noWrap w:val="0"/>
            <w:vAlign w:val="center"/>
          </w:tcPr>
          <w:p w14:paraId="53055EF0">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m</w:t>
            </w:r>
            <w:r>
              <w:rPr>
                <w:rFonts w:hint="default" w:ascii="Times New Roman" w:hAnsi="Times New Roman" w:eastAsia="宋体" w:cs="Times New Roman"/>
                <w:snapToGrid w:val="0"/>
                <w:color w:val="auto"/>
                <w:sz w:val="21"/>
                <w:szCs w:val="21"/>
                <w:highlight w:val="none"/>
                <w:vertAlign w:val="superscript"/>
              </w:rPr>
              <w:t>3</w:t>
            </w:r>
            <w:r>
              <w:rPr>
                <w:rFonts w:hint="default" w:ascii="Times New Roman" w:hAnsi="Times New Roman" w:eastAsia="宋体" w:cs="Times New Roman"/>
                <w:snapToGrid w:val="0"/>
                <w:color w:val="auto"/>
                <w:sz w:val="21"/>
                <w:szCs w:val="21"/>
                <w:highlight w:val="none"/>
              </w:rPr>
              <w:t>/a</w:t>
            </w:r>
          </w:p>
        </w:tc>
        <w:tc>
          <w:tcPr>
            <w:tcW w:w="1185" w:type="dxa"/>
            <w:tcBorders>
              <w:tl2br w:val="nil"/>
              <w:tr2bl w:val="nil"/>
            </w:tcBorders>
            <w:noWrap w:val="0"/>
            <w:vAlign w:val="center"/>
          </w:tcPr>
          <w:p w14:paraId="00C181F2">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eastAsia" w:cs="Times New Roman"/>
                <w:snapToGrid w:val="0"/>
                <w:color w:val="auto"/>
                <w:sz w:val="21"/>
                <w:szCs w:val="21"/>
                <w:highlight w:val="none"/>
                <w:lang w:val="en-US" w:eastAsia="zh-CN"/>
              </w:rPr>
              <w:t>14525.2</w:t>
            </w:r>
          </w:p>
        </w:tc>
        <w:tc>
          <w:tcPr>
            <w:tcW w:w="2815" w:type="dxa"/>
            <w:tcBorders>
              <w:tl2br w:val="nil"/>
              <w:tr2bl w:val="nil"/>
            </w:tcBorders>
            <w:shd w:val="clear" w:color="auto" w:fill="auto"/>
            <w:noWrap w:val="0"/>
            <w:vAlign w:val="center"/>
          </w:tcPr>
          <w:p w14:paraId="29663C44">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由市政供水管网集中供给</w:t>
            </w:r>
          </w:p>
        </w:tc>
        <w:tc>
          <w:tcPr>
            <w:tcW w:w="1053" w:type="dxa"/>
            <w:tcBorders>
              <w:tl2br w:val="nil"/>
              <w:tr2bl w:val="nil"/>
            </w:tcBorders>
            <w:shd w:val="clear" w:color="auto" w:fill="auto"/>
            <w:noWrap w:val="0"/>
            <w:vAlign w:val="center"/>
          </w:tcPr>
          <w:p w14:paraId="0EB194F6">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snapToGrid w:val="0"/>
                <w:color w:val="auto"/>
                <w:sz w:val="21"/>
                <w:szCs w:val="21"/>
                <w:highlight w:val="none"/>
                <w:lang w:val="en-US" w:eastAsia="zh-CN"/>
              </w:rPr>
            </w:pPr>
            <w:r>
              <w:rPr>
                <w:rFonts w:hint="eastAsia" w:cs="Times New Roman"/>
                <w:snapToGrid w:val="0"/>
                <w:color w:val="auto"/>
                <w:sz w:val="21"/>
                <w:szCs w:val="21"/>
                <w:highlight w:val="none"/>
                <w:lang w:val="en-US" w:eastAsia="zh-CN"/>
              </w:rPr>
              <w:t>/</w:t>
            </w:r>
          </w:p>
        </w:tc>
      </w:tr>
      <w:tr w14:paraId="610B6B68">
        <w:tblPrEx>
          <w:tblBorders>
            <w:top w:val="single" w:color="auto" w:sz="6" w:space="0"/>
            <w:left w:val="single" w:color="auto" w:sz="6" w:space="0"/>
            <w:bottom w:val="single" w:color="auto" w:sz="6" w:space="0"/>
            <w:right w:val="single" w:color="auto" w:sz="6" w:space="0"/>
            <w:insideH w:val="single" w:color="000000" w:sz="6" w:space="0"/>
            <w:insideV w:val="single" w:color="000000" w:sz="6" w:space="0"/>
          </w:tblBorders>
          <w:tblCellMar>
            <w:top w:w="0" w:type="dxa"/>
            <w:left w:w="28" w:type="dxa"/>
            <w:bottom w:w="0" w:type="dxa"/>
            <w:right w:w="28" w:type="dxa"/>
          </w:tblCellMar>
        </w:tblPrEx>
        <w:trPr>
          <w:trHeight w:val="227" w:hRule="atLeast"/>
          <w:jc w:val="center"/>
        </w:trPr>
        <w:tc>
          <w:tcPr>
            <w:tcW w:w="607" w:type="dxa"/>
            <w:tcBorders>
              <w:tl2br w:val="nil"/>
              <w:tr2bl w:val="nil"/>
            </w:tcBorders>
            <w:shd w:val="clear" w:color="auto" w:fill="auto"/>
            <w:noWrap w:val="0"/>
            <w:vAlign w:val="center"/>
          </w:tcPr>
          <w:p w14:paraId="14B1708A">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default"/>
                <w:color w:val="auto"/>
                <w:highlight w:val="none"/>
                <w:lang w:val="en-US" w:eastAsia="zh-CN"/>
              </w:rPr>
            </w:pPr>
            <w:r>
              <w:rPr>
                <w:rFonts w:hint="eastAsia"/>
                <w:color w:val="auto"/>
                <w:highlight w:val="none"/>
                <w:lang w:val="en-US" w:eastAsia="zh-CN"/>
              </w:rPr>
              <w:t>7</w:t>
            </w:r>
          </w:p>
        </w:tc>
        <w:tc>
          <w:tcPr>
            <w:tcW w:w="2206" w:type="dxa"/>
            <w:tcBorders>
              <w:tl2br w:val="nil"/>
              <w:tr2bl w:val="nil"/>
            </w:tcBorders>
            <w:noWrap w:val="0"/>
            <w:vAlign w:val="center"/>
          </w:tcPr>
          <w:p w14:paraId="327D1C0A">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电</w:t>
            </w:r>
          </w:p>
        </w:tc>
        <w:tc>
          <w:tcPr>
            <w:tcW w:w="1260" w:type="dxa"/>
            <w:tcBorders>
              <w:tl2br w:val="nil"/>
              <w:tr2bl w:val="nil"/>
            </w:tcBorders>
            <w:noWrap w:val="0"/>
            <w:vAlign w:val="center"/>
          </w:tcPr>
          <w:p w14:paraId="3536DCB3">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kw·h</w:t>
            </w:r>
          </w:p>
        </w:tc>
        <w:tc>
          <w:tcPr>
            <w:tcW w:w="1185" w:type="dxa"/>
            <w:tcBorders>
              <w:tl2br w:val="nil"/>
              <w:tr2bl w:val="nil"/>
            </w:tcBorders>
            <w:noWrap w:val="0"/>
            <w:vAlign w:val="center"/>
          </w:tcPr>
          <w:p w14:paraId="52587C71">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lang w:val="en-US" w:eastAsia="zh-CN"/>
              </w:rPr>
            </w:pPr>
            <w:r>
              <w:rPr>
                <w:rFonts w:hint="eastAsia" w:cs="Times New Roman"/>
                <w:snapToGrid w:val="0"/>
                <w:color w:val="auto"/>
                <w:sz w:val="21"/>
                <w:szCs w:val="21"/>
                <w:highlight w:val="none"/>
                <w:lang w:val="en-US" w:eastAsia="zh-CN"/>
              </w:rPr>
              <w:t>71.5</w:t>
            </w:r>
            <w:r>
              <w:rPr>
                <w:rFonts w:hint="eastAsia" w:ascii="Times New Roman" w:hAnsi="Times New Roman" w:eastAsia="宋体" w:cs="Times New Roman"/>
                <w:snapToGrid w:val="0"/>
                <w:color w:val="auto"/>
                <w:sz w:val="21"/>
                <w:szCs w:val="21"/>
                <w:highlight w:val="none"/>
                <w:lang w:val="en-US" w:eastAsia="zh-CN"/>
              </w:rPr>
              <w:t>万</w:t>
            </w:r>
          </w:p>
        </w:tc>
        <w:tc>
          <w:tcPr>
            <w:tcW w:w="2815" w:type="dxa"/>
            <w:tcBorders>
              <w:tl2br w:val="nil"/>
              <w:tr2bl w:val="nil"/>
            </w:tcBorders>
            <w:shd w:val="clear" w:color="auto" w:fill="auto"/>
            <w:noWrap w:val="0"/>
            <w:vAlign w:val="center"/>
          </w:tcPr>
          <w:p w14:paraId="0BB99D4F">
            <w:pPr>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ascii="Times New Roman" w:hAnsi="Times New Roman" w:eastAsia="宋体" w:cs="Times New Roman"/>
                <w:snapToGrid w:val="0"/>
                <w:color w:val="auto"/>
                <w:sz w:val="21"/>
                <w:szCs w:val="21"/>
                <w:highlight w:val="none"/>
              </w:rPr>
            </w:pPr>
            <w:r>
              <w:rPr>
                <w:rFonts w:hint="default" w:ascii="Times New Roman" w:hAnsi="Times New Roman" w:eastAsia="宋体" w:cs="Times New Roman"/>
                <w:snapToGrid w:val="0"/>
                <w:color w:val="auto"/>
                <w:sz w:val="21"/>
                <w:szCs w:val="21"/>
                <w:highlight w:val="none"/>
              </w:rPr>
              <w:t>由国家电网统一供给</w:t>
            </w:r>
          </w:p>
        </w:tc>
        <w:tc>
          <w:tcPr>
            <w:tcW w:w="1053" w:type="dxa"/>
            <w:tcBorders>
              <w:tl2br w:val="nil"/>
              <w:tr2bl w:val="nil"/>
            </w:tcBorders>
            <w:shd w:val="clear" w:color="auto" w:fill="auto"/>
            <w:noWrap w:val="0"/>
            <w:vAlign w:val="center"/>
          </w:tcPr>
          <w:p w14:paraId="52260D6A">
            <w:pPr>
              <w:pStyle w:val="45"/>
              <w:keepNext w:val="0"/>
              <w:keepLines w:val="0"/>
              <w:pageBreakBefore w:val="0"/>
              <w:kinsoku/>
              <w:wordWrap/>
              <w:overflowPunct/>
              <w:topLinePunct w:val="0"/>
              <w:bidi w:val="0"/>
              <w:adjustRightInd/>
              <w:snapToGrid/>
              <w:spacing w:line="240" w:lineRule="auto"/>
              <w:ind w:left="0" w:leftChars="0" w:right="0" w:rightChars="0"/>
              <w:jc w:val="center"/>
              <w:textAlignment w:val="auto"/>
              <w:rPr>
                <w:rFonts w:hint="eastAsia" w:ascii="Times New Roman" w:hAnsi="Times New Roman" w:eastAsia="宋体" w:cs="Times New Roman"/>
                <w:snapToGrid w:val="0"/>
                <w:color w:val="auto"/>
                <w:sz w:val="21"/>
                <w:szCs w:val="21"/>
                <w:highlight w:val="none"/>
                <w:lang w:val="en-US" w:eastAsia="zh-CN"/>
              </w:rPr>
            </w:pPr>
            <w:r>
              <w:rPr>
                <w:rFonts w:hint="eastAsia" w:cs="Times New Roman"/>
                <w:snapToGrid w:val="0"/>
                <w:color w:val="auto"/>
                <w:sz w:val="21"/>
                <w:szCs w:val="21"/>
                <w:highlight w:val="none"/>
                <w:lang w:val="en-US" w:eastAsia="zh-CN"/>
              </w:rPr>
              <w:t>/</w:t>
            </w:r>
          </w:p>
        </w:tc>
      </w:tr>
    </w:tbl>
    <w:p w14:paraId="75989CBB">
      <w:pPr>
        <w:pStyle w:val="6"/>
        <w:keepNext/>
        <w:keepLines/>
        <w:pageBreakBefore w:val="0"/>
        <w:widowControl/>
        <w:kinsoku/>
        <w:wordWrap/>
        <w:overflowPunct/>
        <w:topLinePunct w:val="0"/>
        <w:autoSpaceDE/>
        <w:autoSpaceDN/>
        <w:bidi w:val="0"/>
        <w:adjustRightInd w:val="0"/>
        <w:snapToGrid w:val="0"/>
        <w:spacing w:before="0" w:beforeLines="50"/>
        <w:textAlignment w:val="auto"/>
        <w:rPr>
          <w:rFonts w:hint="eastAsia" w:ascii="Times New Roman" w:hAnsi="Times New Roman" w:eastAsia="宋体" w:cs="Times New Roman"/>
          <w:color w:val="auto"/>
          <w:spacing w:val="0"/>
          <w:w w:val="100"/>
          <w:position w:val="0"/>
          <w:sz w:val="24"/>
          <w:lang w:val="en-US" w:eastAsia="zh-CN"/>
        </w:rPr>
      </w:pPr>
      <w:r>
        <w:rPr>
          <w:rFonts w:hint="eastAsia" w:ascii="Times New Roman" w:hAnsi="Times New Roman" w:cs="Times New Roman"/>
          <w:color w:val="auto"/>
          <w:spacing w:val="0"/>
          <w:w w:val="100"/>
          <w:position w:val="0"/>
          <w:sz w:val="24"/>
          <w:lang w:val="en-US" w:eastAsia="zh-CN"/>
        </w:rPr>
        <w:t>3.</w:t>
      </w:r>
      <w:r>
        <w:rPr>
          <w:rFonts w:hint="eastAsia" w:cs="Times New Roman"/>
          <w:color w:val="auto"/>
          <w:spacing w:val="0"/>
          <w:w w:val="100"/>
          <w:position w:val="0"/>
          <w:sz w:val="24"/>
          <w:lang w:val="en-US" w:eastAsia="zh-CN"/>
        </w:rPr>
        <w:t>1</w:t>
      </w:r>
      <w:r>
        <w:rPr>
          <w:rFonts w:hint="eastAsia" w:ascii="Times New Roman" w:hAnsi="Times New Roman" w:cs="Times New Roman"/>
          <w:color w:val="auto"/>
          <w:spacing w:val="0"/>
          <w:w w:val="100"/>
          <w:position w:val="0"/>
          <w:sz w:val="24"/>
          <w:lang w:val="en-US" w:eastAsia="zh-CN"/>
        </w:rPr>
        <w:t>.</w:t>
      </w:r>
      <w:r>
        <w:rPr>
          <w:rFonts w:hint="eastAsia" w:cs="Times New Roman"/>
          <w:color w:val="auto"/>
          <w:spacing w:val="0"/>
          <w:w w:val="100"/>
          <w:position w:val="0"/>
          <w:sz w:val="24"/>
          <w:lang w:val="en-US" w:eastAsia="zh-CN"/>
        </w:rPr>
        <w:t>5</w:t>
      </w:r>
      <w:r>
        <w:rPr>
          <w:rFonts w:hint="eastAsia" w:ascii="Times New Roman" w:hAnsi="Times New Roman" w:cs="Times New Roman"/>
          <w:color w:val="auto"/>
          <w:spacing w:val="0"/>
          <w:w w:val="100"/>
          <w:position w:val="0"/>
          <w:sz w:val="24"/>
          <w:lang w:val="en-US" w:eastAsia="zh-CN"/>
        </w:rPr>
        <w:t>.2</w:t>
      </w:r>
      <w:r>
        <w:rPr>
          <w:rFonts w:hint="default" w:ascii="Times New Roman" w:hAnsi="Times New Roman" w:cs="Times New Roman"/>
          <w:color w:val="auto"/>
          <w:spacing w:val="0"/>
          <w:w w:val="100"/>
          <w:position w:val="0"/>
          <w:sz w:val="24"/>
        </w:rPr>
        <w:t>原辅材料理化特性</w:t>
      </w:r>
    </w:p>
    <w:p w14:paraId="0FE21EBE">
      <w:pPr>
        <w:pStyle w:val="6"/>
        <w:keepNext/>
        <w:keepLines/>
        <w:pageBreakBefore w:val="0"/>
        <w:widowControl/>
        <w:kinsoku/>
        <w:wordWrap/>
        <w:overflowPunct/>
        <w:topLinePunct w:val="0"/>
        <w:autoSpaceDE/>
        <w:autoSpaceDN/>
        <w:bidi w:val="0"/>
        <w:adjustRightInd w:val="0"/>
        <w:snapToGrid w:val="0"/>
        <w:spacing w:before="0" w:beforeLines="50"/>
        <w:textAlignment w:val="auto"/>
        <w:rPr>
          <w:rFonts w:hint="eastAsia" w:ascii="Times New Roman" w:hAnsi="Times New Roman" w:eastAsia="宋体" w:cs="Times New Roman"/>
          <w:b/>
          <w:bCs/>
          <w:color w:val="auto"/>
          <w:spacing w:val="0"/>
          <w:w w:val="100"/>
          <w:position w:val="0"/>
          <w:sz w:val="24"/>
          <w:szCs w:val="24"/>
          <w:lang w:eastAsia="zh-CN"/>
        </w:rPr>
      </w:pPr>
      <w:r>
        <w:rPr>
          <w:rFonts w:hint="eastAsia" w:ascii="Times New Roman" w:hAnsi="Times New Roman" w:cs="Times New Roman"/>
          <w:b/>
          <w:bCs/>
          <w:color w:val="auto"/>
          <w:spacing w:val="0"/>
          <w:w w:val="100"/>
          <w:position w:val="0"/>
          <w:sz w:val="24"/>
          <w:szCs w:val="24"/>
          <w:lang w:val="en-US" w:eastAsia="zh-CN"/>
        </w:rPr>
        <w:t>3.</w:t>
      </w:r>
      <w:r>
        <w:rPr>
          <w:rFonts w:hint="eastAsia" w:cs="Times New Roman"/>
          <w:b/>
          <w:bCs/>
          <w:color w:val="auto"/>
          <w:spacing w:val="0"/>
          <w:w w:val="100"/>
          <w:position w:val="0"/>
          <w:sz w:val="24"/>
          <w:szCs w:val="24"/>
          <w:lang w:val="en-US" w:eastAsia="zh-CN"/>
        </w:rPr>
        <w:t>1</w:t>
      </w:r>
      <w:r>
        <w:rPr>
          <w:rFonts w:hint="eastAsia" w:ascii="Times New Roman" w:hAnsi="Times New Roman" w:cs="Times New Roman"/>
          <w:b/>
          <w:bCs/>
          <w:color w:val="auto"/>
          <w:spacing w:val="0"/>
          <w:w w:val="100"/>
          <w:position w:val="0"/>
          <w:sz w:val="24"/>
          <w:szCs w:val="24"/>
          <w:lang w:val="en-US" w:eastAsia="zh-CN"/>
        </w:rPr>
        <w:t>.</w:t>
      </w:r>
      <w:r>
        <w:rPr>
          <w:rFonts w:hint="eastAsia" w:cs="Times New Roman"/>
          <w:b/>
          <w:bCs/>
          <w:color w:val="auto"/>
          <w:spacing w:val="0"/>
          <w:w w:val="100"/>
          <w:position w:val="0"/>
          <w:sz w:val="24"/>
          <w:szCs w:val="24"/>
          <w:lang w:val="en-US" w:eastAsia="zh-CN"/>
        </w:rPr>
        <w:t>5</w:t>
      </w:r>
      <w:r>
        <w:rPr>
          <w:rFonts w:hint="eastAsia" w:ascii="Times New Roman" w:hAnsi="Times New Roman" w:cs="Times New Roman"/>
          <w:b/>
          <w:bCs/>
          <w:color w:val="auto"/>
          <w:spacing w:val="0"/>
          <w:w w:val="100"/>
          <w:position w:val="0"/>
          <w:sz w:val="24"/>
          <w:szCs w:val="24"/>
          <w:lang w:val="en-US" w:eastAsia="zh-CN"/>
        </w:rPr>
        <w:t>.3</w:t>
      </w:r>
      <w:r>
        <w:rPr>
          <w:rFonts w:hint="default" w:ascii="Times New Roman" w:hAnsi="Times New Roman" w:cs="Times New Roman"/>
          <w:b/>
          <w:bCs/>
          <w:color w:val="auto"/>
          <w:spacing w:val="0"/>
          <w:w w:val="100"/>
          <w:position w:val="0"/>
          <w:sz w:val="24"/>
          <w:szCs w:val="24"/>
        </w:rPr>
        <w:t>废塑料的来源、</w:t>
      </w:r>
      <w:r>
        <w:rPr>
          <w:rFonts w:hint="eastAsia" w:cs="Times New Roman"/>
          <w:b/>
          <w:bCs/>
          <w:color w:val="auto"/>
          <w:spacing w:val="0"/>
          <w:w w:val="100"/>
          <w:position w:val="0"/>
          <w:sz w:val="24"/>
          <w:szCs w:val="24"/>
          <w:lang w:eastAsia="zh-CN"/>
        </w:rPr>
        <w:t>入场要求</w:t>
      </w:r>
    </w:p>
    <w:p w14:paraId="428A29FD">
      <w:pPr>
        <w:pStyle w:val="5"/>
        <w:pageBreakBefore w:val="0"/>
        <w:kinsoku/>
        <w:wordWrap/>
        <w:overflowPunct/>
        <w:topLinePunct w:val="0"/>
        <w:bidi w:val="0"/>
        <w:rPr>
          <w:rFonts w:hint="default" w:ascii="Times New Roman" w:hAnsi="Times New Roman" w:eastAsia="宋体" w:cs="Times New Roman"/>
          <w:color w:val="auto"/>
          <w:lang w:val="en-US" w:eastAsia="zh-CN"/>
        </w:rPr>
      </w:pPr>
      <w:bookmarkStart w:id="132" w:name="3.1.5物料平衡及水平衡"/>
      <w:bookmarkEnd w:id="132"/>
      <w:bookmarkStart w:id="133" w:name="_bookmark16"/>
      <w:bookmarkEnd w:id="133"/>
      <w:bookmarkStart w:id="134" w:name="3.2 配套工程"/>
      <w:bookmarkEnd w:id="134"/>
      <w:bookmarkStart w:id="135" w:name="3.1.5物料平衡及水平衡"/>
      <w:bookmarkEnd w:id="135"/>
      <w:bookmarkStart w:id="136" w:name="_Toc26638"/>
      <w:bookmarkStart w:id="137" w:name="_Toc7570"/>
      <w:r>
        <w:rPr>
          <w:rFonts w:hint="eastAsia" w:ascii="Times New Roman" w:hAnsi="Times New Roman" w:eastAsia="宋体" w:cs="Times New Roman"/>
          <w:color w:val="auto"/>
          <w:lang w:val="en-US" w:eastAsia="zh-CN"/>
        </w:rPr>
        <w:t>3.</w:t>
      </w:r>
      <w:r>
        <w:rPr>
          <w:rFonts w:hint="eastAsia" w:cs="Times New Roman"/>
          <w:color w:val="auto"/>
          <w:lang w:val="en-US" w:eastAsia="zh-CN"/>
        </w:rPr>
        <w:t>1</w:t>
      </w:r>
      <w:r>
        <w:rPr>
          <w:rFonts w:hint="eastAsia" w:ascii="Times New Roman" w:hAnsi="Times New Roman" w:eastAsia="宋体" w:cs="Times New Roman"/>
          <w:color w:val="auto"/>
          <w:lang w:val="en-US" w:eastAsia="zh-CN"/>
        </w:rPr>
        <w:t>.7公用</w:t>
      </w:r>
      <w:r>
        <w:rPr>
          <w:rFonts w:hint="default" w:ascii="Times New Roman" w:hAnsi="Times New Roman" w:eastAsia="宋体" w:cs="Times New Roman"/>
          <w:color w:val="auto"/>
          <w:lang w:val="en-US" w:eastAsia="zh-CN"/>
        </w:rPr>
        <w:t>工程</w:t>
      </w:r>
      <w:bookmarkEnd w:id="136"/>
      <w:bookmarkEnd w:id="137"/>
    </w:p>
    <w:p w14:paraId="2E13168D">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138" w:name="3.2.1 供排水"/>
      <w:bookmarkEnd w:id="138"/>
      <w:bookmarkStart w:id="139" w:name="3.2.1 供排水"/>
      <w:bookmarkEnd w:id="139"/>
      <w:bookmarkStart w:id="140" w:name="3.2.6 消防"/>
      <w:bookmarkEnd w:id="140"/>
      <w:bookmarkStart w:id="141" w:name="3.3 产业政策、规划及选址合理性分析"/>
      <w:bookmarkEnd w:id="141"/>
      <w:bookmarkStart w:id="142" w:name="3.2.6 消防"/>
      <w:bookmarkEnd w:id="142"/>
      <w:bookmarkStart w:id="143" w:name="_bookmark18"/>
      <w:bookmarkEnd w:id="143"/>
      <w:bookmarkStart w:id="144" w:name="3.4 工艺流程及产污环节"/>
      <w:bookmarkEnd w:id="144"/>
      <w:bookmarkStart w:id="145" w:name="_bookmark17"/>
      <w:bookmarkEnd w:id="145"/>
      <w:bookmarkStart w:id="146" w:name="_Toc18331"/>
      <w:bookmarkStart w:id="147" w:name="_Toc10207"/>
      <w:bookmarkStart w:id="148" w:name="_Toc1172"/>
      <w:r>
        <w:rPr>
          <w:rFonts w:hint="eastAsia" w:cs="Times New Roman"/>
          <w:color w:val="auto"/>
          <w:spacing w:val="0"/>
          <w:w w:val="100"/>
          <w:position w:val="0"/>
          <w:lang w:val="en-US" w:eastAsia="zh-CN"/>
        </w:rPr>
        <w:t>3.2</w:t>
      </w:r>
      <w:r>
        <w:rPr>
          <w:rFonts w:hint="default" w:ascii="Times New Roman" w:hAnsi="Times New Roman" w:cs="Times New Roman"/>
          <w:color w:val="auto"/>
          <w:spacing w:val="0"/>
          <w:w w:val="100"/>
          <w:position w:val="0"/>
        </w:rPr>
        <w:t>工艺流程</w:t>
      </w:r>
      <w:bookmarkEnd w:id="146"/>
      <w:bookmarkEnd w:id="147"/>
      <w:bookmarkEnd w:id="148"/>
    </w:p>
    <w:p w14:paraId="01BF5D6F">
      <w:pPr>
        <w:pStyle w:val="5"/>
        <w:pageBreakBefore w:val="0"/>
        <w:kinsoku/>
        <w:wordWrap/>
        <w:overflowPunct/>
        <w:topLinePunct w:val="0"/>
        <w:bidi w:val="0"/>
        <w:rPr>
          <w:rFonts w:hint="default"/>
          <w:color w:val="auto"/>
          <w:lang w:val="en-US" w:eastAsia="zh-CN"/>
        </w:rPr>
      </w:pPr>
      <w:bookmarkStart w:id="149" w:name="3.4.1 施工期工艺流程"/>
      <w:bookmarkEnd w:id="149"/>
      <w:bookmarkStart w:id="150" w:name="3.4.1 施工期工艺流程"/>
      <w:bookmarkEnd w:id="150"/>
      <w:bookmarkStart w:id="151" w:name="_Toc19325"/>
      <w:r>
        <w:rPr>
          <w:rFonts w:hint="eastAsia"/>
          <w:color w:val="auto"/>
          <w:lang w:val="en-US" w:eastAsia="zh-CN"/>
        </w:rPr>
        <w:t>3.2</w:t>
      </w:r>
      <w:r>
        <w:rPr>
          <w:rFonts w:hint="default"/>
          <w:color w:val="auto"/>
          <w:lang w:val="en-US" w:eastAsia="zh-CN"/>
        </w:rPr>
        <w:t>.1施工期工艺流程</w:t>
      </w:r>
      <w:bookmarkEnd w:id="151"/>
    </w:p>
    <w:p w14:paraId="275099AD">
      <w:pPr>
        <w:pageBreakBefore w:val="0"/>
        <w:kinsoku/>
        <w:wordWrap/>
        <w:overflowPunct/>
        <w:topLinePunct w:val="0"/>
        <w:bidi w:val="0"/>
        <w:rPr>
          <w:rFonts w:hint="eastAsia" w:eastAsia="宋体"/>
          <w:color w:val="auto"/>
          <w:lang w:eastAsia="zh-CN"/>
        </w:rPr>
      </w:pPr>
      <w:bookmarkStart w:id="152" w:name="3.4.2 运营期工艺流程"/>
      <w:bookmarkEnd w:id="152"/>
      <w:bookmarkStart w:id="153" w:name="3.4.2 运营期工艺流程"/>
      <w:bookmarkEnd w:id="153"/>
      <w:r>
        <w:rPr>
          <w:rFonts w:hint="default"/>
          <w:color w:val="auto"/>
        </w:rPr>
        <w:t>施工期间主要施工流程及污染物产生环节如图</w:t>
      </w:r>
      <w:r>
        <w:rPr>
          <w:rFonts w:hint="eastAsia"/>
          <w:color w:val="auto"/>
          <w:lang w:eastAsia="zh-CN"/>
        </w:rPr>
        <w:t>3.2</w:t>
      </w:r>
      <w:r>
        <w:rPr>
          <w:rFonts w:hint="default"/>
          <w:color w:val="auto"/>
        </w:rPr>
        <w:t>-1</w:t>
      </w:r>
      <w:r>
        <w:rPr>
          <w:rFonts w:hint="eastAsia"/>
          <w:color w:val="auto"/>
          <w:lang w:eastAsia="zh-CN"/>
        </w:rPr>
        <w:t>。</w:t>
      </w:r>
    </w:p>
    <w:p w14:paraId="1556098D">
      <w:pPr>
        <w:keepNext w:val="0"/>
        <w:keepLines w:val="0"/>
        <w:pageBreakBefore w:val="0"/>
        <w:widowControl w:val="0"/>
        <w:kinsoku/>
        <w:wordWrap/>
        <w:overflowPunct/>
        <w:topLinePunct w:val="0"/>
        <w:autoSpaceDE w:val="0"/>
        <w:autoSpaceDN w:val="0"/>
        <w:bidi w:val="0"/>
        <w:adjustRightInd/>
        <w:snapToGrid/>
        <w:ind w:firstLine="0" w:firstLineChars="0"/>
        <w:jc w:val="both"/>
        <w:textAlignment w:val="auto"/>
        <w:rPr>
          <w:rFonts w:hint="eastAsia" w:ascii="宋体" w:hAnsi="宋体" w:eastAsia="宋体" w:cs="宋体"/>
          <w:color w:val="auto"/>
          <w:spacing w:val="0"/>
          <w:w w:val="100"/>
          <w:position w:val="0"/>
        </w:rPr>
      </w:pPr>
      <w:r>
        <w:rPr>
          <w:color w:val="auto"/>
        </w:rPr>
        <w:drawing>
          <wp:inline distT="0" distB="0" distL="114300" distR="114300">
            <wp:extent cx="5503545" cy="1624965"/>
            <wp:effectExtent l="0" t="0" r="1905" b="13335"/>
            <wp:docPr id="23" name="图片 38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81" descr="IMG_256"/>
                    <pic:cNvPicPr>
                      <a:picLocks noChangeAspect="1"/>
                    </pic:cNvPicPr>
                  </pic:nvPicPr>
                  <pic:blipFill>
                    <a:blip r:embed="rId19"/>
                    <a:stretch>
                      <a:fillRect/>
                    </a:stretch>
                  </pic:blipFill>
                  <pic:spPr>
                    <a:xfrm>
                      <a:off x="0" y="0"/>
                      <a:ext cx="5503545" cy="1624965"/>
                    </a:xfrm>
                    <a:prstGeom prst="rect">
                      <a:avLst/>
                    </a:prstGeom>
                    <a:noFill/>
                    <a:ln>
                      <a:noFill/>
                    </a:ln>
                  </pic:spPr>
                </pic:pic>
              </a:graphicData>
            </a:graphic>
          </wp:inline>
        </w:drawing>
      </w:r>
    </w:p>
    <w:p w14:paraId="6A1DB2FC">
      <w:pPr>
        <w:pStyle w:val="43"/>
        <w:pageBreakBefore w:val="0"/>
        <w:widowControl/>
        <w:kinsoku/>
        <w:wordWrap/>
        <w:overflowPunct/>
        <w:topLinePunct w:val="0"/>
        <w:autoSpaceDE/>
        <w:autoSpaceDN/>
        <w:bidi w:val="0"/>
        <w:adjustRightInd w:val="0"/>
        <w:snapToGrid w:val="0"/>
        <w:spacing w:before="0" w:beforeLines="0" w:line="360" w:lineRule="auto"/>
        <w:textAlignment w:val="auto"/>
        <w:rPr>
          <w:rFonts w:hint="default"/>
          <w:color w:val="auto"/>
        </w:rPr>
      </w:pPr>
      <w:r>
        <w:rPr>
          <w:rFonts w:hint="default"/>
          <w:color w:val="auto"/>
        </w:rPr>
        <w:t>图</w:t>
      </w:r>
      <w:r>
        <w:rPr>
          <w:rFonts w:hint="eastAsia"/>
          <w:color w:val="auto"/>
          <w:lang w:eastAsia="zh-CN"/>
        </w:rPr>
        <w:t>3.2</w:t>
      </w:r>
      <w:r>
        <w:rPr>
          <w:rFonts w:hint="default"/>
          <w:color w:val="auto"/>
        </w:rPr>
        <w:t>-1</w:t>
      </w:r>
      <w:r>
        <w:rPr>
          <w:rFonts w:hint="eastAsia"/>
          <w:color w:val="auto"/>
          <w:lang w:eastAsia="zh-CN"/>
        </w:rPr>
        <w:t xml:space="preserve">  </w:t>
      </w:r>
      <w:r>
        <w:rPr>
          <w:rFonts w:hint="default"/>
          <w:color w:val="auto"/>
        </w:rPr>
        <w:t>项目施工期工艺流程及产污节点图</w:t>
      </w:r>
    </w:p>
    <w:p w14:paraId="13790A39">
      <w:pPr>
        <w:pStyle w:val="5"/>
        <w:pageBreakBefore w:val="0"/>
        <w:widowControl/>
        <w:kinsoku/>
        <w:wordWrap/>
        <w:overflowPunct/>
        <w:topLinePunct w:val="0"/>
        <w:autoSpaceDE/>
        <w:autoSpaceDN/>
        <w:bidi w:val="0"/>
        <w:adjustRightInd w:val="0"/>
        <w:snapToGrid w:val="0"/>
        <w:spacing w:beforeLines="0" w:afterLines="0" w:line="360" w:lineRule="auto"/>
        <w:textAlignment w:val="auto"/>
        <w:rPr>
          <w:rFonts w:hint="eastAsia"/>
          <w:color w:val="auto"/>
          <w:lang w:eastAsia="zh-CN"/>
        </w:rPr>
      </w:pPr>
      <w:bookmarkStart w:id="154" w:name="_Toc30136"/>
      <w:bookmarkStart w:id="155" w:name="_Toc23143"/>
      <w:r>
        <w:rPr>
          <w:rFonts w:hint="eastAsia"/>
          <w:color w:val="auto"/>
          <w:lang w:val="en-US" w:eastAsia="zh-CN"/>
        </w:rPr>
        <w:t>3.2</w:t>
      </w:r>
      <w:r>
        <w:rPr>
          <w:rFonts w:hint="default"/>
          <w:color w:val="auto"/>
          <w:lang w:val="en-US" w:eastAsia="zh-CN"/>
        </w:rPr>
        <w:t>.2</w:t>
      </w:r>
      <w:r>
        <w:rPr>
          <w:rFonts w:hint="default"/>
          <w:color w:val="auto"/>
        </w:rPr>
        <w:t>运营期工艺流程</w:t>
      </w:r>
      <w:r>
        <w:rPr>
          <w:rFonts w:hint="eastAsia"/>
          <w:color w:val="auto"/>
          <w:lang w:eastAsia="zh-CN"/>
        </w:rPr>
        <w:t>及产污节点</w:t>
      </w:r>
      <w:bookmarkEnd w:id="154"/>
      <w:bookmarkEnd w:id="155"/>
    </w:p>
    <w:p w14:paraId="1BC1FB3C">
      <w:pPr>
        <w:pStyle w:val="6"/>
        <w:pageBreakBefore w:val="0"/>
        <w:widowControl/>
        <w:kinsoku/>
        <w:wordWrap/>
        <w:overflowPunct/>
        <w:topLinePunct w:val="0"/>
        <w:autoSpaceDE/>
        <w:autoSpaceDN/>
        <w:bidi w:val="0"/>
        <w:adjustRightInd w:val="0"/>
        <w:snapToGrid w:val="0"/>
        <w:spacing w:line="360" w:lineRule="auto"/>
        <w:textAlignment w:val="auto"/>
        <w:rPr>
          <w:rFonts w:hint="eastAsia"/>
          <w:color w:val="auto"/>
        </w:rPr>
      </w:pPr>
      <w:r>
        <w:rPr>
          <w:rFonts w:hint="eastAsia"/>
          <w:color w:val="auto"/>
          <w:lang w:eastAsia="zh-CN"/>
        </w:rPr>
        <w:t>3.2</w:t>
      </w:r>
      <w:r>
        <w:rPr>
          <w:rFonts w:hint="default"/>
          <w:color w:val="auto"/>
        </w:rPr>
        <w:t>.2.1</w:t>
      </w:r>
      <w:r>
        <w:rPr>
          <w:rFonts w:hint="default"/>
          <w:color w:val="auto"/>
          <w:lang w:eastAsia="zh-CN"/>
        </w:rPr>
        <w:t>再生塑料颗</w:t>
      </w:r>
      <w:r>
        <w:rPr>
          <w:rFonts w:hint="eastAsia"/>
          <w:color w:val="auto"/>
          <w:lang w:val="en-US" w:eastAsia="zh-CN"/>
        </w:rPr>
        <w:t>粒</w:t>
      </w:r>
      <w:r>
        <w:rPr>
          <w:rFonts w:hint="default"/>
          <w:color w:val="auto"/>
        </w:rPr>
        <w:t>生产线</w:t>
      </w:r>
    </w:p>
    <w:p w14:paraId="3C9AA58D">
      <w:pPr>
        <w:pStyle w:val="6"/>
        <w:pageBreakBefore w:val="0"/>
        <w:widowControl/>
        <w:kinsoku/>
        <w:wordWrap/>
        <w:overflowPunct/>
        <w:topLinePunct w:val="0"/>
        <w:autoSpaceDE/>
        <w:autoSpaceDN/>
        <w:bidi w:val="0"/>
        <w:adjustRightInd w:val="0"/>
        <w:snapToGrid w:val="0"/>
        <w:spacing w:line="360" w:lineRule="auto"/>
        <w:textAlignment w:val="auto"/>
        <w:rPr>
          <w:rFonts w:hint="default"/>
          <w:color w:val="auto"/>
        </w:rPr>
      </w:pPr>
      <w:r>
        <w:rPr>
          <w:rFonts w:hint="eastAsia"/>
          <w:color w:val="auto"/>
          <w:lang w:eastAsia="zh-CN"/>
        </w:rPr>
        <w:t>3.2</w:t>
      </w:r>
      <w:r>
        <w:rPr>
          <w:rFonts w:hint="default"/>
          <w:color w:val="auto"/>
        </w:rPr>
        <w:t>.2.2滴灌带生产线</w:t>
      </w:r>
    </w:p>
    <w:p w14:paraId="4A03D1E0">
      <w:pPr>
        <w:pStyle w:val="6"/>
        <w:pageBreakBefore w:val="0"/>
        <w:widowControl/>
        <w:kinsoku/>
        <w:wordWrap/>
        <w:overflowPunct/>
        <w:topLinePunct w:val="0"/>
        <w:autoSpaceDE/>
        <w:autoSpaceDN/>
        <w:bidi w:val="0"/>
        <w:adjustRightInd w:val="0"/>
        <w:snapToGrid w:val="0"/>
        <w:spacing w:line="360" w:lineRule="auto"/>
        <w:textAlignment w:val="auto"/>
        <w:rPr>
          <w:rFonts w:hint="default"/>
          <w:color w:val="auto"/>
        </w:rPr>
      </w:pPr>
      <w:r>
        <w:rPr>
          <w:rFonts w:hint="eastAsia"/>
          <w:color w:val="auto"/>
          <w:lang w:eastAsia="zh-CN"/>
        </w:rPr>
        <w:t>3.2</w:t>
      </w:r>
      <w:r>
        <w:rPr>
          <w:rFonts w:hint="default"/>
          <w:color w:val="auto"/>
        </w:rPr>
        <w:t>.2.</w:t>
      </w:r>
      <w:r>
        <w:rPr>
          <w:rFonts w:hint="eastAsia"/>
          <w:color w:val="auto"/>
          <w:lang w:val="en-US" w:eastAsia="zh-CN"/>
        </w:rPr>
        <w:t>3PE水带</w:t>
      </w:r>
      <w:r>
        <w:rPr>
          <w:rFonts w:hint="default"/>
          <w:color w:val="auto"/>
        </w:rPr>
        <w:t>生产线</w:t>
      </w:r>
    </w:p>
    <w:p w14:paraId="18B020D0">
      <w:pPr>
        <w:pStyle w:val="6"/>
        <w:pageBreakBefore w:val="0"/>
        <w:widowControl/>
        <w:kinsoku/>
        <w:wordWrap/>
        <w:overflowPunct/>
        <w:topLinePunct w:val="0"/>
        <w:autoSpaceDE/>
        <w:autoSpaceDN/>
        <w:bidi w:val="0"/>
        <w:adjustRightInd w:val="0"/>
        <w:snapToGrid w:val="0"/>
        <w:spacing w:line="360" w:lineRule="auto"/>
        <w:textAlignment w:val="auto"/>
        <w:rPr>
          <w:rFonts w:hint="default"/>
          <w:color w:val="auto"/>
        </w:rPr>
      </w:pPr>
      <w:r>
        <w:rPr>
          <w:rFonts w:hint="eastAsia"/>
          <w:color w:val="auto"/>
          <w:lang w:eastAsia="zh-CN"/>
        </w:rPr>
        <w:t>3.2</w:t>
      </w:r>
      <w:r>
        <w:rPr>
          <w:rFonts w:hint="default"/>
          <w:color w:val="auto"/>
        </w:rPr>
        <w:t>.2.</w:t>
      </w:r>
      <w:r>
        <w:rPr>
          <w:rFonts w:hint="eastAsia"/>
          <w:color w:val="auto"/>
          <w:lang w:val="en-US" w:eastAsia="zh-CN"/>
        </w:rPr>
        <w:t>4运营期产污环节及污染物汇总</w:t>
      </w:r>
    </w:p>
    <w:p w14:paraId="09E109FA">
      <w:pPr>
        <w:pStyle w:val="43"/>
        <w:keepNext w:val="0"/>
        <w:keepLines w:val="0"/>
        <w:pageBreakBefore w:val="0"/>
        <w:widowControl/>
        <w:kinsoku/>
        <w:wordWrap/>
        <w:overflowPunct/>
        <w:topLinePunct w:val="0"/>
        <w:autoSpaceDE/>
        <w:autoSpaceDN/>
        <w:bidi w:val="0"/>
        <w:adjustRightInd w:val="0"/>
        <w:snapToGrid w:val="0"/>
        <w:spacing w:before="0" w:beforeLines="0"/>
        <w:textAlignment w:val="auto"/>
        <w:rPr>
          <w:rFonts w:hint="eastAsia" w:ascii="Times New Roman" w:hAnsi="Times New Roman" w:eastAsia="宋体" w:cs="宋体"/>
          <w:b/>
          <w:bCs/>
          <w:color w:val="auto"/>
          <w:sz w:val="24"/>
          <w:szCs w:val="22"/>
          <w:highlight w:val="none"/>
          <w:lang w:val="zh-CN" w:eastAsia="zh-CN" w:bidi="zh-CN"/>
        </w:rPr>
      </w:pPr>
      <w:r>
        <w:rPr>
          <w:rFonts w:hint="eastAsia" w:ascii="Times New Roman" w:hAnsi="Times New Roman" w:eastAsia="宋体" w:cs="宋体"/>
          <w:b/>
          <w:bCs/>
          <w:color w:val="auto"/>
          <w:sz w:val="24"/>
          <w:szCs w:val="22"/>
          <w:highlight w:val="none"/>
          <w:lang w:val="zh-CN" w:eastAsia="zh-CN" w:bidi="zh-CN"/>
        </w:rPr>
        <w:t>表</w:t>
      </w:r>
      <w:r>
        <w:rPr>
          <w:rFonts w:hint="eastAsia" w:cs="宋体"/>
          <w:b/>
          <w:bCs/>
          <w:color w:val="auto"/>
          <w:sz w:val="24"/>
          <w:szCs w:val="22"/>
          <w:highlight w:val="none"/>
          <w:lang w:val="en-US" w:eastAsia="zh-CN" w:bidi="zh-CN"/>
        </w:rPr>
        <w:t>3.2</w:t>
      </w:r>
      <w:r>
        <w:rPr>
          <w:rFonts w:hint="eastAsia" w:ascii="Times New Roman" w:hAnsi="Times New Roman" w:eastAsia="宋体" w:cs="宋体"/>
          <w:b/>
          <w:bCs/>
          <w:color w:val="auto"/>
          <w:sz w:val="24"/>
          <w:szCs w:val="22"/>
          <w:highlight w:val="none"/>
          <w:lang w:val="en-US" w:eastAsia="zh-CN" w:bidi="zh-CN"/>
        </w:rPr>
        <w:t>-</w:t>
      </w:r>
      <w:r>
        <w:rPr>
          <w:rFonts w:hint="eastAsia" w:cs="宋体"/>
          <w:b/>
          <w:bCs/>
          <w:color w:val="auto"/>
          <w:sz w:val="24"/>
          <w:szCs w:val="22"/>
          <w:highlight w:val="none"/>
          <w:lang w:val="en-US" w:eastAsia="zh-CN" w:bidi="zh-CN"/>
        </w:rPr>
        <w:t xml:space="preserve">1   </w:t>
      </w:r>
      <w:r>
        <w:rPr>
          <w:rFonts w:hint="eastAsia" w:cs="宋体"/>
          <w:b/>
          <w:bCs/>
          <w:color w:val="auto"/>
          <w:sz w:val="24"/>
          <w:szCs w:val="22"/>
          <w:highlight w:val="none"/>
          <w:lang w:val="zh-CN" w:eastAsia="zh-CN" w:bidi="zh-CN"/>
        </w:rPr>
        <w:t>本项目主要产污环节接污染物一览表</w:t>
      </w:r>
    </w:p>
    <w:tbl>
      <w:tblPr>
        <w:tblStyle w:val="27"/>
        <w:tblW w:w="4982"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10"/>
        <w:gridCol w:w="1476"/>
        <w:gridCol w:w="691"/>
        <w:gridCol w:w="1241"/>
        <w:gridCol w:w="4425"/>
      </w:tblGrid>
      <w:tr w14:paraId="4D4CD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jc w:val="center"/>
        </w:trPr>
        <w:tc>
          <w:tcPr>
            <w:tcW w:w="1209" w:type="dxa"/>
            <w:tcBorders>
              <w:right w:val="single" w:color="000000" w:sz="6" w:space="0"/>
            </w:tcBorders>
            <w:vAlign w:val="center"/>
          </w:tcPr>
          <w:p w14:paraId="64DF6C11">
            <w:pPr>
              <w:pStyle w:val="45"/>
              <w:pageBreakBefore w:val="0"/>
              <w:kinsoku/>
              <w:wordWrap/>
              <w:overflowPunct/>
              <w:topLinePunct w:val="0"/>
              <w:bidi w:val="0"/>
              <w:jc w:val="center"/>
              <w:rPr>
                <w:rFonts w:hint="default" w:eastAsia="宋体"/>
                <w:b/>
                <w:bCs/>
                <w:color w:val="auto"/>
                <w:sz w:val="21"/>
                <w:szCs w:val="21"/>
                <w:highlight w:val="none"/>
                <w:lang w:val="en-US" w:eastAsia="zh-CN"/>
              </w:rPr>
            </w:pPr>
            <w:r>
              <w:rPr>
                <w:rFonts w:hint="eastAsia"/>
                <w:b/>
                <w:bCs/>
                <w:color w:val="auto"/>
                <w:sz w:val="21"/>
                <w:szCs w:val="21"/>
                <w:highlight w:val="none"/>
                <w:lang w:eastAsia="zh-CN"/>
              </w:rPr>
              <w:t>类别</w:t>
            </w:r>
          </w:p>
        </w:tc>
        <w:tc>
          <w:tcPr>
            <w:tcW w:w="2166" w:type="dxa"/>
            <w:gridSpan w:val="2"/>
            <w:tcBorders>
              <w:left w:val="single" w:color="000000" w:sz="6" w:space="0"/>
            </w:tcBorders>
            <w:vAlign w:val="center"/>
          </w:tcPr>
          <w:p w14:paraId="12BA2728">
            <w:pPr>
              <w:pStyle w:val="45"/>
              <w:pageBreakBefore w:val="0"/>
              <w:kinsoku/>
              <w:wordWrap/>
              <w:overflowPunct/>
              <w:topLinePunct w:val="0"/>
              <w:bidi w:val="0"/>
              <w:jc w:val="center"/>
              <w:rPr>
                <w:rFonts w:hint="eastAsia" w:eastAsia="宋体"/>
                <w:b/>
                <w:bCs/>
                <w:color w:val="auto"/>
                <w:sz w:val="21"/>
                <w:szCs w:val="21"/>
                <w:highlight w:val="none"/>
                <w:lang w:eastAsia="zh-CN"/>
              </w:rPr>
            </w:pPr>
            <w:r>
              <w:rPr>
                <w:rFonts w:hint="eastAsia"/>
                <w:b/>
                <w:bCs/>
                <w:color w:val="auto"/>
                <w:sz w:val="21"/>
                <w:szCs w:val="21"/>
                <w:highlight w:val="none"/>
                <w:lang w:eastAsia="zh-CN"/>
              </w:rPr>
              <w:t>产污节点</w:t>
            </w:r>
          </w:p>
        </w:tc>
        <w:tc>
          <w:tcPr>
            <w:tcW w:w="1240" w:type="dxa"/>
            <w:tcBorders>
              <w:left w:val="single" w:color="000000" w:sz="6" w:space="0"/>
            </w:tcBorders>
            <w:vAlign w:val="center"/>
          </w:tcPr>
          <w:p w14:paraId="09CED64D">
            <w:pPr>
              <w:pStyle w:val="45"/>
              <w:pageBreakBefore w:val="0"/>
              <w:kinsoku/>
              <w:wordWrap/>
              <w:overflowPunct/>
              <w:topLinePunct w:val="0"/>
              <w:bidi w:val="0"/>
              <w:jc w:val="center"/>
              <w:rPr>
                <w:rFonts w:hint="eastAsia" w:eastAsia="宋体"/>
                <w:b/>
                <w:bCs/>
                <w:color w:val="auto"/>
                <w:sz w:val="21"/>
                <w:szCs w:val="21"/>
                <w:highlight w:val="none"/>
                <w:lang w:eastAsia="zh-CN"/>
              </w:rPr>
            </w:pPr>
            <w:r>
              <w:rPr>
                <w:rFonts w:hint="eastAsia"/>
                <w:b/>
                <w:bCs/>
                <w:color w:val="auto"/>
                <w:sz w:val="21"/>
                <w:szCs w:val="21"/>
                <w:highlight w:val="none"/>
                <w:lang w:eastAsia="zh-CN"/>
              </w:rPr>
              <w:t>污染物</w:t>
            </w:r>
          </w:p>
        </w:tc>
        <w:tc>
          <w:tcPr>
            <w:tcW w:w="4423" w:type="dxa"/>
            <w:tcBorders>
              <w:left w:val="single" w:color="000000" w:sz="6" w:space="0"/>
            </w:tcBorders>
            <w:vAlign w:val="center"/>
          </w:tcPr>
          <w:p w14:paraId="1B9208E5">
            <w:pPr>
              <w:pStyle w:val="45"/>
              <w:pageBreakBefore w:val="0"/>
              <w:kinsoku/>
              <w:wordWrap/>
              <w:overflowPunct/>
              <w:topLinePunct w:val="0"/>
              <w:bidi w:val="0"/>
              <w:jc w:val="center"/>
              <w:rPr>
                <w:rFonts w:hint="eastAsia" w:eastAsia="宋体"/>
                <w:b/>
                <w:bCs/>
                <w:color w:val="auto"/>
                <w:sz w:val="21"/>
                <w:szCs w:val="21"/>
                <w:highlight w:val="none"/>
                <w:lang w:eastAsia="zh-CN"/>
              </w:rPr>
            </w:pPr>
            <w:r>
              <w:rPr>
                <w:rFonts w:hint="eastAsia"/>
                <w:b/>
                <w:bCs/>
                <w:color w:val="auto"/>
                <w:sz w:val="21"/>
                <w:szCs w:val="21"/>
                <w:highlight w:val="none"/>
                <w:lang w:eastAsia="zh-CN"/>
              </w:rPr>
              <w:t>排污去向</w:t>
            </w:r>
          </w:p>
        </w:tc>
      </w:tr>
      <w:tr w14:paraId="65DAEF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jc w:val="center"/>
        </w:trPr>
        <w:tc>
          <w:tcPr>
            <w:tcW w:w="1209" w:type="dxa"/>
            <w:vMerge w:val="restart"/>
            <w:tcBorders>
              <w:right w:val="single" w:color="000000" w:sz="6" w:space="0"/>
            </w:tcBorders>
            <w:vAlign w:val="center"/>
          </w:tcPr>
          <w:p w14:paraId="45A4E6CA">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废气</w:t>
            </w:r>
          </w:p>
        </w:tc>
        <w:tc>
          <w:tcPr>
            <w:tcW w:w="2166" w:type="dxa"/>
            <w:gridSpan w:val="2"/>
            <w:tcBorders>
              <w:left w:val="single" w:color="000000" w:sz="6" w:space="0"/>
            </w:tcBorders>
            <w:vAlign w:val="center"/>
          </w:tcPr>
          <w:p w14:paraId="7BDC94E7">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装卸、堆存、分拣</w:t>
            </w:r>
          </w:p>
        </w:tc>
        <w:tc>
          <w:tcPr>
            <w:tcW w:w="1240" w:type="dxa"/>
            <w:tcBorders>
              <w:left w:val="single" w:color="000000" w:sz="6" w:space="0"/>
            </w:tcBorders>
            <w:vAlign w:val="center"/>
          </w:tcPr>
          <w:p w14:paraId="66AFE112">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颗粒物</w:t>
            </w:r>
          </w:p>
        </w:tc>
        <w:tc>
          <w:tcPr>
            <w:tcW w:w="4423" w:type="dxa"/>
            <w:tcBorders>
              <w:left w:val="single" w:color="000000" w:sz="6" w:space="0"/>
            </w:tcBorders>
            <w:vAlign w:val="center"/>
          </w:tcPr>
          <w:p w14:paraId="5D3BC43F">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封闭厂房+酒水抑尘后无组织排放</w:t>
            </w:r>
          </w:p>
        </w:tc>
      </w:tr>
      <w:tr w14:paraId="7337B0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jc w:val="center"/>
        </w:trPr>
        <w:tc>
          <w:tcPr>
            <w:tcW w:w="1209" w:type="dxa"/>
            <w:vMerge w:val="continue"/>
            <w:tcBorders>
              <w:right w:val="single" w:color="000000" w:sz="6" w:space="0"/>
            </w:tcBorders>
            <w:vAlign w:val="center"/>
          </w:tcPr>
          <w:p w14:paraId="1BA82DC1">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1475" w:type="dxa"/>
            <w:vMerge w:val="restart"/>
            <w:tcBorders>
              <w:left w:val="single" w:color="000000" w:sz="6" w:space="0"/>
              <w:right w:val="single" w:color="auto" w:sz="4" w:space="0"/>
            </w:tcBorders>
            <w:vAlign w:val="center"/>
          </w:tcPr>
          <w:p w14:paraId="36BB04E3">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造粒工序</w:t>
            </w:r>
          </w:p>
        </w:tc>
        <w:tc>
          <w:tcPr>
            <w:tcW w:w="691" w:type="dxa"/>
            <w:tcBorders>
              <w:left w:val="single" w:color="auto" w:sz="4" w:space="0"/>
            </w:tcBorders>
            <w:vAlign w:val="center"/>
          </w:tcPr>
          <w:p w14:paraId="31801C7C">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破碎</w:t>
            </w:r>
          </w:p>
        </w:tc>
        <w:tc>
          <w:tcPr>
            <w:tcW w:w="1240" w:type="dxa"/>
            <w:tcBorders>
              <w:left w:val="single" w:color="000000" w:sz="6" w:space="0"/>
            </w:tcBorders>
            <w:vAlign w:val="center"/>
          </w:tcPr>
          <w:p w14:paraId="1D354006">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颗粒物</w:t>
            </w:r>
          </w:p>
        </w:tc>
        <w:tc>
          <w:tcPr>
            <w:tcW w:w="4423" w:type="dxa"/>
            <w:tcBorders>
              <w:left w:val="single" w:color="000000" w:sz="6" w:space="0"/>
            </w:tcBorders>
            <w:vAlign w:val="center"/>
          </w:tcPr>
          <w:p w14:paraId="3CA78A61">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湿式破碎</w:t>
            </w:r>
          </w:p>
        </w:tc>
      </w:tr>
      <w:tr w14:paraId="2A6D95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jc w:val="center"/>
        </w:trPr>
        <w:tc>
          <w:tcPr>
            <w:tcW w:w="1209" w:type="dxa"/>
            <w:vMerge w:val="continue"/>
            <w:tcBorders>
              <w:right w:val="single" w:color="000000" w:sz="6" w:space="0"/>
            </w:tcBorders>
            <w:vAlign w:val="center"/>
          </w:tcPr>
          <w:p w14:paraId="4A5C3D0D">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1475" w:type="dxa"/>
            <w:vMerge w:val="continue"/>
            <w:tcBorders>
              <w:left w:val="single" w:color="000000" w:sz="6" w:space="0"/>
              <w:right w:val="single" w:color="auto" w:sz="4" w:space="0"/>
            </w:tcBorders>
            <w:vAlign w:val="center"/>
          </w:tcPr>
          <w:p w14:paraId="3E038A28">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691" w:type="dxa"/>
            <w:tcBorders>
              <w:left w:val="single" w:color="auto" w:sz="4" w:space="0"/>
            </w:tcBorders>
            <w:vAlign w:val="center"/>
          </w:tcPr>
          <w:p w14:paraId="2833BD75">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挤出</w:t>
            </w:r>
          </w:p>
        </w:tc>
        <w:tc>
          <w:tcPr>
            <w:tcW w:w="1240" w:type="dxa"/>
            <w:tcBorders>
              <w:left w:val="single" w:color="000000" w:sz="6" w:space="0"/>
            </w:tcBorders>
            <w:vAlign w:val="center"/>
          </w:tcPr>
          <w:p w14:paraId="3E74D3E1">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非甲烷总烃</w:t>
            </w:r>
          </w:p>
        </w:tc>
        <w:tc>
          <w:tcPr>
            <w:tcW w:w="4423" w:type="dxa"/>
            <w:tcBorders>
              <w:left w:val="single" w:color="000000" w:sz="6" w:space="0"/>
            </w:tcBorders>
            <w:vAlign w:val="center"/>
          </w:tcPr>
          <w:p w14:paraId="1C3668F8">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配套集气罩，废气收集后采用“催化燃烧（</w:t>
            </w:r>
            <w:r>
              <w:rPr>
                <w:rFonts w:hint="eastAsia"/>
                <w:b w:val="0"/>
                <w:bCs w:val="0"/>
                <w:color w:val="auto"/>
                <w:sz w:val="21"/>
                <w:szCs w:val="21"/>
                <w:highlight w:val="none"/>
                <w:lang w:val="en-US" w:eastAsia="zh-CN"/>
              </w:rPr>
              <w:t>RCO</w:t>
            </w:r>
            <w:r>
              <w:rPr>
                <w:rFonts w:hint="eastAsia"/>
                <w:b w:val="0"/>
                <w:bCs w:val="0"/>
                <w:color w:val="auto"/>
                <w:sz w:val="21"/>
                <w:szCs w:val="21"/>
                <w:highlight w:val="none"/>
                <w:lang w:eastAsia="zh-CN"/>
              </w:rPr>
              <w:t>）”处理后通过</w:t>
            </w:r>
            <w:r>
              <w:rPr>
                <w:rFonts w:hint="eastAsia"/>
                <w:b w:val="0"/>
                <w:bCs w:val="0"/>
                <w:color w:val="auto"/>
                <w:sz w:val="21"/>
                <w:szCs w:val="21"/>
                <w:highlight w:val="none"/>
                <w:lang w:val="en-US" w:eastAsia="zh-CN"/>
              </w:rPr>
              <w:t>15m</w:t>
            </w:r>
            <w:r>
              <w:rPr>
                <w:rFonts w:hint="eastAsia"/>
                <w:b w:val="0"/>
                <w:bCs w:val="0"/>
                <w:color w:val="auto"/>
                <w:sz w:val="21"/>
                <w:szCs w:val="21"/>
                <w:highlight w:val="none"/>
                <w:lang w:eastAsia="zh-CN"/>
              </w:rPr>
              <w:t>排气筒排放</w:t>
            </w:r>
          </w:p>
        </w:tc>
      </w:tr>
      <w:tr w14:paraId="3374D1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3" w:hRule="atLeast"/>
          <w:jc w:val="center"/>
        </w:trPr>
        <w:tc>
          <w:tcPr>
            <w:tcW w:w="1209" w:type="dxa"/>
            <w:vMerge w:val="continue"/>
            <w:tcBorders>
              <w:right w:val="single" w:color="000000" w:sz="6" w:space="0"/>
            </w:tcBorders>
            <w:vAlign w:val="center"/>
          </w:tcPr>
          <w:p w14:paraId="7828BEB2">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34869F43">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滴灌带熔融挤出</w:t>
            </w:r>
          </w:p>
        </w:tc>
        <w:tc>
          <w:tcPr>
            <w:tcW w:w="1240" w:type="dxa"/>
            <w:tcBorders>
              <w:left w:val="single" w:color="000000" w:sz="6" w:space="0"/>
            </w:tcBorders>
            <w:vAlign w:val="center"/>
          </w:tcPr>
          <w:p w14:paraId="37CB921F">
            <w:pPr>
              <w:pStyle w:val="45"/>
              <w:pageBreakBefore w:val="0"/>
              <w:kinsoku/>
              <w:wordWrap/>
              <w:overflowPunct/>
              <w:topLinePunct w:val="0"/>
              <w:bidi w:val="0"/>
              <w:ind w:left="-24" w:leftChars="-10" w:right="-24" w:rightChars="-1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非甲烷总烃</w:t>
            </w:r>
          </w:p>
        </w:tc>
        <w:tc>
          <w:tcPr>
            <w:tcW w:w="4423" w:type="dxa"/>
            <w:tcBorders>
              <w:left w:val="single" w:color="000000" w:sz="6" w:space="0"/>
            </w:tcBorders>
            <w:vAlign w:val="center"/>
          </w:tcPr>
          <w:p w14:paraId="51097B5E">
            <w:pPr>
              <w:pStyle w:val="45"/>
              <w:pageBreakBefore w:val="0"/>
              <w:kinsoku/>
              <w:wordWrap/>
              <w:overflowPunct/>
              <w:topLinePunct w:val="0"/>
              <w:bidi w:val="0"/>
              <w:ind w:left="-24" w:leftChars="-10" w:right="-24" w:rightChars="-1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配套集气罩，废气收集后采用“催化燃烧（</w:t>
            </w:r>
            <w:r>
              <w:rPr>
                <w:rFonts w:hint="eastAsia"/>
                <w:b w:val="0"/>
                <w:bCs w:val="0"/>
                <w:color w:val="auto"/>
                <w:sz w:val="21"/>
                <w:szCs w:val="21"/>
                <w:highlight w:val="none"/>
                <w:lang w:val="en-US" w:eastAsia="zh-CN"/>
              </w:rPr>
              <w:t>RCO</w:t>
            </w:r>
            <w:r>
              <w:rPr>
                <w:rFonts w:hint="eastAsia"/>
                <w:b w:val="0"/>
                <w:bCs w:val="0"/>
                <w:color w:val="auto"/>
                <w:sz w:val="21"/>
                <w:szCs w:val="21"/>
                <w:highlight w:val="none"/>
                <w:lang w:eastAsia="zh-CN"/>
              </w:rPr>
              <w:t>）”处理后通过</w:t>
            </w:r>
            <w:r>
              <w:rPr>
                <w:rFonts w:hint="eastAsia"/>
                <w:b w:val="0"/>
                <w:bCs w:val="0"/>
                <w:color w:val="auto"/>
                <w:sz w:val="21"/>
                <w:szCs w:val="21"/>
                <w:highlight w:val="none"/>
                <w:lang w:val="en-US" w:eastAsia="zh-CN"/>
              </w:rPr>
              <w:t>15m</w:t>
            </w:r>
            <w:r>
              <w:rPr>
                <w:rFonts w:hint="eastAsia"/>
                <w:b w:val="0"/>
                <w:bCs w:val="0"/>
                <w:color w:val="auto"/>
                <w:sz w:val="21"/>
                <w:szCs w:val="21"/>
                <w:highlight w:val="none"/>
                <w:lang w:eastAsia="zh-CN"/>
              </w:rPr>
              <w:t>排气筒排放</w:t>
            </w:r>
          </w:p>
        </w:tc>
      </w:tr>
      <w:tr w14:paraId="39ACEC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289AB9FE">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45FBDDB8">
            <w:pPr>
              <w:pStyle w:val="45"/>
              <w:pageBreakBefore w:val="0"/>
              <w:kinsoku/>
              <w:wordWrap/>
              <w:overflowPunct/>
              <w:topLinePunct w:val="0"/>
              <w:bidi w:val="0"/>
              <w:jc w:val="center"/>
              <w:rPr>
                <w:rFonts w:hint="default"/>
                <w:b w:val="0"/>
                <w:bCs w:val="0"/>
                <w:color w:val="auto"/>
                <w:sz w:val="21"/>
                <w:szCs w:val="21"/>
                <w:highlight w:val="none"/>
                <w:lang w:val="en-US" w:eastAsia="zh-CN"/>
              </w:rPr>
            </w:pPr>
            <w:r>
              <w:rPr>
                <w:rFonts w:hint="eastAsia"/>
                <w:b w:val="0"/>
                <w:bCs w:val="0"/>
                <w:color w:val="auto"/>
                <w:sz w:val="21"/>
                <w:szCs w:val="21"/>
                <w:highlight w:val="none"/>
                <w:lang w:val="en-US" w:eastAsia="zh-CN"/>
              </w:rPr>
              <w:t>PE水带熔融挤出</w:t>
            </w:r>
          </w:p>
        </w:tc>
        <w:tc>
          <w:tcPr>
            <w:tcW w:w="1240" w:type="dxa"/>
            <w:tcBorders>
              <w:left w:val="single" w:color="000000" w:sz="6" w:space="0"/>
            </w:tcBorders>
            <w:vAlign w:val="center"/>
          </w:tcPr>
          <w:p w14:paraId="6D047713">
            <w:pPr>
              <w:pStyle w:val="45"/>
              <w:pageBreakBefore w:val="0"/>
              <w:kinsoku/>
              <w:wordWrap/>
              <w:overflowPunct/>
              <w:topLinePunct w:val="0"/>
              <w:bidi w:val="0"/>
              <w:ind w:left="-24" w:leftChars="-10" w:right="-24" w:rightChars="-1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非甲烷总烃</w:t>
            </w:r>
          </w:p>
        </w:tc>
        <w:tc>
          <w:tcPr>
            <w:tcW w:w="4423" w:type="dxa"/>
            <w:tcBorders>
              <w:left w:val="single" w:color="000000" w:sz="6" w:space="0"/>
            </w:tcBorders>
            <w:vAlign w:val="center"/>
          </w:tcPr>
          <w:p w14:paraId="36FD0B0F">
            <w:pPr>
              <w:pStyle w:val="45"/>
              <w:pageBreakBefore w:val="0"/>
              <w:kinsoku/>
              <w:wordWrap/>
              <w:overflowPunct/>
              <w:topLinePunct w:val="0"/>
              <w:bidi w:val="0"/>
              <w:ind w:left="-24" w:leftChars="-10" w:right="-24" w:rightChars="-1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配套集气罩，废气收集后采用“催化燃烧（</w:t>
            </w:r>
            <w:r>
              <w:rPr>
                <w:rFonts w:hint="eastAsia"/>
                <w:b w:val="0"/>
                <w:bCs w:val="0"/>
                <w:color w:val="auto"/>
                <w:sz w:val="21"/>
                <w:szCs w:val="21"/>
                <w:highlight w:val="none"/>
                <w:lang w:val="en-US" w:eastAsia="zh-CN"/>
              </w:rPr>
              <w:t>RCO</w:t>
            </w:r>
            <w:r>
              <w:rPr>
                <w:rFonts w:hint="eastAsia"/>
                <w:b w:val="0"/>
                <w:bCs w:val="0"/>
                <w:color w:val="auto"/>
                <w:sz w:val="21"/>
                <w:szCs w:val="21"/>
                <w:highlight w:val="none"/>
                <w:lang w:eastAsia="zh-CN"/>
              </w:rPr>
              <w:t>）”处理后通过</w:t>
            </w:r>
            <w:r>
              <w:rPr>
                <w:rFonts w:hint="eastAsia"/>
                <w:b w:val="0"/>
                <w:bCs w:val="0"/>
                <w:color w:val="auto"/>
                <w:sz w:val="21"/>
                <w:szCs w:val="21"/>
                <w:highlight w:val="none"/>
                <w:lang w:val="en-US" w:eastAsia="zh-CN"/>
              </w:rPr>
              <w:t>15m</w:t>
            </w:r>
            <w:r>
              <w:rPr>
                <w:rFonts w:hint="eastAsia"/>
                <w:b w:val="0"/>
                <w:bCs w:val="0"/>
                <w:color w:val="auto"/>
                <w:sz w:val="21"/>
                <w:szCs w:val="21"/>
                <w:highlight w:val="none"/>
                <w:lang w:eastAsia="zh-CN"/>
              </w:rPr>
              <w:t>排气筒排放</w:t>
            </w:r>
          </w:p>
        </w:tc>
      </w:tr>
      <w:tr w14:paraId="04D8D4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restart"/>
            <w:tcBorders>
              <w:right w:val="single" w:color="000000" w:sz="6" w:space="0"/>
            </w:tcBorders>
            <w:vAlign w:val="center"/>
          </w:tcPr>
          <w:p w14:paraId="682BFC6D">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废水</w:t>
            </w:r>
          </w:p>
        </w:tc>
        <w:tc>
          <w:tcPr>
            <w:tcW w:w="2166" w:type="dxa"/>
            <w:gridSpan w:val="2"/>
            <w:vMerge w:val="restart"/>
            <w:tcBorders>
              <w:left w:val="single" w:color="000000" w:sz="6" w:space="0"/>
            </w:tcBorders>
            <w:vAlign w:val="center"/>
          </w:tcPr>
          <w:p w14:paraId="3A50E738">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生产过程</w:t>
            </w:r>
          </w:p>
        </w:tc>
        <w:tc>
          <w:tcPr>
            <w:tcW w:w="1240" w:type="dxa"/>
            <w:tcBorders>
              <w:left w:val="single" w:color="000000" w:sz="6" w:space="0"/>
            </w:tcBorders>
            <w:vAlign w:val="center"/>
          </w:tcPr>
          <w:p w14:paraId="68E5249A">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破碎废水</w:t>
            </w:r>
          </w:p>
        </w:tc>
        <w:tc>
          <w:tcPr>
            <w:tcW w:w="4423" w:type="dxa"/>
            <w:tcBorders>
              <w:left w:val="single" w:color="000000" w:sz="6" w:space="0"/>
            </w:tcBorders>
            <w:vAlign w:val="center"/>
          </w:tcPr>
          <w:p w14:paraId="151ADC92">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default" w:ascii="Times New Roman" w:hAnsi="Times New Roman" w:eastAsia="宋体" w:cs="Times New Roman"/>
                <w:b w:val="0"/>
                <w:bCs w:val="0"/>
                <w:color w:val="auto"/>
                <w:spacing w:val="0"/>
                <w:w w:val="100"/>
                <w:position w:val="0"/>
                <w:sz w:val="21"/>
                <w:szCs w:val="21"/>
                <w:highlight w:val="none"/>
              </w:rPr>
              <w:t>蒸发耗散不外排</w:t>
            </w:r>
          </w:p>
        </w:tc>
      </w:tr>
      <w:tr w14:paraId="3F8E0F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7319E361">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vMerge w:val="continue"/>
            <w:tcBorders>
              <w:left w:val="single" w:color="000000" w:sz="6" w:space="0"/>
            </w:tcBorders>
            <w:vAlign w:val="center"/>
          </w:tcPr>
          <w:p w14:paraId="78C16A54">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1240" w:type="dxa"/>
            <w:tcBorders>
              <w:left w:val="single" w:color="000000" w:sz="6" w:space="0"/>
            </w:tcBorders>
            <w:vAlign w:val="center"/>
          </w:tcPr>
          <w:p w14:paraId="376D14AD">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清洗废水</w:t>
            </w:r>
          </w:p>
        </w:tc>
        <w:tc>
          <w:tcPr>
            <w:tcW w:w="4423" w:type="dxa"/>
            <w:tcBorders>
              <w:left w:val="single" w:color="000000" w:sz="6" w:space="0"/>
            </w:tcBorders>
            <w:vAlign w:val="center"/>
          </w:tcPr>
          <w:p w14:paraId="7A364554">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default"/>
                <w:b w:val="0"/>
                <w:bCs w:val="0"/>
                <w:color w:val="auto"/>
                <w:sz w:val="21"/>
                <w:szCs w:val="21"/>
              </w:rPr>
              <w:t>经</w:t>
            </w:r>
            <w:r>
              <w:rPr>
                <w:rFonts w:hint="eastAsia"/>
                <w:b w:val="0"/>
                <w:bCs w:val="0"/>
                <w:color w:val="auto"/>
                <w:sz w:val="21"/>
                <w:szCs w:val="21"/>
                <w:lang w:eastAsia="zh-CN"/>
              </w:rPr>
              <w:t>池</w:t>
            </w:r>
            <w:r>
              <w:rPr>
                <w:rFonts w:hint="default"/>
                <w:b w:val="0"/>
                <w:bCs w:val="0"/>
                <w:color w:val="auto"/>
                <w:sz w:val="21"/>
                <w:szCs w:val="21"/>
              </w:rPr>
              <w:t>沉淀处理</w:t>
            </w:r>
            <w:r>
              <w:rPr>
                <w:rFonts w:hint="eastAsia"/>
                <w:b w:val="0"/>
                <w:bCs w:val="0"/>
                <w:color w:val="auto"/>
                <w:sz w:val="21"/>
                <w:szCs w:val="21"/>
                <w:lang w:eastAsia="zh-CN"/>
              </w:rPr>
              <w:t>循环使用，</w:t>
            </w:r>
            <w:r>
              <w:rPr>
                <w:rFonts w:hint="eastAsia" w:ascii="Times New Roman" w:hAnsi="Times New Roman" w:eastAsia="宋体" w:cs="Times New Roman"/>
                <w:b w:val="0"/>
                <w:bCs w:val="0"/>
                <w:color w:val="auto"/>
                <w:spacing w:val="0"/>
                <w:w w:val="100"/>
                <w:position w:val="0"/>
                <w:sz w:val="21"/>
                <w:szCs w:val="21"/>
                <w:highlight w:val="none"/>
                <w:lang w:eastAsia="zh-CN"/>
              </w:rPr>
              <w:t>不外排</w:t>
            </w:r>
            <w:r>
              <w:rPr>
                <w:rFonts w:hint="eastAsia"/>
                <w:b w:val="0"/>
                <w:bCs w:val="0"/>
                <w:color w:val="auto"/>
                <w:sz w:val="21"/>
                <w:szCs w:val="21"/>
                <w:lang w:val="en-US" w:eastAsia="zh-CN"/>
              </w:rPr>
              <w:t>。</w:t>
            </w:r>
          </w:p>
        </w:tc>
      </w:tr>
      <w:tr w14:paraId="394078F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6A4D46BC">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5E3A84F3">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员工生活</w:t>
            </w:r>
          </w:p>
        </w:tc>
        <w:tc>
          <w:tcPr>
            <w:tcW w:w="1240" w:type="dxa"/>
            <w:tcBorders>
              <w:left w:val="single" w:color="000000" w:sz="6" w:space="0"/>
            </w:tcBorders>
            <w:vAlign w:val="center"/>
          </w:tcPr>
          <w:p w14:paraId="799A1CF8">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生活污水</w:t>
            </w:r>
          </w:p>
        </w:tc>
        <w:tc>
          <w:tcPr>
            <w:tcW w:w="4423" w:type="dxa"/>
            <w:tcBorders>
              <w:left w:val="single" w:color="000000" w:sz="6" w:space="0"/>
            </w:tcBorders>
            <w:vAlign w:val="center"/>
          </w:tcPr>
          <w:p w14:paraId="5B2FB583">
            <w:pPr>
              <w:pStyle w:val="45"/>
              <w:pageBreakBefore w:val="0"/>
              <w:kinsoku/>
              <w:wordWrap/>
              <w:overflowPunct/>
              <w:topLinePunct w:val="0"/>
              <w:bidi w:val="0"/>
              <w:jc w:val="center"/>
              <w:rPr>
                <w:rFonts w:hint="eastAsia"/>
                <w:b w:val="0"/>
                <w:bCs w:val="0"/>
                <w:color w:val="0000FF"/>
                <w:sz w:val="21"/>
                <w:szCs w:val="21"/>
                <w:highlight w:val="none"/>
                <w:lang w:eastAsia="zh-CN"/>
              </w:rPr>
            </w:pPr>
            <w:r>
              <w:rPr>
                <w:rFonts w:hint="default" w:ascii="Times New Roman" w:hAnsi="Times New Roman" w:eastAsia="宋体" w:cs="Times New Roman"/>
                <w:color w:val="auto"/>
                <w:spacing w:val="0"/>
                <w:w w:val="100"/>
                <w:sz w:val="21"/>
                <w:szCs w:val="21"/>
                <w:lang w:eastAsia="zh-CN"/>
              </w:rPr>
              <w:t>生活污水经地埋式一体化污水处理设备处理后排入下水管网，最终进入乌雪特乡污水处理站</w:t>
            </w:r>
          </w:p>
        </w:tc>
      </w:tr>
      <w:tr w14:paraId="5964DB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tcBorders>
              <w:right w:val="single" w:color="000000" w:sz="6" w:space="0"/>
            </w:tcBorders>
            <w:vAlign w:val="center"/>
          </w:tcPr>
          <w:p w14:paraId="14C38FBB">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噪声</w:t>
            </w:r>
          </w:p>
        </w:tc>
        <w:tc>
          <w:tcPr>
            <w:tcW w:w="2166" w:type="dxa"/>
            <w:gridSpan w:val="2"/>
            <w:tcBorders>
              <w:left w:val="single" w:color="000000" w:sz="6" w:space="0"/>
            </w:tcBorders>
            <w:vAlign w:val="center"/>
          </w:tcPr>
          <w:p w14:paraId="24D7C284">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生产过程</w:t>
            </w:r>
          </w:p>
        </w:tc>
        <w:tc>
          <w:tcPr>
            <w:tcW w:w="1240" w:type="dxa"/>
            <w:tcBorders>
              <w:left w:val="single" w:color="000000" w:sz="6" w:space="0"/>
            </w:tcBorders>
            <w:vAlign w:val="center"/>
          </w:tcPr>
          <w:p w14:paraId="0D4EDA4A">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机械噪声</w:t>
            </w:r>
          </w:p>
        </w:tc>
        <w:tc>
          <w:tcPr>
            <w:tcW w:w="4423" w:type="dxa"/>
            <w:tcBorders>
              <w:left w:val="single" w:color="000000" w:sz="6" w:space="0"/>
            </w:tcBorders>
            <w:vAlign w:val="center"/>
          </w:tcPr>
          <w:p w14:paraId="06053874">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厂房隔声，基础减振</w:t>
            </w:r>
          </w:p>
        </w:tc>
      </w:tr>
      <w:tr w14:paraId="325D61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restart"/>
            <w:tcBorders>
              <w:right w:val="single" w:color="000000" w:sz="6" w:space="0"/>
            </w:tcBorders>
            <w:vAlign w:val="center"/>
          </w:tcPr>
          <w:p w14:paraId="334EC54A">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固体废物</w:t>
            </w:r>
          </w:p>
        </w:tc>
        <w:tc>
          <w:tcPr>
            <w:tcW w:w="2166" w:type="dxa"/>
            <w:gridSpan w:val="2"/>
            <w:tcBorders>
              <w:left w:val="single" w:color="000000" w:sz="6" w:space="0"/>
            </w:tcBorders>
            <w:vAlign w:val="center"/>
          </w:tcPr>
          <w:p w14:paraId="19EFDB13">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分拣</w:t>
            </w:r>
          </w:p>
        </w:tc>
        <w:tc>
          <w:tcPr>
            <w:tcW w:w="1240" w:type="dxa"/>
            <w:tcBorders>
              <w:left w:val="single" w:color="000000" w:sz="6" w:space="0"/>
            </w:tcBorders>
            <w:shd w:val="clear" w:color="auto" w:fill="auto"/>
            <w:vAlign w:val="center"/>
          </w:tcPr>
          <w:p w14:paraId="0BCED56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分拣废物</w:t>
            </w:r>
          </w:p>
        </w:tc>
        <w:tc>
          <w:tcPr>
            <w:tcW w:w="4423" w:type="dxa"/>
            <w:tcBorders>
              <w:left w:val="single" w:color="000000" w:sz="6" w:space="0"/>
            </w:tcBorders>
            <w:shd w:val="clear" w:color="auto" w:fill="auto"/>
            <w:vAlign w:val="center"/>
          </w:tcPr>
          <w:p w14:paraId="27054B53">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val="en-US" w:eastAsia="zh-CN" w:bidi="zh-CN"/>
              </w:rPr>
            </w:pPr>
            <w:r>
              <w:rPr>
                <w:rFonts w:hint="eastAsia" w:ascii="Times New Roman" w:hAnsi="Times New Roman" w:eastAsia="宋体" w:cs="Times New Roman"/>
                <w:b w:val="0"/>
                <w:bCs w:val="0"/>
                <w:snapToGrid w:val="0"/>
                <w:color w:val="auto"/>
                <w:sz w:val="21"/>
                <w:szCs w:val="21"/>
                <w:lang w:val="en-US" w:eastAsia="zh-CN"/>
              </w:rPr>
              <w:t>集中收集后做为建筑渣土运至固废填埋场处置</w:t>
            </w:r>
          </w:p>
        </w:tc>
      </w:tr>
      <w:tr w14:paraId="1927AC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7D959BC8">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6A4A0D17">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沉淀池</w:t>
            </w:r>
          </w:p>
        </w:tc>
        <w:tc>
          <w:tcPr>
            <w:tcW w:w="1240" w:type="dxa"/>
            <w:tcBorders>
              <w:left w:val="single" w:color="000000" w:sz="6" w:space="0"/>
            </w:tcBorders>
            <w:shd w:val="clear" w:color="auto" w:fill="auto"/>
            <w:vAlign w:val="center"/>
          </w:tcPr>
          <w:p w14:paraId="204AE7B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污泥</w:t>
            </w:r>
          </w:p>
        </w:tc>
        <w:tc>
          <w:tcPr>
            <w:tcW w:w="4423" w:type="dxa"/>
            <w:tcBorders>
              <w:left w:val="single" w:color="000000" w:sz="6" w:space="0"/>
            </w:tcBorders>
            <w:shd w:val="clear" w:color="auto" w:fill="auto"/>
            <w:vAlign w:val="center"/>
          </w:tcPr>
          <w:p w14:paraId="2B8A7049">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val="en-US" w:eastAsia="zh-CN"/>
              </w:rPr>
            </w:pPr>
            <w:r>
              <w:rPr>
                <w:rFonts w:hint="eastAsia"/>
                <w:b w:val="0"/>
                <w:bCs w:val="0"/>
                <w:color w:val="auto"/>
                <w:sz w:val="21"/>
                <w:szCs w:val="21"/>
                <w:lang w:val="en-US" w:eastAsia="zh-CN"/>
              </w:rPr>
              <w:t>自然干化后运至一般固废填埋场处置</w:t>
            </w:r>
          </w:p>
        </w:tc>
      </w:tr>
      <w:tr w14:paraId="4EFF48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60A307C9">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4EA75C64">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生产线</w:t>
            </w:r>
          </w:p>
        </w:tc>
        <w:tc>
          <w:tcPr>
            <w:tcW w:w="1240" w:type="dxa"/>
            <w:tcBorders>
              <w:left w:val="single" w:color="000000" w:sz="6" w:space="0"/>
            </w:tcBorders>
            <w:shd w:val="clear" w:color="auto" w:fill="auto"/>
            <w:vAlign w:val="center"/>
          </w:tcPr>
          <w:p w14:paraId="300C9DF1">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残次品及边角废料</w:t>
            </w:r>
          </w:p>
        </w:tc>
        <w:tc>
          <w:tcPr>
            <w:tcW w:w="4423" w:type="dxa"/>
            <w:tcBorders>
              <w:left w:val="single" w:color="000000" w:sz="6" w:space="0"/>
            </w:tcBorders>
            <w:shd w:val="clear" w:color="auto" w:fill="auto"/>
            <w:vAlign w:val="center"/>
          </w:tcPr>
          <w:p w14:paraId="3CF96C99">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回用于生产</w:t>
            </w:r>
          </w:p>
        </w:tc>
      </w:tr>
      <w:tr w14:paraId="3B3521F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6A83A81C">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7A65DAE3">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原料</w:t>
            </w:r>
          </w:p>
        </w:tc>
        <w:tc>
          <w:tcPr>
            <w:tcW w:w="1240" w:type="dxa"/>
            <w:tcBorders>
              <w:left w:val="single" w:color="000000" w:sz="6" w:space="0"/>
            </w:tcBorders>
            <w:shd w:val="clear" w:color="auto" w:fill="auto"/>
            <w:vAlign w:val="center"/>
          </w:tcPr>
          <w:p w14:paraId="549D238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废</w:t>
            </w:r>
            <w:r>
              <w:rPr>
                <w:rFonts w:hint="eastAsia"/>
                <w:b w:val="0"/>
                <w:bCs w:val="0"/>
                <w:color w:val="auto"/>
                <w:sz w:val="21"/>
                <w:szCs w:val="21"/>
                <w:lang w:eastAsia="zh-CN"/>
              </w:rPr>
              <w:t>包装袋</w:t>
            </w:r>
          </w:p>
        </w:tc>
        <w:tc>
          <w:tcPr>
            <w:tcW w:w="4423" w:type="dxa"/>
            <w:tcBorders>
              <w:left w:val="single" w:color="000000" w:sz="6" w:space="0"/>
            </w:tcBorders>
            <w:shd w:val="clear" w:color="auto" w:fill="auto"/>
            <w:vAlign w:val="center"/>
          </w:tcPr>
          <w:p w14:paraId="26496EED">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eastAsia"/>
                <w:b w:val="0"/>
                <w:bCs w:val="0"/>
                <w:color w:val="auto"/>
                <w:sz w:val="21"/>
                <w:szCs w:val="21"/>
                <w:lang w:eastAsia="zh-CN"/>
              </w:rPr>
              <w:t>集中收集后由废品收购站回收</w:t>
            </w:r>
          </w:p>
        </w:tc>
      </w:tr>
      <w:tr w14:paraId="4666B9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1BA912B5">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198C302B">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催化设备</w:t>
            </w:r>
          </w:p>
        </w:tc>
        <w:tc>
          <w:tcPr>
            <w:tcW w:w="1240" w:type="dxa"/>
            <w:tcBorders>
              <w:left w:val="single" w:color="000000" w:sz="6" w:space="0"/>
            </w:tcBorders>
            <w:shd w:val="clear" w:color="auto" w:fill="auto"/>
            <w:vAlign w:val="center"/>
          </w:tcPr>
          <w:p w14:paraId="6DE5CB38">
            <w:pPr>
              <w:pStyle w:val="43"/>
              <w:keepNext w:val="0"/>
              <w:keepLines w:val="0"/>
              <w:pageBreakBefore w:val="0"/>
              <w:kinsoku/>
              <w:wordWrap/>
              <w:overflowPunct/>
              <w:topLinePunct w:val="0"/>
              <w:bidi w:val="0"/>
              <w:adjustRightInd/>
              <w:snapToGrid/>
              <w:spacing w:before="0" w:beforeLines="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sz w:val="21"/>
                <w:szCs w:val="21"/>
                <w:vertAlign w:val="baseline"/>
                <w:lang w:val="en-US" w:eastAsia="zh-CN" w:bidi="zh-CN"/>
              </w:rPr>
            </w:pPr>
            <w:r>
              <w:rPr>
                <w:rFonts w:hint="eastAsia" w:ascii="Times New Roman" w:hAnsi="Times New Roman" w:eastAsia="宋体" w:cs="Times New Roman"/>
                <w:b w:val="0"/>
                <w:bCs w:val="0"/>
                <w:color w:val="auto"/>
                <w:sz w:val="21"/>
                <w:szCs w:val="21"/>
                <w:vertAlign w:val="baseline"/>
                <w:lang w:val="en-US" w:eastAsia="zh-CN"/>
              </w:rPr>
              <w:t>废催化剂</w:t>
            </w:r>
          </w:p>
        </w:tc>
        <w:tc>
          <w:tcPr>
            <w:tcW w:w="4423" w:type="dxa"/>
            <w:tcBorders>
              <w:left w:val="single" w:color="000000" w:sz="6" w:space="0"/>
            </w:tcBorders>
            <w:shd w:val="clear" w:color="auto" w:fill="auto"/>
            <w:vAlign w:val="center"/>
          </w:tcPr>
          <w:p w14:paraId="11951058">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交由有</w:t>
            </w:r>
            <w:r>
              <w:rPr>
                <w:rFonts w:hint="eastAsia"/>
                <w:b w:val="0"/>
                <w:bCs w:val="0"/>
                <w:color w:val="auto"/>
                <w:sz w:val="21"/>
                <w:szCs w:val="21"/>
                <w:lang w:eastAsia="zh-CN"/>
              </w:rPr>
              <w:t>资质单位处置</w:t>
            </w:r>
          </w:p>
        </w:tc>
      </w:tr>
      <w:tr w14:paraId="137DA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vAlign w:val="center"/>
          </w:tcPr>
          <w:p w14:paraId="016F1CAB">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2166" w:type="dxa"/>
            <w:gridSpan w:val="2"/>
            <w:tcBorders>
              <w:left w:val="single" w:color="000000" w:sz="6" w:space="0"/>
            </w:tcBorders>
            <w:vAlign w:val="center"/>
          </w:tcPr>
          <w:p w14:paraId="1F9C9022">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设备维护</w:t>
            </w:r>
          </w:p>
        </w:tc>
        <w:tc>
          <w:tcPr>
            <w:tcW w:w="1240" w:type="dxa"/>
            <w:tcBorders>
              <w:left w:val="single" w:color="000000" w:sz="6" w:space="0"/>
            </w:tcBorders>
            <w:shd w:val="clear" w:color="auto" w:fill="auto"/>
            <w:vAlign w:val="center"/>
          </w:tcPr>
          <w:p w14:paraId="359546D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废润滑油</w:t>
            </w:r>
          </w:p>
        </w:tc>
        <w:tc>
          <w:tcPr>
            <w:tcW w:w="4423" w:type="dxa"/>
            <w:tcBorders>
              <w:left w:val="single" w:color="000000" w:sz="6" w:space="0"/>
            </w:tcBorders>
            <w:vAlign w:val="center"/>
          </w:tcPr>
          <w:p w14:paraId="3C3507A5">
            <w:pPr>
              <w:pageBreakBefore w:val="0"/>
              <w:kinsoku/>
              <w:wordWrap/>
              <w:overflowPunct/>
              <w:topLinePunct w:val="0"/>
              <w:bidi w:val="0"/>
              <w:ind w:left="0" w:leftChars="0" w:right="0" w:rightChars="0" w:firstLine="420" w:firstLineChars="200"/>
              <w:jc w:val="center"/>
              <w:rPr>
                <w:rFonts w:hint="eastAsia"/>
                <w:b w:val="0"/>
                <w:bCs w:val="0"/>
                <w:color w:val="auto"/>
                <w:sz w:val="21"/>
                <w:szCs w:val="21"/>
                <w:highlight w:val="none"/>
                <w:lang w:eastAsia="zh-CN"/>
              </w:rPr>
            </w:pPr>
            <w:r>
              <w:rPr>
                <w:rFonts w:hint="default"/>
                <w:b w:val="0"/>
                <w:bCs w:val="0"/>
                <w:color w:val="auto"/>
                <w:sz w:val="21"/>
                <w:szCs w:val="21"/>
              </w:rPr>
              <w:t>交由有</w:t>
            </w:r>
            <w:r>
              <w:rPr>
                <w:rFonts w:hint="eastAsia"/>
                <w:b w:val="0"/>
                <w:bCs w:val="0"/>
                <w:color w:val="auto"/>
                <w:sz w:val="21"/>
                <w:szCs w:val="21"/>
                <w:lang w:eastAsia="zh-CN"/>
              </w:rPr>
              <w:t>资质单位处置</w:t>
            </w:r>
          </w:p>
        </w:tc>
      </w:tr>
      <w:tr w14:paraId="4CF55D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2" w:hRule="atLeast"/>
          <w:jc w:val="center"/>
        </w:trPr>
        <w:tc>
          <w:tcPr>
            <w:tcW w:w="1209" w:type="dxa"/>
            <w:vMerge w:val="continue"/>
            <w:tcBorders>
              <w:right w:val="single" w:color="000000" w:sz="6" w:space="0"/>
            </w:tcBorders>
          </w:tcPr>
          <w:p w14:paraId="6271AE68">
            <w:pPr>
              <w:pStyle w:val="45"/>
              <w:pageBreakBefore w:val="0"/>
              <w:kinsoku/>
              <w:wordWrap/>
              <w:overflowPunct/>
              <w:topLinePunct w:val="0"/>
              <w:bidi w:val="0"/>
              <w:jc w:val="center"/>
              <w:rPr>
                <w:rFonts w:hint="eastAsia"/>
                <w:b w:val="0"/>
                <w:bCs w:val="0"/>
                <w:color w:val="auto"/>
                <w:sz w:val="21"/>
                <w:szCs w:val="21"/>
                <w:highlight w:val="none"/>
                <w:lang w:eastAsia="zh-CN"/>
              </w:rPr>
            </w:pPr>
          </w:p>
        </w:tc>
        <w:tc>
          <w:tcPr>
            <w:tcW w:w="0" w:type="auto"/>
            <w:gridSpan w:val="2"/>
          </w:tcPr>
          <w:p w14:paraId="155F19CE">
            <w:pPr>
              <w:pStyle w:val="45"/>
              <w:pageBreakBefore w:val="0"/>
              <w:kinsoku/>
              <w:wordWrap/>
              <w:overflowPunct/>
              <w:topLinePunct w:val="0"/>
              <w:bidi w:val="0"/>
              <w:jc w:val="center"/>
              <w:rPr>
                <w:rFonts w:hint="eastAsia"/>
                <w:b w:val="0"/>
                <w:bCs w:val="0"/>
                <w:color w:val="auto"/>
                <w:sz w:val="21"/>
                <w:szCs w:val="21"/>
                <w:highlight w:val="none"/>
                <w:lang w:eastAsia="zh-CN"/>
              </w:rPr>
            </w:pPr>
            <w:r>
              <w:rPr>
                <w:rFonts w:hint="eastAsia"/>
                <w:b w:val="0"/>
                <w:bCs w:val="0"/>
                <w:color w:val="auto"/>
                <w:sz w:val="21"/>
                <w:szCs w:val="21"/>
                <w:highlight w:val="none"/>
                <w:lang w:eastAsia="zh-CN"/>
              </w:rPr>
              <w:t>办公生活</w:t>
            </w:r>
          </w:p>
        </w:tc>
        <w:tc>
          <w:tcPr>
            <w:tcW w:w="0" w:type="auto"/>
            <w:shd w:val="clear" w:color="auto" w:fill="auto"/>
            <w:vAlign w:val="center"/>
          </w:tcPr>
          <w:p w14:paraId="6A590FDF">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default"/>
                <w:b w:val="0"/>
                <w:bCs w:val="0"/>
                <w:color w:val="auto"/>
                <w:sz w:val="21"/>
                <w:szCs w:val="21"/>
              </w:rPr>
              <w:t>生活垃圾</w:t>
            </w:r>
          </w:p>
        </w:tc>
        <w:tc>
          <w:tcPr>
            <w:tcW w:w="0" w:type="auto"/>
            <w:shd w:val="clear" w:color="auto" w:fill="auto"/>
            <w:vAlign w:val="center"/>
          </w:tcPr>
          <w:p w14:paraId="1AA4A501">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ascii="Times New Roman" w:hAnsi="Times New Roman" w:eastAsia="宋体" w:cs="Times New Roman"/>
                <w:b w:val="0"/>
                <w:bCs w:val="0"/>
                <w:snapToGrid w:val="0"/>
                <w:color w:val="auto"/>
                <w:sz w:val="21"/>
                <w:szCs w:val="21"/>
                <w:lang w:eastAsia="zh-CN"/>
              </w:rPr>
            </w:pPr>
            <w:r>
              <w:rPr>
                <w:rFonts w:hint="eastAsia"/>
                <w:b w:val="0"/>
                <w:bCs w:val="0"/>
                <w:color w:val="auto"/>
                <w:sz w:val="21"/>
                <w:szCs w:val="21"/>
                <w:lang w:eastAsia="zh-CN"/>
              </w:rPr>
              <w:t>集中收集后由环卫部门定期清运处理</w:t>
            </w:r>
          </w:p>
        </w:tc>
      </w:tr>
    </w:tbl>
    <w:p w14:paraId="606CD0B0">
      <w:pPr>
        <w:pStyle w:val="43"/>
        <w:pageBreakBefore w:val="0"/>
        <w:widowControl/>
        <w:kinsoku/>
        <w:wordWrap/>
        <w:overflowPunct/>
        <w:topLinePunct w:val="0"/>
        <w:autoSpaceDE/>
        <w:autoSpaceDN/>
        <w:bidi w:val="0"/>
        <w:adjustRightInd w:val="0"/>
        <w:snapToGrid w:val="0"/>
        <w:spacing w:before="0" w:beforeLines="0" w:line="360" w:lineRule="auto"/>
        <w:textAlignment w:val="auto"/>
        <w:rPr>
          <w:rFonts w:hint="default" w:ascii="Times New Roman" w:hAnsi="Times New Roman" w:eastAsia="宋体" w:cs="Times New Roman"/>
          <w:b/>
          <w:bCs/>
          <w:color w:val="auto"/>
          <w:spacing w:val="0"/>
          <w:w w:val="100"/>
          <w:position w:val="0"/>
          <w:sz w:val="24"/>
          <w:szCs w:val="24"/>
          <w:highlight w:val="none"/>
        </w:rPr>
      </w:pPr>
    </w:p>
    <w:p w14:paraId="57530B63">
      <w:pPr>
        <w:pStyle w:val="4"/>
        <w:pageBreakBefore w:val="0"/>
        <w:kinsoku/>
        <w:wordWrap/>
        <w:overflowPunct/>
        <w:topLinePunct w:val="0"/>
        <w:bidi w:val="0"/>
        <w:rPr>
          <w:rFonts w:hint="default"/>
          <w:color w:val="auto"/>
        </w:rPr>
      </w:pPr>
      <w:bookmarkStart w:id="156" w:name="_Toc4273"/>
      <w:bookmarkStart w:id="157" w:name="_Toc32594"/>
      <w:bookmarkStart w:id="158" w:name="_Toc12598"/>
      <w:r>
        <w:rPr>
          <w:rFonts w:hint="eastAsia"/>
          <w:color w:val="auto"/>
          <w:lang w:val="en-US" w:eastAsia="zh-CN"/>
        </w:rPr>
        <w:t>3.4</w:t>
      </w:r>
      <w:r>
        <w:rPr>
          <w:rFonts w:hint="default"/>
          <w:color w:val="auto"/>
        </w:rPr>
        <w:t>污染源分析</w:t>
      </w:r>
      <w:bookmarkEnd w:id="156"/>
      <w:bookmarkEnd w:id="157"/>
      <w:bookmarkEnd w:id="158"/>
    </w:p>
    <w:p w14:paraId="1500C711">
      <w:pPr>
        <w:pStyle w:val="5"/>
        <w:pageBreakBefore w:val="0"/>
        <w:kinsoku/>
        <w:wordWrap/>
        <w:overflowPunct/>
        <w:topLinePunct w:val="0"/>
        <w:bidi w:val="0"/>
        <w:rPr>
          <w:rFonts w:hint="default"/>
          <w:color w:val="auto"/>
        </w:rPr>
      </w:pPr>
      <w:bookmarkStart w:id="159" w:name="3.5.1施工期"/>
      <w:bookmarkEnd w:id="159"/>
      <w:bookmarkStart w:id="160" w:name="3.5.1施工期"/>
      <w:bookmarkEnd w:id="160"/>
      <w:bookmarkStart w:id="161" w:name="3.5.2 运营期"/>
      <w:bookmarkEnd w:id="161"/>
      <w:bookmarkStart w:id="162" w:name="3.5.2 运营期"/>
      <w:bookmarkEnd w:id="162"/>
      <w:bookmarkStart w:id="163" w:name="_Toc11505"/>
      <w:bookmarkStart w:id="164" w:name="_Toc25548"/>
      <w:r>
        <w:rPr>
          <w:rFonts w:hint="eastAsia"/>
          <w:color w:val="auto"/>
          <w:lang w:val="en-US" w:eastAsia="zh-CN"/>
        </w:rPr>
        <w:t>3.4</w:t>
      </w:r>
      <w:r>
        <w:rPr>
          <w:rFonts w:hint="default"/>
          <w:color w:val="auto"/>
          <w:lang w:val="en-US" w:eastAsia="zh-CN"/>
        </w:rPr>
        <w:t>.2</w:t>
      </w:r>
      <w:r>
        <w:rPr>
          <w:rFonts w:hint="default"/>
          <w:color w:val="auto"/>
        </w:rPr>
        <w:t>运营期</w:t>
      </w:r>
      <w:bookmarkEnd w:id="163"/>
      <w:bookmarkEnd w:id="164"/>
    </w:p>
    <w:p w14:paraId="073C3F76">
      <w:pPr>
        <w:pStyle w:val="6"/>
        <w:pageBreakBefore w:val="0"/>
        <w:kinsoku/>
        <w:wordWrap/>
        <w:overflowPunct/>
        <w:topLinePunct w:val="0"/>
        <w:bidi w:val="0"/>
        <w:ind w:firstLine="482" w:firstLineChars="200"/>
        <w:rPr>
          <w:rFonts w:hint="default"/>
          <w:color w:val="auto"/>
        </w:rPr>
      </w:pPr>
      <w:bookmarkStart w:id="165" w:name="_Toc3216"/>
      <w:r>
        <w:rPr>
          <w:rFonts w:hint="eastAsia"/>
          <w:color w:val="auto"/>
          <w:lang w:val="en-US" w:eastAsia="zh-CN"/>
        </w:rPr>
        <w:t>3.4</w:t>
      </w:r>
      <w:r>
        <w:rPr>
          <w:rFonts w:hint="default"/>
          <w:color w:val="auto"/>
          <w:lang w:val="en-US" w:eastAsia="zh-CN"/>
        </w:rPr>
        <w:t>.2.1</w:t>
      </w:r>
      <w:r>
        <w:rPr>
          <w:rFonts w:hint="default"/>
          <w:color w:val="auto"/>
        </w:rPr>
        <w:t>废气</w:t>
      </w:r>
      <w:bookmarkEnd w:id="165"/>
    </w:p>
    <w:p w14:paraId="129919E4">
      <w:pPr>
        <w:pStyle w:val="6"/>
        <w:keepNext/>
        <w:keepLines/>
        <w:pageBreakBefore w:val="0"/>
        <w:widowControl/>
        <w:kinsoku/>
        <w:wordWrap/>
        <w:overflowPunct/>
        <w:topLinePunct w:val="0"/>
        <w:autoSpaceDE/>
        <w:autoSpaceDN/>
        <w:bidi w:val="0"/>
        <w:adjustRightInd w:val="0"/>
        <w:snapToGrid w:val="0"/>
        <w:spacing w:before="0" w:beforeLines="50"/>
        <w:textAlignment w:val="auto"/>
        <w:rPr>
          <w:rFonts w:hint="default"/>
          <w:color w:val="auto"/>
          <w:lang w:val="en-US" w:eastAsia="zh-CN"/>
        </w:rPr>
      </w:pPr>
      <w:bookmarkStart w:id="166" w:name="_Toc16127"/>
      <w:r>
        <w:rPr>
          <w:rFonts w:hint="eastAsia"/>
          <w:color w:val="auto"/>
          <w:lang w:val="en-US" w:eastAsia="zh-CN"/>
        </w:rPr>
        <w:t>3.4.2.2</w:t>
      </w:r>
      <w:r>
        <w:rPr>
          <w:rFonts w:hint="default"/>
          <w:color w:val="auto"/>
          <w:lang w:val="en-US" w:eastAsia="zh-CN"/>
        </w:rPr>
        <w:t>废水</w:t>
      </w:r>
      <w:bookmarkEnd w:id="166"/>
    </w:p>
    <w:p w14:paraId="7E58B1B5">
      <w:pPr>
        <w:pStyle w:val="6"/>
        <w:keepNext/>
        <w:keepLines/>
        <w:pageBreakBefore w:val="0"/>
        <w:widowControl/>
        <w:kinsoku/>
        <w:wordWrap/>
        <w:overflowPunct/>
        <w:topLinePunct w:val="0"/>
        <w:autoSpaceDE/>
        <w:autoSpaceDN/>
        <w:bidi w:val="0"/>
        <w:adjustRightInd w:val="0"/>
        <w:snapToGrid w:val="0"/>
        <w:spacing w:before="0" w:beforeLines="50"/>
        <w:textAlignment w:val="auto"/>
        <w:rPr>
          <w:rFonts w:hint="default"/>
          <w:color w:val="auto"/>
          <w:highlight w:val="none"/>
        </w:rPr>
      </w:pPr>
      <w:bookmarkStart w:id="167" w:name="_Toc24248"/>
      <w:r>
        <w:rPr>
          <w:rFonts w:hint="eastAsia"/>
          <w:color w:val="auto"/>
          <w:highlight w:val="none"/>
          <w:lang w:val="en-US" w:eastAsia="zh-CN"/>
        </w:rPr>
        <w:t>3.4</w:t>
      </w:r>
      <w:r>
        <w:rPr>
          <w:rFonts w:hint="default"/>
          <w:color w:val="auto"/>
          <w:highlight w:val="none"/>
          <w:lang w:val="en-US" w:eastAsia="zh-CN"/>
        </w:rPr>
        <w:t>.2.3</w:t>
      </w:r>
      <w:r>
        <w:rPr>
          <w:rFonts w:hint="default"/>
          <w:color w:val="auto"/>
          <w:highlight w:val="none"/>
        </w:rPr>
        <w:t>噪声</w:t>
      </w:r>
      <w:bookmarkEnd w:id="167"/>
    </w:p>
    <w:p w14:paraId="0BB38467">
      <w:pPr>
        <w:pStyle w:val="43"/>
        <w:pageBreakBefore w:val="0"/>
        <w:kinsoku/>
        <w:wordWrap/>
        <w:overflowPunct/>
        <w:topLinePunct w:val="0"/>
        <w:bidi w:val="0"/>
        <w:spacing w:before="120"/>
        <w:rPr>
          <w:rFonts w:hint="eastAsia"/>
          <w:color w:val="auto"/>
          <w:highlight w:val="yellow"/>
          <w:lang w:val="en-US" w:eastAsia="zh-CN"/>
        </w:rPr>
        <w:sectPr>
          <w:headerReference r:id="rId9" w:type="default"/>
          <w:footerReference r:id="rId10" w:type="default"/>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3C85D86E">
      <w:pPr>
        <w:pStyle w:val="6"/>
        <w:pageBreakBefore w:val="0"/>
        <w:kinsoku/>
        <w:wordWrap/>
        <w:overflowPunct/>
        <w:topLinePunct w:val="0"/>
        <w:bidi w:val="0"/>
        <w:rPr>
          <w:rFonts w:hint="default"/>
          <w:color w:val="auto"/>
        </w:rPr>
      </w:pPr>
      <w:bookmarkStart w:id="168" w:name="_Toc6572"/>
      <w:r>
        <w:rPr>
          <w:rFonts w:hint="eastAsia"/>
          <w:color w:val="auto"/>
          <w:lang w:val="en-US" w:eastAsia="zh-CN"/>
        </w:rPr>
        <w:t>3.4</w:t>
      </w:r>
      <w:r>
        <w:rPr>
          <w:rFonts w:hint="default"/>
          <w:color w:val="auto"/>
          <w:lang w:val="en-US" w:eastAsia="zh-CN"/>
        </w:rPr>
        <w:t>.2.4</w:t>
      </w:r>
      <w:r>
        <w:rPr>
          <w:rFonts w:hint="default"/>
          <w:color w:val="auto"/>
        </w:rPr>
        <w:t>固体废物</w:t>
      </w:r>
      <w:bookmarkEnd w:id="168"/>
    </w:p>
    <w:p w14:paraId="28B39F8A">
      <w:pPr>
        <w:pStyle w:val="5"/>
        <w:pageBreakBefore w:val="0"/>
        <w:kinsoku/>
        <w:wordWrap/>
        <w:overflowPunct/>
        <w:topLinePunct w:val="0"/>
        <w:bidi w:val="0"/>
        <w:rPr>
          <w:rFonts w:hint="default"/>
          <w:color w:val="auto"/>
          <w:lang w:val="en-US" w:eastAsia="zh-CN"/>
        </w:rPr>
      </w:pPr>
      <w:bookmarkStart w:id="169" w:name="3.5.3 污染物排放汇总"/>
      <w:bookmarkEnd w:id="169"/>
      <w:bookmarkStart w:id="170" w:name="3.5.3 污染物排放汇总"/>
      <w:bookmarkEnd w:id="170"/>
      <w:bookmarkStart w:id="171" w:name="_Toc7400"/>
      <w:bookmarkStart w:id="172" w:name="_Toc14098"/>
      <w:r>
        <w:rPr>
          <w:rFonts w:hint="eastAsia"/>
          <w:color w:val="auto"/>
          <w:lang w:val="en-US" w:eastAsia="zh-CN"/>
        </w:rPr>
        <w:t>3.4</w:t>
      </w:r>
      <w:r>
        <w:rPr>
          <w:rFonts w:hint="default"/>
          <w:color w:val="auto"/>
          <w:lang w:val="en-US" w:eastAsia="zh-CN"/>
        </w:rPr>
        <w:t>.3污染物排放汇总</w:t>
      </w:r>
      <w:bookmarkEnd w:id="171"/>
      <w:bookmarkEnd w:id="172"/>
    </w:p>
    <w:p w14:paraId="1A8C97B2">
      <w:pPr>
        <w:pageBreakBefore w:val="0"/>
        <w:kinsoku/>
        <w:wordWrap/>
        <w:overflowPunct/>
        <w:topLinePunct w:val="0"/>
        <w:bidi w:val="0"/>
        <w:rPr>
          <w:color w:val="auto"/>
          <w:spacing w:val="0"/>
          <w:w w:val="100"/>
          <w:position w:val="0"/>
        </w:rPr>
      </w:pPr>
      <w:r>
        <w:rPr>
          <w:color w:val="auto"/>
          <w:spacing w:val="0"/>
          <w:w w:val="100"/>
          <w:position w:val="0"/>
        </w:rPr>
        <w:t>综上，本项目主要污染物排放</w:t>
      </w:r>
      <w:r>
        <w:rPr>
          <w:rFonts w:hint="eastAsia"/>
          <w:color w:val="auto"/>
          <w:spacing w:val="0"/>
          <w:w w:val="100"/>
          <w:position w:val="0"/>
          <w:lang w:eastAsia="zh-CN"/>
        </w:rPr>
        <w:t>总</w:t>
      </w:r>
      <w:r>
        <w:rPr>
          <w:color w:val="auto"/>
          <w:spacing w:val="0"/>
          <w:w w:val="100"/>
          <w:position w:val="0"/>
        </w:rPr>
        <w:t>量汇总情况见表</w:t>
      </w:r>
      <w:r>
        <w:rPr>
          <w:rFonts w:hint="eastAsia" w:eastAsia="宋体"/>
          <w:color w:val="auto"/>
          <w:spacing w:val="0"/>
          <w:w w:val="100"/>
          <w:position w:val="0"/>
          <w:lang w:eastAsia="zh-CN"/>
        </w:rPr>
        <w:t>3.4</w:t>
      </w:r>
      <w:r>
        <w:rPr>
          <w:rFonts w:hint="eastAsia" w:ascii="Times New Roman" w:eastAsia="宋体"/>
          <w:color w:val="auto"/>
          <w:spacing w:val="0"/>
          <w:w w:val="100"/>
          <w:position w:val="0"/>
          <w:lang w:val="en-US" w:eastAsia="zh-CN"/>
        </w:rPr>
        <w:t>-</w:t>
      </w:r>
      <w:r>
        <w:rPr>
          <w:rFonts w:hint="eastAsia"/>
          <w:color w:val="auto"/>
          <w:spacing w:val="0"/>
          <w:w w:val="100"/>
          <w:position w:val="0"/>
          <w:lang w:val="en-US" w:eastAsia="zh-CN"/>
        </w:rPr>
        <w:t>8</w:t>
      </w:r>
      <w:r>
        <w:rPr>
          <w:color w:val="auto"/>
          <w:spacing w:val="0"/>
          <w:w w:val="100"/>
          <w:position w:val="0"/>
        </w:rPr>
        <w:t>。</w:t>
      </w:r>
    </w:p>
    <w:p w14:paraId="3328ADB4">
      <w:pPr>
        <w:pStyle w:val="43"/>
        <w:pageBreakBefore w:val="0"/>
        <w:kinsoku/>
        <w:wordWrap/>
        <w:overflowPunct/>
        <w:topLinePunct w:val="0"/>
        <w:bidi w:val="0"/>
        <w:rPr>
          <w:rFonts w:hint="eastAsia"/>
          <w:color w:val="auto"/>
          <w:lang w:val="zh-CN" w:eastAsia="zh-CN"/>
        </w:rPr>
      </w:pPr>
      <w:r>
        <w:rPr>
          <w:rFonts w:hint="eastAsia"/>
          <w:color w:val="auto"/>
          <w:lang w:val="zh-CN" w:eastAsia="zh-CN"/>
        </w:rPr>
        <w:t>表3.4</w:t>
      </w:r>
      <w:r>
        <w:rPr>
          <w:rFonts w:hint="eastAsia"/>
          <w:color w:val="auto"/>
          <w:lang w:val="en-US" w:eastAsia="zh-CN"/>
        </w:rPr>
        <w:t xml:space="preserve">-8  </w:t>
      </w:r>
      <w:r>
        <w:rPr>
          <w:rFonts w:hint="eastAsia"/>
          <w:color w:val="auto"/>
          <w:lang w:val="zh-CN" w:eastAsia="zh-CN"/>
        </w:rPr>
        <w:t>本项目污染物产生与排放一览表</w:t>
      </w:r>
    </w:p>
    <w:tbl>
      <w:tblPr>
        <w:tblStyle w:val="27"/>
        <w:tblW w:w="508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528"/>
        <w:gridCol w:w="1182"/>
        <w:gridCol w:w="1996"/>
        <w:gridCol w:w="1338"/>
        <w:gridCol w:w="4183"/>
      </w:tblGrid>
      <w:tr w14:paraId="2A9195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926" w:type="pct"/>
            <w:gridSpan w:val="2"/>
            <w:vAlign w:val="center"/>
          </w:tcPr>
          <w:p w14:paraId="51097CAE">
            <w:pPr>
              <w:pStyle w:val="45"/>
              <w:pageBreakBefore w:val="0"/>
              <w:kinsoku/>
              <w:wordWrap/>
              <w:overflowPunct/>
              <w:topLinePunct w:val="0"/>
              <w:bidi w:val="0"/>
              <w:jc w:val="center"/>
              <w:rPr>
                <w:rFonts w:hint="default"/>
                <w:b/>
                <w:bCs/>
                <w:color w:val="auto"/>
                <w:sz w:val="21"/>
                <w:szCs w:val="21"/>
              </w:rPr>
            </w:pPr>
            <w:r>
              <w:rPr>
                <w:rFonts w:hint="default"/>
                <w:b/>
                <w:bCs/>
                <w:color w:val="auto"/>
                <w:sz w:val="21"/>
                <w:szCs w:val="21"/>
              </w:rPr>
              <w:t>污染源</w:t>
            </w:r>
          </w:p>
        </w:tc>
        <w:tc>
          <w:tcPr>
            <w:tcW w:w="1081" w:type="pct"/>
            <w:vAlign w:val="center"/>
          </w:tcPr>
          <w:p w14:paraId="00D370B3">
            <w:pPr>
              <w:pStyle w:val="45"/>
              <w:pageBreakBefore w:val="0"/>
              <w:kinsoku/>
              <w:wordWrap/>
              <w:overflowPunct/>
              <w:topLinePunct w:val="0"/>
              <w:bidi w:val="0"/>
              <w:jc w:val="center"/>
              <w:rPr>
                <w:rFonts w:hint="default"/>
                <w:b/>
                <w:bCs/>
                <w:color w:val="auto"/>
                <w:sz w:val="21"/>
                <w:szCs w:val="21"/>
              </w:rPr>
            </w:pPr>
            <w:r>
              <w:rPr>
                <w:rFonts w:hint="default"/>
                <w:b/>
                <w:bCs/>
                <w:color w:val="auto"/>
                <w:sz w:val="21"/>
                <w:szCs w:val="21"/>
              </w:rPr>
              <w:t>主要污染物</w:t>
            </w:r>
          </w:p>
        </w:tc>
        <w:tc>
          <w:tcPr>
            <w:tcW w:w="725" w:type="pct"/>
            <w:vAlign w:val="center"/>
          </w:tcPr>
          <w:p w14:paraId="1B033029">
            <w:pPr>
              <w:pStyle w:val="45"/>
              <w:pageBreakBefore w:val="0"/>
              <w:kinsoku/>
              <w:wordWrap/>
              <w:overflowPunct/>
              <w:topLinePunct w:val="0"/>
              <w:bidi w:val="0"/>
              <w:jc w:val="center"/>
              <w:rPr>
                <w:rFonts w:hint="default"/>
                <w:b/>
                <w:bCs/>
                <w:color w:val="auto"/>
                <w:sz w:val="21"/>
                <w:szCs w:val="21"/>
              </w:rPr>
            </w:pPr>
            <w:r>
              <w:rPr>
                <w:rFonts w:hint="eastAsia"/>
                <w:b/>
                <w:bCs/>
                <w:color w:val="auto"/>
                <w:sz w:val="21"/>
                <w:szCs w:val="21"/>
                <w:lang w:eastAsia="zh-CN"/>
              </w:rPr>
              <w:t>排放</w:t>
            </w:r>
            <w:r>
              <w:rPr>
                <w:rFonts w:hint="default"/>
                <w:b/>
                <w:bCs/>
                <w:color w:val="auto"/>
                <w:sz w:val="21"/>
                <w:szCs w:val="21"/>
              </w:rPr>
              <w:t>量</w:t>
            </w:r>
          </w:p>
        </w:tc>
        <w:tc>
          <w:tcPr>
            <w:tcW w:w="2266" w:type="pct"/>
            <w:vAlign w:val="center"/>
          </w:tcPr>
          <w:p w14:paraId="1A7E65A2">
            <w:pPr>
              <w:pStyle w:val="45"/>
              <w:pageBreakBefore w:val="0"/>
              <w:kinsoku/>
              <w:wordWrap/>
              <w:overflowPunct/>
              <w:topLinePunct w:val="0"/>
              <w:bidi w:val="0"/>
              <w:jc w:val="center"/>
              <w:rPr>
                <w:rFonts w:hint="default"/>
                <w:b/>
                <w:bCs/>
                <w:color w:val="auto"/>
                <w:sz w:val="21"/>
                <w:szCs w:val="21"/>
              </w:rPr>
            </w:pPr>
            <w:r>
              <w:rPr>
                <w:rFonts w:hint="default"/>
                <w:b/>
                <w:bCs/>
                <w:color w:val="auto"/>
                <w:sz w:val="21"/>
                <w:szCs w:val="21"/>
              </w:rPr>
              <w:t>处置措施</w:t>
            </w:r>
          </w:p>
        </w:tc>
      </w:tr>
      <w:tr w14:paraId="11D9DE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restart"/>
            <w:vAlign w:val="center"/>
          </w:tcPr>
          <w:p w14:paraId="571A4641">
            <w:pPr>
              <w:pStyle w:val="45"/>
              <w:pageBreakBefore w:val="0"/>
              <w:kinsoku/>
              <w:wordWrap/>
              <w:overflowPunct/>
              <w:topLinePunct w:val="0"/>
              <w:bidi w:val="0"/>
              <w:jc w:val="center"/>
              <w:rPr>
                <w:rFonts w:hint="default"/>
                <w:color w:val="auto"/>
                <w:sz w:val="21"/>
                <w:szCs w:val="21"/>
              </w:rPr>
            </w:pPr>
            <w:r>
              <w:rPr>
                <w:rFonts w:hint="default"/>
                <w:color w:val="auto"/>
                <w:sz w:val="21"/>
                <w:szCs w:val="21"/>
              </w:rPr>
              <w:t>废气</w:t>
            </w:r>
          </w:p>
        </w:tc>
        <w:tc>
          <w:tcPr>
            <w:tcW w:w="639" w:type="pct"/>
            <w:vAlign w:val="center"/>
          </w:tcPr>
          <w:p w14:paraId="6AAB29E7">
            <w:pPr>
              <w:pStyle w:val="45"/>
              <w:pageBreakBefore w:val="0"/>
              <w:kinsoku/>
              <w:wordWrap/>
              <w:overflowPunct/>
              <w:topLinePunct w:val="0"/>
              <w:bidi w:val="0"/>
              <w:jc w:val="center"/>
              <w:rPr>
                <w:rFonts w:hint="default" w:ascii="Times New Roman" w:hAnsi="Times New Roman" w:eastAsia="宋体" w:cs="Times New Roman"/>
                <w:snapToGrid w:val="0"/>
                <w:color w:val="auto"/>
                <w:spacing w:val="3"/>
                <w:sz w:val="21"/>
                <w:szCs w:val="21"/>
                <w:lang w:val="en-US" w:eastAsia="zh-CN" w:bidi="zh-CN"/>
              </w:rPr>
            </w:pPr>
            <w:r>
              <w:rPr>
                <w:rFonts w:hint="eastAsia" w:ascii="Times New Roman" w:hAnsi="Times New Roman" w:eastAsia="宋体" w:cs="Times New Roman"/>
                <w:snapToGrid w:val="0"/>
                <w:color w:val="auto"/>
                <w:spacing w:val="3"/>
                <w:sz w:val="21"/>
                <w:szCs w:val="21"/>
                <w:lang w:val="en-US" w:eastAsia="zh-CN" w:bidi="zh-CN"/>
              </w:rPr>
              <w:t>有组织废气</w:t>
            </w:r>
          </w:p>
        </w:tc>
        <w:tc>
          <w:tcPr>
            <w:tcW w:w="1081" w:type="pct"/>
            <w:vAlign w:val="center"/>
          </w:tcPr>
          <w:p w14:paraId="05269FB0">
            <w:pPr>
              <w:pStyle w:val="45"/>
              <w:pageBreakBefore w:val="0"/>
              <w:kinsoku/>
              <w:wordWrap/>
              <w:overflowPunct/>
              <w:topLinePunct w:val="0"/>
              <w:bidi w:val="0"/>
              <w:jc w:val="center"/>
              <w:rPr>
                <w:rFonts w:hint="eastAsia" w:cs="Times New Roman"/>
                <w:snapToGrid w:val="0"/>
                <w:color w:val="auto"/>
                <w:spacing w:val="3"/>
                <w:sz w:val="21"/>
                <w:szCs w:val="21"/>
                <w:lang w:val="en-US" w:eastAsia="zh-CN" w:bidi="zh-CN"/>
              </w:rPr>
            </w:pPr>
            <w:r>
              <w:rPr>
                <w:rFonts w:hint="default"/>
                <w:color w:val="auto"/>
                <w:sz w:val="21"/>
                <w:szCs w:val="21"/>
              </w:rPr>
              <w:t>非甲烷总烃</w:t>
            </w:r>
          </w:p>
        </w:tc>
        <w:tc>
          <w:tcPr>
            <w:tcW w:w="725" w:type="pct"/>
            <w:vAlign w:val="center"/>
          </w:tcPr>
          <w:p w14:paraId="6FC87BB2">
            <w:pPr>
              <w:pStyle w:val="45"/>
              <w:pageBreakBefore w:val="0"/>
              <w:kinsoku/>
              <w:wordWrap/>
              <w:overflowPunct/>
              <w:topLinePunct w:val="0"/>
              <w:bidi w:val="0"/>
              <w:jc w:val="center"/>
              <w:rPr>
                <w:rFonts w:hint="default" w:ascii="Times New Roman" w:hAnsi="Times New Roman" w:eastAsia="宋体" w:cs="Times New Roman"/>
                <w:snapToGrid w:val="0"/>
                <w:color w:val="auto"/>
                <w:spacing w:val="3"/>
                <w:sz w:val="21"/>
                <w:szCs w:val="21"/>
                <w:lang w:val="en-US" w:eastAsia="zh-CN" w:bidi="zh-CN"/>
              </w:rPr>
            </w:pPr>
            <w:r>
              <w:rPr>
                <w:rFonts w:hint="eastAsia" w:cs="Times New Roman"/>
                <w:color w:val="auto"/>
                <w:spacing w:val="-1"/>
                <w:sz w:val="21"/>
                <w:szCs w:val="21"/>
                <w:lang w:val="en-US" w:eastAsia="zh-CN"/>
              </w:rPr>
              <w:t>1.475</w:t>
            </w:r>
            <w:r>
              <w:rPr>
                <w:rFonts w:hint="default" w:ascii="Times New Roman" w:hAnsi="Times New Roman" w:eastAsia="宋体" w:cs="Times New Roman"/>
                <w:snapToGrid w:val="0"/>
                <w:color w:val="auto"/>
                <w:spacing w:val="3"/>
                <w:sz w:val="21"/>
                <w:szCs w:val="21"/>
                <w:lang w:val="en-US" w:eastAsia="zh-CN" w:bidi="zh-CN"/>
              </w:rPr>
              <w:t>t/a</w:t>
            </w:r>
          </w:p>
        </w:tc>
        <w:tc>
          <w:tcPr>
            <w:tcW w:w="2266" w:type="pct"/>
            <w:vAlign w:val="center"/>
          </w:tcPr>
          <w:p w14:paraId="35187BD6">
            <w:pPr>
              <w:pStyle w:val="48"/>
              <w:pageBreakBefore w:val="0"/>
              <w:kinsoku/>
              <w:wordWrap/>
              <w:overflowPunct/>
              <w:topLinePunct w:val="0"/>
              <w:bidi w:val="0"/>
              <w:jc w:val="center"/>
              <w:rPr>
                <w:rFonts w:hint="default" w:ascii="Times New Roman" w:hAnsi="Times New Roman" w:eastAsia="宋体" w:cs="Times New Roman"/>
                <w:snapToGrid w:val="0"/>
                <w:color w:val="auto"/>
                <w:spacing w:val="3"/>
                <w:sz w:val="21"/>
                <w:szCs w:val="21"/>
                <w:lang w:val="en-US" w:eastAsia="zh-CN" w:bidi="zh-CN"/>
              </w:rPr>
            </w:pPr>
            <w:r>
              <w:rPr>
                <w:rFonts w:hint="eastAsia" w:ascii="Times New Roman" w:hAnsi="Times New Roman" w:eastAsia="宋体" w:cs="Times New Roman"/>
                <w:snapToGrid w:val="0"/>
                <w:color w:val="auto"/>
                <w:spacing w:val="3"/>
                <w:sz w:val="21"/>
                <w:szCs w:val="21"/>
                <w:lang w:val="en-US" w:eastAsia="zh-CN" w:bidi="zh-CN"/>
              </w:rPr>
              <w:t>设置</w:t>
            </w:r>
            <w:r>
              <w:rPr>
                <w:rFonts w:hint="eastAsia" w:cs="Times New Roman"/>
                <w:snapToGrid w:val="0"/>
                <w:color w:val="auto"/>
                <w:spacing w:val="3"/>
                <w:sz w:val="21"/>
                <w:szCs w:val="21"/>
                <w:lang w:val="en-US" w:eastAsia="zh-CN" w:bidi="zh-CN"/>
              </w:rPr>
              <w:t>集气罩</w:t>
            </w:r>
            <w:r>
              <w:rPr>
                <w:rFonts w:hint="eastAsia" w:ascii="Times New Roman" w:hAnsi="Times New Roman" w:eastAsia="宋体" w:cs="Times New Roman"/>
                <w:snapToGrid w:val="0"/>
                <w:color w:val="auto"/>
                <w:spacing w:val="3"/>
                <w:sz w:val="21"/>
                <w:szCs w:val="21"/>
                <w:lang w:val="en-US" w:eastAsia="zh-CN" w:bidi="zh-CN"/>
              </w:rPr>
              <w:t>，废气经集气罩</w:t>
            </w:r>
            <w:r>
              <w:rPr>
                <w:rFonts w:hint="eastAsia" w:cs="Times New Roman"/>
                <w:snapToGrid w:val="0"/>
                <w:color w:val="auto"/>
                <w:spacing w:val="3"/>
                <w:sz w:val="21"/>
                <w:szCs w:val="21"/>
                <w:lang w:val="en-US" w:eastAsia="zh-CN" w:bidi="zh-CN"/>
              </w:rPr>
              <w:t>收集</w:t>
            </w:r>
            <w:r>
              <w:rPr>
                <w:rFonts w:hint="eastAsia" w:ascii="Times New Roman" w:hAnsi="Times New Roman" w:eastAsia="宋体" w:cs="Times New Roman"/>
                <w:snapToGrid w:val="0"/>
                <w:color w:val="auto"/>
                <w:spacing w:val="3"/>
                <w:sz w:val="21"/>
                <w:szCs w:val="21"/>
                <w:lang w:val="en-US" w:eastAsia="zh-CN" w:bidi="zh-CN"/>
              </w:rPr>
              <w:t>至“催化燃烧（RCO）装置</w:t>
            </w:r>
            <w:r>
              <w:rPr>
                <w:rFonts w:hint="default" w:ascii="Times New Roman" w:hAnsi="Times New Roman" w:eastAsia="宋体" w:cs="Times New Roman"/>
                <w:snapToGrid w:val="0"/>
                <w:color w:val="auto"/>
                <w:spacing w:val="3"/>
                <w:sz w:val="21"/>
                <w:szCs w:val="21"/>
                <w:lang w:val="en-US" w:eastAsia="zh-CN" w:bidi="zh-CN"/>
              </w:rPr>
              <w:t>）</w:t>
            </w:r>
            <w:r>
              <w:rPr>
                <w:rFonts w:hint="eastAsia" w:ascii="Times New Roman" w:hAnsi="Times New Roman" w:eastAsia="宋体" w:cs="Times New Roman"/>
                <w:snapToGrid w:val="0"/>
                <w:color w:val="auto"/>
                <w:spacing w:val="3"/>
                <w:sz w:val="21"/>
                <w:szCs w:val="21"/>
                <w:lang w:val="en-US" w:eastAsia="zh-CN" w:bidi="zh-CN"/>
              </w:rPr>
              <w:t>”</w:t>
            </w:r>
            <w:r>
              <w:rPr>
                <w:rFonts w:hint="eastAsia" w:cs="Times New Roman"/>
                <w:snapToGrid w:val="0"/>
                <w:color w:val="auto"/>
                <w:spacing w:val="3"/>
                <w:sz w:val="21"/>
                <w:szCs w:val="21"/>
                <w:lang w:val="en-US" w:eastAsia="zh-CN" w:bidi="zh-CN"/>
              </w:rPr>
              <w:t>处理后</w:t>
            </w:r>
            <w:r>
              <w:rPr>
                <w:rFonts w:hint="eastAsia" w:ascii="Times New Roman" w:hAnsi="Times New Roman" w:eastAsia="宋体" w:cs="Times New Roman"/>
                <w:snapToGrid w:val="0"/>
                <w:color w:val="auto"/>
                <w:spacing w:val="3"/>
                <w:sz w:val="21"/>
                <w:szCs w:val="21"/>
                <w:lang w:val="en-US" w:eastAsia="zh-CN" w:bidi="zh-CN"/>
              </w:rPr>
              <w:t>废</w:t>
            </w:r>
            <w:r>
              <w:rPr>
                <w:rFonts w:hint="eastAsia" w:cs="Times New Roman"/>
                <w:snapToGrid w:val="0"/>
                <w:color w:val="auto"/>
                <w:spacing w:val="3"/>
                <w:sz w:val="21"/>
                <w:szCs w:val="21"/>
                <w:lang w:val="en-US" w:eastAsia="zh-CN" w:bidi="zh-CN"/>
              </w:rPr>
              <w:t>由15m高排气筒</w:t>
            </w:r>
            <w:r>
              <w:rPr>
                <w:rFonts w:hint="eastAsia" w:ascii="Times New Roman" w:hAnsi="Times New Roman" w:eastAsia="宋体" w:cs="Times New Roman"/>
                <w:snapToGrid w:val="0"/>
                <w:color w:val="auto"/>
                <w:spacing w:val="3"/>
                <w:sz w:val="21"/>
                <w:szCs w:val="21"/>
                <w:lang w:val="en-US" w:eastAsia="zh-CN" w:bidi="zh-CN"/>
              </w:rPr>
              <w:t>排放（DA001）</w:t>
            </w:r>
          </w:p>
        </w:tc>
      </w:tr>
      <w:tr w14:paraId="496012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5ED278F8">
            <w:pPr>
              <w:pStyle w:val="45"/>
              <w:pageBreakBefore w:val="0"/>
              <w:kinsoku/>
              <w:wordWrap/>
              <w:overflowPunct/>
              <w:topLinePunct w:val="0"/>
              <w:bidi w:val="0"/>
              <w:jc w:val="center"/>
              <w:rPr>
                <w:rFonts w:hint="default"/>
                <w:color w:val="auto"/>
                <w:sz w:val="21"/>
                <w:szCs w:val="21"/>
              </w:rPr>
            </w:pPr>
          </w:p>
        </w:tc>
        <w:tc>
          <w:tcPr>
            <w:tcW w:w="639" w:type="pct"/>
            <w:vMerge w:val="restart"/>
            <w:vAlign w:val="center"/>
          </w:tcPr>
          <w:p w14:paraId="75F07136">
            <w:pPr>
              <w:pStyle w:val="45"/>
              <w:pageBreakBefore w:val="0"/>
              <w:kinsoku/>
              <w:wordWrap/>
              <w:overflowPunct/>
              <w:topLinePunct w:val="0"/>
              <w:bidi w:val="0"/>
              <w:jc w:val="center"/>
              <w:rPr>
                <w:rFonts w:hint="eastAsia" w:eastAsia="宋体"/>
                <w:color w:val="auto"/>
                <w:sz w:val="21"/>
                <w:szCs w:val="21"/>
                <w:lang w:val="en-US" w:eastAsia="zh-CN"/>
              </w:rPr>
            </w:pPr>
            <w:r>
              <w:rPr>
                <w:rFonts w:hint="default"/>
                <w:color w:val="auto"/>
                <w:sz w:val="21"/>
                <w:szCs w:val="21"/>
              </w:rPr>
              <w:t>无组织</w:t>
            </w:r>
            <w:r>
              <w:rPr>
                <w:rFonts w:hint="eastAsia"/>
                <w:color w:val="auto"/>
                <w:sz w:val="21"/>
                <w:szCs w:val="21"/>
                <w:lang w:eastAsia="zh-CN"/>
              </w:rPr>
              <w:t>废气</w:t>
            </w:r>
          </w:p>
        </w:tc>
        <w:tc>
          <w:tcPr>
            <w:tcW w:w="1081" w:type="pct"/>
            <w:vAlign w:val="center"/>
          </w:tcPr>
          <w:p w14:paraId="2D15EBA4">
            <w:pPr>
              <w:pStyle w:val="45"/>
              <w:pageBreakBefore w:val="0"/>
              <w:kinsoku/>
              <w:wordWrap/>
              <w:overflowPunct/>
              <w:topLinePunct w:val="0"/>
              <w:bidi w:val="0"/>
              <w:ind w:left="-24" w:leftChars="-10" w:right="-24" w:rightChars="-10"/>
              <w:jc w:val="center"/>
              <w:rPr>
                <w:rFonts w:hint="default" w:ascii="Times New Roman" w:hAnsi="Times New Roman" w:eastAsia="宋体" w:cs="Times New Roman"/>
                <w:snapToGrid w:val="0"/>
                <w:color w:val="auto"/>
                <w:sz w:val="21"/>
                <w:szCs w:val="21"/>
              </w:rPr>
            </w:pPr>
            <w:r>
              <w:rPr>
                <w:rFonts w:hint="eastAsia"/>
                <w:color w:val="auto"/>
                <w:sz w:val="21"/>
                <w:szCs w:val="21"/>
                <w:lang w:eastAsia="zh-CN"/>
              </w:rPr>
              <w:t>颗粒物</w:t>
            </w:r>
          </w:p>
        </w:tc>
        <w:tc>
          <w:tcPr>
            <w:tcW w:w="725" w:type="pct"/>
            <w:vAlign w:val="center"/>
          </w:tcPr>
          <w:p w14:paraId="0E59CBF0">
            <w:pPr>
              <w:pStyle w:val="45"/>
              <w:pageBreakBefore w:val="0"/>
              <w:kinsoku/>
              <w:wordWrap/>
              <w:overflowPunct/>
              <w:topLinePunct w:val="0"/>
              <w:bidi w:val="0"/>
              <w:ind w:left="-24" w:leftChars="-10" w:right="-24" w:rightChars="-10"/>
              <w:jc w:val="center"/>
              <w:rPr>
                <w:rFonts w:hint="eastAsia" w:ascii="Times New Roman" w:hAnsi="Times New Roman" w:eastAsia="宋体" w:cs="Times New Roman"/>
                <w:snapToGrid w:val="0"/>
                <w:color w:val="auto"/>
                <w:sz w:val="21"/>
                <w:szCs w:val="21"/>
                <w:lang w:val="en-US" w:eastAsia="zh-CN"/>
              </w:rPr>
            </w:pPr>
            <w:r>
              <w:rPr>
                <w:rFonts w:hint="eastAsia"/>
                <w:color w:val="auto"/>
                <w:sz w:val="21"/>
                <w:szCs w:val="21"/>
                <w:lang w:val="en-US" w:eastAsia="zh-CN"/>
              </w:rPr>
              <w:t>0.515</w:t>
            </w:r>
            <w:r>
              <w:rPr>
                <w:rFonts w:hint="default"/>
                <w:color w:val="auto"/>
                <w:sz w:val="21"/>
                <w:szCs w:val="21"/>
              </w:rPr>
              <w:t>t/a</w:t>
            </w:r>
          </w:p>
        </w:tc>
        <w:tc>
          <w:tcPr>
            <w:tcW w:w="2266" w:type="pct"/>
            <w:vAlign w:val="center"/>
          </w:tcPr>
          <w:p w14:paraId="7F10BFA2">
            <w:pPr>
              <w:pStyle w:val="48"/>
              <w:pageBreakBefore w:val="0"/>
              <w:kinsoku/>
              <w:wordWrap/>
              <w:overflowPunct/>
              <w:topLinePunct w:val="0"/>
              <w:bidi w:val="0"/>
              <w:ind w:right="0" w:rightChars="0" w:firstLine="0" w:firstLineChars="0"/>
              <w:jc w:val="center"/>
              <w:rPr>
                <w:rFonts w:hint="eastAsia" w:ascii="Times New Roman" w:hAnsi="Times New Roman" w:eastAsia="宋体" w:cs="Times New Roman"/>
                <w:snapToGrid w:val="0"/>
                <w:color w:val="auto"/>
                <w:sz w:val="21"/>
                <w:szCs w:val="21"/>
                <w:lang w:eastAsia="zh-CN"/>
              </w:rPr>
            </w:pPr>
            <w:r>
              <w:rPr>
                <w:rFonts w:hint="eastAsia"/>
                <w:color w:val="auto"/>
                <w:sz w:val="21"/>
                <w:szCs w:val="21"/>
                <w:lang w:eastAsia="zh-CN"/>
              </w:rPr>
              <w:t>破碎</w:t>
            </w:r>
            <w:r>
              <w:rPr>
                <w:rFonts w:hint="default"/>
                <w:color w:val="auto"/>
                <w:sz w:val="21"/>
                <w:szCs w:val="21"/>
              </w:rPr>
              <w:t>封闭</w:t>
            </w:r>
            <w:r>
              <w:rPr>
                <w:rFonts w:hint="eastAsia"/>
                <w:color w:val="auto"/>
                <w:sz w:val="21"/>
                <w:szCs w:val="21"/>
                <w:lang w:eastAsia="zh-CN"/>
              </w:rPr>
              <w:t>厂房</w:t>
            </w:r>
            <w:r>
              <w:rPr>
                <w:rFonts w:hint="eastAsia"/>
                <w:color w:val="auto"/>
                <w:sz w:val="21"/>
                <w:szCs w:val="21"/>
                <w:lang w:val="en-US" w:eastAsia="zh-CN"/>
              </w:rPr>
              <w:t>+喷淋设施</w:t>
            </w:r>
            <w:r>
              <w:rPr>
                <w:rFonts w:hint="eastAsia"/>
                <w:color w:val="auto"/>
                <w:sz w:val="21"/>
                <w:szCs w:val="21"/>
                <w:lang w:eastAsia="zh-CN"/>
              </w:rPr>
              <w:t>；</w:t>
            </w:r>
            <w:r>
              <w:rPr>
                <w:rFonts w:hint="default"/>
                <w:color w:val="auto"/>
                <w:sz w:val="21"/>
                <w:szCs w:val="21"/>
              </w:rPr>
              <w:t>有防雨、防晒、防渗、防尘，地面硬化处理</w:t>
            </w:r>
          </w:p>
        </w:tc>
      </w:tr>
      <w:tr w14:paraId="54D869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3FDFBFAD">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7A01D5A3">
            <w:pPr>
              <w:pStyle w:val="45"/>
              <w:pageBreakBefore w:val="0"/>
              <w:kinsoku/>
              <w:wordWrap/>
              <w:overflowPunct/>
              <w:topLinePunct w:val="0"/>
              <w:bidi w:val="0"/>
              <w:jc w:val="center"/>
              <w:rPr>
                <w:rFonts w:hint="eastAsia"/>
                <w:color w:val="auto"/>
                <w:sz w:val="21"/>
                <w:szCs w:val="21"/>
                <w:lang w:eastAsia="zh-CN"/>
              </w:rPr>
            </w:pPr>
          </w:p>
        </w:tc>
        <w:tc>
          <w:tcPr>
            <w:tcW w:w="1081" w:type="pct"/>
            <w:vAlign w:val="center"/>
          </w:tcPr>
          <w:p w14:paraId="1AD304E2">
            <w:pPr>
              <w:pStyle w:val="45"/>
              <w:pageBreakBefore w:val="0"/>
              <w:kinsoku/>
              <w:wordWrap/>
              <w:overflowPunct/>
              <w:topLinePunct w:val="0"/>
              <w:bidi w:val="0"/>
              <w:ind w:left="-24" w:leftChars="-10" w:right="-24" w:rightChars="-10"/>
              <w:jc w:val="center"/>
              <w:rPr>
                <w:rFonts w:hint="default"/>
                <w:color w:val="auto"/>
                <w:sz w:val="21"/>
                <w:szCs w:val="21"/>
              </w:rPr>
            </w:pPr>
            <w:r>
              <w:rPr>
                <w:rFonts w:hint="default"/>
                <w:color w:val="auto"/>
                <w:sz w:val="21"/>
                <w:szCs w:val="21"/>
              </w:rPr>
              <w:t>非甲烷总烃</w:t>
            </w:r>
          </w:p>
        </w:tc>
        <w:tc>
          <w:tcPr>
            <w:tcW w:w="725" w:type="pct"/>
            <w:vAlign w:val="center"/>
          </w:tcPr>
          <w:p w14:paraId="35BF9A88">
            <w:pPr>
              <w:pStyle w:val="45"/>
              <w:pageBreakBefore w:val="0"/>
              <w:kinsoku/>
              <w:wordWrap/>
              <w:overflowPunct/>
              <w:topLinePunct w:val="0"/>
              <w:bidi w:val="0"/>
              <w:ind w:left="-24" w:leftChars="-10" w:right="-24" w:rightChars="-10"/>
              <w:jc w:val="center"/>
              <w:rPr>
                <w:rFonts w:hint="eastAsia"/>
                <w:color w:val="auto"/>
                <w:sz w:val="21"/>
                <w:szCs w:val="21"/>
                <w:lang w:val="en-US" w:eastAsia="zh-CN"/>
              </w:rPr>
            </w:pPr>
            <w:r>
              <w:rPr>
                <w:rFonts w:hint="eastAsia"/>
                <w:color w:val="auto"/>
                <w:sz w:val="21"/>
                <w:szCs w:val="21"/>
                <w:lang w:val="en-US" w:eastAsia="zh-CN"/>
              </w:rPr>
              <w:t>1.093</w:t>
            </w:r>
            <w:r>
              <w:rPr>
                <w:rFonts w:hint="default"/>
                <w:color w:val="auto"/>
                <w:sz w:val="21"/>
                <w:szCs w:val="21"/>
              </w:rPr>
              <w:t>t/a</w:t>
            </w:r>
          </w:p>
        </w:tc>
        <w:tc>
          <w:tcPr>
            <w:tcW w:w="2266" w:type="pct"/>
            <w:vMerge w:val="restart"/>
            <w:vAlign w:val="center"/>
          </w:tcPr>
          <w:p w14:paraId="34B518CD">
            <w:pPr>
              <w:pStyle w:val="48"/>
              <w:pageBreakBefore w:val="0"/>
              <w:kinsoku/>
              <w:wordWrap/>
              <w:overflowPunct/>
              <w:topLinePunct w:val="0"/>
              <w:bidi w:val="0"/>
              <w:ind w:right="0" w:rightChars="0" w:firstLine="0" w:firstLineChars="0"/>
              <w:jc w:val="center"/>
              <w:rPr>
                <w:rFonts w:hint="eastAsia"/>
                <w:color w:val="auto"/>
                <w:sz w:val="21"/>
                <w:szCs w:val="21"/>
                <w:lang w:eastAsia="zh-CN"/>
              </w:rPr>
            </w:pPr>
            <w:r>
              <w:rPr>
                <w:rFonts w:hint="default"/>
                <w:color w:val="auto"/>
                <w:sz w:val="21"/>
                <w:szCs w:val="21"/>
              </w:rPr>
              <w:t>生产车间设置排风扇，加强车间通风</w:t>
            </w:r>
          </w:p>
        </w:tc>
      </w:tr>
      <w:tr w14:paraId="70863F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46BB78CC">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1243325A">
            <w:pPr>
              <w:pStyle w:val="45"/>
              <w:pageBreakBefore w:val="0"/>
              <w:kinsoku/>
              <w:wordWrap/>
              <w:overflowPunct/>
              <w:topLinePunct w:val="0"/>
              <w:bidi w:val="0"/>
              <w:jc w:val="center"/>
              <w:rPr>
                <w:rFonts w:hint="eastAsia"/>
                <w:color w:val="auto"/>
                <w:sz w:val="21"/>
                <w:szCs w:val="21"/>
                <w:lang w:eastAsia="zh-CN"/>
              </w:rPr>
            </w:pPr>
          </w:p>
        </w:tc>
        <w:tc>
          <w:tcPr>
            <w:tcW w:w="1081" w:type="pct"/>
            <w:vAlign w:val="center"/>
          </w:tcPr>
          <w:p w14:paraId="5104FC69">
            <w:pPr>
              <w:pStyle w:val="45"/>
              <w:pageBreakBefore w:val="0"/>
              <w:kinsoku/>
              <w:wordWrap/>
              <w:overflowPunct/>
              <w:topLinePunct w:val="0"/>
              <w:bidi w:val="0"/>
              <w:ind w:left="-24" w:leftChars="-10" w:right="-24" w:rightChars="-10"/>
              <w:jc w:val="center"/>
              <w:rPr>
                <w:rFonts w:hint="default"/>
                <w:color w:val="auto"/>
                <w:sz w:val="21"/>
                <w:szCs w:val="21"/>
              </w:rPr>
            </w:pPr>
            <w:r>
              <w:rPr>
                <w:rFonts w:hint="eastAsia"/>
                <w:color w:val="auto"/>
                <w:sz w:val="21"/>
                <w:szCs w:val="21"/>
                <w:lang w:eastAsia="zh-CN"/>
              </w:rPr>
              <w:t>臭气浓度</w:t>
            </w:r>
          </w:p>
        </w:tc>
        <w:tc>
          <w:tcPr>
            <w:tcW w:w="725" w:type="pct"/>
            <w:vAlign w:val="center"/>
          </w:tcPr>
          <w:p w14:paraId="2852FFE7">
            <w:pPr>
              <w:pStyle w:val="45"/>
              <w:pageBreakBefore w:val="0"/>
              <w:kinsoku/>
              <w:wordWrap/>
              <w:overflowPunct/>
              <w:topLinePunct w:val="0"/>
              <w:bidi w:val="0"/>
              <w:ind w:left="-24" w:leftChars="-10" w:right="-24" w:rightChars="-10"/>
              <w:jc w:val="center"/>
              <w:rPr>
                <w:rFonts w:hint="default"/>
                <w:color w:val="auto"/>
                <w:sz w:val="21"/>
                <w:szCs w:val="21"/>
                <w:lang w:val="en-US" w:eastAsia="zh-CN"/>
              </w:rPr>
            </w:pPr>
            <w:r>
              <w:rPr>
                <w:rFonts w:hint="eastAsia"/>
                <w:color w:val="auto"/>
                <w:sz w:val="21"/>
                <w:szCs w:val="21"/>
                <w:lang w:val="en-US" w:eastAsia="zh-CN"/>
              </w:rPr>
              <w:t>/</w:t>
            </w:r>
          </w:p>
        </w:tc>
        <w:tc>
          <w:tcPr>
            <w:tcW w:w="2266" w:type="pct"/>
            <w:vMerge w:val="continue"/>
            <w:vAlign w:val="center"/>
          </w:tcPr>
          <w:p w14:paraId="3EFD4E73">
            <w:pPr>
              <w:pStyle w:val="48"/>
              <w:pageBreakBefore w:val="0"/>
              <w:kinsoku/>
              <w:wordWrap/>
              <w:overflowPunct/>
              <w:topLinePunct w:val="0"/>
              <w:bidi w:val="0"/>
              <w:ind w:right="0" w:rightChars="0" w:firstLine="0" w:firstLineChars="0"/>
              <w:jc w:val="center"/>
              <w:rPr>
                <w:rFonts w:hint="eastAsia"/>
                <w:color w:val="auto"/>
                <w:sz w:val="21"/>
                <w:szCs w:val="21"/>
                <w:lang w:eastAsia="zh-CN"/>
              </w:rPr>
            </w:pPr>
          </w:p>
        </w:tc>
      </w:tr>
      <w:tr w14:paraId="1609BB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restart"/>
            <w:vAlign w:val="center"/>
          </w:tcPr>
          <w:p w14:paraId="4827A08F">
            <w:pPr>
              <w:pStyle w:val="45"/>
              <w:pageBreakBefore w:val="0"/>
              <w:kinsoku/>
              <w:wordWrap/>
              <w:overflowPunct/>
              <w:topLinePunct w:val="0"/>
              <w:bidi w:val="0"/>
              <w:jc w:val="center"/>
              <w:rPr>
                <w:rFonts w:hint="default"/>
                <w:color w:val="auto"/>
                <w:sz w:val="21"/>
                <w:szCs w:val="21"/>
              </w:rPr>
            </w:pPr>
            <w:r>
              <w:rPr>
                <w:rFonts w:hint="default"/>
                <w:color w:val="auto"/>
                <w:sz w:val="21"/>
                <w:szCs w:val="21"/>
              </w:rPr>
              <w:t>废水</w:t>
            </w:r>
          </w:p>
        </w:tc>
        <w:tc>
          <w:tcPr>
            <w:tcW w:w="639" w:type="pct"/>
            <w:vAlign w:val="center"/>
          </w:tcPr>
          <w:p w14:paraId="240D9FB5">
            <w:pPr>
              <w:pStyle w:val="45"/>
              <w:pageBreakBefore w:val="0"/>
              <w:kinsoku/>
              <w:wordWrap/>
              <w:overflowPunct/>
              <w:topLinePunct w:val="0"/>
              <w:bidi w:val="0"/>
              <w:jc w:val="center"/>
              <w:rPr>
                <w:rFonts w:hint="default"/>
                <w:color w:val="auto"/>
                <w:sz w:val="21"/>
                <w:szCs w:val="21"/>
              </w:rPr>
            </w:pPr>
            <w:r>
              <w:rPr>
                <w:rFonts w:hint="default"/>
                <w:color w:val="auto"/>
                <w:sz w:val="21"/>
                <w:szCs w:val="21"/>
              </w:rPr>
              <w:t>生产废水</w:t>
            </w:r>
          </w:p>
        </w:tc>
        <w:tc>
          <w:tcPr>
            <w:tcW w:w="1081" w:type="pct"/>
            <w:vAlign w:val="center"/>
          </w:tcPr>
          <w:p w14:paraId="0F715870">
            <w:pPr>
              <w:pStyle w:val="45"/>
              <w:pageBreakBefore w:val="0"/>
              <w:kinsoku/>
              <w:wordWrap/>
              <w:overflowPunct/>
              <w:topLinePunct w:val="0"/>
              <w:bidi w:val="0"/>
              <w:jc w:val="center"/>
              <w:rPr>
                <w:rFonts w:hint="default"/>
                <w:color w:val="auto"/>
                <w:sz w:val="21"/>
                <w:szCs w:val="21"/>
              </w:rPr>
            </w:pPr>
            <w:r>
              <w:rPr>
                <w:rFonts w:hint="default"/>
                <w:color w:val="auto"/>
                <w:sz w:val="21"/>
                <w:szCs w:val="21"/>
              </w:rPr>
              <w:t>/</w:t>
            </w:r>
          </w:p>
        </w:tc>
        <w:tc>
          <w:tcPr>
            <w:tcW w:w="725" w:type="pct"/>
            <w:vAlign w:val="center"/>
          </w:tcPr>
          <w:p w14:paraId="0E249C20">
            <w:pPr>
              <w:pStyle w:val="45"/>
              <w:pageBreakBefore w:val="0"/>
              <w:kinsoku/>
              <w:wordWrap/>
              <w:overflowPunct/>
              <w:topLinePunct w:val="0"/>
              <w:bidi w:val="0"/>
              <w:jc w:val="center"/>
              <w:rPr>
                <w:rFonts w:hint="eastAsia"/>
                <w:color w:val="auto"/>
                <w:sz w:val="21"/>
                <w:szCs w:val="21"/>
                <w:lang w:val="en-US" w:eastAsia="zh-CN"/>
              </w:rPr>
            </w:pPr>
            <w:r>
              <w:rPr>
                <w:rFonts w:hint="eastAsia"/>
                <w:color w:val="auto"/>
                <w:sz w:val="21"/>
                <w:szCs w:val="21"/>
                <w:lang w:val="en-US" w:eastAsia="zh-CN"/>
              </w:rPr>
              <w:t>/</w:t>
            </w:r>
          </w:p>
        </w:tc>
        <w:tc>
          <w:tcPr>
            <w:tcW w:w="2266" w:type="pct"/>
            <w:vAlign w:val="center"/>
          </w:tcPr>
          <w:p w14:paraId="71E4AA32">
            <w:pPr>
              <w:pStyle w:val="48"/>
              <w:pageBreakBefore w:val="0"/>
              <w:kinsoku/>
              <w:wordWrap/>
              <w:overflowPunct/>
              <w:topLinePunct w:val="0"/>
              <w:bidi w:val="0"/>
              <w:jc w:val="center"/>
              <w:rPr>
                <w:rFonts w:hint="default"/>
                <w:color w:val="auto"/>
                <w:sz w:val="21"/>
                <w:szCs w:val="21"/>
              </w:rPr>
            </w:pPr>
            <w:r>
              <w:rPr>
                <w:rFonts w:hint="default"/>
                <w:color w:val="auto"/>
                <w:sz w:val="21"/>
                <w:szCs w:val="21"/>
              </w:rPr>
              <w:t>生产废水经</w:t>
            </w:r>
            <w:r>
              <w:rPr>
                <w:rFonts w:hint="eastAsia"/>
                <w:color w:val="auto"/>
                <w:sz w:val="21"/>
                <w:szCs w:val="21"/>
                <w:lang w:eastAsia="zh-CN"/>
              </w:rPr>
              <w:t>三级</w:t>
            </w:r>
            <w:r>
              <w:rPr>
                <w:rFonts w:hint="default"/>
                <w:color w:val="auto"/>
                <w:sz w:val="21"/>
                <w:szCs w:val="21"/>
              </w:rPr>
              <w:t>沉淀池沉淀处理后循环使用，不外排</w:t>
            </w:r>
          </w:p>
        </w:tc>
      </w:tr>
      <w:tr w14:paraId="33835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657AF111">
            <w:pPr>
              <w:pStyle w:val="45"/>
              <w:pageBreakBefore w:val="0"/>
              <w:kinsoku/>
              <w:wordWrap/>
              <w:overflowPunct/>
              <w:topLinePunct w:val="0"/>
              <w:bidi w:val="0"/>
              <w:jc w:val="center"/>
              <w:rPr>
                <w:rFonts w:hint="default"/>
                <w:color w:val="auto"/>
                <w:sz w:val="21"/>
                <w:szCs w:val="21"/>
              </w:rPr>
            </w:pPr>
          </w:p>
        </w:tc>
        <w:tc>
          <w:tcPr>
            <w:tcW w:w="639" w:type="pct"/>
            <w:vMerge w:val="restart"/>
            <w:vAlign w:val="center"/>
          </w:tcPr>
          <w:p w14:paraId="6AF90FC9">
            <w:pPr>
              <w:pStyle w:val="45"/>
              <w:pageBreakBefore w:val="0"/>
              <w:kinsoku/>
              <w:wordWrap/>
              <w:overflowPunct/>
              <w:topLinePunct w:val="0"/>
              <w:bidi w:val="0"/>
              <w:jc w:val="center"/>
              <w:rPr>
                <w:rFonts w:hint="default"/>
                <w:color w:val="auto"/>
                <w:sz w:val="21"/>
                <w:szCs w:val="21"/>
              </w:rPr>
            </w:pPr>
            <w:r>
              <w:rPr>
                <w:rFonts w:hint="default"/>
                <w:color w:val="auto"/>
                <w:sz w:val="21"/>
                <w:szCs w:val="21"/>
              </w:rPr>
              <w:t>生活污水</w:t>
            </w:r>
          </w:p>
        </w:tc>
        <w:tc>
          <w:tcPr>
            <w:tcW w:w="1081" w:type="pct"/>
            <w:vAlign w:val="center"/>
          </w:tcPr>
          <w:p w14:paraId="1EB670AD">
            <w:pPr>
              <w:pStyle w:val="45"/>
              <w:pageBreakBefore w:val="0"/>
              <w:kinsoku/>
              <w:wordWrap/>
              <w:overflowPunct/>
              <w:topLinePunct w:val="0"/>
              <w:bidi w:val="0"/>
              <w:jc w:val="center"/>
              <w:rPr>
                <w:rFonts w:hint="eastAsia" w:eastAsia="宋体"/>
                <w:color w:val="auto"/>
                <w:sz w:val="21"/>
                <w:szCs w:val="21"/>
                <w:highlight w:val="none"/>
                <w:lang w:eastAsia="zh-CN"/>
              </w:rPr>
            </w:pPr>
            <w:r>
              <w:rPr>
                <w:rFonts w:hint="eastAsia"/>
                <w:color w:val="auto"/>
                <w:sz w:val="21"/>
                <w:szCs w:val="21"/>
                <w:highlight w:val="none"/>
                <w:lang w:eastAsia="zh-CN"/>
              </w:rPr>
              <w:t>废水量</w:t>
            </w:r>
          </w:p>
        </w:tc>
        <w:tc>
          <w:tcPr>
            <w:tcW w:w="725" w:type="pct"/>
            <w:vAlign w:val="center"/>
          </w:tcPr>
          <w:p w14:paraId="327D3053">
            <w:pPr>
              <w:pStyle w:val="45"/>
              <w:pageBreakBefore w:val="0"/>
              <w:kinsoku/>
              <w:wordWrap/>
              <w:overflowPunct/>
              <w:topLinePunct w:val="0"/>
              <w:bidi w:val="0"/>
              <w:jc w:val="center"/>
              <w:rPr>
                <w:rFonts w:hint="eastAsia"/>
                <w:color w:val="auto"/>
                <w:sz w:val="21"/>
                <w:szCs w:val="21"/>
                <w:highlight w:val="none"/>
                <w:lang w:val="en-US" w:eastAsia="zh-CN"/>
              </w:rPr>
            </w:pPr>
            <w:r>
              <w:rPr>
                <w:rFonts w:hint="eastAsia" w:cs="Times New Roman"/>
                <w:color w:val="auto"/>
                <w:spacing w:val="0"/>
                <w:w w:val="100"/>
                <w:position w:val="0"/>
                <w:sz w:val="21"/>
                <w:szCs w:val="21"/>
                <w:highlight w:val="none"/>
                <w:lang w:val="en-US" w:eastAsia="zh-CN"/>
              </w:rPr>
              <w:t>92.2</w:t>
            </w:r>
            <w:r>
              <w:rPr>
                <w:rFonts w:hint="default" w:ascii="Times New Roman" w:hAnsi="Times New Roman" w:eastAsia="宋体" w:cs="Times New Roman"/>
                <w:color w:val="auto"/>
                <w:spacing w:val="0"/>
                <w:w w:val="100"/>
                <w:position w:val="0"/>
                <w:sz w:val="21"/>
                <w:szCs w:val="21"/>
                <w:highlight w:val="none"/>
              </w:rPr>
              <w:t>m</w:t>
            </w:r>
            <w:r>
              <w:rPr>
                <w:rFonts w:hint="eastAsia" w:ascii="Times New Roman" w:hAnsi="Times New Roman" w:cs="Times New Roman"/>
                <w:color w:val="auto"/>
                <w:spacing w:val="0"/>
                <w:w w:val="100"/>
                <w:position w:val="0"/>
                <w:sz w:val="21"/>
                <w:szCs w:val="21"/>
                <w:highlight w:val="none"/>
                <w:vertAlign w:val="superscript"/>
                <w:lang w:val="en-US" w:eastAsia="zh-CN"/>
              </w:rPr>
              <w:t>3</w:t>
            </w:r>
            <w:r>
              <w:rPr>
                <w:rFonts w:hint="default" w:ascii="Times New Roman" w:hAnsi="Times New Roman" w:eastAsia="宋体" w:cs="Times New Roman"/>
                <w:color w:val="auto"/>
                <w:spacing w:val="0"/>
                <w:w w:val="100"/>
                <w:position w:val="0"/>
                <w:sz w:val="21"/>
                <w:szCs w:val="21"/>
                <w:highlight w:val="none"/>
              </w:rPr>
              <w:t>/a</w:t>
            </w:r>
          </w:p>
        </w:tc>
        <w:tc>
          <w:tcPr>
            <w:tcW w:w="2266" w:type="pct"/>
            <w:vMerge w:val="restart"/>
            <w:vAlign w:val="center"/>
          </w:tcPr>
          <w:p w14:paraId="58DF22A8">
            <w:pPr>
              <w:pStyle w:val="48"/>
              <w:pageBreakBefore w:val="0"/>
              <w:kinsoku/>
              <w:wordWrap/>
              <w:overflowPunct/>
              <w:topLinePunct w:val="0"/>
              <w:bidi w:val="0"/>
              <w:jc w:val="center"/>
              <w:rPr>
                <w:rFonts w:hint="eastAsia" w:eastAsia="宋体"/>
                <w:color w:val="auto"/>
                <w:sz w:val="21"/>
                <w:szCs w:val="21"/>
                <w:highlight w:val="none"/>
                <w:lang w:eastAsia="zh-CN"/>
              </w:rPr>
            </w:pPr>
            <w:r>
              <w:rPr>
                <w:rFonts w:hint="default" w:ascii="Times New Roman" w:hAnsi="Times New Roman" w:eastAsia="宋体" w:cs="Times New Roman"/>
                <w:color w:val="auto"/>
                <w:spacing w:val="0"/>
                <w:w w:val="100"/>
                <w:sz w:val="21"/>
                <w:szCs w:val="21"/>
                <w:lang w:eastAsia="zh-CN"/>
              </w:rPr>
              <w:t>生活污水经地埋式一体化污水处理设备处理后排入下水管网，最终进入乌雪特乡污水处理站</w:t>
            </w:r>
          </w:p>
        </w:tc>
      </w:tr>
      <w:tr w14:paraId="75883C9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tcBorders>
              <w:top w:val="nil"/>
            </w:tcBorders>
            <w:vAlign w:val="center"/>
          </w:tcPr>
          <w:p w14:paraId="3E7CE42F">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63657326">
            <w:pPr>
              <w:pStyle w:val="45"/>
              <w:pageBreakBefore w:val="0"/>
              <w:kinsoku/>
              <w:wordWrap/>
              <w:overflowPunct/>
              <w:topLinePunct w:val="0"/>
              <w:bidi w:val="0"/>
              <w:jc w:val="center"/>
              <w:rPr>
                <w:rFonts w:hint="default"/>
                <w:color w:val="auto"/>
                <w:sz w:val="21"/>
                <w:szCs w:val="21"/>
              </w:rPr>
            </w:pPr>
          </w:p>
        </w:tc>
        <w:tc>
          <w:tcPr>
            <w:tcW w:w="1081" w:type="pct"/>
            <w:vAlign w:val="center"/>
          </w:tcPr>
          <w:p w14:paraId="58234051">
            <w:pPr>
              <w:pStyle w:val="45"/>
              <w:pageBreakBefore w:val="0"/>
              <w:kinsoku/>
              <w:wordWrap/>
              <w:overflowPunct/>
              <w:topLinePunct w:val="0"/>
              <w:bidi w:val="0"/>
              <w:jc w:val="center"/>
              <w:rPr>
                <w:rFonts w:hint="default"/>
                <w:color w:val="auto"/>
                <w:sz w:val="21"/>
                <w:szCs w:val="21"/>
                <w:highlight w:val="none"/>
              </w:rPr>
            </w:pPr>
            <w:r>
              <w:rPr>
                <w:rFonts w:hint="default"/>
                <w:color w:val="auto"/>
                <w:sz w:val="21"/>
                <w:szCs w:val="21"/>
                <w:highlight w:val="none"/>
              </w:rPr>
              <w:t>COD</w:t>
            </w:r>
          </w:p>
        </w:tc>
        <w:tc>
          <w:tcPr>
            <w:tcW w:w="725" w:type="pct"/>
            <w:vAlign w:val="center"/>
          </w:tcPr>
          <w:p w14:paraId="275A5DDF">
            <w:pPr>
              <w:pStyle w:val="63"/>
              <w:bidi w:val="0"/>
              <w:rPr>
                <w:rFonts w:hint="default"/>
                <w:color w:val="auto"/>
                <w:sz w:val="21"/>
                <w:szCs w:val="21"/>
                <w:highlight w:val="none"/>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28</w:t>
            </w:r>
            <w:r>
              <w:rPr>
                <w:rFonts w:hint="default"/>
                <w:color w:val="auto"/>
                <w:sz w:val="21"/>
                <w:szCs w:val="21"/>
                <w:highlight w:val="none"/>
              </w:rPr>
              <w:t>t/a</w:t>
            </w:r>
          </w:p>
        </w:tc>
        <w:tc>
          <w:tcPr>
            <w:tcW w:w="2266" w:type="pct"/>
            <w:vMerge w:val="continue"/>
            <w:vAlign w:val="center"/>
          </w:tcPr>
          <w:p w14:paraId="301270E2">
            <w:pPr>
              <w:pStyle w:val="48"/>
              <w:pageBreakBefore w:val="0"/>
              <w:kinsoku/>
              <w:wordWrap/>
              <w:overflowPunct/>
              <w:topLinePunct w:val="0"/>
              <w:bidi w:val="0"/>
              <w:jc w:val="center"/>
              <w:rPr>
                <w:rFonts w:hint="default"/>
                <w:color w:val="auto"/>
                <w:sz w:val="21"/>
                <w:szCs w:val="21"/>
                <w:highlight w:val="none"/>
              </w:rPr>
            </w:pPr>
          </w:p>
        </w:tc>
      </w:tr>
      <w:tr w14:paraId="5A6145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tcBorders>
              <w:top w:val="nil"/>
            </w:tcBorders>
            <w:vAlign w:val="center"/>
          </w:tcPr>
          <w:p w14:paraId="6452486F">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2E4ADE30">
            <w:pPr>
              <w:pStyle w:val="45"/>
              <w:pageBreakBefore w:val="0"/>
              <w:kinsoku/>
              <w:wordWrap/>
              <w:overflowPunct/>
              <w:topLinePunct w:val="0"/>
              <w:bidi w:val="0"/>
              <w:jc w:val="center"/>
              <w:rPr>
                <w:rFonts w:hint="default"/>
                <w:color w:val="auto"/>
                <w:sz w:val="21"/>
                <w:szCs w:val="21"/>
              </w:rPr>
            </w:pPr>
          </w:p>
        </w:tc>
        <w:tc>
          <w:tcPr>
            <w:tcW w:w="1081" w:type="pct"/>
            <w:vAlign w:val="center"/>
          </w:tcPr>
          <w:p w14:paraId="7B9F5E63">
            <w:pPr>
              <w:pStyle w:val="45"/>
              <w:pageBreakBefore w:val="0"/>
              <w:kinsoku/>
              <w:wordWrap/>
              <w:overflowPunct/>
              <w:topLinePunct w:val="0"/>
              <w:bidi w:val="0"/>
              <w:jc w:val="center"/>
              <w:rPr>
                <w:rFonts w:hint="default"/>
                <w:color w:val="auto"/>
                <w:sz w:val="21"/>
                <w:szCs w:val="21"/>
                <w:highlight w:val="none"/>
              </w:rPr>
            </w:pPr>
            <w:r>
              <w:rPr>
                <w:rFonts w:hint="default"/>
                <w:color w:val="auto"/>
                <w:sz w:val="21"/>
                <w:szCs w:val="21"/>
                <w:highlight w:val="none"/>
              </w:rPr>
              <w:t>BOD</w:t>
            </w:r>
            <w:r>
              <w:rPr>
                <w:rFonts w:hint="default"/>
                <w:color w:val="auto"/>
                <w:sz w:val="21"/>
                <w:szCs w:val="21"/>
                <w:highlight w:val="none"/>
                <w:vertAlign w:val="subscript"/>
              </w:rPr>
              <w:t>5</w:t>
            </w:r>
          </w:p>
        </w:tc>
        <w:tc>
          <w:tcPr>
            <w:tcW w:w="725" w:type="pct"/>
            <w:vAlign w:val="center"/>
          </w:tcPr>
          <w:p w14:paraId="38E0A2F4">
            <w:pPr>
              <w:pStyle w:val="63"/>
              <w:bidi w:val="0"/>
              <w:rPr>
                <w:rFonts w:hint="default"/>
                <w:color w:val="auto"/>
                <w:sz w:val="21"/>
                <w:szCs w:val="21"/>
                <w:highlight w:val="none"/>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18</w:t>
            </w:r>
            <w:r>
              <w:rPr>
                <w:rFonts w:hint="default"/>
                <w:color w:val="auto"/>
                <w:sz w:val="21"/>
                <w:szCs w:val="21"/>
                <w:highlight w:val="none"/>
              </w:rPr>
              <w:t>t/a</w:t>
            </w:r>
          </w:p>
        </w:tc>
        <w:tc>
          <w:tcPr>
            <w:tcW w:w="2266" w:type="pct"/>
            <w:vMerge w:val="continue"/>
            <w:vAlign w:val="center"/>
          </w:tcPr>
          <w:p w14:paraId="79CB3768">
            <w:pPr>
              <w:pStyle w:val="48"/>
              <w:pageBreakBefore w:val="0"/>
              <w:kinsoku/>
              <w:wordWrap/>
              <w:overflowPunct/>
              <w:topLinePunct w:val="0"/>
              <w:bidi w:val="0"/>
              <w:jc w:val="center"/>
              <w:rPr>
                <w:rFonts w:hint="default"/>
                <w:color w:val="auto"/>
                <w:sz w:val="21"/>
                <w:szCs w:val="21"/>
                <w:highlight w:val="none"/>
              </w:rPr>
            </w:pPr>
          </w:p>
        </w:tc>
      </w:tr>
      <w:tr w14:paraId="70B404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tcBorders>
              <w:top w:val="nil"/>
            </w:tcBorders>
            <w:vAlign w:val="center"/>
          </w:tcPr>
          <w:p w14:paraId="61761534">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41337E86">
            <w:pPr>
              <w:pStyle w:val="45"/>
              <w:pageBreakBefore w:val="0"/>
              <w:kinsoku/>
              <w:wordWrap/>
              <w:overflowPunct/>
              <w:topLinePunct w:val="0"/>
              <w:bidi w:val="0"/>
              <w:jc w:val="center"/>
              <w:rPr>
                <w:rFonts w:hint="default"/>
                <w:color w:val="auto"/>
                <w:sz w:val="21"/>
                <w:szCs w:val="21"/>
              </w:rPr>
            </w:pPr>
          </w:p>
        </w:tc>
        <w:tc>
          <w:tcPr>
            <w:tcW w:w="1081" w:type="pct"/>
            <w:vAlign w:val="center"/>
          </w:tcPr>
          <w:p w14:paraId="76680438">
            <w:pPr>
              <w:pStyle w:val="45"/>
              <w:pageBreakBefore w:val="0"/>
              <w:kinsoku/>
              <w:wordWrap/>
              <w:overflowPunct/>
              <w:topLinePunct w:val="0"/>
              <w:bidi w:val="0"/>
              <w:jc w:val="center"/>
              <w:rPr>
                <w:rFonts w:hint="default"/>
                <w:color w:val="auto"/>
                <w:sz w:val="21"/>
                <w:szCs w:val="21"/>
                <w:highlight w:val="none"/>
              </w:rPr>
            </w:pPr>
            <w:r>
              <w:rPr>
                <w:rFonts w:hint="default"/>
                <w:color w:val="auto"/>
                <w:sz w:val="21"/>
                <w:szCs w:val="21"/>
                <w:highlight w:val="none"/>
              </w:rPr>
              <w:t>NH</w:t>
            </w:r>
            <w:r>
              <w:rPr>
                <w:rFonts w:hint="default"/>
                <w:color w:val="auto"/>
                <w:sz w:val="21"/>
                <w:szCs w:val="21"/>
                <w:highlight w:val="none"/>
                <w:vertAlign w:val="subscript"/>
              </w:rPr>
              <w:t>3</w:t>
            </w:r>
            <w:r>
              <w:rPr>
                <w:rFonts w:hint="default"/>
                <w:color w:val="auto"/>
                <w:sz w:val="21"/>
                <w:szCs w:val="21"/>
                <w:highlight w:val="none"/>
              </w:rPr>
              <w:t>-N</w:t>
            </w:r>
          </w:p>
        </w:tc>
        <w:tc>
          <w:tcPr>
            <w:tcW w:w="725" w:type="pct"/>
            <w:vAlign w:val="center"/>
          </w:tcPr>
          <w:p w14:paraId="3743E2E4">
            <w:pPr>
              <w:pStyle w:val="63"/>
              <w:bidi w:val="0"/>
              <w:rPr>
                <w:rFonts w:hint="default"/>
                <w:color w:val="auto"/>
                <w:sz w:val="21"/>
                <w:szCs w:val="21"/>
                <w:highlight w:val="none"/>
              </w:rPr>
            </w:pPr>
            <w:r>
              <w:rPr>
                <w:rFonts w:hint="eastAsia" w:ascii="Times New Roman" w:hAnsi="Times New Roman" w:eastAsia="宋体" w:cs="Times New Roman"/>
                <w:color w:val="auto"/>
                <w:highlight w:val="none"/>
                <w:lang w:val="en-US" w:eastAsia="zh-CN"/>
              </w:rPr>
              <w:t>0.00</w:t>
            </w:r>
            <w:r>
              <w:rPr>
                <w:rFonts w:hint="eastAsia" w:cs="Times New Roman"/>
                <w:color w:val="auto"/>
                <w:highlight w:val="none"/>
                <w:lang w:val="en-US" w:eastAsia="zh-CN"/>
              </w:rPr>
              <w:t>2</w:t>
            </w:r>
            <w:r>
              <w:rPr>
                <w:rFonts w:hint="default"/>
                <w:color w:val="auto"/>
                <w:sz w:val="21"/>
                <w:szCs w:val="21"/>
                <w:highlight w:val="none"/>
              </w:rPr>
              <w:t>t/a</w:t>
            </w:r>
          </w:p>
        </w:tc>
        <w:tc>
          <w:tcPr>
            <w:tcW w:w="2266" w:type="pct"/>
            <w:vMerge w:val="continue"/>
            <w:vAlign w:val="center"/>
          </w:tcPr>
          <w:p w14:paraId="0227FF9C">
            <w:pPr>
              <w:pStyle w:val="48"/>
              <w:pageBreakBefore w:val="0"/>
              <w:kinsoku/>
              <w:wordWrap/>
              <w:overflowPunct/>
              <w:topLinePunct w:val="0"/>
              <w:bidi w:val="0"/>
              <w:jc w:val="center"/>
              <w:rPr>
                <w:rFonts w:hint="default"/>
                <w:color w:val="auto"/>
                <w:sz w:val="21"/>
                <w:szCs w:val="21"/>
              </w:rPr>
            </w:pPr>
          </w:p>
        </w:tc>
      </w:tr>
      <w:tr w14:paraId="3B1AB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tcBorders>
              <w:top w:val="nil"/>
            </w:tcBorders>
            <w:vAlign w:val="center"/>
          </w:tcPr>
          <w:p w14:paraId="575166D5">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252C645E">
            <w:pPr>
              <w:pStyle w:val="45"/>
              <w:pageBreakBefore w:val="0"/>
              <w:kinsoku/>
              <w:wordWrap/>
              <w:overflowPunct/>
              <w:topLinePunct w:val="0"/>
              <w:bidi w:val="0"/>
              <w:jc w:val="center"/>
              <w:rPr>
                <w:rFonts w:hint="default"/>
                <w:color w:val="auto"/>
                <w:sz w:val="21"/>
                <w:szCs w:val="21"/>
              </w:rPr>
            </w:pPr>
          </w:p>
        </w:tc>
        <w:tc>
          <w:tcPr>
            <w:tcW w:w="1081" w:type="pct"/>
            <w:vAlign w:val="center"/>
          </w:tcPr>
          <w:p w14:paraId="1616FEA8">
            <w:pPr>
              <w:pStyle w:val="45"/>
              <w:pageBreakBefore w:val="0"/>
              <w:kinsoku/>
              <w:wordWrap/>
              <w:overflowPunct/>
              <w:topLinePunct w:val="0"/>
              <w:bidi w:val="0"/>
              <w:jc w:val="center"/>
              <w:rPr>
                <w:rFonts w:hint="default"/>
                <w:color w:val="auto"/>
                <w:sz w:val="21"/>
                <w:szCs w:val="21"/>
                <w:highlight w:val="none"/>
              </w:rPr>
            </w:pPr>
            <w:r>
              <w:rPr>
                <w:rFonts w:hint="default"/>
                <w:color w:val="auto"/>
                <w:sz w:val="21"/>
                <w:szCs w:val="21"/>
                <w:highlight w:val="none"/>
              </w:rPr>
              <w:t>SS</w:t>
            </w:r>
          </w:p>
        </w:tc>
        <w:tc>
          <w:tcPr>
            <w:tcW w:w="725" w:type="pct"/>
            <w:vAlign w:val="center"/>
          </w:tcPr>
          <w:p w14:paraId="3FEA2ACE">
            <w:pPr>
              <w:pStyle w:val="63"/>
              <w:bidi w:val="0"/>
              <w:rPr>
                <w:rFonts w:hint="default"/>
                <w:color w:val="auto"/>
                <w:sz w:val="21"/>
                <w:szCs w:val="21"/>
                <w:highlight w:val="none"/>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06</w:t>
            </w:r>
            <w:r>
              <w:rPr>
                <w:rFonts w:hint="default"/>
                <w:color w:val="auto"/>
                <w:sz w:val="21"/>
                <w:szCs w:val="21"/>
                <w:highlight w:val="none"/>
              </w:rPr>
              <w:t>t/a</w:t>
            </w:r>
          </w:p>
        </w:tc>
        <w:tc>
          <w:tcPr>
            <w:tcW w:w="2266" w:type="pct"/>
            <w:vMerge w:val="continue"/>
            <w:vAlign w:val="center"/>
          </w:tcPr>
          <w:p w14:paraId="297C9BB8">
            <w:pPr>
              <w:pStyle w:val="48"/>
              <w:pageBreakBefore w:val="0"/>
              <w:kinsoku/>
              <w:wordWrap/>
              <w:overflowPunct/>
              <w:topLinePunct w:val="0"/>
              <w:bidi w:val="0"/>
              <w:jc w:val="center"/>
              <w:rPr>
                <w:rFonts w:hint="default"/>
                <w:color w:val="auto"/>
                <w:sz w:val="21"/>
                <w:szCs w:val="21"/>
              </w:rPr>
            </w:pPr>
          </w:p>
        </w:tc>
      </w:tr>
      <w:tr w14:paraId="0D2B43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tcBorders>
              <w:top w:val="nil"/>
            </w:tcBorders>
            <w:shd w:val="clear" w:color="auto" w:fill="auto"/>
            <w:vAlign w:val="center"/>
          </w:tcPr>
          <w:p w14:paraId="033144C1">
            <w:pPr>
              <w:pStyle w:val="45"/>
              <w:pageBreakBefore w:val="0"/>
              <w:kinsoku/>
              <w:wordWrap/>
              <w:overflowPunct/>
              <w:topLinePunct w:val="0"/>
              <w:bidi w:val="0"/>
              <w:ind w:left="-24" w:leftChars="-10" w:right="-24" w:rightChars="-10"/>
              <w:jc w:val="center"/>
              <w:rPr>
                <w:rFonts w:hint="default" w:ascii="Times New Roman" w:hAnsi="Times New Roman" w:eastAsia="宋体" w:cs="Times New Roman"/>
                <w:snapToGrid w:val="0"/>
                <w:color w:val="auto"/>
                <w:sz w:val="21"/>
                <w:szCs w:val="21"/>
                <w:lang w:val="zh-CN" w:eastAsia="zh-CN"/>
              </w:rPr>
            </w:pPr>
            <w:r>
              <w:rPr>
                <w:rFonts w:hint="default"/>
                <w:color w:val="auto"/>
                <w:sz w:val="21"/>
                <w:szCs w:val="21"/>
              </w:rPr>
              <w:t>噪声</w:t>
            </w:r>
          </w:p>
        </w:tc>
        <w:tc>
          <w:tcPr>
            <w:tcW w:w="2446" w:type="pct"/>
            <w:gridSpan w:val="3"/>
            <w:tcBorders>
              <w:top w:val="nil"/>
            </w:tcBorders>
            <w:shd w:val="clear" w:color="auto" w:fill="auto"/>
            <w:vAlign w:val="center"/>
          </w:tcPr>
          <w:p w14:paraId="4BD32470">
            <w:pPr>
              <w:pStyle w:val="45"/>
              <w:pageBreakBefore w:val="0"/>
              <w:kinsoku/>
              <w:wordWrap/>
              <w:overflowPunct/>
              <w:topLinePunct w:val="0"/>
              <w:bidi w:val="0"/>
              <w:ind w:left="-24" w:leftChars="-10" w:right="-24" w:rightChars="-10"/>
              <w:jc w:val="center"/>
              <w:rPr>
                <w:rFonts w:hint="eastAsia" w:ascii="Times New Roman" w:hAnsi="Times New Roman" w:eastAsia="宋体" w:cs="Times New Roman"/>
                <w:snapToGrid w:val="0"/>
                <w:color w:val="auto"/>
                <w:sz w:val="21"/>
                <w:szCs w:val="21"/>
                <w:lang w:val="en-US" w:eastAsia="zh-CN"/>
              </w:rPr>
            </w:pPr>
            <w:r>
              <w:rPr>
                <w:rFonts w:hint="default"/>
                <w:color w:val="auto"/>
                <w:sz w:val="21"/>
                <w:szCs w:val="21"/>
              </w:rPr>
              <w:t>设备运行噪声，声级在</w:t>
            </w:r>
            <w:r>
              <w:rPr>
                <w:rFonts w:hint="eastAsia"/>
                <w:color w:val="auto"/>
                <w:sz w:val="21"/>
                <w:szCs w:val="21"/>
                <w:lang w:eastAsia="zh-CN"/>
              </w:rPr>
              <w:t>70-85</w:t>
            </w:r>
            <w:r>
              <w:rPr>
                <w:rFonts w:hint="default"/>
                <w:color w:val="auto"/>
                <w:sz w:val="21"/>
                <w:szCs w:val="21"/>
              </w:rPr>
              <w:t>dB（A）之间</w:t>
            </w:r>
          </w:p>
        </w:tc>
        <w:tc>
          <w:tcPr>
            <w:tcW w:w="2266" w:type="pct"/>
            <w:tcBorders>
              <w:top w:val="nil"/>
            </w:tcBorders>
            <w:shd w:val="clear" w:color="auto" w:fill="auto"/>
            <w:vAlign w:val="center"/>
          </w:tcPr>
          <w:p w14:paraId="3DA9A2A4">
            <w:pPr>
              <w:pStyle w:val="48"/>
              <w:pageBreakBefore w:val="0"/>
              <w:kinsoku/>
              <w:wordWrap/>
              <w:overflowPunct/>
              <w:topLinePunct w:val="0"/>
              <w:bidi w:val="0"/>
              <w:ind w:right="0" w:rightChars="0" w:firstLine="0" w:firstLineChars="0"/>
              <w:jc w:val="center"/>
              <w:rPr>
                <w:rFonts w:hint="default" w:ascii="Times New Roman" w:hAnsi="Times New Roman" w:eastAsia="宋体" w:cs="Times New Roman"/>
                <w:snapToGrid w:val="0"/>
                <w:color w:val="auto"/>
                <w:sz w:val="21"/>
                <w:szCs w:val="21"/>
              </w:rPr>
            </w:pPr>
            <w:r>
              <w:rPr>
                <w:rFonts w:hint="eastAsia"/>
                <w:color w:val="auto"/>
                <w:sz w:val="21"/>
                <w:szCs w:val="21"/>
              </w:rPr>
              <w:t>采用低噪设备，设备减振、厂房隔声</w:t>
            </w:r>
            <w:r>
              <w:rPr>
                <w:rFonts w:hint="eastAsia"/>
                <w:color w:val="auto"/>
                <w:sz w:val="21"/>
                <w:szCs w:val="21"/>
                <w:lang w:eastAsia="zh-CN"/>
              </w:rPr>
              <w:t>等措施</w:t>
            </w:r>
          </w:p>
        </w:tc>
      </w:tr>
      <w:tr w14:paraId="3291222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restart"/>
            <w:vAlign w:val="center"/>
          </w:tcPr>
          <w:p w14:paraId="2379E616">
            <w:pPr>
              <w:pStyle w:val="45"/>
              <w:pageBreakBefore w:val="0"/>
              <w:kinsoku/>
              <w:wordWrap/>
              <w:overflowPunct/>
              <w:topLinePunct w:val="0"/>
              <w:bidi w:val="0"/>
              <w:jc w:val="center"/>
              <w:rPr>
                <w:rFonts w:hint="default"/>
                <w:color w:val="auto"/>
                <w:sz w:val="21"/>
                <w:szCs w:val="21"/>
              </w:rPr>
            </w:pPr>
            <w:r>
              <w:rPr>
                <w:rFonts w:hint="default"/>
                <w:color w:val="auto"/>
                <w:sz w:val="21"/>
                <w:szCs w:val="21"/>
              </w:rPr>
              <w:t>固体废物</w:t>
            </w:r>
          </w:p>
        </w:tc>
        <w:tc>
          <w:tcPr>
            <w:tcW w:w="639" w:type="pct"/>
            <w:vMerge w:val="restart"/>
            <w:vAlign w:val="center"/>
          </w:tcPr>
          <w:p w14:paraId="06C5D1F3">
            <w:pPr>
              <w:pStyle w:val="45"/>
              <w:pageBreakBefore w:val="0"/>
              <w:kinsoku/>
              <w:wordWrap/>
              <w:overflowPunct/>
              <w:topLinePunct w:val="0"/>
              <w:bidi w:val="0"/>
              <w:jc w:val="center"/>
              <w:rPr>
                <w:rFonts w:hint="default"/>
                <w:color w:val="auto"/>
                <w:sz w:val="21"/>
                <w:szCs w:val="21"/>
                <w:lang w:eastAsia="zh-CN"/>
              </w:rPr>
            </w:pPr>
            <w:r>
              <w:rPr>
                <w:rFonts w:hint="default"/>
                <w:color w:val="auto"/>
                <w:sz w:val="21"/>
                <w:szCs w:val="21"/>
                <w:lang w:eastAsia="zh-CN"/>
              </w:rPr>
              <w:t>一般固废</w:t>
            </w:r>
          </w:p>
        </w:tc>
        <w:tc>
          <w:tcPr>
            <w:tcW w:w="1081" w:type="pct"/>
            <w:vAlign w:val="center"/>
          </w:tcPr>
          <w:p w14:paraId="7BD221AE">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lang w:val="zh-CN" w:eastAsia="zh-CN"/>
              </w:rPr>
            </w:pPr>
            <w:r>
              <w:rPr>
                <w:rFonts w:hint="default"/>
                <w:color w:val="auto"/>
                <w:sz w:val="21"/>
                <w:szCs w:val="21"/>
              </w:rPr>
              <w:t>分拣废物</w:t>
            </w:r>
          </w:p>
        </w:tc>
        <w:tc>
          <w:tcPr>
            <w:tcW w:w="725" w:type="pct"/>
            <w:vAlign w:val="center"/>
          </w:tcPr>
          <w:p w14:paraId="143DFC9D">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rPr>
            </w:pPr>
            <w:r>
              <w:rPr>
                <w:rFonts w:hint="eastAsia"/>
                <w:color w:val="auto"/>
                <w:sz w:val="21"/>
                <w:szCs w:val="21"/>
                <w:lang w:val="en-US" w:eastAsia="zh-CN"/>
              </w:rPr>
              <w:t>165</w:t>
            </w:r>
            <w:r>
              <w:rPr>
                <w:rFonts w:hint="default"/>
                <w:color w:val="auto"/>
                <w:sz w:val="21"/>
                <w:szCs w:val="21"/>
              </w:rPr>
              <w:t>t/a</w:t>
            </w:r>
          </w:p>
        </w:tc>
        <w:tc>
          <w:tcPr>
            <w:tcW w:w="2266" w:type="pct"/>
            <w:vAlign w:val="center"/>
          </w:tcPr>
          <w:p w14:paraId="683B7BFB">
            <w:pPr>
              <w:keepNext w:val="0"/>
              <w:keepLines w:val="0"/>
              <w:pageBreakBefore w:val="0"/>
              <w:widowControl w:val="0"/>
              <w:kinsoku/>
              <w:wordWrap/>
              <w:overflowPunct/>
              <w:topLinePunct w:val="0"/>
              <w:autoSpaceDE w:val="0"/>
              <w:autoSpaceDN w:val="0"/>
              <w:bidi w:val="0"/>
              <w:adjustRightInd/>
              <w:snapToGrid/>
              <w:spacing w:line="240" w:lineRule="auto"/>
              <w:ind w:left="0" w:leftChars="0" w:right="0" w:rightChars="0" w:firstLine="0" w:firstLineChars="0"/>
              <w:jc w:val="center"/>
              <w:textAlignment w:val="auto"/>
              <w:rPr>
                <w:rFonts w:hint="eastAsia" w:eastAsia="宋体"/>
                <w:color w:val="auto"/>
                <w:sz w:val="21"/>
                <w:szCs w:val="21"/>
                <w:lang w:eastAsia="zh-CN"/>
              </w:rPr>
            </w:pPr>
            <w:r>
              <w:rPr>
                <w:rFonts w:hint="eastAsia" w:ascii="Times New Roman" w:hAnsi="Times New Roman" w:eastAsia="宋体" w:cs="Times New Roman"/>
                <w:snapToGrid w:val="0"/>
                <w:color w:val="auto"/>
                <w:sz w:val="21"/>
                <w:szCs w:val="21"/>
                <w:lang w:val="en-US" w:eastAsia="zh-CN"/>
              </w:rPr>
              <w:t>集中收集后做为建筑渣土运至固废填埋场处置</w:t>
            </w:r>
          </w:p>
        </w:tc>
      </w:tr>
      <w:tr w14:paraId="5FA41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1232D5E0">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4636DF1E">
            <w:pPr>
              <w:pStyle w:val="45"/>
              <w:pageBreakBefore w:val="0"/>
              <w:kinsoku/>
              <w:wordWrap/>
              <w:overflowPunct/>
              <w:topLinePunct w:val="0"/>
              <w:bidi w:val="0"/>
              <w:jc w:val="center"/>
              <w:rPr>
                <w:rFonts w:hint="default"/>
                <w:color w:val="auto"/>
                <w:sz w:val="21"/>
                <w:szCs w:val="21"/>
              </w:rPr>
            </w:pPr>
          </w:p>
        </w:tc>
        <w:tc>
          <w:tcPr>
            <w:tcW w:w="1081" w:type="pct"/>
            <w:vAlign w:val="center"/>
          </w:tcPr>
          <w:p w14:paraId="662CECD6">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lang w:val="zh-CN" w:eastAsia="zh-CN"/>
              </w:rPr>
            </w:pPr>
            <w:r>
              <w:rPr>
                <w:rFonts w:hint="default"/>
                <w:color w:val="auto"/>
                <w:sz w:val="21"/>
                <w:szCs w:val="21"/>
              </w:rPr>
              <w:t>污泥</w:t>
            </w:r>
          </w:p>
        </w:tc>
        <w:tc>
          <w:tcPr>
            <w:tcW w:w="725" w:type="pct"/>
            <w:vAlign w:val="center"/>
          </w:tcPr>
          <w:p w14:paraId="373B8D7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rPr>
            </w:pPr>
            <w:r>
              <w:rPr>
                <w:rFonts w:hint="eastAsia"/>
                <w:color w:val="auto"/>
                <w:sz w:val="21"/>
                <w:szCs w:val="21"/>
                <w:highlight w:val="none"/>
                <w:lang w:val="en-US" w:eastAsia="zh-CN"/>
              </w:rPr>
              <w:t>27.5</w:t>
            </w:r>
            <w:r>
              <w:rPr>
                <w:rFonts w:hint="default"/>
                <w:color w:val="auto"/>
                <w:sz w:val="21"/>
                <w:szCs w:val="21"/>
              </w:rPr>
              <w:t>t/a</w:t>
            </w:r>
          </w:p>
        </w:tc>
        <w:tc>
          <w:tcPr>
            <w:tcW w:w="2266" w:type="pct"/>
            <w:vAlign w:val="center"/>
          </w:tcPr>
          <w:p w14:paraId="40272A9E">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color w:val="auto"/>
                <w:sz w:val="21"/>
                <w:szCs w:val="21"/>
                <w:lang w:eastAsia="zh-CN"/>
              </w:rPr>
            </w:pPr>
            <w:r>
              <w:rPr>
                <w:rFonts w:hint="eastAsia"/>
                <w:color w:val="auto"/>
                <w:sz w:val="21"/>
                <w:szCs w:val="21"/>
                <w:lang w:val="en-US" w:eastAsia="zh-CN"/>
              </w:rPr>
              <w:t>自然干化后运至一般固废填埋场处置</w:t>
            </w:r>
          </w:p>
        </w:tc>
      </w:tr>
      <w:tr w14:paraId="0FD06B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15BAAF4C">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3695153F">
            <w:pPr>
              <w:pStyle w:val="45"/>
              <w:pageBreakBefore w:val="0"/>
              <w:kinsoku/>
              <w:wordWrap/>
              <w:overflowPunct/>
              <w:topLinePunct w:val="0"/>
              <w:bidi w:val="0"/>
              <w:jc w:val="center"/>
              <w:rPr>
                <w:rFonts w:hint="default"/>
                <w:color w:val="auto"/>
                <w:sz w:val="21"/>
                <w:szCs w:val="21"/>
              </w:rPr>
            </w:pPr>
          </w:p>
        </w:tc>
        <w:tc>
          <w:tcPr>
            <w:tcW w:w="1081" w:type="pct"/>
            <w:vAlign w:val="center"/>
          </w:tcPr>
          <w:p w14:paraId="5D4D4BB7">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lang w:val="zh-CN" w:eastAsia="zh-CN"/>
              </w:rPr>
            </w:pPr>
            <w:r>
              <w:rPr>
                <w:rFonts w:hint="default"/>
                <w:color w:val="auto"/>
                <w:sz w:val="21"/>
                <w:szCs w:val="21"/>
              </w:rPr>
              <w:t>残次品及边角废料</w:t>
            </w:r>
          </w:p>
        </w:tc>
        <w:tc>
          <w:tcPr>
            <w:tcW w:w="725" w:type="pct"/>
            <w:vAlign w:val="center"/>
          </w:tcPr>
          <w:p w14:paraId="29D4E750">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rPr>
            </w:pPr>
            <w:r>
              <w:rPr>
                <w:rFonts w:hint="eastAsia"/>
                <w:color w:val="auto"/>
                <w:sz w:val="21"/>
                <w:szCs w:val="21"/>
                <w:lang w:val="en-US" w:eastAsia="zh-CN"/>
              </w:rPr>
              <w:t>83.45</w:t>
            </w:r>
            <w:r>
              <w:rPr>
                <w:rFonts w:hint="default"/>
                <w:color w:val="auto"/>
                <w:sz w:val="21"/>
                <w:szCs w:val="21"/>
              </w:rPr>
              <w:t>t/a</w:t>
            </w:r>
          </w:p>
        </w:tc>
        <w:tc>
          <w:tcPr>
            <w:tcW w:w="2266" w:type="pct"/>
            <w:vAlign w:val="center"/>
          </w:tcPr>
          <w:p w14:paraId="28AB07E6">
            <w:pPr>
              <w:pStyle w:val="45"/>
              <w:pageBreakBefore w:val="0"/>
              <w:kinsoku/>
              <w:wordWrap/>
              <w:overflowPunct/>
              <w:topLinePunct w:val="0"/>
              <w:bidi w:val="0"/>
              <w:jc w:val="center"/>
              <w:rPr>
                <w:rFonts w:hint="default"/>
                <w:color w:val="auto"/>
                <w:sz w:val="21"/>
                <w:szCs w:val="21"/>
              </w:rPr>
            </w:pPr>
            <w:r>
              <w:rPr>
                <w:rFonts w:hint="default"/>
                <w:color w:val="auto"/>
                <w:sz w:val="21"/>
                <w:szCs w:val="21"/>
              </w:rPr>
              <w:t>统一收集后回用生产</w:t>
            </w:r>
          </w:p>
        </w:tc>
      </w:tr>
      <w:tr w14:paraId="3D31B3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5BEAE977">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6A3A6695">
            <w:pPr>
              <w:pStyle w:val="45"/>
              <w:pageBreakBefore w:val="0"/>
              <w:kinsoku/>
              <w:wordWrap/>
              <w:overflowPunct/>
              <w:topLinePunct w:val="0"/>
              <w:bidi w:val="0"/>
              <w:jc w:val="center"/>
              <w:rPr>
                <w:rFonts w:hint="default"/>
                <w:color w:val="auto"/>
                <w:sz w:val="21"/>
                <w:szCs w:val="21"/>
              </w:rPr>
            </w:pPr>
          </w:p>
        </w:tc>
        <w:tc>
          <w:tcPr>
            <w:tcW w:w="1081" w:type="pct"/>
            <w:vAlign w:val="center"/>
          </w:tcPr>
          <w:p w14:paraId="1574F51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eastAsia" w:eastAsia="宋体"/>
                <w:color w:val="auto"/>
                <w:sz w:val="21"/>
                <w:szCs w:val="21"/>
                <w:lang w:val="zh-CN" w:eastAsia="zh-CN"/>
              </w:rPr>
            </w:pPr>
            <w:r>
              <w:rPr>
                <w:rFonts w:hint="default"/>
                <w:color w:val="auto"/>
                <w:sz w:val="21"/>
                <w:szCs w:val="21"/>
              </w:rPr>
              <w:t>废</w:t>
            </w:r>
            <w:r>
              <w:rPr>
                <w:rFonts w:hint="eastAsia"/>
                <w:color w:val="auto"/>
                <w:sz w:val="21"/>
                <w:szCs w:val="21"/>
                <w:lang w:eastAsia="zh-CN"/>
              </w:rPr>
              <w:t>包装袋</w:t>
            </w:r>
          </w:p>
        </w:tc>
        <w:tc>
          <w:tcPr>
            <w:tcW w:w="725" w:type="pct"/>
            <w:vAlign w:val="center"/>
          </w:tcPr>
          <w:p w14:paraId="50D841D6">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rPr>
            </w:pPr>
            <w:r>
              <w:rPr>
                <w:rFonts w:hint="eastAsia"/>
                <w:color w:val="auto"/>
                <w:sz w:val="21"/>
                <w:szCs w:val="21"/>
                <w:lang w:val="en-US" w:eastAsia="zh-CN"/>
              </w:rPr>
              <w:t>1</w:t>
            </w:r>
            <w:r>
              <w:rPr>
                <w:rFonts w:hint="default"/>
                <w:color w:val="auto"/>
                <w:sz w:val="21"/>
                <w:szCs w:val="21"/>
              </w:rPr>
              <w:t>t/a</w:t>
            </w:r>
          </w:p>
        </w:tc>
        <w:tc>
          <w:tcPr>
            <w:tcW w:w="2266" w:type="pct"/>
            <w:vAlign w:val="center"/>
          </w:tcPr>
          <w:p w14:paraId="6CBF53F9">
            <w:pPr>
              <w:pStyle w:val="45"/>
              <w:pageBreakBefore w:val="0"/>
              <w:kinsoku/>
              <w:wordWrap/>
              <w:overflowPunct/>
              <w:topLinePunct w:val="0"/>
              <w:bidi w:val="0"/>
              <w:ind w:left="-24" w:leftChars="-10" w:right="-24" w:rightChars="-10"/>
              <w:jc w:val="center"/>
              <w:rPr>
                <w:rFonts w:hint="default" w:ascii="Times New Roman" w:hAnsi="Times New Roman" w:eastAsia="宋体" w:cs="Times New Roman"/>
                <w:snapToGrid w:val="0"/>
                <w:color w:val="auto"/>
                <w:sz w:val="21"/>
                <w:szCs w:val="21"/>
                <w:lang w:eastAsia="zh-CN"/>
              </w:rPr>
            </w:pPr>
            <w:r>
              <w:rPr>
                <w:rFonts w:hint="eastAsia"/>
                <w:color w:val="auto"/>
                <w:sz w:val="21"/>
                <w:szCs w:val="21"/>
                <w:lang w:eastAsia="zh-CN"/>
              </w:rPr>
              <w:t>集中收集后由废品收购站回收</w:t>
            </w:r>
          </w:p>
        </w:tc>
      </w:tr>
      <w:tr w14:paraId="08C2E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16322C9C">
            <w:pPr>
              <w:pStyle w:val="45"/>
              <w:pageBreakBefore w:val="0"/>
              <w:kinsoku/>
              <w:wordWrap/>
              <w:overflowPunct/>
              <w:topLinePunct w:val="0"/>
              <w:bidi w:val="0"/>
              <w:jc w:val="center"/>
              <w:rPr>
                <w:rFonts w:hint="default"/>
                <w:color w:val="auto"/>
                <w:sz w:val="21"/>
                <w:szCs w:val="21"/>
              </w:rPr>
            </w:pPr>
          </w:p>
        </w:tc>
        <w:tc>
          <w:tcPr>
            <w:tcW w:w="639" w:type="pct"/>
            <w:vMerge w:val="restart"/>
            <w:vAlign w:val="center"/>
          </w:tcPr>
          <w:p w14:paraId="2664E9BA">
            <w:pPr>
              <w:pStyle w:val="45"/>
              <w:pageBreakBefore w:val="0"/>
              <w:kinsoku/>
              <w:wordWrap/>
              <w:overflowPunct/>
              <w:topLinePunct w:val="0"/>
              <w:bidi w:val="0"/>
              <w:jc w:val="center"/>
              <w:rPr>
                <w:rFonts w:hint="default"/>
                <w:color w:val="auto"/>
                <w:sz w:val="21"/>
                <w:szCs w:val="21"/>
                <w:lang w:eastAsia="zh-CN"/>
              </w:rPr>
            </w:pPr>
            <w:r>
              <w:rPr>
                <w:rFonts w:hint="default"/>
                <w:color w:val="auto"/>
                <w:sz w:val="21"/>
                <w:szCs w:val="21"/>
                <w:lang w:eastAsia="zh-CN"/>
              </w:rPr>
              <w:t>危险废物</w:t>
            </w:r>
          </w:p>
        </w:tc>
        <w:tc>
          <w:tcPr>
            <w:tcW w:w="1081" w:type="pct"/>
            <w:vAlign w:val="center"/>
          </w:tcPr>
          <w:p w14:paraId="55ECC2DC">
            <w:pPr>
              <w:pStyle w:val="70"/>
              <w:keepNext w:val="0"/>
              <w:keepLines w:val="0"/>
              <w:pageBreakBefore w:val="0"/>
              <w:kinsoku/>
              <w:wordWrap/>
              <w:overflowPunct/>
              <w:topLinePunct w:val="0"/>
              <w:bidi w:val="0"/>
              <w:adjustRightInd/>
              <w:snapToGrid/>
              <w:spacing w:before="0" w:line="240" w:lineRule="auto"/>
              <w:ind w:left="0" w:leftChars="0" w:right="0" w:rightChars="0" w:firstLine="0" w:firstLineChars="0"/>
              <w:jc w:val="center"/>
              <w:textAlignment w:val="auto"/>
              <w:rPr>
                <w:rFonts w:hint="eastAsia" w:eastAsia="宋体"/>
                <w:color w:val="auto"/>
                <w:sz w:val="21"/>
                <w:szCs w:val="21"/>
                <w:lang w:val="zh-CN" w:eastAsia="zh-CN"/>
              </w:rPr>
            </w:pPr>
            <w:r>
              <w:rPr>
                <w:color w:val="auto"/>
                <w:spacing w:val="7"/>
                <w:sz w:val="21"/>
                <w:szCs w:val="21"/>
              </w:rPr>
              <w:t>废</w:t>
            </w:r>
            <w:r>
              <w:rPr>
                <w:rFonts w:hint="eastAsia"/>
                <w:color w:val="auto"/>
                <w:spacing w:val="7"/>
                <w:sz w:val="21"/>
                <w:szCs w:val="21"/>
                <w:lang w:eastAsia="zh-CN"/>
              </w:rPr>
              <w:t>催化剂</w:t>
            </w:r>
          </w:p>
        </w:tc>
        <w:tc>
          <w:tcPr>
            <w:tcW w:w="725" w:type="pct"/>
            <w:vAlign w:val="center"/>
          </w:tcPr>
          <w:p w14:paraId="58AD7894">
            <w:pPr>
              <w:keepNext w:val="0"/>
              <w:keepLines w:val="0"/>
              <w:pageBreakBefore w:val="0"/>
              <w:kinsoku/>
              <w:wordWrap/>
              <w:overflowPunct/>
              <w:topLinePunct w:val="0"/>
              <w:bidi w:val="0"/>
              <w:adjustRightInd/>
              <w:snapToGrid/>
              <w:spacing w:before="0" w:line="240" w:lineRule="auto"/>
              <w:ind w:left="0" w:leftChars="0" w:right="0" w:rightChars="0" w:firstLine="0" w:firstLineChars="0"/>
              <w:jc w:val="center"/>
              <w:textAlignment w:val="auto"/>
              <w:rPr>
                <w:rFonts w:hint="default" w:eastAsia="宋体"/>
                <w:color w:val="auto"/>
                <w:sz w:val="21"/>
                <w:szCs w:val="21"/>
                <w:lang w:val="en-US" w:eastAsia="zh-CN"/>
              </w:rPr>
            </w:pPr>
            <w:r>
              <w:rPr>
                <w:rFonts w:hint="eastAsia" w:ascii="Times New Roman" w:hAnsi="Times New Roman" w:eastAsia="宋体" w:cs="Times New Roman"/>
                <w:b w:val="0"/>
                <w:bCs/>
                <w:color w:val="auto"/>
                <w:sz w:val="21"/>
                <w:szCs w:val="21"/>
                <w:vertAlign w:val="baseline"/>
                <w:lang w:val="en-US" w:eastAsia="zh-CN"/>
              </w:rPr>
              <w:t>0.0</w:t>
            </w:r>
            <w:r>
              <w:rPr>
                <w:rFonts w:hint="eastAsia" w:cs="Times New Roman"/>
                <w:b w:val="0"/>
                <w:bCs/>
                <w:color w:val="auto"/>
                <w:sz w:val="21"/>
                <w:szCs w:val="21"/>
                <w:vertAlign w:val="baseline"/>
                <w:lang w:val="en-US" w:eastAsia="zh-CN"/>
              </w:rPr>
              <w:t>3</w:t>
            </w:r>
            <w:r>
              <w:rPr>
                <w:rFonts w:hint="eastAsia" w:ascii="Times New Roman" w:hAnsi="Times New Roman" w:eastAsia="宋体" w:cs="Times New Roman"/>
                <w:b w:val="0"/>
                <w:bCs/>
                <w:color w:val="auto"/>
                <w:sz w:val="21"/>
                <w:szCs w:val="21"/>
                <w:vertAlign w:val="baseline"/>
                <w:lang w:val="en-US" w:eastAsia="zh-CN"/>
              </w:rPr>
              <w:t>t/次</w:t>
            </w:r>
          </w:p>
        </w:tc>
        <w:tc>
          <w:tcPr>
            <w:tcW w:w="2266" w:type="pct"/>
            <w:vMerge w:val="restart"/>
            <w:vAlign w:val="center"/>
          </w:tcPr>
          <w:p w14:paraId="707C071C">
            <w:pPr>
              <w:pStyle w:val="48"/>
              <w:pageBreakBefore w:val="0"/>
              <w:kinsoku/>
              <w:wordWrap/>
              <w:overflowPunct/>
              <w:topLinePunct w:val="0"/>
              <w:bidi w:val="0"/>
              <w:jc w:val="center"/>
              <w:rPr>
                <w:rFonts w:hint="default"/>
                <w:color w:val="auto"/>
                <w:sz w:val="21"/>
                <w:szCs w:val="21"/>
              </w:rPr>
            </w:pPr>
            <w:r>
              <w:rPr>
                <w:rFonts w:hint="default"/>
                <w:color w:val="auto"/>
                <w:sz w:val="21"/>
                <w:szCs w:val="21"/>
              </w:rPr>
              <w:t>收集后暂存于危废暂存间，定期交由有资质的单位处置</w:t>
            </w:r>
          </w:p>
        </w:tc>
      </w:tr>
      <w:tr w14:paraId="139061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31CE55B2">
            <w:pPr>
              <w:pStyle w:val="45"/>
              <w:pageBreakBefore w:val="0"/>
              <w:kinsoku/>
              <w:wordWrap/>
              <w:overflowPunct/>
              <w:topLinePunct w:val="0"/>
              <w:bidi w:val="0"/>
              <w:jc w:val="center"/>
              <w:rPr>
                <w:rFonts w:hint="default"/>
                <w:color w:val="auto"/>
                <w:sz w:val="21"/>
                <w:szCs w:val="21"/>
              </w:rPr>
            </w:pPr>
          </w:p>
        </w:tc>
        <w:tc>
          <w:tcPr>
            <w:tcW w:w="639" w:type="pct"/>
            <w:vMerge w:val="continue"/>
            <w:vAlign w:val="center"/>
          </w:tcPr>
          <w:p w14:paraId="4AFBD43A">
            <w:pPr>
              <w:pStyle w:val="45"/>
              <w:pageBreakBefore w:val="0"/>
              <w:kinsoku/>
              <w:wordWrap/>
              <w:overflowPunct/>
              <w:topLinePunct w:val="0"/>
              <w:bidi w:val="0"/>
              <w:jc w:val="center"/>
              <w:rPr>
                <w:rFonts w:hint="default"/>
                <w:color w:val="auto"/>
                <w:sz w:val="21"/>
                <w:szCs w:val="21"/>
              </w:rPr>
            </w:pPr>
          </w:p>
        </w:tc>
        <w:tc>
          <w:tcPr>
            <w:tcW w:w="1081" w:type="pct"/>
            <w:vAlign w:val="center"/>
          </w:tcPr>
          <w:p w14:paraId="4EFF8EB3">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lang w:val="zh-CN" w:eastAsia="zh-CN"/>
              </w:rPr>
            </w:pPr>
            <w:r>
              <w:rPr>
                <w:rFonts w:hint="default"/>
                <w:color w:val="auto"/>
                <w:sz w:val="21"/>
                <w:szCs w:val="21"/>
              </w:rPr>
              <w:t>废润滑油</w:t>
            </w:r>
          </w:p>
        </w:tc>
        <w:tc>
          <w:tcPr>
            <w:tcW w:w="725" w:type="pct"/>
            <w:vAlign w:val="center"/>
          </w:tcPr>
          <w:p w14:paraId="14F6C1CF">
            <w:pPr>
              <w:pStyle w:val="45"/>
              <w:keepNext w:val="0"/>
              <w:keepLines w:val="0"/>
              <w:pageBreakBefore w:val="0"/>
              <w:kinsoku/>
              <w:wordWrap/>
              <w:overflowPunct/>
              <w:topLinePunct w:val="0"/>
              <w:bidi w:val="0"/>
              <w:adjustRightInd/>
              <w:snapToGrid/>
              <w:spacing w:line="240" w:lineRule="auto"/>
              <w:ind w:left="0" w:leftChars="0" w:right="0" w:rightChars="0" w:firstLine="0" w:firstLineChars="0"/>
              <w:jc w:val="center"/>
              <w:textAlignment w:val="auto"/>
              <w:rPr>
                <w:rFonts w:hint="default"/>
                <w:color w:val="auto"/>
                <w:sz w:val="21"/>
                <w:szCs w:val="21"/>
              </w:rPr>
            </w:pPr>
            <w:r>
              <w:rPr>
                <w:rFonts w:hint="eastAsia"/>
                <w:color w:val="auto"/>
                <w:sz w:val="21"/>
                <w:szCs w:val="21"/>
                <w:lang w:val="en-US" w:eastAsia="zh-CN"/>
              </w:rPr>
              <w:t>1.2</w:t>
            </w:r>
            <w:r>
              <w:rPr>
                <w:rFonts w:hint="default"/>
                <w:color w:val="auto"/>
                <w:sz w:val="21"/>
                <w:szCs w:val="21"/>
              </w:rPr>
              <w:t>t/a</w:t>
            </w:r>
          </w:p>
        </w:tc>
        <w:tc>
          <w:tcPr>
            <w:tcW w:w="2266" w:type="pct"/>
            <w:vMerge w:val="continue"/>
            <w:vAlign w:val="center"/>
          </w:tcPr>
          <w:p w14:paraId="2C34BC55">
            <w:pPr>
              <w:pStyle w:val="45"/>
              <w:pageBreakBefore w:val="0"/>
              <w:kinsoku/>
              <w:wordWrap/>
              <w:overflowPunct/>
              <w:topLinePunct w:val="0"/>
              <w:bidi w:val="0"/>
              <w:jc w:val="center"/>
              <w:rPr>
                <w:rFonts w:hint="default"/>
                <w:color w:val="auto"/>
                <w:sz w:val="21"/>
                <w:szCs w:val="21"/>
              </w:rPr>
            </w:pPr>
          </w:p>
        </w:tc>
      </w:tr>
      <w:tr w14:paraId="4588E5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86" w:type="pct"/>
            <w:vMerge w:val="continue"/>
            <w:vAlign w:val="center"/>
          </w:tcPr>
          <w:p w14:paraId="39E70638">
            <w:pPr>
              <w:pStyle w:val="45"/>
              <w:pageBreakBefore w:val="0"/>
              <w:kinsoku/>
              <w:wordWrap/>
              <w:overflowPunct/>
              <w:topLinePunct w:val="0"/>
              <w:bidi w:val="0"/>
              <w:jc w:val="center"/>
              <w:rPr>
                <w:rFonts w:hint="default"/>
                <w:color w:val="auto"/>
                <w:sz w:val="21"/>
                <w:szCs w:val="21"/>
              </w:rPr>
            </w:pPr>
          </w:p>
        </w:tc>
        <w:tc>
          <w:tcPr>
            <w:tcW w:w="639" w:type="pct"/>
            <w:vAlign w:val="center"/>
          </w:tcPr>
          <w:p w14:paraId="267EA467">
            <w:pPr>
              <w:pStyle w:val="45"/>
              <w:pageBreakBefore w:val="0"/>
              <w:kinsoku/>
              <w:wordWrap/>
              <w:overflowPunct/>
              <w:topLinePunct w:val="0"/>
              <w:bidi w:val="0"/>
              <w:jc w:val="center"/>
              <w:rPr>
                <w:rFonts w:hint="default"/>
                <w:color w:val="auto"/>
                <w:sz w:val="21"/>
                <w:szCs w:val="21"/>
                <w:lang w:eastAsia="zh-CN"/>
              </w:rPr>
            </w:pPr>
            <w:r>
              <w:rPr>
                <w:rFonts w:hint="default"/>
                <w:color w:val="auto"/>
                <w:sz w:val="21"/>
                <w:szCs w:val="21"/>
                <w:lang w:eastAsia="zh-CN"/>
              </w:rPr>
              <w:t>办公生活区</w:t>
            </w:r>
          </w:p>
        </w:tc>
        <w:tc>
          <w:tcPr>
            <w:tcW w:w="1081" w:type="pct"/>
            <w:vAlign w:val="center"/>
          </w:tcPr>
          <w:p w14:paraId="62FC6F71">
            <w:pPr>
              <w:pStyle w:val="45"/>
              <w:pageBreakBefore w:val="0"/>
              <w:kinsoku/>
              <w:wordWrap/>
              <w:overflowPunct/>
              <w:topLinePunct w:val="0"/>
              <w:bidi w:val="0"/>
              <w:jc w:val="center"/>
              <w:rPr>
                <w:rFonts w:hint="default"/>
                <w:color w:val="auto"/>
                <w:sz w:val="21"/>
                <w:szCs w:val="21"/>
                <w:lang w:val="zh-CN" w:eastAsia="zh-CN"/>
              </w:rPr>
            </w:pPr>
            <w:r>
              <w:rPr>
                <w:rFonts w:hint="default"/>
                <w:color w:val="auto"/>
                <w:sz w:val="21"/>
                <w:szCs w:val="21"/>
              </w:rPr>
              <w:t>生活垃圾</w:t>
            </w:r>
          </w:p>
        </w:tc>
        <w:tc>
          <w:tcPr>
            <w:tcW w:w="725" w:type="pct"/>
            <w:vAlign w:val="center"/>
          </w:tcPr>
          <w:p w14:paraId="2719160B">
            <w:pPr>
              <w:pStyle w:val="45"/>
              <w:pageBreakBefore w:val="0"/>
              <w:kinsoku/>
              <w:wordWrap/>
              <w:overflowPunct/>
              <w:topLinePunct w:val="0"/>
              <w:bidi w:val="0"/>
              <w:jc w:val="center"/>
              <w:rPr>
                <w:rFonts w:hint="default"/>
                <w:color w:val="auto"/>
                <w:sz w:val="21"/>
                <w:szCs w:val="21"/>
              </w:rPr>
            </w:pPr>
            <w:r>
              <w:rPr>
                <w:rFonts w:hint="eastAsia"/>
                <w:color w:val="auto"/>
                <w:sz w:val="21"/>
                <w:szCs w:val="21"/>
                <w:lang w:val="en-US" w:eastAsia="zh-CN"/>
              </w:rPr>
              <w:t>0.72</w:t>
            </w:r>
            <w:r>
              <w:rPr>
                <w:rFonts w:hint="default"/>
                <w:color w:val="auto"/>
                <w:sz w:val="21"/>
                <w:szCs w:val="21"/>
              </w:rPr>
              <w:t>t/a</w:t>
            </w:r>
          </w:p>
        </w:tc>
        <w:tc>
          <w:tcPr>
            <w:tcW w:w="2266" w:type="pct"/>
            <w:vAlign w:val="center"/>
          </w:tcPr>
          <w:p w14:paraId="64C770BA">
            <w:pPr>
              <w:pStyle w:val="45"/>
              <w:pageBreakBefore w:val="0"/>
              <w:kinsoku/>
              <w:wordWrap/>
              <w:overflowPunct/>
              <w:topLinePunct w:val="0"/>
              <w:bidi w:val="0"/>
              <w:jc w:val="center"/>
              <w:rPr>
                <w:rFonts w:hint="default"/>
                <w:color w:val="auto"/>
                <w:sz w:val="21"/>
                <w:szCs w:val="21"/>
              </w:rPr>
            </w:pPr>
            <w:r>
              <w:rPr>
                <w:rFonts w:hint="default"/>
                <w:color w:val="auto"/>
                <w:sz w:val="21"/>
                <w:szCs w:val="21"/>
              </w:rPr>
              <w:t>集中收集后由环卫部门定期清运处理</w:t>
            </w:r>
          </w:p>
        </w:tc>
      </w:tr>
    </w:tbl>
    <w:p w14:paraId="4FC1D7A4">
      <w:pPr>
        <w:pStyle w:val="4"/>
        <w:keepNext w:val="0"/>
        <w:keepLines w:val="0"/>
        <w:pageBreakBefore w:val="0"/>
        <w:widowControl/>
        <w:kinsoku/>
        <w:wordWrap/>
        <w:overflowPunct/>
        <w:topLinePunct w:val="0"/>
        <w:autoSpaceDE/>
        <w:autoSpaceDN/>
        <w:bidi w:val="0"/>
        <w:adjustRightInd w:val="0"/>
        <w:snapToGrid w:val="0"/>
        <w:spacing w:before="0" w:beforeLines="50"/>
        <w:textAlignment w:val="auto"/>
        <w:rPr>
          <w:rFonts w:hint="default"/>
          <w:color w:val="auto"/>
        </w:rPr>
      </w:pPr>
      <w:bookmarkStart w:id="173" w:name="3.6 清洁生产"/>
      <w:bookmarkEnd w:id="173"/>
      <w:bookmarkStart w:id="174" w:name="_bookmark20"/>
      <w:bookmarkEnd w:id="174"/>
      <w:bookmarkStart w:id="175" w:name="_Toc10280"/>
      <w:bookmarkStart w:id="176" w:name="_Toc28843"/>
      <w:bookmarkStart w:id="177" w:name="_Toc12192"/>
      <w:r>
        <w:rPr>
          <w:rFonts w:hint="eastAsia"/>
          <w:color w:val="auto"/>
          <w:lang w:val="en-US" w:eastAsia="zh-CN"/>
        </w:rPr>
        <w:t>3.5</w:t>
      </w:r>
      <w:r>
        <w:rPr>
          <w:rFonts w:hint="default"/>
          <w:color w:val="auto"/>
        </w:rPr>
        <w:t>清洁生产</w:t>
      </w:r>
      <w:bookmarkEnd w:id="175"/>
      <w:bookmarkEnd w:id="176"/>
      <w:bookmarkEnd w:id="177"/>
    </w:p>
    <w:p w14:paraId="24AC87C5">
      <w:pPr>
        <w:pStyle w:val="4"/>
        <w:pageBreakBefore w:val="0"/>
        <w:kinsoku/>
        <w:wordWrap/>
        <w:overflowPunct/>
        <w:topLinePunct w:val="0"/>
        <w:bidi w:val="0"/>
        <w:outlineLvl w:val="1"/>
        <w:rPr>
          <w:rFonts w:hint="default"/>
          <w:color w:val="auto"/>
          <w:lang w:val="en-US" w:eastAsia="zh-CN"/>
        </w:rPr>
      </w:pPr>
      <w:bookmarkStart w:id="178" w:name="3.6.1 清洁生产概述"/>
      <w:bookmarkEnd w:id="178"/>
      <w:bookmarkStart w:id="179" w:name="3.6.1 清洁生产概述"/>
      <w:bookmarkEnd w:id="179"/>
      <w:bookmarkStart w:id="180" w:name="3.7 总量控制"/>
      <w:bookmarkEnd w:id="180"/>
      <w:bookmarkStart w:id="181" w:name="_bookmark21"/>
      <w:bookmarkEnd w:id="181"/>
      <w:bookmarkStart w:id="182" w:name="_Toc2032"/>
      <w:bookmarkStart w:id="183" w:name="_Toc7703"/>
      <w:bookmarkStart w:id="184" w:name="_Toc19950"/>
      <w:r>
        <w:rPr>
          <w:rFonts w:hint="eastAsia"/>
          <w:color w:val="auto"/>
          <w:lang w:val="en-US" w:eastAsia="zh-CN"/>
        </w:rPr>
        <w:t>3.6</w:t>
      </w:r>
      <w:r>
        <w:rPr>
          <w:rFonts w:hint="default"/>
          <w:color w:val="auto"/>
          <w:lang w:val="en-US" w:eastAsia="zh-CN"/>
        </w:rPr>
        <w:t>总量控制</w:t>
      </w:r>
      <w:bookmarkEnd w:id="182"/>
      <w:bookmarkEnd w:id="183"/>
      <w:bookmarkEnd w:id="184"/>
    </w:p>
    <w:p w14:paraId="3C89FD6D">
      <w:pPr>
        <w:pStyle w:val="5"/>
        <w:pageBreakBefore w:val="0"/>
        <w:kinsoku/>
        <w:wordWrap/>
        <w:overflowPunct/>
        <w:topLinePunct w:val="0"/>
        <w:bidi w:val="0"/>
        <w:outlineLvl w:val="2"/>
        <w:rPr>
          <w:rFonts w:hint="default"/>
          <w:color w:val="auto"/>
        </w:rPr>
      </w:pPr>
      <w:bookmarkStart w:id="185" w:name="3.7.1 总量控制的原则"/>
      <w:bookmarkEnd w:id="185"/>
      <w:bookmarkStart w:id="186" w:name="3.7.1 总量控制的原则"/>
      <w:bookmarkEnd w:id="186"/>
      <w:bookmarkStart w:id="187" w:name="_Toc23226"/>
      <w:r>
        <w:rPr>
          <w:rFonts w:hint="eastAsia"/>
          <w:color w:val="auto"/>
          <w:lang w:val="en-US" w:eastAsia="zh-CN"/>
        </w:rPr>
        <w:t>3.6</w:t>
      </w:r>
      <w:r>
        <w:rPr>
          <w:rFonts w:hint="default"/>
          <w:color w:val="auto"/>
          <w:lang w:val="en-US" w:eastAsia="zh-CN"/>
        </w:rPr>
        <w:t>.1</w:t>
      </w:r>
      <w:r>
        <w:rPr>
          <w:rFonts w:hint="default"/>
          <w:color w:val="auto"/>
        </w:rPr>
        <w:t>总量控制的原则</w:t>
      </w:r>
      <w:bookmarkEnd w:id="187"/>
    </w:p>
    <w:p w14:paraId="7B302BA3">
      <w:pPr>
        <w:pageBreakBefore w:val="0"/>
        <w:kinsoku/>
        <w:wordWrap/>
        <w:overflowPunct/>
        <w:topLinePunct w:val="0"/>
        <w:bidi w:val="0"/>
        <w:rPr>
          <w:rFonts w:hint="default"/>
          <w:color w:val="auto"/>
        </w:rPr>
      </w:pPr>
      <w:r>
        <w:rPr>
          <w:rFonts w:hint="default"/>
          <w:color w:val="auto"/>
        </w:rPr>
        <w:t>对污染物排放总量进行控制的原则是：将给定区域内污染源的污染物排放负荷控制在一定数量之内，使环境质量可以达到规定的环境目标。污染物总量控制方案的确定：在考虑污染物种类、污染源影响范围、区域环境质量、环境功能以及环境管理要求等因素的基础上，结合项目实际条件和控制措施的经济技术可行性进行。根据国家当前的产业政策和环保技术政策，制定本项目污染物总量控制原则和方法，提出污染物总量控制思路：</w:t>
      </w:r>
    </w:p>
    <w:p w14:paraId="2CAE88FA">
      <w:pPr>
        <w:pageBreakBefore w:val="0"/>
        <w:kinsoku/>
        <w:wordWrap/>
        <w:overflowPunct/>
        <w:topLinePunct w:val="0"/>
        <w:bidi w:val="0"/>
        <w:rPr>
          <w:rFonts w:hint="default"/>
          <w:color w:val="auto"/>
        </w:rPr>
      </w:pPr>
      <w:r>
        <w:rPr>
          <w:rFonts w:hint="eastAsia"/>
          <w:color w:val="auto"/>
          <w:lang w:val="en-US" w:eastAsia="zh-CN"/>
        </w:rPr>
        <w:t>1.</w:t>
      </w:r>
      <w:r>
        <w:rPr>
          <w:rFonts w:hint="default"/>
          <w:color w:val="auto"/>
        </w:rPr>
        <w:t>以国家产业政策为指导，分析产品方向的合理性和规模效益水平；</w:t>
      </w:r>
    </w:p>
    <w:p w14:paraId="0EA938F6">
      <w:pPr>
        <w:pageBreakBefore w:val="0"/>
        <w:kinsoku/>
        <w:wordWrap/>
        <w:overflowPunct/>
        <w:topLinePunct w:val="0"/>
        <w:bidi w:val="0"/>
        <w:rPr>
          <w:rFonts w:hint="default"/>
          <w:color w:val="auto"/>
        </w:rPr>
      </w:pPr>
      <w:r>
        <w:rPr>
          <w:rFonts w:hint="eastAsia"/>
          <w:color w:val="auto"/>
          <w:lang w:val="en-US" w:eastAsia="zh-CN"/>
        </w:rPr>
        <w:t>2.</w:t>
      </w:r>
      <w:r>
        <w:rPr>
          <w:rFonts w:hint="default"/>
          <w:color w:val="auto"/>
        </w:rPr>
        <w:t>采用全方位总量控制思想，提高资源的综合利用率，选用清洁能源，降低能耗水平，实现清洁生产，将污染尽可能消除在生产过程中；</w:t>
      </w:r>
    </w:p>
    <w:p w14:paraId="3082923A">
      <w:pPr>
        <w:pageBreakBefore w:val="0"/>
        <w:kinsoku/>
        <w:wordWrap/>
        <w:overflowPunct/>
        <w:topLinePunct w:val="0"/>
        <w:bidi w:val="0"/>
        <w:rPr>
          <w:rFonts w:hint="default"/>
          <w:color w:val="auto"/>
        </w:rPr>
      </w:pPr>
      <w:r>
        <w:rPr>
          <w:rFonts w:hint="eastAsia"/>
          <w:color w:val="auto"/>
          <w:lang w:val="en-US" w:eastAsia="zh-CN"/>
        </w:rPr>
        <w:t>3.</w:t>
      </w:r>
      <w:r>
        <w:rPr>
          <w:rFonts w:hint="default"/>
          <w:color w:val="auto"/>
        </w:rPr>
        <w:t>强化中、末端控制，降低污染物的排放水平，实现达标排放；</w:t>
      </w:r>
    </w:p>
    <w:p w14:paraId="596164F9">
      <w:pPr>
        <w:pageBreakBefore w:val="0"/>
        <w:kinsoku/>
        <w:wordWrap/>
        <w:overflowPunct/>
        <w:topLinePunct w:val="0"/>
        <w:bidi w:val="0"/>
        <w:rPr>
          <w:rFonts w:hint="default"/>
          <w:color w:val="auto"/>
        </w:rPr>
      </w:pPr>
      <w:r>
        <w:rPr>
          <w:rFonts w:hint="eastAsia"/>
          <w:color w:val="auto"/>
          <w:lang w:val="en-US" w:eastAsia="zh-CN"/>
        </w:rPr>
        <w:t>4.</w:t>
      </w:r>
      <w:r>
        <w:rPr>
          <w:rFonts w:hint="default"/>
          <w:color w:val="auto"/>
        </w:rPr>
        <w:t>满足地方环境管理要求，参照区域总量控制规划，使项目造成的环境影响低于项目所在地区的环境保护目标控制水平。</w:t>
      </w:r>
    </w:p>
    <w:p w14:paraId="5AEF22BD">
      <w:pPr>
        <w:pageBreakBefore w:val="0"/>
        <w:kinsoku/>
        <w:wordWrap/>
        <w:overflowPunct/>
        <w:topLinePunct w:val="0"/>
        <w:bidi w:val="0"/>
        <w:rPr>
          <w:rFonts w:hint="default" w:ascii="Times New Roman" w:hAnsi="Times New Roman" w:cs="Times New Roman"/>
          <w:color w:val="auto"/>
          <w:spacing w:val="0"/>
          <w:w w:val="100"/>
          <w:position w:val="0"/>
        </w:rPr>
      </w:pPr>
      <w:r>
        <w:rPr>
          <w:rFonts w:hint="default"/>
          <w:color w:val="auto"/>
        </w:rPr>
        <w:t>通过以上分析</w:t>
      </w:r>
      <w:r>
        <w:rPr>
          <w:rFonts w:hint="default" w:ascii="Times New Roman" w:hAnsi="Times New Roman" w:cs="Times New Roman"/>
          <w:color w:val="auto"/>
          <w:spacing w:val="0"/>
          <w:w w:val="100"/>
          <w:position w:val="0"/>
        </w:rPr>
        <w:t>，最后确定本项目污染物总量控制方案和目标。</w:t>
      </w:r>
    </w:p>
    <w:p w14:paraId="3F216B81">
      <w:pPr>
        <w:pStyle w:val="5"/>
        <w:pageBreakBefore w:val="0"/>
        <w:kinsoku/>
        <w:wordWrap/>
        <w:overflowPunct/>
        <w:topLinePunct w:val="0"/>
        <w:bidi w:val="0"/>
        <w:outlineLvl w:val="2"/>
        <w:rPr>
          <w:rFonts w:hint="default"/>
          <w:color w:val="auto"/>
          <w:lang w:val="en-US" w:eastAsia="zh-CN"/>
        </w:rPr>
      </w:pPr>
      <w:bookmarkStart w:id="188" w:name="3.7.2 总量控制因子"/>
      <w:bookmarkEnd w:id="188"/>
      <w:bookmarkStart w:id="189" w:name="3.7.2 总量控制因子"/>
      <w:bookmarkEnd w:id="189"/>
      <w:bookmarkStart w:id="190" w:name="_Toc8459"/>
      <w:r>
        <w:rPr>
          <w:rFonts w:hint="eastAsia"/>
          <w:color w:val="auto"/>
          <w:lang w:val="en-US" w:eastAsia="zh-CN"/>
        </w:rPr>
        <w:t>3.6</w:t>
      </w:r>
      <w:r>
        <w:rPr>
          <w:rFonts w:hint="default"/>
          <w:color w:val="auto"/>
          <w:lang w:val="en-US" w:eastAsia="zh-CN"/>
        </w:rPr>
        <w:t>.2总量控制因子</w:t>
      </w:r>
      <w:bookmarkEnd w:id="190"/>
    </w:p>
    <w:p w14:paraId="7535BD5F">
      <w:pPr>
        <w:pageBreakBefore w:val="0"/>
        <w:kinsoku/>
        <w:wordWrap/>
        <w:overflowPunct/>
        <w:topLinePunct w:val="0"/>
        <w:bidi w:val="0"/>
        <w:rPr>
          <w:rFonts w:hint="default" w:ascii="Times New Roman" w:hAnsi="Times New Roman" w:cs="Times New Roman"/>
          <w:color w:val="auto"/>
          <w:spacing w:val="0"/>
          <w:w w:val="100"/>
          <w:position w:val="0"/>
        </w:rPr>
      </w:pPr>
      <w:r>
        <w:rPr>
          <w:rFonts w:hint="default" w:ascii="Times New Roman" w:hAnsi="Times New Roman" w:cs="Times New Roman"/>
          <w:color w:val="auto"/>
          <w:spacing w:val="0"/>
          <w:w w:val="100"/>
          <w:position w:val="0"/>
        </w:rPr>
        <w:t>根据国家环境保</w:t>
      </w:r>
      <w:r>
        <w:rPr>
          <w:rFonts w:hint="default" w:ascii="Times New Roman" w:hAnsi="Times New Roman" w:cs="Times New Roman"/>
          <w:color w:val="auto"/>
          <w:spacing w:val="0"/>
          <w:w w:val="100"/>
          <w:position w:val="0"/>
          <w:highlight w:val="none"/>
        </w:rPr>
        <w:t>护</w:t>
      </w:r>
      <w:r>
        <w:rPr>
          <w:rFonts w:hint="eastAsia" w:cs="Times New Roman"/>
          <w:color w:val="auto"/>
          <w:spacing w:val="0"/>
          <w:w w:val="100"/>
          <w:position w:val="0"/>
          <w:highlight w:val="none"/>
          <w:lang w:eastAsia="zh-CN"/>
        </w:rPr>
        <w:t>“十四</w:t>
      </w:r>
      <w:r>
        <w:rPr>
          <w:rFonts w:hint="default" w:ascii="Times New Roman" w:hAnsi="Times New Roman" w:cs="Times New Roman"/>
          <w:color w:val="auto"/>
          <w:spacing w:val="0"/>
          <w:w w:val="100"/>
          <w:position w:val="0"/>
          <w:highlight w:val="none"/>
        </w:rPr>
        <w:t>五</w:t>
      </w:r>
      <w:r>
        <w:rPr>
          <w:rFonts w:hint="eastAsia" w:cs="Times New Roman"/>
          <w:color w:val="auto"/>
          <w:spacing w:val="0"/>
          <w:w w:val="100"/>
          <w:position w:val="0"/>
          <w:highlight w:val="none"/>
          <w:lang w:eastAsia="zh-CN"/>
        </w:rPr>
        <w:t>”</w:t>
      </w:r>
      <w:r>
        <w:rPr>
          <w:rFonts w:hint="default" w:ascii="Times New Roman" w:hAnsi="Times New Roman" w:cs="Times New Roman"/>
          <w:color w:val="auto"/>
          <w:spacing w:val="0"/>
          <w:w w:val="100"/>
          <w:position w:val="0"/>
          <w:highlight w:val="none"/>
        </w:rPr>
        <w:t>控制和《大气污染防治行动计划》，</w:t>
      </w:r>
      <w:r>
        <w:rPr>
          <w:rFonts w:hint="eastAsia" w:cs="Times New Roman"/>
          <w:color w:val="auto"/>
          <w:spacing w:val="0"/>
          <w:w w:val="100"/>
          <w:position w:val="0"/>
          <w:highlight w:val="none"/>
          <w:lang w:eastAsia="zh-CN"/>
        </w:rPr>
        <w:t>“十四</w:t>
      </w:r>
      <w:r>
        <w:rPr>
          <w:rFonts w:hint="default" w:ascii="Times New Roman" w:hAnsi="Times New Roman" w:cs="Times New Roman"/>
          <w:color w:val="auto"/>
          <w:spacing w:val="0"/>
          <w:w w:val="100"/>
          <w:position w:val="0"/>
          <w:highlight w:val="none"/>
        </w:rPr>
        <w:t>五</w:t>
      </w:r>
      <w:r>
        <w:rPr>
          <w:rFonts w:hint="eastAsia" w:cs="Times New Roman"/>
          <w:color w:val="auto"/>
          <w:spacing w:val="0"/>
          <w:w w:val="100"/>
          <w:position w:val="0"/>
          <w:highlight w:val="none"/>
          <w:lang w:eastAsia="zh-CN"/>
        </w:rPr>
        <w:t>”</w:t>
      </w:r>
      <w:r>
        <w:rPr>
          <w:rFonts w:hint="default" w:ascii="Times New Roman" w:hAnsi="Times New Roman" w:cs="Times New Roman"/>
          <w:color w:val="auto"/>
          <w:spacing w:val="0"/>
          <w:w w:val="100"/>
          <w:position w:val="0"/>
          <w:highlight w:val="none"/>
        </w:rPr>
        <w:t>期间的大气总量控制指标为</w:t>
      </w:r>
      <w:r>
        <w:rPr>
          <w:rFonts w:hint="default" w:ascii="Times New Roman" w:hAnsi="Times New Roman" w:eastAsia="Times New Roman" w:cs="Times New Roman"/>
          <w:color w:val="auto"/>
          <w:spacing w:val="0"/>
          <w:w w:val="100"/>
          <w:position w:val="0"/>
          <w:highlight w:val="none"/>
        </w:rPr>
        <w:t>SO</w:t>
      </w:r>
      <w:r>
        <w:rPr>
          <w:rFonts w:hint="default" w:ascii="Times New Roman" w:hAnsi="Times New Roman" w:eastAsia="Times New Roman" w:cs="Times New Roman"/>
          <w:color w:val="auto"/>
          <w:spacing w:val="0"/>
          <w:w w:val="100"/>
          <w:position w:val="0"/>
          <w:highlight w:val="none"/>
          <w:vertAlign w:val="subscript"/>
        </w:rPr>
        <w:t>2</w:t>
      </w:r>
      <w:r>
        <w:rPr>
          <w:rFonts w:hint="default" w:ascii="Times New Roman" w:hAnsi="Times New Roman" w:cs="Times New Roman"/>
          <w:color w:val="auto"/>
          <w:spacing w:val="0"/>
          <w:w w:val="100"/>
          <w:position w:val="0"/>
          <w:vertAlign w:val="baseline"/>
        </w:rPr>
        <w:t>、</w:t>
      </w:r>
      <w:r>
        <w:rPr>
          <w:rFonts w:hint="default" w:ascii="Times New Roman" w:hAnsi="Times New Roman" w:eastAsia="Times New Roman" w:cs="Times New Roman"/>
          <w:color w:val="auto"/>
          <w:spacing w:val="0"/>
          <w:w w:val="100"/>
          <w:position w:val="0"/>
          <w:vertAlign w:val="baseline"/>
        </w:rPr>
        <w:t>NOx</w:t>
      </w:r>
      <w:r>
        <w:rPr>
          <w:rFonts w:hint="default" w:ascii="Times New Roman" w:hAnsi="Times New Roman" w:cs="Times New Roman"/>
          <w:color w:val="auto"/>
          <w:spacing w:val="0"/>
          <w:w w:val="100"/>
          <w:position w:val="0"/>
          <w:vertAlign w:val="baseline"/>
        </w:rPr>
        <w:t>、</w:t>
      </w:r>
      <w:r>
        <w:rPr>
          <w:rFonts w:hint="default" w:ascii="Times New Roman" w:hAnsi="Times New Roman" w:eastAsia="Times New Roman" w:cs="Times New Roman"/>
          <w:color w:val="auto"/>
          <w:spacing w:val="0"/>
          <w:w w:val="100"/>
          <w:position w:val="0"/>
          <w:vertAlign w:val="baseline"/>
        </w:rPr>
        <w:t>VOCs</w:t>
      </w:r>
      <w:r>
        <w:rPr>
          <w:rFonts w:hint="default" w:ascii="Times New Roman" w:hAnsi="Times New Roman" w:cs="Times New Roman"/>
          <w:color w:val="auto"/>
          <w:spacing w:val="0"/>
          <w:w w:val="100"/>
          <w:position w:val="0"/>
          <w:vertAlign w:val="baseline"/>
        </w:rPr>
        <w:t>和工业烟粉尘，水污染物总量控制指标为</w:t>
      </w:r>
      <w:r>
        <w:rPr>
          <w:rFonts w:hint="default" w:ascii="Times New Roman" w:hAnsi="Times New Roman" w:eastAsia="Times New Roman" w:cs="Times New Roman"/>
          <w:color w:val="auto"/>
          <w:spacing w:val="0"/>
          <w:w w:val="100"/>
          <w:position w:val="0"/>
          <w:vertAlign w:val="baseline"/>
        </w:rPr>
        <w:t>COD</w:t>
      </w:r>
      <w:r>
        <w:rPr>
          <w:rFonts w:hint="default" w:ascii="Times New Roman" w:hAnsi="Times New Roman" w:cs="Times New Roman"/>
          <w:color w:val="auto"/>
          <w:spacing w:val="0"/>
          <w:w w:val="100"/>
          <w:position w:val="0"/>
          <w:vertAlign w:val="baseline"/>
        </w:rPr>
        <w:t>、氨氮、总磷、总氮。</w:t>
      </w:r>
    </w:p>
    <w:p w14:paraId="2579D25B">
      <w:pPr>
        <w:pStyle w:val="5"/>
        <w:pageBreakBefore w:val="0"/>
        <w:kinsoku/>
        <w:wordWrap/>
        <w:overflowPunct/>
        <w:topLinePunct w:val="0"/>
        <w:bidi w:val="0"/>
        <w:outlineLvl w:val="2"/>
        <w:rPr>
          <w:rFonts w:hint="default"/>
          <w:color w:val="auto"/>
          <w:lang w:val="en-US" w:eastAsia="zh-CN"/>
        </w:rPr>
      </w:pPr>
      <w:bookmarkStart w:id="191" w:name="3.7.3 本项目总量控制因子"/>
      <w:bookmarkEnd w:id="191"/>
      <w:bookmarkStart w:id="192" w:name="3.7.3 本项目总量控制因子"/>
      <w:bookmarkEnd w:id="192"/>
      <w:bookmarkStart w:id="193" w:name="_Toc16088"/>
      <w:r>
        <w:rPr>
          <w:rFonts w:hint="eastAsia"/>
          <w:color w:val="auto"/>
          <w:lang w:val="en-US" w:eastAsia="zh-CN"/>
        </w:rPr>
        <w:t>3.6</w:t>
      </w:r>
      <w:r>
        <w:rPr>
          <w:rFonts w:hint="default"/>
          <w:color w:val="auto"/>
          <w:lang w:val="en-US" w:eastAsia="zh-CN"/>
        </w:rPr>
        <w:t>.3本项目总量控制因子</w:t>
      </w:r>
      <w:bookmarkEnd w:id="193"/>
    </w:p>
    <w:p w14:paraId="3EAF2960">
      <w:pPr>
        <w:pStyle w:val="62"/>
        <w:keepNext w:val="0"/>
        <w:keepLines w:val="0"/>
        <w:pageBreakBefore w:val="0"/>
        <w:widowControl w:val="0"/>
        <w:numPr>
          <w:ilvl w:val="0"/>
          <w:numId w:val="0"/>
        </w:numPr>
        <w:tabs>
          <w:tab w:val="left" w:pos="1421"/>
        </w:tabs>
        <w:kinsoku/>
        <w:wordWrap/>
        <w:overflowPunct/>
        <w:topLinePunct w:val="0"/>
        <w:autoSpaceDE w:val="0"/>
        <w:autoSpaceDN w:val="0"/>
        <w:bidi w:val="0"/>
        <w:adjustRightInd/>
        <w:snapToGrid/>
        <w:spacing w:before="0" w:after="0" w:line="360" w:lineRule="auto"/>
        <w:ind w:leftChars="0" w:right="0" w:rightChars="0" w:firstLine="476" w:firstLineChars="200"/>
        <w:jc w:val="both"/>
        <w:textAlignment w:val="auto"/>
        <w:rPr>
          <w:rFonts w:hint="default" w:ascii="Times New Roman" w:hAnsi="Times New Roman" w:eastAsia="宋体" w:cs="Times New Roman"/>
          <w:color w:val="auto"/>
          <w:sz w:val="24"/>
          <w:szCs w:val="24"/>
          <w:highlight w:val="yellow"/>
        </w:rPr>
      </w:pP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pacing w:val="-1"/>
          <w:sz w:val="24"/>
          <w:szCs w:val="24"/>
          <w:lang w:val="en-US" w:eastAsia="zh-CN"/>
        </w:rPr>
        <w:t>1</w:t>
      </w:r>
      <w:r>
        <w:rPr>
          <w:rFonts w:hint="default" w:ascii="Times New Roman" w:hAnsi="Times New Roman" w:eastAsia="宋体" w:cs="Times New Roman"/>
          <w:color w:val="auto"/>
          <w:spacing w:val="-1"/>
          <w:sz w:val="24"/>
          <w:szCs w:val="24"/>
          <w:lang w:eastAsia="zh-CN"/>
        </w:rPr>
        <w:t>）</w:t>
      </w:r>
      <w:r>
        <w:rPr>
          <w:rFonts w:hint="default" w:ascii="Times New Roman" w:hAnsi="Times New Roman" w:eastAsia="宋体" w:cs="Times New Roman"/>
          <w:color w:val="auto"/>
          <w:spacing w:val="-1"/>
          <w:sz w:val="24"/>
          <w:szCs w:val="24"/>
        </w:rPr>
        <w:t>废水：本项目生产用水全部循环利用，不外排；</w:t>
      </w:r>
      <w:r>
        <w:rPr>
          <w:rFonts w:hint="default" w:ascii="Times New Roman" w:hAnsi="Times New Roman" w:eastAsia="宋体" w:cs="Times New Roman"/>
          <w:b w:val="0"/>
          <w:bCs w:val="0"/>
          <w:color w:val="auto"/>
          <w:sz w:val="24"/>
          <w:szCs w:val="24"/>
          <w:highlight w:val="none"/>
          <w:lang w:eastAsia="zh-CN"/>
        </w:rPr>
        <w:t>项目</w:t>
      </w:r>
      <w:r>
        <w:rPr>
          <w:rFonts w:hint="eastAsia" w:ascii="Times New Roman" w:hAnsi="Times New Roman" w:eastAsia="宋体" w:cs="Times New Roman"/>
          <w:b w:val="0"/>
          <w:bCs w:val="0"/>
          <w:color w:val="auto"/>
          <w:sz w:val="24"/>
          <w:szCs w:val="24"/>
          <w:highlight w:val="none"/>
          <w:lang w:val="en-US" w:eastAsia="zh-CN"/>
        </w:rPr>
        <w:t>生产过程用水为循环用水，生活污水经地埋式一体化污水处理设备处理后排入下水管网，最终进入乌雪特乡污水处理站，</w:t>
      </w:r>
      <w:r>
        <w:rPr>
          <w:rFonts w:ascii="Times New Roman" w:hAnsi="Times New Roman" w:eastAsia="宋体"/>
          <w:smallCaps w:val="0"/>
          <w:color w:val="auto"/>
          <w:spacing w:val="0"/>
          <w:w w:val="100"/>
          <w:position w:val="0"/>
          <w:sz w:val="24"/>
          <w:szCs w:val="24"/>
          <w:highlight w:val="none"/>
        </w:rPr>
        <w:t>不设置总量控制指标。</w:t>
      </w:r>
    </w:p>
    <w:p w14:paraId="56A1EB7A">
      <w:pPr>
        <w:keepNext w:val="0"/>
        <w:keepLines w:val="0"/>
        <w:pageBreakBefore w:val="0"/>
        <w:widowControl w:val="0"/>
        <w:kinsoku/>
        <w:wordWrap/>
        <w:overflowPunct/>
        <w:topLinePunct w:val="0"/>
        <w:autoSpaceDE w:val="0"/>
        <w:autoSpaceDN w:val="0"/>
        <w:bidi w:val="0"/>
        <w:adjustRightInd/>
        <w:snapToGrid/>
        <w:spacing w:before="0"/>
        <w:jc w:val="both"/>
        <w:textAlignment w:val="auto"/>
        <w:rPr>
          <w:color w:val="auto"/>
          <w:spacing w:val="0"/>
          <w:w w:val="100"/>
          <w:position w:val="0"/>
        </w:rPr>
      </w:pPr>
      <w:r>
        <w:rPr>
          <w:rFonts w:hint="default" w:ascii="Times New Roman" w:hAnsi="Times New Roman" w:eastAsia="宋体" w:cs="Times New Roman"/>
          <w:color w:val="auto"/>
          <w:spacing w:val="-4"/>
          <w:sz w:val="24"/>
          <w:szCs w:val="24"/>
          <w:lang w:eastAsia="zh-CN"/>
        </w:rPr>
        <w:t>（</w:t>
      </w:r>
      <w:r>
        <w:rPr>
          <w:rFonts w:hint="default" w:ascii="Times New Roman" w:hAnsi="Times New Roman" w:eastAsia="宋体" w:cs="Times New Roman"/>
          <w:color w:val="auto"/>
          <w:spacing w:val="-4"/>
          <w:sz w:val="24"/>
          <w:szCs w:val="24"/>
          <w:lang w:val="en-US" w:eastAsia="zh-CN"/>
        </w:rPr>
        <w:t>2</w:t>
      </w:r>
      <w:r>
        <w:rPr>
          <w:rFonts w:hint="default" w:ascii="Times New Roman" w:hAnsi="Times New Roman" w:eastAsia="宋体" w:cs="Times New Roman"/>
          <w:color w:val="auto"/>
          <w:spacing w:val="-4"/>
          <w:sz w:val="24"/>
          <w:szCs w:val="24"/>
          <w:lang w:eastAsia="zh-CN"/>
        </w:rPr>
        <w:t>）</w:t>
      </w:r>
      <w:r>
        <w:rPr>
          <w:rFonts w:hint="default" w:ascii="Times New Roman" w:hAnsi="Times New Roman" w:eastAsia="宋体" w:cs="Times New Roman"/>
          <w:color w:val="auto"/>
          <w:spacing w:val="-4"/>
          <w:sz w:val="24"/>
          <w:szCs w:val="24"/>
        </w:rPr>
        <w:t>废气：</w:t>
      </w:r>
      <w:r>
        <w:rPr>
          <w:rFonts w:hint="default" w:ascii="Times New Roman" w:hAnsi="Times New Roman" w:eastAsia="宋体" w:cs="Times New Roman"/>
          <w:color w:val="auto"/>
          <w:sz w:val="24"/>
          <w:szCs w:val="24"/>
        </w:rPr>
        <w:t>结合周围区域环境质量现状和拟建项目污染物排放特征，</w:t>
      </w:r>
      <w:r>
        <w:rPr>
          <w:rFonts w:ascii="宋体" w:hAnsi="宋体" w:eastAsia="宋体" w:cs="宋体"/>
          <w:color w:val="auto"/>
          <w:spacing w:val="3"/>
          <w:sz w:val="24"/>
          <w:szCs w:val="24"/>
        </w:rPr>
        <w:t>本项目废气总</w:t>
      </w:r>
      <w:r>
        <w:rPr>
          <w:rFonts w:ascii="宋体" w:hAnsi="宋体" w:eastAsia="宋体" w:cs="宋体"/>
          <w:color w:val="auto"/>
          <w:spacing w:val="10"/>
          <w:sz w:val="24"/>
          <w:szCs w:val="24"/>
        </w:rPr>
        <w:t>量控制</w:t>
      </w:r>
      <w:r>
        <w:rPr>
          <w:rFonts w:ascii="宋体" w:hAnsi="宋体" w:eastAsia="宋体" w:cs="宋体"/>
          <w:color w:val="auto"/>
          <w:spacing w:val="6"/>
          <w:sz w:val="24"/>
          <w:szCs w:val="24"/>
        </w:rPr>
        <w:t>因</w:t>
      </w:r>
      <w:r>
        <w:rPr>
          <w:rFonts w:ascii="宋体" w:hAnsi="宋体" w:eastAsia="宋体" w:cs="宋体"/>
          <w:color w:val="auto"/>
          <w:spacing w:val="5"/>
          <w:sz w:val="24"/>
          <w:szCs w:val="24"/>
        </w:rPr>
        <w:t>子为</w:t>
      </w:r>
      <w:r>
        <w:rPr>
          <w:rFonts w:ascii="Times New Roman" w:hAnsi="Times New Roman" w:eastAsia="Times New Roman" w:cs="Times New Roman"/>
          <w:color w:val="auto"/>
          <w:sz w:val="24"/>
          <w:szCs w:val="24"/>
        </w:rPr>
        <w:t>VOCs</w:t>
      </w:r>
      <w:r>
        <w:rPr>
          <w:rFonts w:ascii="宋体" w:hAnsi="宋体" w:eastAsia="宋体" w:cs="宋体"/>
          <w:color w:val="auto"/>
          <w:spacing w:val="5"/>
          <w:sz w:val="24"/>
          <w:szCs w:val="24"/>
        </w:rPr>
        <w:t>(以非甲烷总烃计)：</w:t>
      </w:r>
      <w:r>
        <w:rPr>
          <w:rFonts w:hint="eastAsia" w:cs="Times New Roman"/>
          <w:color w:val="auto"/>
          <w:spacing w:val="5"/>
          <w:sz w:val="24"/>
          <w:szCs w:val="24"/>
          <w:lang w:val="en-US" w:eastAsia="zh-CN"/>
        </w:rPr>
        <w:t>1.475</w:t>
      </w:r>
      <w:r>
        <w:rPr>
          <w:rFonts w:ascii="Times New Roman" w:hAnsi="Times New Roman" w:eastAsia="Times New Roman" w:cs="Times New Roman"/>
          <w:color w:val="auto"/>
          <w:sz w:val="24"/>
          <w:szCs w:val="24"/>
        </w:rPr>
        <w:t>t</w:t>
      </w:r>
      <w:r>
        <w:rPr>
          <w:rFonts w:ascii="Times New Roman" w:hAnsi="Times New Roman" w:eastAsia="Times New Roman" w:cs="Times New Roman"/>
          <w:color w:val="auto"/>
          <w:spacing w:val="5"/>
          <w:sz w:val="24"/>
          <w:szCs w:val="24"/>
        </w:rPr>
        <w:t>/</w:t>
      </w:r>
      <w:r>
        <w:rPr>
          <w:rFonts w:ascii="Times New Roman" w:hAnsi="Times New Roman" w:eastAsia="Times New Roman" w:cs="Times New Roman"/>
          <w:color w:val="auto"/>
          <w:sz w:val="24"/>
          <w:szCs w:val="24"/>
        </w:rPr>
        <w:t>a</w:t>
      </w:r>
      <w:r>
        <w:rPr>
          <w:rFonts w:ascii="宋体" w:hAnsi="宋体" w:eastAsia="宋体" w:cs="宋体"/>
          <w:color w:val="auto"/>
          <w:spacing w:val="5"/>
          <w:sz w:val="24"/>
          <w:szCs w:val="24"/>
        </w:rPr>
        <w:t>。</w:t>
      </w:r>
    </w:p>
    <w:p w14:paraId="5DC0BDB5">
      <w:pPr>
        <w:pageBreakBefore w:val="0"/>
        <w:kinsoku/>
        <w:wordWrap/>
        <w:overflowPunct/>
        <w:topLinePunct w:val="0"/>
        <w:bidi w:val="0"/>
        <w:spacing w:after="0" w:line="307" w:lineRule="exact"/>
        <w:jc w:val="both"/>
        <w:rPr>
          <w:color w:val="auto"/>
          <w:spacing w:val="0"/>
          <w:w w:val="100"/>
          <w:position w:val="0"/>
          <w:sz w:val="24"/>
        </w:rPr>
        <w:sectPr>
          <w:type w:val="continuous"/>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6A262F84">
      <w:pPr>
        <w:pStyle w:val="3"/>
        <w:pageBreakBefore w:val="0"/>
        <w:kinsoku/>
        <w:wordWrap/>
        <w:overflowPunct/>
        <w:topLinePunct w:val="0"/>
        <w:bidi w:val="0"/>
        <w:rPr>
          <w:rFonts w:hint="default" w:ascii="Times New Roman" w:hAnsi="Times New Roman" w:cs="Times New Roman"/>
          <w:color w:val="auto"/>
          <w:spacing w:val="0"/>
          <w:w w:val="100"/>
          <w:position w:val="0"/>
        </w:rPr>
      </w:pPr>
      <w:bookmarkStart w:id="194" w:name="_bookmark22"/>
      <w:bookmarkEnd w:id="194"/>
      <w:bookmarkStart w:id="195" w:name="4  环境现状调查与评价"/>
      <w:bookmarkEnd w:id="195"/>
      <w:bookmarkStart w:id="196" w:name="_Toc8928"/>
      <w:bookmarkStart w:id="197" w:name="_Toc31626"/>
      <w:bookmarkStart w:id="198" w:name="_Toc27145"/>
      <w:r>
        <w:rPr>
          <w:rFonts w:hint="default" w:ascii="Times New Roman" w:hAnsi="Times New Roman" w:cs="Times New Roman"/>
          <w:color w:val="auto"/>
          <w:spacing w:val="0"/>
          <w:w w:val="100"/>
          <w:position w:val="0"/>
          <w:lang w:val="en-US" w:eastAsia="zh-CN"/>
        </w:rPr>
        <w:t>4.</w:t>
      </w:r>
      <w:r>
        <w:rPr>
          <w:rFonts w:hint="default" w:ascii="Times New Roman" w:hAnsi="Times New Roman" w:cs="Times New Roman"/>
          <w:color w:val="auto"/>
          <w:spacing w:val="0"/>
          <w:w w:val="100"/>
          <w:position w:val="0"/>
        </w:rPr>
        <w:t>环境现状调查与评价</w:t>
      </w:r>
      <w:bookmarkEnd w:id="196"/>
      <w:bookmarkEnd w:id="197"/>
      <w:bookmarkEnd w:id="198"/>
    </w:p>
    <w:p w14:paraId="22A5CCBD">
      <w:pPr>
        <w:pStyle w:val="4"/>
        <w:pageBreakBefore w:val="0"/>
        <w:kinsoku/>
        <w:wordWrap/>
        <w:overflowPunct/>
        <w:topLinePunct w:val="0"/>
        <w:bidi w:val="0"/>
        <w:rPr>
          <w:rFonts w:hint="default"/>
          <w:color w:val="auto"/>
          <w:lang w:val="en-US" w:eastAsia="zh-CN"/>
        </w:rPr>
      </w:pPr>
      <w:bookmarkStart w:id="199" w:name="4.1自然环境概况"/>
      <w:bookmarkEnd w:id="199"/>
      <w:bookmarkStart w:id="200" w:name="_bookmark23"/>
      <w:bookmarkEnd w:id="200"/>
      <w:bookmarkStart w:id="201" w:name="_Toc24364"/>
      <w:bookmarkStart w:id="202" w:name="_Toc20330"/>
      <w:bookmarkStart w:id="203" w:name="_Toc14242"/>
      <w:r>
        <w:rPr>
          <w:rFonts w:hint="default"/>
          <w:color w:val="auto"/>
          <w:lang w:val="en-US" w:eastAsia="zh-CN"/>
        </w:rPr>
        <w:t>4.1自然环境概况</w:t>
      </w:r>
      <w:bookmarkEnd w:id="201"/>
      <w:bookmarkEnd w:id="202"/>
      <w:bookmarkEnd w:id="203"/>
    </w:p>
    <w:p w14:paraId="521C6BA1">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204" w:name="4.1.1 地理位置"/>
      <w:bookmarkEnd w:id="204"/>
      <w:bookmarkStart w:id="205" w:name="4.1.1 地理位置"/>
      <w:bookmarkEnd w:id="205"/>
      <w:bookmarkStart w:id="206" w:name="_Toc18695"/>
      <w:bookmarkStart w:id="207" w:name="_Toc19082"/>
      <w:bookmarkStart w:id="208" w:name="_Toc5615"/>
      <w:r>
        <w:rPr>
          <w:rFonts w:hint="default" w:ascii="Times New Roman" w:hAnsi="Times New Roman" w:cs="Times New Roman"/>
          <w:color w:val="auto"/>
          <w:spacing w:val="0"/>
          <w:w w:val="100"/>
          <w:position w:val="0"/>
          <w:lang w:val="en-US" w:eastAsia="zh-CN"/>
        </w:rPr>
        <w:t>4.</w:t>
      </w:r>
      <w:r>
        <w:rPr>
          <w:rFonts w:hint="eastAsia" w:cs="Times New Roman"/>
          <w:color w:val="auto"/>
          <w:spacing w:val="0"/>
          <w:w w:val="100"/>
          <w:position w:val="0"/>
          <w:lang w:val="en-US" w:eastAsia="zh-CN"/>
        </w:rPr>
        <w:t>2</w:t>
      </w:r>
      <w:r>
        <w:rPr>
          <w:rFonts w:hint="default" w:ascii="Times New Roman" w:hAnsi="Times New Roman" w:cs="Times New Roman"/>
          <w:color w:val="auto"/>
          <w:spacing w:val="0"/>
          <w:w w:val="100"/>
          <w:position w:val="0"/>
        </w:rPr>
        <w:t>环境质量现状调查与评价</w:t>
      </w:r>
      <w:bookmarkEnd w:id="206"/>
      <w:bookmarkEnd w:id="207"/>
      <w:bookmarkEnd w:id="208"/>
    </w:p>
    <w:p w14:paraId="63775D4A">
      <w:pPr>
        <w:pageBreakBefore w:val="0"/>
        <w:kinsoku/>
        <w:wordWrap/>
        <w:overflowPunct/>
        <w:topLinePunct w:val="0"/>
        <w:bidi w:val="0"/>
        <w:rPr>
          <w:rFonts w:hint="eastAsia"/>
          <w:color w:val="auto"/>
          <w:spacing w:val="0"/>
          <w:w w:val="100"/>
          <w:position w:val="0"/>
          <w:lang w:val="en-US" w:eastAsia="zh-CN"/>
        </w:rPr>
      </w:pPr>
      <w:bookmarkStart w:id="209" w:name="4.2.1环境空气质量现状调查与评价"/>
      <w:bookmarkEnd w:id="209"/>
      <w:bookmarkStart w:id="210" w:name="4.2.1环境空气质量现状调查与评价"/>
      <w:bookmarkEnd w:id="210"/>
      <w:r>
        <w:rPr>
          <w:rFonts w:hint="eastAsia"/>
          <w:color w:val="auto"/>
          <w:spacing w:val="0"/>
          <w:w w:val="100"/>
          <w:position w:val="0"/>
          <w:lang w:val="en-US" w:eastAsia="zh-CN"/>
        </w:rPr>
        <w:br w:type="page"/>
      </w:r>
    </w:p>
    <w:p w14:paraId="549F0D33">
      <w:pPr>
        <w:pStyle w:val="3"/>
        <w:pageBreakBefore w:val="0"/>
        <w:kinsoku/>
        <w:wordWrap/>
        <w:overflowPunct/>
        <w:topLinePunct w:val="0"/>
        <w:bidi w:val="0"/>
        <w:rPr>
          <w:rFonts w:hint="default" w:ascii="Times New Roman" w:hAnsi="Times New Roman" w:cs="Times New Roman"/>
          <w:color w:val="auto"/>
          <w:spacing w:val="0"/>
          <w:w w:val="100"/>
          <w:position w:val="0"/>
        </w:rPr>
      </w:pPr>
      <w:bookmarkStart w:id="211" w:name="_Toc14953"/>
      <w:bookmarkStart w:id="212" w:name="_Toc7347"/>
      <w:bookmarkStart w:id="213" w:name="_Toc16808"/>
      <w:r>
        <w:rPr>
          <w:rFonts w:hint="default" w:ascii="Times New Roman" w:hAnsi="Times New Roman" w:cs="Times New Roman"/>
          <w:color w:val="auto"/>
          <w:spacing w:val="0"/>
          <w:w w:val="100"/>
          <w:position w:val="0"/>
          <w:lang w:val="en-US" w:eastAsia="zh-CN"/>
        </w:rPr>
        <w:t>5.</w:t>
      </w:r>
      <w:r>
        <w:rPr>
          <w:rFonts w:hint="default" w:ascii="Times New Roman" w:hAnsi="Times New Roman" w:cs="Times New Roman"/>
          <w:color w:val="auto"/>
          <w:spacing w:val="0"/>
          <w:w w:val="100"/>
          <w:position w:val="0"/>
        </w:rPr>
        <w:t>施工期环境影响预测与分析</w:t>
      </w:r>
      <w:bookmarkEnd w:id="211"/>
      <w:bookmarkEnd w:id="212"/>
      <w:bookmarkEnd w:id="213"/>
    </w:p>
    <w:p w14:paraId="6A0ED1E8">
      <w:pPr>
        <w:pStyle w:val="3"/>
        <w:pageBreakBefore w:val="0"/>
        <w:kinsoku/>
        <w:wordWrap/>
        <w:overflowPunct/>
        <w:topLinePunct w:val="0"/>
        <w:bidi w:val="0"/>
        <w:rPr>
          <w:rFonts w:hint="default" w:ascii="Times New Roman" w:hAnsi="Times New Roman" w:cs="Times New Roman"/>
          <w:color w:val="auto"/>
          <w:spacing w:val="0"/>
          <w:w w:val="100"/>
          <w:position w:val="0"/>
        </w:rPr>
      </w:pPr>
      <w:bookmarkStart w:id="214" w:name="5.1施工期大气环境的影响"/>
      <w:bookmarkEnd w:id="214"/>
      <w:bookmarkStart w:id="215" w:name="_bookmark26"/>
      <w:bookmarkEnd w:id="215"/>
      <w:bookmarkStart w:id="216" w:name="_Toc29001"/>
      <w:bookmarkStart w:id="217" w:name="_Toc20109"/>
      <w:bookmarkStart w:id="218" w:name="_Toc14052"/>
      <w:r>
        <w:rPr>
          <w:rFonts w:hint="default" w:ascii="Times New Roman" w:hAnsi="Times New Roman" w:cs="Times New Roman"/>
          <w:color w:val="auto"/>
          <w:spacing w:val="0"/>
          <w:w w:val="100"/>
          <w:position w:val="0"/>
          <w:lang w:val="en-US" w:eastAsia="zh-CN"/>
        </w:rPr>
        <w:t>6</w:t>
      </w:r>
      <w:r>
        <w:rPr>
          <w:rFonts w:hint="eastAsia" w:ascii="Times New Roman" w:hAnsi="Times New Roman" w:cs="Times New Roman"/>
          <w:color w:val="auto"/>
          <w:spacing w:val="0"/>
          <w:w w:val="100"/>
          <w:position w:val="0"/>
          <w:lang w:val="en-US" w:eastAsia="zh-CN"/>
        </w:rPr>
        <w:t>.</w:t>
      </w:r>
      <w:r>
        <w:rPr>
          <w:rFonts w:hint="default" w:ascii="Times New Roman" w:hAnsi="Times New Roman" w:cs="Times New Roman"/>
          <w:color w:val="auto"/>
          <w:spacing w:val="0"/>
          <w:w w:val="100"/>
          <w:position w:val="0"/>
        </w:rPr>
        <w:t>运营期环境影响预测与评价</w:t>
      </w:r>
      <w:bookmarkEnd w:id="216"/>
      <w:bookmarkEnd w:id="217"/>
      <w:bookmarkEnd w:id="218"/>
    </w:p>
    <w:p w14:paraId="08C6F91D">
      <w:pPr>
        <w:pStyle w:val="4"/>
        <w:pageBreakBefore w:val="0"/>
        <w:kinsoku/>
        <w:wordWrap/>
        <w:overflowPunct/>
        <w:topLinePunct w:val="0"/>
        <w:bidi w:val="0"/>
        <w:rPr>
          <w:rFonts w:hint="default" w:ascii="Times New Roman" w:hAnsi="Times New Roman" w:eastAsia="宋体" w:cs="Times New Roman"/>
          <w:b/>
          <w:color w:val="auto"/>
          <w:spacing w:val="0"/>
          <w:w w:val="100"/>
          <w:position w:val="0"/>
          <w:sz w:val="30"/>
          <w:szCs w:val="30"/>
          <w:lang w:val="en-US" w:eastAsia="zh-CN"/>
        </w:rPr>
      </w:pPr>
      <w:bookmarkStart w:id="219" w:name="6.1 大气影响分析"/>
      <w:bookmarkEnd w:id="219"/>
      <w:bookmarkStart w:id="220" w:name="_bookmark32"/>
      <w:bookmarkEnd w:id="220"/>
      <w:bookmarkStart w:id="221" w:name="_bookmark32"/>
      <w:bookmarkEnd w:id="221"/>
      <w:bookmarkStart w:id="222" w:name="_Toc12022"/>
      <w:bookmarkStart w:id="223" w:name="_Toc29708"/>
      <w:r>
        <w:rPr>
          <w:rFonts w:hint="default" w:ascii="Times New Roman" w:hAnsi="Times New Roman" w:cs="Times New Roman"/>
          <w:b/>
          <w:color w:val="auto"/>
          <w:spacing w:val="0"/>
          <w:w w:val="100"/>
          <w:position w:val="0"/>
          <w:sz w:val="30"/>
          <w:szCs w:val="30"/>
          <w:lang w:val="en-US" w:eastAsia="zh-CN"/>
        </w:rPr>
        <w:t>6.1</w:t>
      </w:r>
      <w:r>
        <w:rPr>
          <w:rFonts w:hint="default" w:ascii="Times New Roman" w:hAnsi="Times New Roman" w:cs="Times New Roman"/>
          <w:b/>
          <w:color w:val="auto"/>
          <w:spacing w:val="0"/>
          <w:w w:val="100"/>
          <w:position w:val="0"/>
          <w:sz w:val="30"/>
          <w:szCs w:val="30"/>
        </w:rPr>
        <w:t>大气影响分析</w:t>
      </w:r>
      <w:bookmarkEnd w:id="222"/>
      <w:bookmarkEnd w:id="223"/>
    </w:p>
    <w:p w14:paraId="29816B46">
      <w:pPr>
        <w:pStyle w:val="5"/>
        <w:pageBreakBefore w:val="0"/>
        <w:kinsoku/>
        <w:wordWrap/>
        <w:overflowPunct/>
        <w:topLinePunct w:val="0"/>
        <w:bidi w:val="0"/>
        <w:rPr>
          <w:rFonts w:hint="default"/>
          <w:color w:val="auto"/>
          <w:lang w:val="en-US" w:eastAsia="zh-CN"/>
        </w:rPr>
      </w:pPr>
      <w:bookmarkStart w:id="224" w:name="6.1.1 气象资料调查"/>
      <w:bookmarkEnd w:id="224"/>
      <w:bookmarkStart w:id="225" w:name="6.1.1 气象资料调查"/>
      <w:bookmarkEnd w:id="225"/>
      <w:bookmarkStart w:id="226" w:name="_Toc24000"/>
      <w:r>
        <w:rPr>
          <w:rFonts w:hint="eastAsia"/>
          <w:color w:val="auto"/>
          <w:lang w:val="en-US" w:eastAsia="zh-CN"/>
        </w:rPr>
        <w:t>6.1.2</w:t>
      </w:r>
      <w:r>
        <w:rPr>
          <w:rFonts w:hint="default"/>
          <w:color w:val="auto"/>
          <w:lang w:val="en-US" w:eastAsia="zh-CN"/>
        </w:rPr>
        <w:t>大气环境影响</w:t>
      </w:r>
      <w:r>
        <w:rPr>
          <w:rFonts w:hint="eastAsia"/>
          <w:color w:val="auto"/>
          <w:lang w:val="en-US" w:eastAsia="zh-CN"/>
        </w:rPr>
        <w:t>评价</w:t>
      </w:r>
      <w:bookmarkEnd w:id="226"/>
    </w:p>
    <w:p w14:paraId="27C4AA34">
      <w:pPr>
        <w:keepNext w:val="0"/>
        <w:keepLines w:val="0"/>
        <w:pageBreakBefore w:val="0"/>
        <w:widowControl w:val="0"/>
        <w:kinsoku/>
        <w:wordWrap/>
        <w:overflowPunct/>
        <w:topLinePunct w:val="0"/>
        <w:autoSpaceDE w:val="0"/>
        <w:autoSpaceDN w:val="0"/>
        <w:bidi w:val="0"/>
        <w:adjustRightInd w:val="0"/>
        <w:snapToGrid w:val="0"/>
        <w:spacing w:before="0" w:beforeLines="50"/>
        <w:textAlignment w:val="auto"/>
        <w:rPr>
          <w:rFonts w:hint="default" w:ascii="Times New Roman" w:hAnsi="Times New Roman" w:eastAsia="宋体" w:cs="Times New Roman"/>
          <w:color w:val="auto"/>
          <w:spacing w:val="0"/>
          <w:w w:val="100"/>
          <w:position w:val="0"/>
          <w:sz w:val="24"/>
          <w:szCs w:val="24"/>
          <w:highlight w:val="yellow"/>
        </w:rPr>
      </w:pPr>
      <w:r>
        <w:rPr>
          <w:rFonts w:hint="default" w:ascii="Times New Roman" w:hAnsi="Times New Roman" w:eastAsia="宋体" w:cs="Times New Roman"/>
          <w:color w:val="auto"/>
          <w:spacing w:val="0"/>
          <w:w w:val="100"/>
          <w:position w:val="0"/>
          <w:sz w:val="24"/>
          <w:szCs w:val="24"/>
          <w:highlight w:val="none"/>
          <w:lang w:val="en-US" w:eastAsia="zh-CN"/>
        </w:rPr>
        <w:t>从估算结果可知，项目</w:t>
      </w:r>
      <w:r>
        <w:rPr>
          <w:rFonts w:hint="eastAsia" w:ascii="Times New Roman" w:hAnsi="Times New Roman" w:cs="Times New Roman"/>
          <w:color w:val="auto"/>
          <w:spacing w:val="0"/>
          <w:w w:val="100"/>
          <w:position w:val="0"/>
          <w:sz w:val="24"/>
          <w:szCs w:val="24"/>
          <w:highlight w:val="none"/>
          <w:lang w:val="en-US" w:eastAsia="zh-CN"/>
        </w:rPr>
        <w:t>有组织废气排口</w:t>
      </w:r>
      <w:r>
        <w:rPr>
          <w:rFonts w:hint="default" w:ascii="Times New Roman" w:hAnsi="Times New Roman" w:eastAsia="宋体" w:cs="Times New Roman"/>
          <w:color w:val="auto"/>
          <w:spacing w:val="0"/>
          <w:w w:val="100"/>
          <w:position w:val="0"/>
          <w:sz w:val="24"/>
          <w:szCs w:val="24"/>
          <w:highlight w:val="none"/>
          <w:lang w:val="en-US" w:eastAsia="zh-CN"/>
        </w:rPr>
        <w:t>（DA001）</w:t>
      </w:r>
      <w:r>
        <w:rPr>
          <w:rFonts w:hint="eastAsia" w:ascii="Times New Roman" w:hAnsi="Times New Roman" w:cs="Times New Roman"/>
          <w:color w:val="auto"/>
          <w:spacing w:val="0"/>
          <w:w w:val="100"/>
          <w:position w:val="0"/>
          <w:sz w:val="24"/>
          <w:szCs w:val="24"/>
          <w:highlight w:val="none"/>
          <w:lang w:val="en-US" w:eastAsia="zh-CN"/>
        </w:rPr>
        <w:t>非甲烷总烃</w:t>
      </w:r>
      <w:r>
        <w:rPr>
          <w:rFonts w:hint="default" w:ascii="Times New Roman" w:hAnsi="Times New Roman" w:eastAsia="宋体" w:cs="Times New Roman"/>
          <w:color w:val="auto"/>
          <w:spacing w:val="0"/>
          <w:w w:val="100"/>
          <w:position w:val="0"/>
          <w:sz w:val="24"/>
          <w:szCs w:val="24"/>
          <w:highlight w:val="none"/>
          <w:lang w:val="en-US" w:eastAsia="zh-CN"/>
        </w:rPr>
        <w:t>最大落地浓度为</w:t>
      </w:r>
      <w:r>
        <w:rPr>
          <w:rFonts w:hint="eastAsia" w:cs="Times New Roman"/>
          <w:color w:val="auto"/>
          <w:spacing w:val="0"/>
          <w:w w:val="100"/>
          <w:position w:val="0"/>
          <w:sz w:val="24"/>
          <w:szCs w:val="24"/>
          <w:highlight w:val="none"/>
          <w:lang w:val="en-US" w:eastAsia="zh-CN"/>
        </w:rPr>
        <w:t>3.341u</w:t>
      </w:r>
      <w:r>
        <w:rPr>
          <w:rFonts w:hint="default" w:ascii="Times New Roman" w:hAnsi="Times New Roman" w:eastAsia="宋体" w:cs="Times New Roman"/>
          <w:color w:val="auto"/>
          <w:spacing w:val="0"/>
          <w:w w:val="100"/>
          <w:position w:val="0"/>
          <w:sz w:val="24"/>
          <w:szCs w:val="24"/>
          <w:highlight w:val="none"/>
          <w:lang w:val="en-US" w:eastAsia="zh-CN"/>
        </w:rPr>
        <w:t>g/m</w:t>
      </w:r>
      <w:r>
        <w:rPr>
          <w:rFonts w:hint="default" w:ascii="Times New Roman" w:hAnsi="Times New Roman" w:eastAsia="宋体" w:cs="Times New Roman"/>
          <w:color w:val="auto"/>
          <w:spacing w:val="0"/>
          <w:w w:val="100"/>
          <w:position w:val="0"/>
          <w:sz w:val="24"/>
          <w:szCs w:val="24"/>
          <w:highlight w:val="none"/>
          <w:vertAlign w:val="superscript"/>
          <w:lang w:val="en-US" w:eastAsia="zh-CN"/>
        </w:rPr>
        <w:t>3</w:t>
      </w:r>
      <w:r>
        <w:rPr>
          <w:rFonts w:hint="default" w:ascii="Times New Roman" w:hAnsi="Times New Roman" w:eastAsia="宋体" w:cs="Times New Roman"/>
          <w:color w:val="auto"/>
          <w:spacing w:val="0"/>
          <w:w w:val="100"/>
          <w:position w:val="0"/>
          <w:sz w:val="24"/>
          <w:szCs w:val="24"/>
          <w:highlight w:val="none"/>
          <w:lang w:val="en-US" w:eastAsia="zh-CN"/>
        </w:rPr>
        <w:t>，最大占标率为</w:t>
      </w:r>
      <w:r>
        <w:rPr>
          <w:rFonts w:hint="eastAsia" w:cs="Times New Roman"/>
          <w:color w:val="auto"/>
          <w:spacing w:val="0"/>
          <w:w w:val="100"/>
          <w:position w:val="0"/>
          <w:sz w:val="24"/>
          <w:szCs w:val="24"/>
          <w:highlight w:val="none"/>
          <w:lang w:val="en-US" w:eastAsia="zh-CN"/>
        </w:rPr>
        <w:t>0.17</w:t>
      </w:r>
      <w:r>
        <w:rPr>
          <w:rFonts w:hint="default" w:ascii="Times New Roman" w:hAnsi="Times New Roman" w:eastAsia="宋体" w:cs="Times New Roman"/>
          <w:color w:val="auto"/>
          <w:spacing w:val="0"/>
          <w:w w:val="100"/>
          <w:position w:val="0"/>
          <w:sz w:val="24"/>
          <w:szCs w:val="24"/>
          <w:highlight w:val="none"/>
          <w:lang w:val="en-US" w:eastAsia="zh-CN"/>
        </w:rPr>
        <w:t>%；项目区无组织颗粒物、非甲烷总烃的最大占标率为分别为</w:t>
      </w:r>
      <w:r>
        <w:rPr>
          <w:rFonts w:hint="eastAsia" w:cs="Times New Roman"/>
          <w:color w:val="auto"/>
          <w:spacing w:val="0"/>
          <w:w w:val="100"/>
          <w:position w:val="0"/>
          <w:sz w:val="24"/>
          <w:szCs w:val="24"/>
          <w:highlight w:val="none"/>
          <w:lang w:val="en-US" w:eastAsia="zh-CN"/>
        </w:rPr>
        <w:t>4.53</w:t>
      </w:r>
      <w:r>
        <w:rPr>
          <w:rFonts w:hint="default" w:ascii="Times New Roman" w:hAnsi="Times New Roman" w:eastAsia="宋体" w:cs="Times New Roman"/>
          <w:color w:val="auto"/>
          <w:spacing w:val="0"/>
          <w:w w:val="100"/>
          <w:position w:val="0"/>
          <w:sz w:val="24"/>
          <w:szCs w:val="24"/>
          <w:highlight w:val="none"/>
          <w:lang w:val="en-US" w:eastAsia="zh-CN"/>
        </w:rPr>
        <w:t>%、</w:t>
      </w:r>
      <w:r>
        <w:rPr>
          <w:rFonts w:hint="eastAsia" w:cs="Times New Roman"/>
          <w:color w:val="auto"/>
          <w:spacing w:val="0"/>
          <w:w w:val="100"/>
          <w:position w:val="0"/>
          <w:sz w:val="24"/>
          <w:szCs w:val="24"/>
          <w:highlight w:val="none"/>
          <w:lang w:val="en-US" w:eastAsia="zh-CN"/>
        </w:rPr>
        <w:t>4.33</w:t>
      </w:r>
      <w:r>
        <w:rPr>
          <w:rFonts w:hint="default" w:ascii="Times New Roman" w:hAnsi="Times New Roman" w:eastAsia="宋体" w:cs="Times New Roman"/>
          <w:color w:val="auto"/>
          <w:spacing w:val="0"/>
          <w:w w:val="100"/>
          <w:position w:val="0"/>
          <w:sz w:val="24"/>
          <w:szCs w:val="24"/>
          <w:highlight w:val="none"/>
          <w:lang w:val="en-US" w:eastAsia="zh-CN"/>
        </w:rPr>
        <w:t>%。确定本项目大气环境影响评价等级为二级。</w:t>
      </w:r>
    </w:p>
    <w:p w14:paraId="52FBB3FB">
      <w:pPr>
        <w:pageBreakBefore w:val="0"/>
        <w:kinsoku/>
        <w:wordWrap/>
        <w:overflowPunct/>
        <w:topLinePunct w:val="0"/>
        <w:bidi w:val="0"/>
        <w:rPr>
          <w:rFonts w:hint="default"/>
          <w:color w:val="auto"/>
        </w:rPr>
      </w:pPr>
      <w:r>
        <w:rPr>
          <w:rFonts w:hint="default" w:ascii="Times New Roman" w:hAnsi="Times New Roman" w:eastAsia="宋体" w:cs="Times New Roman"/>
          <w:color w:val="auto"/>
          <w:spacing w:val="0"/>
          <w:w w:val="100"/>
          <w:position w:val="0"/>
          <w:szCs w:val="24"/>
          <w:highlight w:val="none"/>
          <w:lang w:val="en-US" w:eastAsia="zh-CN"/>
        </w:rPr>
        <w:t>项目正常工况下排放的废气对区域大气环境贡</w:t>
      </w:r>
      <w:r>
        <w:rPr>
          <w:rFonts w:hint="default"/>
          <w:color w:val="auto"/>
          <w:lang w:val="en-US" w:eastAsia="zh-CN"/>
        </w:rPr>
        <w:t>献值很小，对厂址附近大气环境空气影响较小。</w:t>
      </w:r>
    </w:p>
    <w:p w14:paraId="2F6018E0">
      <w:pPr>
        <w:pStyle w:val="5"/>
        <w:keepNext/>
        <w:keepLines/>
        <w:pageBreakBefore w:val="0"/>
        <w:widowControl w:val="0"/>
        <w:kinsoku/>
        <w:wordWrap/>
        <w:overflowPunct/>
        <w:topLinePunct w:val="0"/>
        <w:autoSpaceDE w:val="0"/>
        <w:autoSpaceDN w:val="0"/>
        <w:bidi w:val="0"/>
        <w:adjustRightInd w:val="0"/>
        <w:snapToGrid w:val="0"/>
        <w:spacing w:before="0" w:beforeLines="50"/>
        <w:textAlignment w:val="auto"/>
        <w:rPr>
          <w:rFonts w:hint="default"/>
          <w:color w:val="auto"/>
          <w:lang w:val="en-US" w:eastAsia="zh-CN"/>
        </w:rPr>
      </w:pPr>
      <w:bookmarkStart w:id="227" w:name="6.1.6 大气环境影响评价结论"/>
      <w:bookmarkEnd w:id="227"/>
      <w:bookmarkStart w:id="228" w:name="6.1.6 大气环境影响评价结论"/>
      <w:bookmarkEnd w:id="228"/>
      <w:bookmarkStart w:id="229" w:name="_Toc32061"/>
      <w:bookmarkStart w:id="230" w:name="_Toc3729"/>
      <w:r>
        <w:rPr>
          <w:rFonts w:hint="eastAsia"/>
          <w:color w:val="auto"/>
          <w:lang w:val="en-US" w:eastAsia="zh-CN"/>
        </w:rPr>
        <w:t>6.1.5</w:t>
      </w:r>
      <w:r>
        <w:rPr>
          <w:rFonts w:hint="default"/>
          <w:color w:val="auto"/>
          <w:lang w:val="en-US" w:eastAsia="zh-CN"/>
        </w:rPr>
        <w:t>大气环境影响评价结论</w:t>
      </w:r>
      <w:bookmarkEnd w:id="229"/>
      <w:bookmarkEnd w:id="230"/>
    </w:p>
    <w:p w14:paraId="3FCBE0D8">
      <w:pPr>
        <w:pageBreakBefore w:val="0"/>
        <w:kinsoku/>
        <w:wordWrap/>
        <w:overflowPunct/>
        <w:topLinePunct w:val="0"/>
        <w:bidi w:val="0"/>
        <w:rPr>
          <w:color w:val="auto"/>
          <w:spacing w:val="0"/>
          <w:w w:val="100"/>
          <w:position w:val="0"/>
        </w:rPr>
      </w:pPr>
      <w:r>
        <w:rPr>
          <w:color w:val="auto"/>
          <w:spacing w:val="0"/>
          <w:w w:val="100"/>
          <w:position w:val="0"/>
        </w:rPr>
        <w:t>本项目在落实评价提出的大气治理措施后，根据预测分析评价，各污染物达标排放，项目投产后对区域环境空气质量影响不大，不会降低区域大气环境功能级别。正常排放条件下各污染物最大落地浓度点所在地的环境质量均可达到相关标准要求。因此，在落实各项目大气污染防治措施的前提下，本项目对大气环境的影响较小，本项目的建设对周围大气环境的影响在可承受范围内。本项目大气环境影响评价自查表见表</w:t>
      </w:r>
      <w:r>
        <w:rPr>
          <w:rFonts w:ascii="Times New Roman" w:eastAsia="Times New Roman"/>
          <w:color w:val="auto"/>
          <w:spacing w:val="0"/>
          <w:w w:val="100"/>
          <w:position w:val="0"/>
        </w:rPr>
        <w:t>6.1-1</w:t>
      </w:r>
      <w:r>
        <w:rPr>
          <w:rFonts w:hint="eastAsia"/>
          <w:color w:val="auto"/>
          <w:spacing w:val="0"/>
          <w:w w:val="100"/>
          <w:position w:val="0"/>
          <w:lang w:val="en-US" w:eastAsia="zh-CN"/>
        </w:rPr>
        <w:t>2</w:t>
      </w:r>
      <w:r>
        <w:rPr>
          <w:color w:val="auto"/>
          <w:spacing w:val="0"/>
          <w:w w:val="100"/>
          <w:position w:val="0"/>
        </w:rPr>
        <w:t>。</w:t>
      </w:r>
    </w:p>
    <w:p w14:paraId="1A665852">
      <w:pPr>
        <w:pStyle w:val="4"/>
        <w:keepNext w:val="0"/>
        <w:keepLines w:val="0"/>
        <w:pageBreakBefore w:val="0"/>
        <w:widowControl/>
        <w:kinsoku/>
        <w:wordWrap/>
        <w:overflowPunct/>
        <w:topLinePunct w:val="0"/>
        <w:autoSpaceDE/>
        <w:autoSpaceDN/>
        <w:bidi w:val="0"/>
        <w:adjustRightInd w:val="0"/>
        <w:snapToGrid w:val="0"/>
        <w:spacing w:before="0" w:beforeLines="50"/>
        <w:textAlignment w:val="auto"/>
        <w:rPr>
          <w:rFonts w:hint="eastAsia"/>
          <w:color w:val="auto"/>
          <w:lang w:val="en-US" w:eastAsia="zh-CN"/>
        </w:rPr>
      </w:pPr>
      <w:bookmarkStart w:id="231" w:name="_bookmark33"/>
      <w:bookmarkEnd w:id="231"/>
      <w:bookmarkStart w:id="232" w:name="_bookmark33"/>
      <w:bookmarkEnd w:id="232"/>
      <w:bookmarkStart w:id="233" w:name="6.2 地表水影响分析"/>
      <w:bookmarkEnd w:id="233"/>
      <w:bookmarkStart w:id="234" w:name="_Toc9863"/>
      <w:bookmarkStart w:id="235" w:name="_Toc19442"/>
      <w:bookmarkStart w:id="236" w:name="_Toc28863"/>
      <w:r>
        <w:rPr>
          <w:rFonts w:hint="eastAsia"/>
          <w:color w:val="auto"/>
          <w:lang w:val="en-US" w:eastAsia="zh-CN"/>
        </w:rPr>
        <w:t>6.2地表水影响分析</w:t>
      </w:r>
      <w:bookmarkEnd w:id="234"/>
      <w:bookmarkEnd w:id="235"/>
      <w:bookmarkEnd w:id="236"/>
    </w:p>
    <w:p w14:paraId="11326CAC">
      <w:pPr>
        <w:pStyle w:val="8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mallCaps w:val="0"/>
          <w:color w:val="auto"/>
          <w:kern w:val="0"/>
          <w:highlight w:val="none"/>
          <w:lang w:val="zh-CN"/>
        </w:rPr>
      </w:pPr>
      <w:r>
        <w:rPr>
          <w:rFonts w:hint="default" w:ascii="Times New Roman" w:hAnsi="Times New Roman" w:eastAsia="宋体" w:cs="Times New Roman"/>
          <w:smallCaps w:val="0"/>
          <w:color w:val="auto"/>
          <w:kern w:val="0"/>
          <w:highlight w:val="none"/>
          <w:lang w:val="zh-CN"/>
        </w:rPr>
        <w:t>根据《环境影响评价技术导则地表水环境》（HJ2.3-2018），本项目生产过程中生产废水</w:t>
      </w:r>
      <w:r>
        <w:rPr>
          <w:rFonts w:hint="eastAsia" w:ascii="Times New Roman" w:hAnsi="Times New Roman" w:eastAsia="宋体" w:cs="Times New Roman"/>
          <w:smallCaps w:val="0"/>
          <w:color w:val="auto"/>
          <w:kern w:val="0"/>
          <w:highlight w:val="none"/>
          <w:lang w:val="zh-CN"/>
        </w:rPr>
        <w:t>循环使用不外排，排放</w:t>
      </w:r>
      <w:r>
        <w:rPr>
          <w:rFonts w:hint="default" w:ascii="Times New Roman" w:hAnsi="Times New Roman" w:eastAsia="宋体" w:cs="Times New Roman"/>
          <w:smallCaps w:val="0"/>
          <w:color w:val="auto"/>
          <w:kern w:val="0"/>
          <w:highlight w:val="none"/>
          <w:lang w:val="zh-CN"/>
        </w:rPr>
        <w:t>，评价等级为三级B。</w:t>
      </w:r>
    </w:p>
    <w:p w14:paraId="24C99FD0">
      <w:pPr>
        <w:pStyle w:val="8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mallCaps w:val="0"/>
          <w:color w:val="auto"/>
          <w:kern w:val="0"/>
          <w:highlight w:val="none"/>
          <w:lang w:val="zh-CN"/>
        </w:rPr>
      </w:pPr>
      <w:r>
        <w:rPr>
          <w:rFonts w:hint="default" w:ascii="Times New Roman" w:hAnsi="Times New Roman" w:eastAsia="宋体" w:cs="Times New Roman"/>
          <w:smallCaps w:val="0"/>
          <w:color w:val="auto"/>
          <w:kern w:val="0"/>
          <w:highlight w:val="none"/>
          <w:lang w:val="zh-CN"/>
        </w:rPr>
        <w:t>本项目废水</w:t>
      </w:r>
      <w:r>
        <w:rPr>
          <w:rFonts w:hint="eastAsia" w:ascii="Times New Roman" w:hAnsi="Times New Roman" w:eastAsia="宋体" w:cs="Times New Roman"/>
          <w:smallCaps w:val="0"/>
          <w:color w:val="auto"/>
          <w:kern w:val="0"/>
          <w:highlight w:val="none"/>
          <w:lang w:val="zh-CN"/>
        </w:rPr>
        <w:t>主要为</w:t>
      </w:r>
      <w:r>
        <w:rPr>
          <w:color w:val="auto"/>
        </w:rPr>
        <w:t>生活</w:t>
      </w:r>
      <w:r>
        <w:rPr>
          <w:rFonts w:hint="eastAsia"/>
          <w:color w:val="auto"/>
          <w:lang w:eastAsia="zh-CN"/>
        </w:rPr>
        <w:t>污水</w:t>
      </w:r>
      <w:r>
        <w:rPr>
          <w:color w:val="auto"/>
        </w:rPr>
        <w:t>、废塑料清洗</w:t>
      </w:r>
      <w:r>
        <w:rPr>
          <w:rFonts w:hint="eastAsia"/>
          <w:color w:val="auto"/>
          <w:lang w:eastAsia="zh-CN"/>
        </w:rPr>
        <w:t>废水</w:t>
      </w:r>
      <w:r>
        <w:rPr>
          <w:color w:val="auto"/>
        </w:rPr>
        <w:t>、破碎工序喷淋</w:t>
      </w:r>
      <w:r>
        <w:rPr>
          <w:rFonts w:hint="eastAsia"/>
          <w:color w:val="auto"/>
          <w:lang w:eastAsia="zh-CN"/>
        </w:rPr>
        <w:t>废水</w:t>
      </w:r>
      <w:r>
        <w:rPr>
          <w:color w:val="auto"/>
        </w:rPr>
        <w:t>水</w:t>
      </w:r>
      <w:r>
        <w:rPr>
          <w:rFonts w:hint="eastAsia"/>
          <w:color w:val="auto"/>
          <w:lang w:eastAsia="zh-CN"/>
        </w:rPr>
        <w:t>及</w:t>
      </w:r>
      <w:r>
        <w:rPr>
          <w:color w:val="auto"/>
        </w:rPr>
        <w:t>冷却</w:t>
      </w:r>
      <w:r>
        <w:rPr>
          <w:rFonts w:hint="eastAsia"/>
          <w:color w:val="auto"/>
          <w:lang w:eastAsia="zh-CN"/>
        </w:rPr>
        <w:t>废水</w:t>
      </w:r>
      <w:r>
        <w:rPr>
          <w:rFonts w:hint="default" w:ascii="Times New Roman" w:hAnsi="Times New Roman" w:eastAsia="宋体" w:cs="Times New Roman"/>
          <w:smallCaps w:val="0"/>
          <w:color w:val="auto"/>
          <w:kern w:val="0"/>
          <w:highlight w:val="none"/>
          <w:lang w:val="zh-CN"/>
        </w:rPr>
        <w:t>。</w:t>
      </w:r>
    </w:p>
    <w:p w14:paraId="0F2F2E01">
      <w:pPr>
        <w:pageBreakBefore w:val="0"/>
        <w:kinsoku/>
        <w:wordWrap/>
        <w:overflowPunct/>
        <w:topLinePunct w:val="0"/>
        <w:bidi w:val="0"/>
        <w:rPr>
          <w:color w:val="auto"/>
        </w:rPr>
      </w:pPr>
      <w:r>
        <w:rPr>
          <w:rFonts w:hint="default" w:ascii="Times New Roman" w:hAnsi="Times New Roman" w:eastAsia="宋体" w:cs="Times New Roman"/>
          <w:smallCaps w:val="0"/>
          <w:color w:val="auto"/>
          <w:kern w:val="0"/>
          <w:highlight w:val="none"/>
          <w:lang w:val="zh-CN"/>
        </w:rPr>
        <w:t>项目设有一座沉淀池，</w:t>
      </w:r>
      <w:r>
        <w:rPr>
          <w:color w:val="auto"/>
        </w:rPr>
        <w:t>废塑料清洗</w:t>
      </w:r>
      <w:r>
        <w:rPr>
          <w:rFonts w:hint="eastAsia"/>
          <w:color w:val="auto"/>
          <w:lang w:eastAsia="zh-CN"/>
        </w:rPr>
        <w:t>废水排入</w:t>
      </w:r>
      <w:r>
        <w:rPr>
          <w:rFonts w:hint="default" w:ascii="Times New Roman" w:hAnsi="Times New Roman" w:eastAsia="宋体" w:cs="Times New Roman"/>
          <w:smallCaps w:val="0"/>
          <w:color w:val="auto"/>
          <w:kern w:val="0"/>
          <w:highlight w:val="none"/>
          <w:lang w:val="zh-CN"/>
        </w:rPr>
        <w:t>沉淀池处理后全部回用不外排。项目厂区内设有工艺冷却循环水池</w:t>
      </w:r>
      <w:r>
        <w:rPr>
          <w:rFonts w:hint="eastAsia" w:ascii="Times New Roman" w:hAnsi="Times New Roman" w:eastAsia="宋体" w:cs="Times New Roman"/>
          <w:smallCaps w:val="0"/>
          <w:color w:val="auto"/>
          <w:kern w:val="0"/>
          <w:highlight w:val="none"/>
          <w:lang w:val="en-US" w:eastAsia="zh-CN"/>
        </w:rPr>
        <w:t>1座</w:t>
      </w:r>
      <w:r>
        <w:rPr>
          <w:rFonts w:hint="default" w:ascii="Times New Roman" w:hAnsi="Times New Roman" w:eastAsia="宋体" w:cs="Times New Roman"/>
          <w:smallCaps w:val="0"/>
          <w:color w:val="auto"/>
          <w:kern w:val="0"/>
          <w:highlight w:val="none"/>
          <w:lang w:val="zh-CN"/>
        </w:rPr>
        <w:t>，主要用于造粒冷却和产品生产冷却用水，冷却水循环使用，不排放。</w:t>
      </w:r>
      <w:r>
        <w:rPr>
          <w:rFonts w:hint="default" w:ascii="Times New Roman" w:hAnsi="Times New Roman" w:eastAsia="宋体" w:cs="Times New Roman"/>
          <w:smallCaps w:val="0"/>
          <w:color w:val="auto"/>
          <w:kern w:val="0"/>
          <w:highlight w:val="none"/>
          <w:lang w:val="zh-CN" w:eastAsia="zh-CN"/>
        </w:rPr>
        <w:t>生活污水经地埋式一体化污水处理设备处理后排入下水管网，最终进入乌雪特乡污水处理站</w:t>
      </w:r>
      <w:r>
        <w:rPr>
          <w:rFonts w:hint="default" w:ascii="Times New Roman" w:hAnsi="Times New Roman" w:eastAsia="宋体" w:cs="Times New Roman"/>
          <w:smallCaps w:val="0"/>
          <w:color w:val="auto"/>
          <w:kern w:val="0"/>
          <w:sz w:val="24"/>
          <w:szCs w:val="22"/>
          <w:highlight w:val="none"/>
          <w:lang w:val="zh-CN" w:eastAsia="zh-CN"/>
        </w:rPr>
        <w:t>。</w:t>
      </w:r>
      <w:r>
        <w:rPr>
          <w:rFonts w:hint="eastAsia" w:ascii="宋体" w:hAnsi="宋体" w:eastAsia="宋体" w:cs="宋体"/>
          <w:snapToGrid w:val="0"/>
          <w:color w:val="auto"/>
          <w:kern w:val="0"/>
          <w:sz w:val="24"/>
          <w:szCs w:val="24"/>
          <w:lang w:val="en-US" w:eastAsia="zh-CN" w:bidi="ar"/>
        </w:rPr>
        <w:t>本项目既不从地表水体取水，也不向地表水体排水，不与地表水体发生直接的水力联系。因此，本项目不会对地表水产生影响</w:t>
      </w:r>
      <w:r>
        <w:rPr>
          <w:color w:val="auto"/>
        </w:rPr>
        <w:t>。</w:t>
      </w:r>
    </w:p>
    <w:p w14:paraId="7092E517">
      <w:pPr>
        <w:pStyle w:val="4"/>
        <w:pageBreakBefore w:val="0"/>
        <w:kinsoku/>
        <w:wordWrap/>
        <w:overflowPunct/>
        <w:topLinePunct w:val="0"/>
        <w:bidi w:val="0"/>
        <w:rPr>
          <w:rFonts w:hint="eastAsia"/>
          <w:color w:val="auto"/>
          <w:lang w:val="en-US" w:eastAsia="zh-CN"/>
        </w:rPr>
      </w:pPr>
      <w:bookmarkStart w:id="237" w:name="_bookmark34"/>
      <w:bookmarkEnd w:id="237"/>
      <w:bookmarkStart w:id="238" w:name="_bookmark34"/>
      <w:bookmarkEnd w:id="238"/>
      <w:bookmarkStart w:id="239" w:name="6.3 地下水环境影响分析"/>
      <w:bookmarkEnd w:id="239"/>
      <w:bookmarkStart w:id="240" w:name="_Toc8104"/>
      <w:bookmarkStart w:id="241" w:name="_Toc31225"/>
      <w:bookmarkStart w:id="242" w:name="_Toc2784"/>
      <w:r>
        <w:rPr>
          <w:rFonts w:hint="eastAsia"/>
          <w:color w:val="auto"/>
          <w:lang w:val="en-US" w:eastAsia="zh-CN"/>
        </w:rPr>
        <w:t>6.3地下水环境影响分析</w:t>
      </w:r>
      <w:bookmarkEnd w:id="240"/>
      <w:bookmarkEnd w:id="241"/>
      <w:bookmarkEnd w:id="242"/>
      <w:bookmarkStart w:id="243" w:name="1、正常情况下对地下水环境的影响"/>
      <w:bookmarkEnd w:id="243"/>
    </w:p>
    <w:p w14:paraId="03E8F746">
      <w:pPr>
        <w:pStyle w:val="5"/>
        <w:pageBreakBefore w:val="0"/>
        <w:kinsoku/>
        <w:wordWrap/>
        <w:overflowPunct/>
        <w:topLinePunct w:val="0"/>
        <w:bidi w:val="0"/>
        <w:rPr>
          <w:color w:val="auto"/>
          <w:spacing w:val="0"/>
          <w:w w:val="100"/>
          <w:position w:val="0"/>
        </w:rPr>
      </w:pPr>
      <w:r>
        <w:rPr>
          <w:rFonts w:hint="eastAsia" w:ascii="Times New Roman" w:eastAsia="宋体"/>
          <w:color w:val="auto"/>
          <w:spacing w:val="0"/>
          <w:w w:val="100"/>
          <w:position w:val="0"/>
          <w:lang w:val="en-US" w:eastAsia="zh-CN"/>
        </w:rPr>
        <w:t>6.3.1</w:t>
      </w:r>
      <w:r>
        <w:rPr>
          <w:rFonts w:hint="eastAsia"/>
          <w:color w:val="auto"/>
          <w:spacing w:val="0"/>
          <w:w w:val="100"/>
          <w:position w:val="0"/>
          <w:lang w:val="en-US" w:eastAsia="zh-CN"/>
        </w:rPr>
        <w:t>废水排放去向</w:t>
      </w:r>
    </w:p>
    <w:p w14:paraId="13DDADDC">
      <w:pPr>
        <w:pStyle w:val="85"/>
        <w:keepNext w:val="0"/>
        <w:keepLines w:val="0"/>
        <w:pageBreakBefore w:val="0"/>
        <w:widowControl w:val="0"/>
        <w:kinsoku/>
        <w:wordWrap/>
        <w:overflowPunct/>
        <w:topLinePunct w:val="0"/>
        <w:autoSpaceDE/>
        <w:autoSpaceDN/>
        <w:bidi w:val="0"/>
        <w:adjustRightInd w:val="0"/>
        <w:snapToGrid w:val="0"/>
        <w:spacing w:line="360" w:lineRule="auto"/>
        <w:ind w:firstLine="480" w:firstLineChars="200"/>
        <w:jc w:val="both"/>
        <w:textAlignment w:val="auto"/>
        <w:rPr>
          <w:rFonts w:hint="default" w:ascii="Times New Roman" w:hAnsi="Times New Roman" w:eastAsia="宋体" w:cs="Times New Roman"/>
          <w:smallCaps w:val="0"/>
          <w:color w:val="auto"/>
          <w:kern w:val="0"/>
          <w:highlight w:val="none"/>
          <w:lang w:val="zh-CN"/>
        </w:rPr>
      </w:pPr>
      <w:r>
        <w:rPr>
          <w:rFonts w:hint="default" w:ascii="Times New Roman" w:hAnsi="Times New Roman" w:eastAsia="宋体" w:cs="Times New Roman"/>
          <w:smallCaps w:val="0"/>
          <w:color w:val="auto"/>
          <w:kern w:val="0"/>
          <w:highlight w:val="none"/>
          <w:lang w:val="zh-CN"/>
        </w:rPr>
        <w:t>本项目废水</w:t>
      </w:r>
      <w:r>
        <w:rPr>
          <w:rFonts w:hint="eastAsia" w:ascii="Times New Roman" w:hAnsi="Times New Roman" w:eastAsia="宋体" w:cs="Times New Roman"/>
          <w:smallCaps w:val="0"/>
          <w:color w:val="auto"/>
          <w:kern w:val="0"/>
          <w:highlight w:val="none"/>
          <w:lang w:val="zh-CN"/>
        </w:rPr>
        <w:t>主要为</w:t>
      </w:r>
      <w:r>
        <w:rPr>
          <w:color w:val="auto"/>
        </w:rPr>
        <w:t>生活</w:t>
      </w:r>
      <w:r>
        <w:rPr>
          <w:rFonts w:hint="eastAsia"/>
          <w:color w:val="auto"/>
          <w:lang w:eastAsia="zh-CN"/>
        </w:rPr>
        <w:t>污水</w:t>
      </w:r>
      <w:r>
        <w:rPr>
          <w:color w:val="auto"/>
        </w:rPr>
        <w:t>、废塑料清洗</w:t>
      </w:r>
      <w:r>
        <w:rPr>
          <w:rFonts w:hint="eastAsia"/>
          <w:color w:val="auto"/>
          <w:lang w:eastAsia="zh-CN"/>
        </w:rPr>
        <w:t>废水</w:t>
      </w:r>
      <w:r>
        <w:rPr>
          <w:color w:val="auto"/>
        </w:rPr>
        <w:t>、破碎工序喷淋</w:t>
      </w:r>
      <w:r>
        <w:rPr>
          <w:rFonts w:hint="eastAsia"/>
          <w:color w:val="auto"/>
          <w:lang w:eastAsia="zh-CN"/>
        </w:rPr>
        <w:t>废水</w:t>
      </w:r>
      <w:r>
        <w:rPr>
          <w:color w:val="auto"/>
        </w:rPr>
        <w:t>水</w:t>
      </w:r>
      <w:r>
        <w:rPr>
          <w:rFonts w:hint="eastAsia"/>
          <w:color w:val="auto"/>
          <w:lang w:eastAsia="zh-CN"/>
        </w:rPr>
        <w:t>及</w:t>
      </w:r>
      <w:r>
        <w:rPr>
          <w:color w:val="auto"/>
        </w:rPr>
        <w:t>冷却</w:t>
      </w:r>
      <w:r>
        <w:rPr>
          <w:rFonts w:hint="eastAsia"/>
          <w:color w:val="auto"/>
          <w:lang w:eastAsia="zh-CN"/>
        </w:rPr>
        <w:t>废水</w:t>
      </w:r>
      <w:r>
        <w:rPr>
          <w:rFonts w:hint="default" w:ascii="Times New Roman" w:hAnsi="Times New Roman" w:eastAsia="宋体" w:cs="Times New Roman"/>
          <w:smallCaps w:val="0"/>
          <w:color w:val="auto"/>
          <w:kern w:val="0"/>
          <w:highlight w:val="none"/>
          <w:lang w:val="zh-CN"/>
        </w:rPr>
        <w:t>。</w:t>
      </w:r>
    </w:p>
    <w:p w14:paraId="2AC8DB12">
      <w:pPr>
        <w:widowControl/>
        <w:spacing w:line="360" w:lineRule="auto"/>
        <w:ind w:firstLine="480"/>
        <w:outlineLvl w:val="9"/>
        <w:rPr>
          <w:rFonts w:hint="eastAsia" w:ascii="Times New Roman" w:hAnsi="Times New Roman" w:cs="Times New Roman"/>
          <w:color w:val="auto"/>
          <w:kern w:val="0"/>
          <w:szCs w:val="24"/>
          <w:lang w:val="en-US" w:eastAsia="zh-CN" w:bidi="ar"/>
        </w:rPr>
      </w:pPr>
      <w:r>
        <w:rPr>
          <w:rFonts w:hint="default" w:ascii="Times New Roman" w:hAnsi="Times New Roman" w:eastAsia="宋体" w:cs="Times New Roman"/>
          <w:smallCaps w:val="0"/>
          <w:color w:val="auto"/>
          <w:kern w:val="0"/>
          <w:highlight w:val="none"/>
          <w:lang w:val="zh-CN"/>
        </w:rPr>
        <w:t>项目设有一座沉淀池，</w:t>
      </w:r>
      <w:r>
        <w:rPr>
          <w:color w:val="auto"/>
        </w:rPr>
        <w:t>废塑料清洗</w:t>
      </w:r>
      <w:r>
        <w:rPr>
          <w:rFonts w:hint="eastAsia"/>
          <w:color w:val="auto"/>
          <w:lang w:eastAsia="zh-CN"/>
        </w:rPr>
        <w:t>废水排入</w:t>
      </w:r>
      <w:r>
        <w:rPr>
          <w:rFonts w:hint="default" w:ascii="Times New Roman" w:hAnsi="Times New Roman" w:eastAsia="宋体" w:cs="Times New Roman"/>
          <w:smallCaps w:val="0"/>
          <w:color w:val="auto"/>
          <w:kern w:val="0"/>
          <w:highlight w:val="none"/>
          <w:lang w:val="zh-CN"/>
        </w:rPr>
        <w:t>沉淀池处理后全部回用不外排。项目厂区内设有工艺冷却循环水池</w:t>
      </w:r>
      <w:r>
        <w:rPr>
          <w:rFonts w:hint="eastAsia" w:ascii="Times New Roman" w:hAnsi="Times New Roman" w:eastAsia="宋体" w:cs="Times New Roman"/>
          <w:smallCaps w:val="0"/>
          <w:color w:val="auto"/>
          <w:kern w:val="0"/>
          <w:highlight w:val="none"/>
          <w:lang w:val="en-US" w:eastAsia="zh-CN"/>
        </w:rPr>
        <w:t>1座</w:t>
      </w:r>
      <w:r>
        <w:rPr>
          <w:rFonts w:hint="default" w:ascii="Times New Roman" w:hAnsi="Times New Roman" w:eastAsia="宋体" w:cs="Times New Roman"/>
          <w:smallCaps w:val="0"/>
          <w:color w:val="auto"/>
          <w:kern w:val="0"/>
          <w:highlight w:val="none"/>
          <w:lang w:val="zh-CN"/>
        </w:rPr>
        <w:t>，主要用于造粒冷却和产品生产冷却用水，冷却水循环使用，不排放。</w:t>
      </w:r>
      <w:r>
        <w:rPr>
          <w:rFonts w:hint="default" w:ascii="Times New Roman" w:hAnsi="Times New Roman" w:eastAsia="宋体" w:cs="Times New Roman"/>
          <w:smallCaps w:val="0"/>
          <w:color w:val="auto"/>
          <w:kern w:val="0"/>
          <w:highlight w:val="none"/>
          <w:lang w:val="zh-CN" w:eastAsia="zh-CN"/>
        </w:rPr>
        <w:t>生活污水经地埋式一体化污水处理设备处理后排入下水管网，最终进入乌雪特乡污水处理站</w:t>
      </w:r>
      <w:r>
        <w:rPr>
          <w:rFonts w:hint="default" w:ascii="Times New Roman" w:hAnsi="Times New Roman" w:eastAsia="宋体" w:cs="Times New Roman"/>
          <w:smallCaps w:val="0"/>
          <w:color w:val="auto"/>
          <w:kern w:val="0"/>
          <w:sz w:val="24"/>
          <w:szCs w:val="22"/>
          <w:highlight w:val="none"/>
          <w:lang w:val="zh-CN" w:eastAsia="zh-CN"/>
        </w:rPr>
        <w:t>。</w:t>
      </w:r>
      <w:r>
        <w:rPr>
          <w:rFonts w:hint="eastAsia" w:ascii="宋体" w:hAnsi="宋体" w:eastAsia="宋体" w:cs="宋体"/>
          <w:snapToGrid w:val="0"/>
          <w:color w:val="auto"/>
          <w:kern w:val="0"/>
          <w:sz w:val="24"/>
          <w:szCs w:val="24"/>
          <w:lang w:val="en-US" w:eastAsia="zh-CN" w:bidi="ar"/>
        </w:rPr>
        <w:t>因此，本项目不会对地</w:t>
      </w:r>
      <w:r>
        <w:rPr>
          <w:rFonts w:hint="eastAsia" w:ascii="宋体" w:hAnsi="宋体" w:cs="宋体"/>
          <w:snapToGrid w:val="0"/>
          <w:color w:val="auto"/>
          <w:kern w:val="0"/>
          <w:sz w:val="24"/>
          <w:szCs w:val="24"/>
          <w:lang w:val="en-US" w:eastAsia="zh-CN" w:bidi="ar"/>
        </w:rPr>
        <w:t>下</w:t>
      </w:r>
      <w:r>
        <w:rPr>
          <w:rFonts w:hint="eastAsia" w:ascii="宋体" w:hAnsi="宋体" w:eastAsia="宋体" w:cs="宋体"/>
          <w:snapToGrid w:val="0"/>
          <w:color w:val="auto"/>
          <w:kern w:val="0"/>
          <w:sz w:val="24"/>
          <w:szCs w:val="24"/>
          <w:lang w:val="en-US" w:eastAsia="zh-CN" w:bidi="ar"/>
        </w:rPr>
        <w:t>水产生影响</w:t>
      </w:r>
      <w:r>
        <w:rPr>
          <w:color w:val="auto"/>
        </w:rPr>
        <w:t>。</w:t>
      </w:r>
    </w:p>
    <w:p w14:paraId="0872C17B">
      <w:pPr>
        <w:pStyle w:val="5"/>
        <w:pageBreakBefore w:val="0"/>
        <w:kinsoku/>
        <w:wordWrap/>
        <w:overflowPunct/>
        <w:topLinePunct w:val="0"/>
        <w:bidi w:val="0"/>
        <w:rPr>
          <w:color w:val="auto"/>
          <w:spacing w:val="0"/>
          <w:w w:val="100"/>
          <w:position w:val="0"/>
        </w:rPr>
      </w:pPr>
      <w:r>
        <w:rPr>
          <w:rFonts w:hint="eastAsia" w:ascii="Times New Roman" w:eastAsia="宋体"/>
          <w:color w:val="auto"/>
          <w:spacing w:val="0"/>
          <w:w w:val="100"/>
          <w:position w:val="0"/>
          <w:lang w:val="en-US" w:eastAsia="zh-CN"/>
        </w:rPr>
        <w:t>6.3.</w:t>
      </w:r>
      <w:r>
        <w:rPr>
          <w:rFonts w:hint="eastAsia"/>
          <w:color w:val="auto"/>
          <w:spacing w:val="0"/>
          <w:w w:val="100"/>
          <w:position w:val="0"/>
          <w:lang w:val="en-US" w:eastAsia="zh-CN"/>
        </w:rPr>
        <w:t>2废水排放依托可行性</w:t>
      </w:r>
    </w:p>
    <w:p w14:paraId="618D418A">
      <w:pPr>
        <w:widowControl/>
        <w:spacing w:line="360" w:lineRule="auto"/>
        <w:ind w:firstLine="480"/>
        <w:outlineLvl w:val="9"/>
        <w:rPr>
          <w:rFonts w:hint="default" w:ascii="Times New Roman" w:hAnsi="Times New Roman" w:eastAsia="宋体" w:cs="Times New Roman"/>
          <w:color w:val="auto"/>
          <w:sz w:val="24"/>
          <w:szCs w:val="24"/>
        </w:rPr>
      </w:pP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位于塔城地区托里县</w:t>
      </w:r>
      <w:r>
        <w:rPr>
          <w:rFonts w:hint="eastAsia" w:cs="Times New Roman"/>
          <w:color w:val="auto"/>
          <w:sz w:val="24"/>
          <w:szCs w:val="24"/>
          <w:lang w:eastAsia="zh-CN"/>
        </w:rPr>
        <w:t>乌雪特乡西侧</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距离本项目区约</w:t>
      </w:r>
      <w:r>
        <w:rPr>
          <w:rFonts w:hint="eastAsia" w:cs="Times New Roman"/>
          <w:color w:val="auto"/>
          <w:sz w:val="24"/>
          <w:szCs w:val="24"/>
          <w:lang w:val="en-US" w:eastAsia="zh-CN"/>
        </w:rPr>
        <w:t>2.3km，</w:t>
      </w:r>
      <w:r>
        <w:rPr>
          <w:rFonts w:hint="default" w:ascii="Times New Roman" w:hAnsi="Times New Roman" w:eastAsia="宋体" w:cs="Times New Roman"/>
          <w:color w:val="auto"/>
          <w:sz w:val="24"/>
          <w:szCs w:val="24"/>
        </w:rPr>
        <w:t>主要接纳</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居民生活污水。污水处理厂设计规模为：</w:t>
      </w:r>
      <w:r>
        <w:rPr>
          <w:rFonts w:hint="eastAsia" w:cs="Times New Roman"/>
          <w:color w:val="auto"/>
          <w:sz w:val="24"/>
          <w:szCs w:val="24"/>
          <w:lang w:val="en-US" w:eastAsia="zh-CN"/>
        </w:rPr>
        <w:t>35</w:t>
      </w:r>
      <w:r>
        <w:rPr>
          <w:rFonts w:hint="default" w:ascii="Times New Roman" w:hAnsi="Times New Roman" w:eastAsia="宋体" w:cs="Times New Roman"/>
          <w:color w:val="auto"/>
          <w:sz w:val="24"/>
          <w:szCs w:val="24"/>
        </w:rPr>
        <w:t>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/d/。污水处理采用“A/O+沉</w:t>
      </w:r>
      <w:r>
        <w:rPr>
          <w:rFonts w:hint="eastAsia" w:cs="Times New Roman"/>
          <w:color w:val="auto"/>
          <w:sz w:val="24"/>
          <w:szCs w:val="24"/>
          <w:lang w:val="en-US" w:eastAsia="zh-CN"/>
        </w:rPr>
        <w:t>MBR</w:t>
      </w:r>
      <w:r>
        <w:rPr>
          <w:rFonts w:hint="default" w:ascii="Times New Roman" w:hAnsi="Times New Roman" w:eastAsia="宋体" w:cs="Times New Roman"/>
          <w:color w:val="auto"/>
          <w:sz w:val="24"/>
          <w:szCs w:val="24"/>
        </w:rPr>
        <w:t>”工艺，处理后用于生态林灌溉。</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于20</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11</w:t>
      </w:r>
      <w:r>
        <w:rPr>
          <w:rFonts w:hint="default" w:ascii="Times New Roman" w:hAnsi="Times New Roman" w:eastAsia="宋体" w:cs="Times New Roman"/>
          <w:color w:val="auto"/>
          <w:sz w:val="24"/>
          <w:szCs w:val="24"/>
        </w:rPr>
        <w:t>日取得</w:t>
      </w:r>
      <w:r>
        <w:rPr>
          <w:rFonts w:hint="eastAsia" w:cs="Times New Roman"/>
          <w:color w:val="auto"/>
          <w:sz w:val="24"/>
          <w:szCs w:val="24"/>
          <w:lang w:eastAsia="zh-CN"/>
        </w:rPr>
        <w:t>了建设项目环境影响登记表</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备案号：</w:t>
      </w:r>
      <w:r>
        <w:rPr>
          <w:rFonts w:hint="eastAsia" w:cs="Times New Roman"/>
          <w:color w:val="auto"/>
          <w:sz w:val="24"/>
          <w:szCs w:val="24"/>
          <w:lang w:val="en-US" w:eastAsia="zh-CN"/>
        </w:rPr>
        <w:t>202265422400000002</w:t>
      </w:r>
      <w:r>
        <w:rPr>
          <w:rFonts w:hint="default" w:ascii="Times New Roman" w:hAnsi="Times New Roman" w:eastAsia="宋体" w:cs="Times New Roman"/>
          <w:color w:val="auto"/>
          <w:sz w:val="24"/>
          <w:szCs w:val="24"/>
        </w:rPr>
        <w:t>），20</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cs="Times New Roman"/>
          <w:color w:val="auto"/>
          <w:sz w:val="24"/>
          <w:szCs w:val="24"/>
          <w:lang w:eastAsia="zh-CN"/>
        </w:rPr>
        <w:t>建成运行</w:t>
      </w:r>
      <w:r>
        <w:rPr>
          <w:rFonts w:hint="default" w:ascii="Times New Roman" w:hAnsi="Times New Roman" w:eastAsia="宋体" w:cs="Times New Roman"/>
          <w:color w:val="auto"/>
          <w:sz w:val="24"/>
          <w:szCs w:val="24"/>
        </w:rPr>
        <w:t>。</w:t>
      </w:r>
    </w:p>
    <w:p w14:paraId="0BF2F9EF">
      <w:pPr>
        <w:widowControl/>
        <w:spacing w:line="360" w:lineRule="auto"/>
        <w:outlineLvl w:val="9"/>
        <w:rPr>
          <w:rFonts w:hint="default" w:ascii="Times New Roman" w:hAnsi="Times New Roman" w:cs="Times New Roman"/>
          <w:color w:val="auto"/>
          <w:kern w:val="0"/>
          <w:szCs w:val="24"/>
          <w:lang w:bidi="ar"/>
        </w:rPr>
      </w:pP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目前的使用规模约为200m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/d，余量为</w:t>
      </w:r>
      <w:r>
        <w:rPr>
          <w:rFonts w:hint="eastAsia" w:cs="Times New Roman"/>
          <w:color w:val="auto"/>
          <w:sz w:val="24"/>
          <w:szCs w:val="24"/>
          <w:lang w:val="en-US" w:eastAsia="zh-CN"/>
        </w:rPr>
        <w:t>15</w:t>
      </w:r>
      <w:r>
        <w:rPr>
          <w:rFonts w:hint="default" w:ascii="Times New Roman" w:hAnsi="Times New Roman" w:eastAsia="宋体" w:cs="Times New Roman"/>
          <w:color w:val="auto"/>
          <w:sz w:val="24"/>
          <w:szCs w:val="24"/>
        </w:rPr>
        <w:t>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/d，本项目生活污水排放量仅为</w:t>
      </w:r>
      <w:r>
        <w:rPr>
          <w:rFonts w:hint="eastAsia" w:cs="Times New Roman"/>
          <w:color w:val="auto"/>
          <w:sz w:val="24"/>
          <w:szCs w:val="24"/>
          <w:lang w:val="en-US" w:eastAsia="zh-CN"/>
        </w:rPr>
        <w:t>1.02</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/d，远小于余量。此外，本项目生活污水预处理后，可达到污水处理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的进水水质要求，即《污水综合排放标准》（GB8978-1996）三级标准。因此，本项目生活污水依托</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是可行的。</w:t>
      </w:r>
    </w:p>
    <w:p w14:paraId="051BADBD">
      <w:pPr>
        <w:pStyle w:val="5"/>
        <w:pageBreakBefore w:val="0"/>
        <w:kinsoku/>
        <w:wordWrap/>
        <w:overflowPunct/>
        <w:topLinePunct w:val="0"/>
        <w:bidi w:val="0"/>
        <w:rPr>
          <w:rFonts w:hint="default"/>
          <w:color w:val="auto"/>
          <w:spacing w:val="0"/>
          <w:w w:val="100"/>
          <w:position w:val="0"/>
          <w:lang w:val="en-US"/>
        </w:rPr>
      </w:pPr>
      <w:bookmarkStart w:id="244" w:name="_Toc7170"/>
      <w:bookmarkStart w:id="245" w:name="_Toc22242"/>
      <w:r>
        <w:rPr>
          <w:rFonts w:hint="eastAsia" w:ascii="Times New Roman" w:eastAsia="宋体"/>
          <w:color w:val="auto"/>
          <w:spacing w:val="0"/>
          <w:w w:val="100"/>
          <w:position w:val="0"/>
          <w:lang w:val="en-US" w:eastAsia="zh-CN"/>
        </w:rPr>
        <w:t>6.3.</w:t>
      </w:r>
      <w:bookmarkEnd w:id="244"/>
      <w:bookmarkEnd w:id="245"/>
      <w:r>
        <w:rPr>
          <w:rFonts w:hint="eastAsia"/>
          <w:color w:val="auto"/>
          <w:spacing w:val="0"/>
          <w:w w:val="100"/>
          <w:position w:val="0"/>
          <w:lang w:val="en-US" w:eastAsia="zh-CN"/>
        </w:rPr>
        <w:t>3</w:t>
      </w:r>
      <w:r>
        <w:rPr>
          <w:color w:val="auto"/>
        </w:rPr>
        <w:t>正常状况下</w:t>
      </w:r>
      <w:r>
        <w:rPr>
          <w:rFonts w:hint="eastAsia"/>
          <w:color w:val="auto"/>
          <w:spacing w:val="0"/>
          <w:w w:val="100"/>
          <w:position w:val="0"/>
          <w:lang w:val="en-US" w:eastAsia="zh-CN"/>
        </w:rPr>
        <w:t>地下水环境影响</w:t>
      </w:r>
    </w:p>
    <w:p w14:paraId="201B7DEA">
      <w:pPr>
        <w:keepNext w:val="0"/>
        <w:keepLines w:val="0"/>
        <w:pageBreakBefore w:val="0"/>
        <w:widowControl w:val="0"/>
        <w:kinsoku/>
        <w:wordWrap/>
        <w:overflowPunct/>
        <w:topLinePunct w:val="0"/>
        <w:autoSpaceDE w:val="0"/>
        <w:autoSpaceDN w:val="0"/>
        <w:bidi w:val="0"/>
        <w:adjustRightInd/>
        <w:snapToGrid/>
        <w:spacing w:line="360" w:lineRule="auto"/>
        <w:ind w:firstLine="480" w:firstLineChars="200"/>
        <w:textAlignment w:val="auto"/>
        <w:rPr>
          <w:color w:val="auto"/>
          <w:sz w:val="24"/>
          <w:szCs w:val="24"/>
          <w:lang w:val="zh-CN"/>
        </w:rPr>
      </w:pPr>
      <w:r>
        <w:rPr>
          <w:color w:val="auto"/>
        </w:rPr>
        <w:t>正常情况下，项目严格按照</w:t>
      </w:r>
      <w:r>
        <w:rPr>
          <w:rFonts w:hint="eastAsia"/>
          <w:color w:val="auto"/>
          <w:lang w:eastAsia="zh-CN"/>
        </w:rPr>
        <w:t>“</w:t>
      </w:r>
      <w:r>
        <w:rPr>
          <w:color w:val="auto"/>
        </w:rPr>
        <w:t>源头控制、分区防控、污染监控、应急响应</w:t>
      </w:r>
      <w:r>
        <w:rPr>
          <w:rFonts w:hint="eastAsia"/>
          <w:color w:val="auto"/>
          <w:lang w:eastAsia="zh-CN"/>
        </w:rPr>
        <w:t>”</w:t>
      </w:r>
      <w:r>
        <w:rPr>
          <w:color w:val="auto"/>
        </w:rPr>
        <w:t>原则。根据本项目生产特点、废水性质及排放去向，本项目生产废水主要为清洗废旧滴灌带过程中产生的废水以及成品加工过程中产生的冷却水，清洗废水经设置的防渗沉淀池处理后回用；</w:t>
      </w:r>
      <w:r>
        <w:rPr>
          <w:color w:val="auto"/>
          <w:highlight w:val="none"/>
        </w:rPr>
        <w:t>冷却水槽中的冷却水</w:t>
      </w:r>
      <w:r>
        <w:rPr>
          <w:rFonts w:hint="eastAsia"/>
          <w:color w:val="auto"/>
          <w:highlight w:val="none"/>
          <w:lang w:val="en-US" w:eastAsia="zh-CN"/>
        </w:rPr>
        <w:t>循环使用不外排</w:t>
      </w:r>
      <w:r>
        <w:rPr>
          <w:color w:val="auto"/>
          <w:highlight w:val="none"/>
        </w:rPr>
        <w:t>，无生产废水产生</w:t>
      </w:r>
      <w:r>
        <w:rPr>
          <w:color w:val="auto"/>
        </w:rPr>
        <w:t>。</w:t>
      </w:r>
      <w:r>
        <w:rPr>
          <w:rFonts w:hint="default"/>
          <w:color w:val="auto"/>
          <w:lang w:eastAsia="zh-CN"/>
        </w:rPr>
        <w:t>生活污水经地埋式一体化污水处理设备处理后排入下水管网，最终进入乌雪特乡污水处理站</w:t>
      </w:r>
      <w:r>
        <w:rPr>
          <w:color w:val="auto"/>
        </w:rPr>
        <w:t>。因此，本项目废水不会通过地表水和地下水的水力联系而进入地下水从而引地下水水质的变化。</w:t>
      </w:r>
    </w:p>
    <w:p w14:paraId="0CA60108">
      <w:pPr>
        <w:keepNext w:val="0"/>
        <w:keepLines w:val="0"/>
        <w:pageBreakBefore w:val="0"/>
        <w:widowControl w:val="0"/>
        <w:kinsoku/>
        <w:wordWrap/>
        <w:overflowPunct/>
        <w:topLinePunct w:val="0"/>
        <w:autoSpaceDE w:val="0"/>
        <w:autoSpaceDN w:val="0"/>
        <w:bidi w:val="0"/>
        <w:adjustRightInd/>
        <w:snapToGrid/>
        <w:spacing w:line="360" w:lineRule="auto"/>
        <w:textAlignment w:val="auto"/>
        <w:rPr>
          <w:color w:val="auto"/>
        </w:rPr>
      </w:pPr>
      <w:r>
        <w:rPr>
          <w:color w:val="auto"/>
        </w:rPr>
        <w:t>因此，在正常状况下，在做好各区域防渗的基础上，不会对场地地下包气带及地下水环境造成影响。</w:t>
      </w:r>
    </w:p>
    <w:p w14:paraId="30875206">
      <w:pPr>
        <w:pStyle w:val="5"/>
        <w:pageBreakBefore w:val="0"/>
        <w:kinsoku/>
        <w:wordWrap/>
        <w:overflowPunct/>
        <w:topLinePunct w:val="0"/>
        <w:bidi w:val="0"/>
        <w:rPr>
          <w:rFonts w:hint="eastAsia" w:eastAsia="宋体"/>
          <w:color w:val="auto"/>
          <w:spacing w:val="0"/>
          <w:w w:val="100"/>
          <w:position w:val="0"/>
          <w:lang w:eastAsia="zh-CN"/>
        </w:rPr>
      </w:pPr>
      <w:bookmarkStart w:id="246" w:name="2、非正常状况下对地下水环境的影响"/>
      <w:bookmarkEnd w:id="246"/>
      <w:bookmarkStart w:id="247" w:name="_Toc10963"/>
      <w:bookmarkStart w:id="248" w:name="_Toc12132"/>
      <w:r>
        <w:rPr>
          <w:rFonts w:hint="eastAsia" w:ascii="Times New Roman" w:eastAsia="宋体"/>
          <w:color w:val="auto"/>
          <w:spacing w:val="0"/>
          <w:w w:val="100"/>
          <w:position w:val="0"/>
          <w:lang w:val="en-US" w:eastAsia="zh-CN"/>
        </w:rPr>
        <w:t>6.3.</w:t>
      </w:r>
      <w:r>
        <w:rPr>
          <w:rFonts w:hint="eastAsia"/>
          <w:color w:val="auto"/>
          <w:spacing w:val="0"/>
          <w:w w:val="100"/>
          <w:position w:val="0"/>
          <w:lang w:val="en-US" w:eastAsia="zh-CN"/>
        </w:rPr>
        <w:t>4</w:t>
      </w:r>
      <w:r>
        <w:rPr>
          <w:rFonts w:hint="eastAsia" w:ascii="Times New Roman" w:hAnsi="Times New Roman" w:cs="Times New Roman"/>
          <w:b/>
          <w:bCs/>
          <w:color w:val="auto"/>
          <w:spacing w:val="0"/>
          <w:w w:val="100"/>
          <w:position w:val="0"/>
          <w:sz w:val="24"/>
          <w:szCs w:val="24"/>
          <w:lang w:val="en-US" w:eastAsia="zh-CN"/>
        </w:rPr>
        <w:t>非</w:t>
      </w:r>
      <w:r>
        <w:rPr>
          <w:color w:val="auto"/>
        </w:rPr>
        <w:t>正常状况</w:t>
      </w:r>
      <w:r>
        <w:rPr>
          <w:color w:val="auto"/>
          <w:spacing w:val="0"/>
          <w:w w:val="100"/>
          <w:position w:val="0"/>
        </w:rPr>
        <w:t>地下水</w:t>
      </w:r>
      <w:bookmarkEnd w:id="247"/>
      <w:bookmarkEnd w:id="248"/>
      <w:r>
        <w:rPr>
          <w:rFonts w:hint="eastAsia"/>
          <w:color w:val="auto"/>
          <w:spacing w:val="0"/>
          <w:w w:val="100"/>
          <w:position w:val="0"/>
          <w:lang w:eastAsia="zh-CN"/>
        </w:rPr>
        <w:t>环境影响</w:t>
      </w:r>
    </w:p>
    <w:p w14:paraId="20148A00">
      <w:pPr>
        <w:bidi w:val="0"/>
        <w:rPr>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color w:val="auto"/>
        </w:rPr>
        <w:t>影响途径</w:t>
      </w:r>
    </w:p>
    <w:p w14:paraId="18DFD131">
      <w:pPr>
        <w:bidi w:val="0"/>
        <w:rPr>
          <w:color w:val="auto"/>
        </w:rPr>
      </w:pPr>
      <w:r>
        <w:rPr>
          <w:color w:val="auto"/>
        </w:rPr>
        <w:t>考虑到非正常情况下，建设项目的设备或地下水环境保护措施因系统老化、腐蚀等原因不能正常运行或保护效果达不到设计要求时的运行状况，导致污水或物料</w:t>
      </w:r>
      <w:r>
        <w:rPr>
          <w:rFonts w:hint="eastAsia"/>
          <w:color w:val="auto"/>
        </w:rPr>
        <w:t>“</w:t>
      </w:r>
      <w:r>
        <w:rPr>
          <w:color w:val="auto"/>
        </w:rPr>
        <w:t>跑冒滴漏</w:t>
      </w:r>
      <w:r>
        <w:rPr>
          <w:rFonts w:hint="eastAsia"/>
          <w:color w:val="auto"/>
        </w:rPr>
        <w:t>”</w:t>
      </w:r>
      <w:r>
        <w:rPr>
          <w:color w:val="auto"/>
        </w:rPr>
        <w:t>对第四系松散岩类孔隙潜水的影响。</w:t>
      </w:r>
    </w:p>
    <w:p w14:paraId="2E2D50CD">
      <w:pPr>
        <w:bidi w:val="0"/>
        <w:rPr>
          <w:color w:val="auto"/>
        </w:rPr>
      </w:pPr>
      <w:r>
        <w:rPr>
          <w:color w:val="auto"/>
        </w:rPr>
        <w:t>废水进入地下后，其污染物在地下水系统的迁移途径依次为：表土层、包气带、含水带、运移。</w:t>
      </w:r>
    </w:p>
    <w:p w14:paraId="055E3201">
      <w:pPr>
        <w:bidi w:val="0"/>
        <w:rPr>
          <w:rFonts w:hint="default" w:eastAsia="宋体"/>
          <w:color w:val="auto"/>
          <w:lang w:val="en-US" w:eastAsia="zh-CN"/>
        </w:rPr>
      </w:pPr>
      <w:r>
        <w:rPr>
          <w:rFonts w:hint="eastAsia"/>
          <w:color w:val="auto"/>
          <w:lang w:eastAsia="zh-CN"/>
        </w:rPr>
        <w:t>（</w:t>
      </w:r>
      <w:r>
        <w:rPr>
          <w:rFonts w:hint="eastAsia"/>
          <w:color w:val="auto"/>
          <w:lang w:val="en-US" w:eastAsia="zh-CN"/>
        </w:rPr>
        <w:t>2）预防措施</w:t>
      </w:r>
    </w:p>
    <w:p w14:paraId="494BE8C2">
      <w:pPr>
        <w:bidi w:val="0"/>
        <w:rPr>
          <w:color w:val="auto"/>
        </w:rPr>
      </w:pPr>
      <w:r>
        <w:rPr>
          <w:color w:val="auto"/>
        </w:rPr>
        <w:t>根据《环境影响评价技术导则</w:t>
      </w:r>
      <w:r>
        <w:rPr>
          <w:rFonts w:hint="eastAsia"/>
          <w:color w:val="auto"/>
          <w:lang w:val="en-US" w:eastAsia="zh-CN"/>
        </w:rPr>
        <w:t xml:space="preserve"> </w:t>
      </w:r>
      <w:r>
        <w:rPr>
          <w:color w:val="auto"/>
        </w:rPr>
        <w:t>地下水》（HJ610-2016），地下水环境保护措施与对策应符合《中华人民共和国水污染防治法》和《中华人民共和国环境影响评价法》的相关规定，按照</w:t>
      </w:r>
      <w:r>
        <w:rPr>
          <w:rFonts w:hint="eastAsia"/>
          <w:color w:val="auto"/>
        </w:rPr>
        <w:t>“</w:t>
      </w:r>
      <w:r>
        <w:rPr>
          <w:color w:val="auto"/>
        </w:rPr>
        <w:t>源头控制、分区防控、污染监控、应急响应</w:t>
      </w:r>
      <w:r>
        <w:rPr>
          <w:rFonts w:hint="eastAsia"/>
          <w:color w:val="auto"/>
        </w:rPr>
        <w:t>”</w:t>
      </w:r>
      <w:r>
        <w:rPr>
          <w:color w:val="auto"/>
        </w:rPr>
        <w:t>的原则确定。</w:t>
      </w:r>
    </w:p>
    <w:p w14:paraId="38FD1465">
      <w:pPr>
        <w:bidi w:val="0"/>
        <w:rPr>
          <w:color w:val="auto"/>
        </w:rPr>
      </w:pPr>
      <w:r>
        <w:rPr>
          <w:color w:val="auto"/>
        </w:rPr>
        <w:t>①污染源控制措施</w:t>
      </w:r>
    </w:p>
    <w:p w14:paraId="56DE5A98">
      <w:pPr>
        <w:bidi w:val="0"/>
        <w:rPr>
          <w:color w:val="auto"/>
        </w:rPr>
      </w:pPr>
      <w:r>
        <w:rPr>
          <w:color w:val="auto"/>
        </w:rPr>
        <w:t>本项目严格按照国家相关规范要求，对工艺、管道、设备、污水储存采取相应的措施，以防止和降低污染物的跑、冒、滴、漏，将污染物泄漏的环境风险事故降低到最低程度；本项目清洗废水循环使用</w:t>
      </w:r>
      <w:r>
        <w:rPr>
          <w:rFonts w:hint="eastAsia"/>
          <w:color w:val="auto"/>
          <w:lang w:eastAsia="zh-CN"/>
        </w:rPr>
        <w:t>不外排</w:t>
      </w:r>
      <w:r>
        <w:rPr>
          <w:rFonts w:hint="eastAsia"/>
          <w:color w:val="auto"/>
        </w:rPr>
        <w:t>。</w:t>
      </w:r>
      <w:r>
        <w:rPr>
          <w:color w:val="auto"/>
        </w:rPr>
        <w:t>管线敷设尽量采用</w:t>
      </w:r>
      <w:r>
        <w:rPr>
          <w:rFonts w:hint="eastAsia"/>
          <w:color w:val="auto"/>
        </w:rPr>
        <w:t>“</w:t>
      </w:r>
      <w:r>
        <w:rPr>
          <w:color w:val="auto"/>
        </w:rPr>
        <w:t>可视化</w:t>
      </w:r>
      <w:r>
        <w:rPr>
          <w:rFonts w:hint="eastAsia"/>
          <w:color w:val="auto"/>
        </w:rPr>
        <w:t>”</w:t>
      </w:r>
      <w:r>
        <w:rPr>
          <w:color w:val="auto"/>
        </w:rPr>
        <w:t>原则，即管道尽可能地上敷设，做到污染物</w:t>
      </w:r>
      <w:r>
        <w:rPr>
          <w:rFonts w:hint="eastAsia"/>
          <w:color w:val="auto"/>
        </w:rPr>
        <w:t>“</w:t>
      </w:r>
      <w:r>
        <w:rPr>
          <w:color w:val="auto"/>
        </w:rPr>
        <w:t>早发现、早处理</w:t>
      </w:r>
      <w:r>
        <w:rPr>
          <w:rFonts w:hint="eastAsia"/>
          <w:color w:val="auto"/>
        </w:rPr>
        <w:t>”</w:t>
      </w:r>
      <w:r>
        <w:rPr>
          <w:color w:val="auto"/>
        </w:rPr>
        <w:t>，以减少由于埋地管道泄漏而可能造成的地下水污染。</w:t>
      </w:r>
    </w:p>
    <w:p w14:paraId="2C9115DC">
      <w:pPr>
        <w:pageBreakBefore w:val="0"/>
        <w:kinsoku/>
        <w:wordWrap/>
        <w:overflowPunct/>
        <w:topLinePunct w:val="0"/>
        <w:bidi w:val="0"/>
        <w:rPr>
          <w:color w:val="auto"/>
        </w:rPr>
      </w:pPr>
      <w:r>
        <w:rPr>
          <w:color w:val="auto"/>
        </w:rPr>
        <w:t>②分区防渗措施</w:t>
      </w:r>
    </w:p>
    <w:p w14:paraId="198147C4">
      <w:pPr>
        <w:pageBreakBefore w:val="0"/>
        <w:kinsoku/>
        <w:wordWrap/>
        <w:overflowPunct/>
        <w:topLinePunct w:val="0"/>
        <w:bidi w:val="0"/>
        <w:rPr>
          <w:color w:val="auto"/>
          <w:spacing w:val="0"/>
          <w:w w:val="100"/>
          <w:position w:val="0"/>
        </w:rPr>
      </w:pPr>
      <w:r>
        <w:rPr>
          <w:color w:val="auto"/>
        </w:rPr>
        <w:t>根据《环境影响评价技术</w:t>
      </w:r>
      <w:r>
        <w:rPr>
          <w:color w:val="auto"/>
          <w:spacing w:val="0"/>
          <w:w w:val="100"/>
          <w:position w:val="0"/>
        </w:rPr>
        <w:t>导则地下水环境》（</w:t>
      </w:r>
      <w:r>
        <w:rPr>
          <w:rFonts w:ascii="Times New Roman" w:eastAsia="Times New Roman"/>
          <w:color w:val="auto"/>
          <w:spacing w:val="0"/>
          <w:w w:val="100"/>
          <w:position w:val="0"/>
        </w:rPr>
        <w:t>HJ610-2016</w:t>
      </w:r>
      <w:r>
        <w:rPr>
          <w:color w:val="auto"/>
          <w:spacing w:val="0"/>
          <w:w w:val="100"/>
          <w:position w:val="0"/>
        </w:rPr>
        <w:t>）要求，将地下水污染防渗分区分为三个级别：重点防渗区、一般防渗区、简单防渗区，防渗分区判定见表</w:t>
      </w:r>
      <w:r>
        <w:rPr>
          <w:rFonts w:ascii="Times New Roman" w:eastAsia="Times New Roman"/>
          <w:color w:val="auto"/>
          <w:spacing w:val="0"/>
          <w:w w:val="100"/>
          <w:position w:val="0"/>
        </w:rPr>
        <w:t>6.3-</w:t>
      </w:r>
      <w:r>
        <w:rPr>
          <w:rFonts w:hint="eastAsia"/>
          <w:color w:val="auto"/>
          <w:spacing w:val="0"/>
          <w:w w:val="100"/>
          <w:position w:val="0"/>
          <w:lang w:val="en-US" w:eastAsia="zh-CN"/>
        </w:rPr>
        <w:t>1</w:t>
      </w:r>
      <w:r>
        <w:rPr>
          <w:color w:val="auto"/>
          <w:spacing w:val="0"/>
          <w:w w:val="100"/>
          <w:position w:val="0"/>
        </w:rPr>
        <w:t>、</w:t>
      </w:r>
      <w:r>
        <w:rPr>
          <w:rFonts w:ascii="Times New Roman" w:eastAsia="Times New Roman"/>
          <w:color w:val="auto"/>
          <w:spacing w:val="0"/>
          <w:w w:val="100"/>
          <w:position w:val="0"/>
        </w:rPr>
        <w:t>6.3-</w:t>
      </w:r>
      <w:r>
        <w:rPr>
          <w:rFonts w:hint="eastAsia"/>
          <w:color w:val="auto"/>
          <w:spacing w:val="0"/>
          <w:w w:val="100"/>
          <w:position w:val="0"/>
          <w:lang w:val="en-US" w:eastAsia="zh-CN"/>
        </w:rPr>
        <w:t>2</w:t>
      </w:r>
      <w:r>
        <w:rPr>
          <w:color w:val="auto"/>
          <w:spacing w:val="0"/>
          <w:w w:val="100"/>
          <w:position w:val="0"/>
        </w:rPr>
        <w:t>、</w:t>
      </w:r>
      <w:r>
        <w:rPr>
          <w:rFonts w:ascii="Times New Roman" w:eastAsia="Times New Roman"/>
          <w:color w:val="auto"/>
          <w:spacing w:val="0"/>
          <w:w w:val="100"/>
          <w:position w:val="0"/>
        </w:rPr>
        <w:t>6.3-</w:t>
      </w:r>
      <w:r>
        <w:rPr>
          <w:rFonts w:hint="eastAsia"/>
          <w:color w:val="auto"/>
          <w:spacing w:val="0"/>
          <w:w w:val="100"/>
          <w:position w:val="0"/>
          <w:lang w:val="en-US" w:eastAsia="zh-CN"/>
        </w:rPr>
        <w:t>3</w:t>
      </w:r>
      <w:r>
        <w:rPr>
          <w:color w:val="auto"/>
          <w:spacing w:val="0"/>
          <w:w w:val="100"/>
          <w:position w:val="0"/>
        </w:rPr>
        <w:t>。</w:t>
      </w:r>
    </w:p>
    <w:p w14:paraId="286BCE9C">
      <w:pPr>
        <w:pStyle w:val="43"/>
        <w:keepNext w:val="0"/>
        <w:keepLines w:val="0"/>
        <w:pageBreakBefore w:val="0"/>
        <w:widowControl/>
        <w:kinsoku/>
        <w:wordWrap/>
        <w:overflowPunct/>
        <w:topLinePunct w:val="0"/>
        <w:autoSpaceDE/>
        <w:autoSpaceDN/>
        <w:bidi w:val="0"/>
        <w:adjustRightInd w:val="0"/>
        <w:snapToGrid w:val="0"/>
        <w:spacing w:before="0" w:beforeLines="0"/>
        <w:textAlignment w:val="auto"/>
        <w:rPr>
          <w:rFonts w:hint="eastAsia" w:ascii="Times New Roman" w:hAnsi="Times New Roman" w:eastAsia="宋体" w:cs="Times New Roman"/>
          <w:b/>
          <w:bCs/>
          <w:color w:val="auto"/>
          <w:spacing w:val="0"/>
          <w:w w:val="100"/>
          <w:position w:val="0"/>
          <w:sz w:val="24"/>
          <w:szCs w:val="24"/>
          <w:lang w:val="zh-CN" w:eastAsia="zh-CN" w:bidi="zh-CN"/>
        </w:rPr>
      </w:pPr>
      <w:r>
        <w:rPr>
          <w:rFonts w:hint="eastAsia" w:ascii="Times New Roman" w:hAnsi="Times New Roman" w:eastAsia="宋体" w:cs="Times New Roman"/>
          <w:b/>
          <w:bCs/>
          <w:color w:val="auto"/>
          <w:spacing w:val="0"/>
          <w:w w:val="100"/>
          <w:position w:val="0"/>
          <w:sz w:val="24"/>
          <w:szCs w:val="24"/>
          <w:lang w:val="zh-CN" w:eastAsia="zh-CN" w:bidi="zh-CN"/>
        </w:rPr>
        <w:t>表6.3-</w:t>
      </w:r>
      <w:r>
        <w:rPr>
          <w:rFonts w:hint="eastAsia" w:cs="Times New Roman"/>
          <w:b/>
          <w:bCs/>
          <w:color w:val="auto"/>
          <w:spacing w:val="0"/>
          <w:w w:val="100"/>
          <w:position w:val="0"/>
          <w:sz w:val="24"/>
          <w:szCs w:val="24"/>
          <w:lang w:val="en-US" w:eastAsia="zh-CN" w:bidi="zh-CN"/>
        </w:rPr>
        <w:t>1</w:t>
      </w:r>
      <w:r>
        <w:rPr>
          <w:rFonts w:hint="eastAsia" w:ascii="Times New Roman" w:hAnsi="Times New Roman" w:cs="Times New Roman"/>
          <w:b/>
          <w:bCs/>
          <w:color w:val="auto"/>
          <w:spacing w:val="0"/>
          <w:w w:val="100"/>
          <w:position w:val="0"/>
          <w:sz w:val="24"/>
          <w:szCs w:val="24"/>
          <w:lang w:val="en-US" w:eastAsia="zh-CN" w:bidi="zh-CN"/>
        </w:rPr>
        <w:t xml:space="preserve">   </w:t>
      </w:r>
      <w:r>
        <w:rPr>
          <w:rFonts w:hint="eastAsia" w:ascii="Times New Roman" w:hAnsi="Times New Roman" w:eastAsia="宋体" w:cs="Times New Roman"/>
          <w:b/>
          <w:bCs/>
          <w:color w:val="auto"/>
          <w:spacing w:val="0"/>
          <w:w w:val="100"/>
          <w:position w:val="0"/>
          <w:sz w:val="24"/>
          <w:szCs w:val="24"/>
          <w:lang w:val="zh-CN" w:eastAsia="zh-CN" w:bidi="zh-CN"/>
        </w:rPr>
        <w:t>污染控制难易程度分级参照表</w:t>
      </w:r>
    </w:p>
    <w:tbl>
      <w:tblPr>
        <w:tblStyle w:val="27"/>
        <w:tblW w:w="500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087"/>
        <w:gridCol w:w="7002"/>
      </w:tblGrid>
      <w:tr w14:paraId="6510CB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5" w:type="dxa"/>
            <w:vAlign w:val="top"/>
          </w:tcPr>
          <w:p w14:paraId="481E6616">
            <w:pPr>
              <w:pStyle w:val="45"/>
              <w:pageBreakBefore w:val="0"/>
              <w:kinsoku/>
              <w:wordWrap/>
              <w:overflowPunct/>
              <w:topLinePunct w:val="0"/>
              <w:bidi w:val="0"/>
              <w:rPr>
                <w:b/>
                <w:bCs/>
                <w:color w:val="auto"/>
              </w:rPr>
            </w:pPr>
            <w:r>
              <w:rPr>
                <w:b/>
                <w:bCs/>
                <w:color w:val="auto"/>
              </w:rPr>
              <w:t>污染控制难易程度</w:t>
            </w:r>
          </w:p>
        </w:tc>
        <w:tc>
          <w:tcPr>
            <w:tcW w:w="6995" w:type="dxa"/>
            <w:vAlign w:val="top"/>
          </w:tcPr>
          <w:p w14:paraId="646B3681">
            <w:pPr>
              <w:pStyle w:val="45"/>
              <w:pageBreakBefore w:val="0"/>
              <w:kinsoku/>
              <w:wordWrap/>
              <w:overflowPunct/>
              <w:topLinePunct w:val="0"/>
              <w:bidi w:val="0"/>
              <w:rPr>
                <w:b/>
                <w:bCs/>
                <w:color w:val="auto"/>
              </w:rPr>
            </w:pPr>
            <w:r>
              <w:rPr>
                <w:b/>
                <w:bCs/>
                <w:color w:val="auto"/>
              </w:rPr>
              <w:t>污染物类型</w:t>
            </w:r>
          </w:p>
        </w:tc>
      </w:tr>
      <w:tr w14:paraId="5F9214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5" w:type="dxa"/>
            <w:vAlign w:val="top"/>
          </w:tcPr>
          <w:p w14:paraId="6F84C3F6">
            <w:pPr>
              <w:pStyle w:val="45"/>
              <w:pageBreakBefore w:val="0"/>
              <w:kinsoku/>
              <w:wordWrap/>
              <w:overflowPunct/>
              <w:topLinePunct w:val="0"/>
              <w:bidi w:val="0"/>
              <w:rPr>
                <w:color w:val="auto"/>
              </w:rPr>
            </w:pPr>
            <w:r>
              <w:rPr>
                <w:color w:val="auto"/>
              </w:rPr>
              <w:t>难</w:t>
            </w:r>
          </w:p>
        </w:tc>
        <w:tc>
          <w:tcPr>
            <w:tcW w:w="6995" w:type="dxa"/>
            <w:vAlign w:val="top"/>
          </w:tcPr>
          <w:p w14:paraId="08F9C5E4">
            <w:pPr>
              <w:pStyle w:val="45"/>
              <w:pageBreakBefore w:val="0"/>
              <w:kinsoku/>
              <w:wordWrap/>
              <w:overflowPunct/>
              <w:topLinePunct w:val="0"/>
              <w:bidi w:val="0"/>
              <w:rPr>
                <w:color w:val="auto"/>
              </w:rPr>
            </w:pPr>
            <w:r>
              <w:rPr>
                <w:color w:val="auto"/>
              </w:rPr>
              <w:t>对地下水环境有污染的物料或污染物泄漏后，不能及时发现和处理</w:t>
            </w:r>
          </w:p>
        </w:tc>
      </w:tr>
      <w:tr w14:paraId="5F5D89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2085" w:type="dxa"/>
            <w:vAlign w:val="top"/>
          </w:tcPr>
          <w:p w14:paraId="61105D0E">
            <w:pPr>
              <w:pStyle w:val="45"/>
              <w:pageBreakBefore w:val="0"/>
              <w:kinsoku/>
              <w:wordWrap/>
              <w:overflowPunct/>
              <w:topLinePunct w:val="0"/>
              <w:bidi w:val="0"/>
              <w:rPr>
                <w:color w:val="auto"/>
              </w:rPr>
            </w:pPr>
            <w:r>
              <w:rPr>
                <w:color w:val="auto"/>
              </w:rPr>
              <w:t>易</w:t>
            </w:r>
          </w:p>
        </w:tc>
        <w:tc>
          <w:tcPr>
            <w:tcW w:w="6995" w:type="dxa"/>
            <w:vAlign w:val="top"/>
          </w:tcPr>
          <w:p w14:paraId="79445D1C">
            <w:pPr>
              <w:pStyle w:val="45"/>
              <w:pageBreakBefore w:val="0"/>
              <w:kinsoku/>
              <w:wordWrap/>
              <w:overflowPunct/>
              <w:topLinePunct w:val="0"/>
              <w:bidi w:val="0"/>
              <w:rPr>
                <w:color w:val="auto"/>
              </w:rPr>
            </w:pPr>
            <w:r>
              <w:rPr>
                <w:color w:val="auto"/>
              </w:rPr>
              <w:t>对地下水环境有污染的物料或污染物泄漏后，可及时发现和处理</w:t>
            </w:r>
          </w:p>
        </w:tc>
      </w:tr>
    </w:tbl>
    <w:p w14:paraId="16262811">
      <w:pPr>
        <w:pStyle w:val="43"/>
        <w:pageBreakBefore w:val="0"/>
        <w:kinsoku/>
        <w:wordWrap/>
        <w:overflowPunct/>
        <w:topLinePunct w:val="0"/>
        <w:bidi w:val="0"/>
        <w:rPr>
          <w:rFonts w:hint="eastAsia" w:ascii="Times New Roman" w:hAnsi="Times New Roman" w:eastAsia="宋体" w:cs="Times New Roman"/>
          <w:b/>
          <w:bCs/>
          <w:color w:val="auto"/>
          <w:spacing w:val="0"/>
          <w:w w:val="100"/>
          <w:position w:val="0"/>
          <w:sz w:val="24"/>
          <w:szCs w:val="24"/>
          <w:lang w:val="zh-CN" w:eastAsia="zh-CN" w:bidi="zh-CN"/>
        </w:rPr>
      </w:pPr>
      <w:r>
        <w:rPr>
          <w:rFonts w:hint="eastAsia" w:ascii="Times New Roman" w:hAnsi="Times New Roman" w:eastAsia="宋体" w:cs="Times New Roman"/>
          <w:b/>
          <w:bCs/>
          <w:color w:val="auto"/>
          <w:spacing w:val="0"/>
          <w:w w:val="100"/>
          <w:position w:val="0"/>
          <w:sz w:val="24"/>
          <w:szCs w:val="24"/>
          <w:lang w:val="zh-CN" w:eastAsia="zh-CN" w:bidi="zh-CN"/>
        </w:rPr>
        <w:t>表6.3-</w:t>
      </w:r>
      <w:r>
        <w:rPr>
          <w:rFonts w:hint="eastAsia" w:cs="Times New Roman"/>
          <w:b/>
          <w:bCs/>
          <w:color w:val="auto"/>
          <w:spacing w:val="0"/>
          <w:w w:val="100"/>
          <w:position w:val="0"/>
          <w:sz w:val="24"/>
          <w:szCs w:val="24"/>
          <w:lang w:val="en-US" w:eastAsia="zh-CN" w:bidi="zh-CN"/>
        </w:rPr>
        <w:t>2</w:t>
      </w:r>
      <w:r>
        <w:rPr>
          <w:rFonts w:hint="eastAsia" w:ascii="Times New Roman" w:hAnsi="Times New Roman" w:cs="Times New Roman"/>
          <w:b/>
          <w:bCs/>
          <w:color w:val="auto"/>
          <w:spacing w:val="0"/>
          <w:w w:val="100"/>
          <w:position w:val="0"/>
          <w:sz w:val="24"/>
          <w:szCs w:val="24"/>
          <w:lang w:val="en-US" w:eastAsia="zh-CN" w:bidi="zh-CN"/>
        </w:rPr>
        <w:t xml:space="preserve">   </w:t>
      </w:r>
      <w:r>
        <w:rPr>
          <w:rFonts w:hint="eastAsia" w:ascii="Times New Roman" w:hAnsi="Times New Roman" w:eastAsia="宋体" w:cs="Times New Roman"/>
          <w:b/>
          <w:bCs/>
          <w:color w:val="auto"/>
          <w:spacing w:val="0"/>
          <w:w w:val="100"/>
          <w:position w:val="0"/>
          <w:sz w:val="24"/>
          <w:szCs w:val="24"/>
          <w:lang w:val="zh-CN" w:eastAsia="zh-CN" w:bidi="zh-CN"/>
        </w:rPr>
        <w:t>天然包气带防污性能分级参照表</w:t>
      </w:r>
    </w:p>
    <w:tbl>
      <w:tblPr>
        <w:tblStyle w:val="27"/>
        <w:tblW w:w="500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6"/>
        <w:gridCol w:w="8353"/>
      </w:tblGrid>
      <w:tr w14:paraId="6453D7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35" w:type="dxa"/>
            <w:vAlign w:val="center"/>
          </w:tcPr>
          <w:p w14:paraId="4456DD6D">
            <w:pPr>
              <w:pStyle w:val="45"/>
              <w:pageBreakBefore w:val="0"/>
              <w:kinsoku/>
              <w:wordWrap/>
              <w:overflowPunct/>
              <w:topLinePunct w:val="0"/>
              <w:bidi w:val="0"/>
              <w:rPr>
                <w:color w:val="auto"/>
              </w:rPr>
            </w:pPr>
            <w:r>
              <w:rPr>
                <w:color w:val="auto"/>
              </w:rPr>
              <w:t>分级</w:t>
            </w:r>
          </w:p>
        </w:tc>
        <w:tc>
          <w:tcPr>
            <w:tcW w:w="8345" w:type="dxa"/>
            <w:vAlign w:val="center"/>
          </w:tcPr>
          <w:p w14:paraId="7616574A">
            <w:pPr>
              <w:pStyle w:val="45"/>
              <w:pageBreakBefore w:val="0"/>
              <w:kinsoku/>
              <w:wordWrap/>
              <w:overflowPunct/>
              <w:topLinePunct w:val="0"/>
              <w:bidi w:val="0"/>
              <w:rPr>
                <w:color w:val="auto"/>
              </w:rPr>
            </w:pPr>
            <w:r>
              <w:rPr>
                <w:color w:val="auto"/>
              </w:rPr>
              <w:t>包气带岩土的渗透性能</w:t>
            </w:r>
          </w:p>
        </w:tc>
      </w:tr>
      <w:tr w14:paraId="00D683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35" w:type="dxa"/>
            <w:vAlign w:val="center"/>
          </w:tcPr>
          <w:p w14:paraId="102FD475">
            <w:pPr>
              <w:pStyle w:val="45"/>
              <w:pageBreakBefore w:val="0"/>
              <w:kinsoku/>
              <w:wordWrap/>
              <w:overflowPunct/>
              <w:topLinePunct w:val="0"/>
              <w:bidi w:val="0"/>
              <w:rPr>
                <w:color w:val="auto"/>
              </w:rPr>
            </w:pPr>
            <w:r>
              <w:rPr>
                <w:color w:val="auto"/>
              </w:rPr>
              <w:t>强</w:t>
            </w:r>
          </w:p>
        </w:tc>
        <w:tc>
          <w:tcPr>
            <w:tcW w:w="8345" w:type="dxa"/>
            <w:vAlign w:val="center"/>
          </w:tcPr>
          <w:p w14:paraId="4DDC7997">
            <w:pPr>
              <w:pStyle w:val="45"/>
              <w:pageBreakBefore w:val="0"/>
              <w:kinsoku/>
              <w:wordWrap/>
              <w:overflowPunct/>
              <w:topLinePunct w:val="0"/>
              <w:bidi w:val="0"/>
              <w:rPr>
                <w:color w:val="auto"/>
              </w:rPr>
            </w:pPr>
            <w:r>
              <w:rPr>
                <w:color w:val="auto"/>
              </w:rPr>
              <w:t>岩（土）层单层厚度Mb</w:t>
            </w:r>
            <w:r>
              <w:rPr>
                <w:rFonts w:hint="eastAsia"/>
                <w:color w:val="auto"/>
                <w:lang w:eastAsia="zh-CN"/>
              </w:rPr>
              <w:t>≥</w:t>
            </w:r>
            <w:r>
              <w:rPr>
                <w:color w:val="auto"/>
              </w:rPr>
              <w:t>1.0m，渗透系数K</w:t>
            </w:r>
            <w:r>
              <w:rPr>
                <w:rFonts w:hint="eastAsia"/>
                <w:color w:val="auto"/>
                <w:lang w:eastAsia="zh-CN"/>
              </w:rPr>
              <w:t>≤</w:t>
            </w:r>
            <w:r>
              <w:rPr>
                <w:color w:val="auto"/>
              </w:rPr>
              <w:t>1X10</w:t>
            </w:r>
            <w:r>
              <w:rPr>
                <w:color w:val="auto"/>
                <w:vertAlign w:val="superscript"/>
              </w:rPr>
              <w:t>-6</w:t>
            </w:r>
            <w:r>
              <w:rPr>
                <w:color w:val="auto"/>
              </w:rPr>
              <w:t>cm/s，且分布连续、稳定</w:t>
            </w:r>
          </w:p>
        </w:tc>
      </w:tr>
      <w:tr w14:paraId="0532C2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35" w:type="dxa"/>
            <w:vAlign w:val="center"/>
          </w:tcPr>
          <w:p w14:paraId="6A642DC1">
            <w:pPr>
              <w:pStyle w:val="45"/>
              <w:pageBreakBefore w:val="0"/>
              <w:kinsoku/>
              <w:wordWrap/>
              <w:overflowPunct/>
              <w:topLinePunct w:val="0"/>
              <w:bidi w:val="0"/>
              <w:rPr>
                <w:color w:val="auto"/>
              </w:rPr>
            </w:pPr>
            <w:r>
              <w:rPr>
                <w:color w:val="auto"/>
              </w:rPr>
              <w:t>中</w:t>
            </w:r>
          </w:p>
        </w:tc>
        <w:tc>
          <w:tcPr>
            <w:tcW w:w="8345" w:type="dxa"/>
            <w:vAlign w:val="center"/>
          </w:tcPr>
          <w:p w14:paraId="1168ED21">
            <w:pPr>
              <w:pStyle w:val="45"/>
              <w:pageBreakBefore w:val="0"/>
              <w:kinsoku/>
              <w:wordWrap/>
              <w:overflowPunct/>
              <w:topLinePunct w:val="0"/>
              <w:bidi w:val="0"/>
              <w:rPr>
                <w:color w:val="auto"/>
              </w:rPr>
            </w:pPr>
            <w:r>
              <w:rPr>
                <w:color w:val="auto"/>
              </w:rPr>
              <w:t>岩（土）层单层厚度0.5m</w:t>
            </w:r>
            <w:r>
              <w:rPr>
                <w:rFonts w:hint="eastAsia"/>
                <w:color w:val="auto"/>
                <w:lang w:eastAsia="zh-CN"/>
              </w:rPr>
              <w:t>≤</w:t>
            </w:r>
            <w:r>
              <w:rPr>
                <w:color w:val="auto"/>
              </w:rPr>
              <w:t>Mb＜1.0m，渗透系数K</w:t>
            </w:r>
            <w:r>
              <w:rPr>
                <w:rFonts w:hint="eastAsia"/>
                <w:color w:val="auto"/>
                <w:lang w:eastAsia="zh-CN"/>
              </w:rPr>
              <w:t>≤</w:t>
            </w:r>
            <w:r>
              <w:rPr>
                <w:color w:val="auto"/>
              </w:rPr>
              <w:t>1×10</w:t>
            </w:r>
            <w:r>
              <w:rPr>
                <w:color w:val="auto"/>
                <w:vertAlign w:val="superscript"/>
              </w:rPr>
              <w:t>-6</w:t>
            </w:r>
            <w:r>
              <w:rPr>
                <w:color w:val="auto"/>
              </w:rPr>
              <w:t>cm/s，且分布连续、稳定岩（土）层单层厚度Mb</w:t>
            </w:r>
            <w:r>
              <w:rPr>
                <w:rFonts w:hint="eastAsia"/>
                <w:color w:val="auto"/>
                <w:lang w:eastAsia="zh-CN"/>
              </w:rPr>
              <w:t>≥</w:t>
            </w:r>
            <w:r>
              <w:rPr>
                <w:color w:val="auto"/>
              </w:rPr>
              <w:t>1.0m，渗透系数1×10-6cm/s＜K</w:t>
            </w:r>
            <w:r>
              <w:rPr>
                <w:rFonts w:hint="eastAsia"/>
                <w:color w:val="auto"/>
                <w:lang w:eastAsia="zh-CN"/>
              </w:rPr>
              <w:t>≤</w:t>
            </w:r>
            <w:r>
              <w:rPr>
                <w:color w:val="auto"/>
              </w:rPr>
              <w:t>1×10</w:t>
            </w:r>
            <w:r>
              <w:rPr>
                <w:color w:val="auto"/>
                <w:vertAlign w:val="superscript"/>
              </w:rPr>
              <w:t>-4</w:t>
            </w:r>
            <w:r>
              <w:rPr>
                <w:color w:val="auto"/>
              </w:rPr>
              <w:t>cm/s，且分布连续、稳</w:t>
            </w:r>
          </w:p>
          <w:p w14:paraId="20C8455A">
            <w:pPr>
              <w:pStyle w:val="45"/>
              <w:pageBreakBefore w:val="0"/>
              <w:kinsoku/>
              <w:wordWrap/>
              <w:overflowPunct/>
              <w:topLinePunct w:val="0"/>
              <w:bidi w:val="0"/>
              <w:rPr>
                <w:color w:val="auto"/>
              </w:rPr>
            </w:pPr>
            <w:r>
              <w:rPr>
                <w:color w:val="auto"/>
              </w:rPr>
              <w:t>定</w:t>
            </w:r>
          </w:p>
        </w:tc>
      </w:tr>
      <w:tr w14:paraId="08F70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7" w:hRule="atLeast"/>
          <w:jc w:val="center"/>
        </w:trPr>
        <w:tc>
          <w:tcPr>
            <w:tcW w:w="735" w:type="dxa"/>
            <w:vAlign w:val="center"/>
          </w:tcPr>
          <w:p w14:paraId="1D9F083F">
            <w:pPr>
              <w:pStyle w:val="45"/>
              <w:pageBreakBefore w:val="0"/>
              <w:kinsoku/>
              <w:wordWrap/>
              <w:overflowPunct/>
              <w:topLinePunct w:val="0"/>
              <w:bidi w:val="0"/>
              <w:rPr>
                <w:color w:val="auto"/>
              </w:rPr>
            </w:pPr>
            <w:r>
              <w:rPr>
                <w:color w:val="auto"/>
              </w:rPr>
              <w:t>弱</w:t>
            </w:r>
          </w:p>
        </w:tc>
        <w:tc>
          <w:tcPr>
            <w:tcW w:w="8345" w:type="dxa"/>
            <w:vAlign w:val="center"/>
          </w:tcPr>
          <w:p w14:paraId="4D991776">
            <w:pPr>
              <w:pStyle w:val="45"/>
              <w:pageBreakBefore w:val="0"/>
              <w:kinsoku/>
              <w:wordWrap/>
              <w:overflowPunct/>
              <w:topLinePunct w:val="0"/>
              <w:bidi w:val="0"/>
              <w:rPr>
                <w:color w:val="auto"/>
              </w:rPr>
            </w:pPr>
            <w:r>
              <w:rPr>
                <w:color w:val="auto"/>
              </w:rPr>
              <w:t>岩（土）层不满足上述</w:t>
            </w:r>
            <w:r>
              <w:rPr>
                <w:rFonts w:hint="eastAsia"/>
                <w:color w:val="auto"/>
                <w:lang w:eastAsia="zh-CN"/>
              </w:rPr>
              <w:t>“</w:t>
            </w:r>
            <w:r>
              <w:rPr>
                <w:color w:val="auto"/>
              </w:rPr>
              <w:t>强</w:t>
            </w:r>
            <w:r>
              <w:rPr>
                <w:rFonts w:hint="eastAsia"/>
                <w:color w:val="auto"/>
                <w:lang w:eastAsia="zh-CN"/>
              </w:rPr>
              <w:t>”</w:t>
            </w:r>
            <w:r>
              <w:rPr>
                <w:color w:val="auto"/>
              </w:rPr>
              <w:t>和</w:t>
            </w:r>
            <w:r>
              <w:rPr>
                <w:rFonts w:hint="eastAsia"/>
                <w:color w:val="auto"/>
                <w:lang w:eastAsia="zh-CN"/>
              </w:rPr>
              <w:t>“</w:t>
            </w:r>
            <w:r>
              <w:rPr>
                <w:color w:val="auto"/>
              </w:rPr>
              <w:t>中</w:t>
            </w:r>
            <w:r>
              <w:rPr>
                <w:rFonts w:hint="eastAsia"/>
                <w:color w:val="auto"/>
                <w:lang w:eastAsia="zh-CN"/>
              </w:rPr>
              <w:t>”</w:t>
            </w:r>
            <w:r>
              <w:rPr>
                <w:color w:val="auto"/>
              </w:rPr>
              <w:t>条件</w:t>
            </w:r>
          </w:p>
        </w:tc>
      </w:tr>
    </w:tbl>
    <w:p w14:paraId="3B84027E">
      <w:pPr>
        <w:pStyle w:val="43"/>
        <w:pageBreakBefore w:val="0"/>
        <w:kinsoku/>
        <w:wordWrap/>
        <w:overflowPunct/>
        <w:topLinePunct w:val="0"/>
        <w:bidi w:val="0"/>
        <w:rPr>
          <w:rFonts w:hint="eastAsia" w:ascii="Times New Roman" w:hAnsi="Times New Roman" w:eastAsia="宋体" w:cs="Times New Roman"/>
          <w:b/>
          <w:bCs/>
          <w:color w:val="auto"/>
          <w:spacing w:val="0"/>
          <w:w w:val="100"/>
          <w:position w:val="0"/>
          <w:sz w:val="24"/>
          <w:szCs w:val="24"/>
          <w:lang w:val="zh-CN" w:eastAsia="zh-CN" w:bidi="zh-CN"/>
        </w:rPr>
      </w:pPr>
      <w:r>
        <w:rPr>
          <w:rFonts w:hint="eastAsia" w:ascii="Times New Roman" w:hAnsi="Times New Roman" w:eastAsia="宋体" w:cs="Times New Roman"/>
          <w:b/>
          <w:bCs/>
          <w:color w:val="auto"/>
          <w:spacing w:val="0"/>
          <w:w w:val="100"/>
          <w:position w:val="0"/>
          <w:sz w:val="24"/>
          <w:szCs w:val="24"/>
          <w:lang w:val="zh-CN" w:eastAsia="zh-CN" w:bidi="zh-CN"/>
        </w:rPr>
        <w:t>表6.3-</w:t>
      </w:r>
      <w:r>
        <w:rPr>
          <w:rFonts w:hint="eastAsia" w:cs="Times New Roman"/>
          <w:b/>
          <w:bCs/>
          <w:color w:val="auto"/>
          <w:spacing w:val="0"/>
          <w:w w:val="100"/>
          <w:position w:val="0"/>
          <w:sz w:val="24"/>
          <w:szCs w:val="24"/>
          <w:lang w:val="en-US" w:eastAsia="zh-CN" w:bidi="zh-CN"/>
        </w:rPr>
        <w:t>3</w:t>
      </w:r>
      <w:r>
        <w:rPr>
          <w:rFonts w:hint="eastAsia" w:ascii="Times New Roman" w:hAnsi="Times New Roman" w:cs="Times New Roman"/>
          <w:b/>
          <w:bCs/>
          <w:color w:val="auto"/>
          <w:spacing w:val="0"/>
          <w:w w:val="100"/>
          <w:position w:val="0"/>
          <w:sz w:val="24"/>
          <w:szCs w:val="24"/>
          <w:lang w:val="en-US" w:eastAsia="zh-CN" w:bidi="zh-CN"/>
        </w:rPr>
        <w:t xml:space="preserve">   </w:t>
      </w:r>
      <w:r>
        <w:rPr>
          <w:rFonts w:hint="eastAsia" w:ascii="Times New Roman" w:hAnsi="Times New Roman" w:eastAsia="宋体" w:cs="Times New Roman"/>
          <w:b/>
          <w:bCs/>
          <w:color w:val="auto"/>
          <w:spacing w:val="0"/>
          <w:w w:val="100"/>
          <w:position w:val="0"/>
          <w:sz w:val="24"/>
          <w:szCs w:val="24"/>
          <w:lang w:val="zh-CN" w:eastAsia="zh-CN" w:bidi="zh-CN"/>
        </w:rPr>
        <w:t>地下水污染防渗分区参照表</w:t>
      </w:r>
    </w:p>
    <w:tbl>
      <w:tblPr>
        <w:tblStyle w:val="27"/>
        <w:tblW w:w="5011"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22"/>
        <w:gridCol w:w="1659"/>
        <w:gridCol w:w="1509"/>
        <w:gridCol w:w="1697"/>
        <w:gridCol w:w="2614"/>
      </w:tblGrid>
      <w:tr w14:paraId="4DA367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Align w:val="center"/>
          </w:tcPr>
          <w:p w14:paraId="752972B8">
            <w:pPr>
              <w:pStyle w:val="45"/>
              <w:pageBreakBefore w:val="0"/>
              <w:kinsoku/>
              <w:wordWrap/>
              <w:overflowPunct/>
              <w:topLinePunct w:val="0"/>
              <w:bidi w:val="0"/>
              <w:rPr>
                <w:b/>
                <w:bCs/>
                <w:color w:val="auto"/>
              </w:rPr>
            </w:pPr>
            <w:r>
              <w:rPr>
                <w:b/>
                <w:bCs/>
                <w:color w:val="auto"/>
              </w:rPr>
              <w:t>防渗分区</w:t>
            </w:r>
          </w:p>
        </w:tc>
        <w:tc>
          <w:tcPr>
            <w:tcW w:w="1657" w:type="dxa"/>
            <w:vAlign w:val="center"/>
          </w:tcPr>
          <w:p w14:paraId="1F0785A2">
            <w:pPr>
              <w:pStyle w:val="45"/>
              <w:pageBreakBefore w:val="0"/>
              <w:kinsoku/>
              <w:wordWrap/>
              <w:overflowPunct/>
              <w:topLinePunct w:val="0"/>
              <w:bidi w:val="0"/>
              <w:rPr>
                <w:b/>
                <w:bCs/>
                <w:color w:val="auto"/>
              </w:rPr>
            </w:pPr>
            <w:r>
              <w:rPr>
                <w:b/>
                <w:bCs/>
                <w:color w:val="auto"/>
              </w:rPr>
              <w:t>天然包气带防</w:t>
            </w:r>
          </w:p>
          <w:p w14:paraId="0196BEC9">
            <w:pPr>
              <w:pStyle w:val="45"/>
              <w:pageBreakBefore w:val="0"/>
              <w:kinsoku/>
              <w:wordWrap/>
              <w:overflowPunct/>
              <w:topLinePunct w:val="0"/>
              <w:bidi w:val="0"/>
              <w:rPr>
                <w:b/>
                <w:bCs/>
                <w:color w:val="auto"/>
              </w:rPr>
            </w:pPr>
            <w:r>
              <w:rPr>
                <w:b/>
                <w:bCs/>
                <w:color w:val="auto"/>
              </w:rPr>
              <w:t>污性能</w:t>
            </w:r>
          </w:p>
        </w:tc>
        <w:tc>
          <w:tcPr>
            <w:tcW w:w="1507" w:type="dxa"/>
            <w:vAlign w:val="center"/>
          </w:tcPr>
          <w:p w14:paraId="32F1240E">
            <w:pPr>
              <w:pStyle w:val="45"/>
              <w:pageBreakBefore w:val="0"/>
              <w:kinsoku/>
              <w:wordWrap/>
              <w:overflowPunct/>
              <w:topLinePunct w:val="0"/>
              <w:bidi w:val="0"/>
              <w:rPr>
                <w:b/>
                <w:bCs/>
                <w:color w:val="auto"/>
              </w:rPr>
            </w:pPr>
            <w:r>
              <w:rPr>
                <w:b/>
                <w:bCs/>
                <w:color w:val="auto"/>
              </w:rPr>
              <w:t>污染控制难</w:t>
            </w:r>
          </w:p>
          <w:p w14:paraId="1CB2414C">
            <w:pPr>
              <w:pStyle w:val="45"/>
              <w:pageBreakBefore w:val="0"/>
              <w:kinsoku/>
              <w:wordWrap/>
              <w:overflowPunct/>
              <w:topLinePunct w:val="0"/>
              <w:bidi w:val="0"/>
              <w:rPr>
                <w:b/>
                <w:bCs/>
                <w:color w:val="auto"/>
              </w:rPr>
            </w:pPr>
            <w:r>
              <w:rPr>
                <w:b/>
                <w:bCs/>
                <w:color w:val="auto"/>
              </w:rPr>
              <w:t>易程度</w:t>
            </w:r>
          </w:p>
        </w:tc>
        <w:tc>
          <w:tcPr>
            <w:tcW w:w="1695" w:type="dxa"/>
            <w:vAlign w:val="center"/>
          </w:tcPr>
          <w:p w14:paraId="3BD3F203">
            <w:pPr>
              <w:pStyle w:val="45"/>
              <w:pageBreakBefore w:val="0"/>
              <w:kinsoku/>
              <w:wordWrap/>
              <w:overflowPunct/>
              <w:topLinePunct w:val="0"/>
              <w:bidi w:val="0"/>
              <w:rPr>
                <w:b/>
                <w:bCs/>
                <w:color w:val="auto"/>
              </w:rPr>
            </w:pPr>
            <w:r>
              <w:rPr>
                <w:b/>
                <w:bCs/>
                <w:color w:val="auto"/>
              </w:rPr>
              <w:t>污染物类型</w:t>
            </w:r>
          </w:p>
        </w:tc>
        <w:tc>
          <w:tcPr>
            <w:tcW w:w="2611" w:type="dxa"/>
            <w:vAlign w:val="center"/>
          </w:tcPr>
          <w:p w14:paraId="04731865">
            <w:pPr>
              <w:pStyle w:val="45"/>
              <w:pageBreakBefore w:val="0"/>
              <w:kinsoku/>
              <w:wordWrap/>
              <w:overflowPunct/>
              <w:topLinePunct w:val="0"/>
              <w:bidi w:val="0"/>
              <w:rPr>
                <w:b/>
                <w:bCs/>
                <w:color w:val="auto"/>
              </w:rPr>
            </w:pPr>
            <w:r>
              <w:rPr>
                <w:b/>
                <w:bCs/>
                <w:color w:val="auto"/>
              </w:rPr>
              <w:t>防渗技术要求</w:t>
            </w:r>
          </w:p>
        </w:tc>
      </w:tr>
      <w:tr w14:paraId="57451A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restart"/>
            <w:vAlign w:val="center"/>
          </w:tcPr>
          <w:p w14:paraId="62A65134">
            <w:pPr>
              <w:pStyle w:val="45"/>
              <w:pageBreakBefore w:val="0"/>
              <w:kinsoku/>
              <w:wordWrap/>
              <w:overflowPunct/>
              <w:topLinePunct w:val="0"/>
              <w:bidi w:val="0"/>
              <w:rPr>
                <w:color w:val="auto"/>
              </w:rPr>
            </w:pPr>
            <w:r>
              <w:rPr>
                <w:color w:val="auto"/>
              </w:rPr>
              <w:t>重点防渗区</w:t>
            </w:r>
          </w:p>
        </w:tc>
        <w:tc>
          <w:tcPr>
            <w:tcW w:w="1657" w:type="dxa"/>
            <w:vAlign w:val="center"/>
          </w:tcPr>
          <w:p w14:paraId="38759745">
            <w:pPr>
              <w:pStyle w:val="45"/>
              <w:pageBreakBefore w:val="0"/>
              <w:kinsoku/>
              <w:wordWrap/>
              <w:overflowPunct/>
              <w:topLinePunct w:val="0"/>
              <w:bidi w:val="0"/>
              <w:rPr>
                <w:color w:val="auto"/>
              </w:rPr>
            </w:pPr>
            <w:r>
              <w:rPr>
                <w:color w:val="auto"/>
              </w:rPr>
              <w:t>弱</w:t>
            </w:r>
          </w:p>
        </w:tc>
        <w:tc>
          <w:tcPr>
            <w:tcW w:w="1507" w:type="dxa"/>
            <w:vAlign w:val="center"/>
          </w:tcPr>
          <w:p w14:paraId="7DAFA514">
            <w:pPr>
              <w:pStyle w:val="45"/>
              <w:pageBreakBefore w:val="0"/>
              <w:kinsoku/>
              <w:wordWrap/>
              <w:overflowPunct/>
              <w:topLinePunct w:val="0"/>
              <w:bidi w:val="0"/>
              <w:rPr>
                <w:color w:val="auto"/>
              </w:rPr>
            </w:pPr>
            <w:r>
              <w:rPr>
                <w:color w:val="auto"/>
              </w:rPr>
              <w:t>难</w:t>
            </w:r>
          </w:p>
        </w:tc>
        <w:tc>
          <w:tcPr>
            <w:tcW w:w="1695" w:type="dxa"/>
            <w:vMerge w:val="restart"/>
            <w:vAlign w:val="center"/>
          </w:tcPr>
          <w:p w14:paraId="70F263E1">
            <w:pPr>
              <w:pStyle w:val="45"/>
              <w:pageBreakBefore w:val="0"/>
              <w:kinsoku/>
              <w:wordWrap/>
              <w:overflowPunct/>
              <w:topLinePunct w:val="0"/>
              <w:bidi w:val="0"/>
              <w:rPr>
                <w:color w:val="auto"/>
              </w:rPr>
            </w:pPr>
            <w:r>
              <w:rPr>
                <w:color w:val="auto"/>
              </w:rPr>
              <w:t>重金属、持久性有机物污染物</w:t>
            </w:r>
          </w:p>
        </w:tc>
        <w:tc>
          <w:tcPr>
            <w:tcW w:w="2611" w:type="dxa"/>
            <w:vMerge w:val="restart"/>
            <w:vAlign w:val="center"/>
          </w:tcPr>
          <w:p w14:paraId="0FCA36E8">
            <w:pPr>
              <w:pStyle w:val="45"/>
              <w:pageBreakBefore w:val="0"/>
              <w:kinsoku/>
              <w:wordWrap/>
              <w:overflowPunct/>
              <w:topLinePunct w:val="0"/>
              <w:bidi w:val="0"/>
              <w:rPr>
                <w:color w:val="auto"/>
              </w:rPr>
            </w:pPr>
            <w:r>
              <w:rPr>
                <w:color w:val="auto"/>
              </w:rPr>
              <w:t>等效黏土防渗层</w:t>
            </w:r>
          </w:p>
          <w:p w14:paraId="4D97526A">
            <w:pPr>
              <w:pStyle w:val="45"/>
              <w:pageBreakBefore w:val="0"/>
              <w:kinsoku/>
              <w:wordWrap/>
              <w:overflowPunct/>
              <w:topLinePunct w:val="0"/>
              <w:bidi w:val="0"/>
              <w:rPr>
                <w:color w:val="auto"/>
              </w:rPr>
            </w:pPr>
            <w:r>
              <w:rPr>
                <w:color w:val="auto"/>
              </w:rPr>
              <w:t>Mb</w:t>
            </w:r>
            <w:r>
              <w:rPr>
                <w:rFonts w:hint="eastAsia"/>
                <w:color w:val="auto"/>
                <w:lang w:eastAsia="zh-CN"/>
              </w:rPr>
              <w:t xml:space="preserve"> ≥</w:t>
            </w:r>
            <w:r>
              <w:rPr>
                <w:color w:val="auto"/>
              </w:rPr>
              <w:t>6.0m，K&lt;1×10</w:t>
            </w:r>
            <w:r>
              <w:rPr>
                <w:color w:val="auto"/>
                <w:vertAlign w:val="superscript"/>
              </w:rPr>
              <w:t>-7</w:t>
            </w:r>
            <w:r>
              <w:rPr>
                <w:color w:val="auto"/>
              </w:rPr>
              <w:t>cm/s，或参照GB18598执行</w:t>
            </w:r>
          </w:p>
        </w:tc>
      </w:tr>
      <w:tr w14:paraId="2DD02E3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continue"/>
            <w:tcBorders>
              <w:top w:val="nil"/>
            </w:tcBorders>
            <w:vAlign w:val="center"/>
          </w:tcPr>
          <w:p w14:paraId="1E1AB1E6">
            <w:pPr>
              <w:pStyle w:val="45"/>
              <w:pageBreakBefore w:val="0"/>
              <w:kinsoku/>
              <w:wordWrap/>
              <w:overflowPunct/>
              <w:topLinePunct w:val="0"/>
              <w:bidi w:val="0"/>
              <w:rPr>
                <w:color w:val="auto"/>
              </w:rPr>
            </w:pPr>
          </w:p>
        </w:tc>
        <w:tc>
          <w:tcPr>
            <w:tcW w:w="1657" w:type="dxa"/>
            <w:vAlign w:val="center"/>
          </w:tcPr>
          <w:p w14:paraId="3B856E6A">
            <w:pPr>
              <w:pStyle w:val="45"/>
              <w:pageBreakBefore w:val="0"/>
              <w:kinsoku/>
              <w:wordWrap/>
              <w:overflowPunct/>
              <w:topLinePunct w:val="0"/>
              <w:bidi w:val="0"/>
              <w:rPr>
                <w:color w:val="auto"/>
              </w:rPr>
            </w:pPr>
            <w:r>
              <w:rPr>
                <w:color w:val="auto"/>
              </w:rPr>
              <w:t>中-强</w:t>
            </w:r>
          </w:p>
        </w:tc>
        <w:tc>
          <w:tcPr>
            <w:tcW w:w="1507" w:type="dxa"/>
            <w:vAlign w:val="center"/>
          </w:tcPr>
          <w:p w14:paraId="7CFBDC2D">
            <w:pPr>
              <w:pStyle w:val="45"/>
              <w:pageBreakBefore w:val="0"/>
              <w:kinsoku/>
              <w:wordWrap/>
              <w:overflowPunct/>
              <w:topLinePunct w:val="0"/>
              <w:bidi w:val="0"/>
              <w:rPr>
                <w:color w:val="auto"/>
              </w:rPr>
            </w:pPr>
            <w:r>
              <w:rPr>
                <w:color w:val="auto"/>
              </w:rPr>
              <w:t>难</w:t>
            </w:r>
          </w:p>
        </w:tc>
        <w:tc>
          <w:tcPr>
            <w:tcW w:w="1695" w:type="dxa"/>
            <w:vMerge w:val="continue"/>
            <w:tcBorders>
              <w:top w:val="nil"/>
            </w:tcBorders>
            <w:vAlign w:val="center"/>
          </w:tcPr>
          <w:p w14:paraId="34AE7524">
            <w:pPr>
              <w:pStyle w:val="45"/>
              <w:pageBreakBefore w:val="0"/>
              <w:kinsoku/>
              <w:wordWrap/>
              <w:overflowPunct/>
              <w:topLinePunct w:val="0"/>
              <w:bidi w:val="0"/>
              <w:rPr>
                <w:color w:val="auto"/>
              </w:rPr>
            </w:pPr>
          </w:p>
        </w:tc>
        <w:tc>
          <w:tcPr>
            <w:tcW w:w="2611" w:type="dxa"/>
            <w:vMerge w:val="continue"/>
            <w:tcBorders>
              <w:top w:val="nil"/>
            </w:tcBorders>
            <w:vAlign w:val="center"/>
          </w:tcPr>
          <w:p w14:paraId="4F624251">
            <w:pPr>
              <w:pStyle w:val="45"/>
              <w:pageBreakBefore w:val="0"/>
              <w:kinsoku/>
              <w:wordWrap/>
              <w:overflowPunct/>
              <w:topLinePunct w:val="0"/>
              <w:bidi w:val="0"/>
              <w:rPr>
                <w:color w:val="auto"/>
              </w:rPr>
            </w:pPr>
          </w:p>
        </w:tc>
      </w:tr>
      <w:tr w14:paraId="66024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continue"/>
            <w:tcBorders>
              <w:top w:val="nil"/>
            </w:tcBorders>
            <w:vAlign w:val="center"/>
          </w:tcPr>
          <w:p w14:paraId="761817A0">
            <w:pPr>
              <w:pStyle w:val="45"/>
              <w:pageBreakBefore w:val="0"/>
              <w:kinsoku/>
              <w:wordWrap/>
              <w:overflowPunct/>
              <w:topLinePunct w:val="0"/>
              <w:bidi w:val="0"/>
              <w:rPr>
                <w:color w:val="auto"/>
              </w:rPr>
            </w:pPr>
          </w:p>
        </w:tc>
        <w:tc>
          <w:tcPr>
            <w:tcW w:w="1657" w:type="dxa"/>
            <w:vAlign w:val="center"/>
          </w:tcPr>
          <w:p w14:paraId="7938733A">
            <w:pPr>
              <w:pStyle w:val="45"/>
              <w:pageBreakBefore w:val="0"/>
              <w:kinsoku/>
              <w:wordWrap/>
              <w:overflowPunct/>
              <w:topLinePunct w:val="0"/>
              <w:bidi w:val="0"/>
              <w:rPr>
                <w:color w:val="auto"/>
              </w:rPr>
            </w:pPr>
            <w:r>
              <w:rPr>
                <w:color w:val="auto"/>
              </w:rPr>
              <w:t>弱</w:t>
            </w:r>
          </w:p>
        </w:tc>
        <w:tc>
          <w:tcPr>
            <w:tcW w:w="1507" w:type="dxa"/>
            <w:vAlign w:val="center"/>
          </w:tcPr>
          <w:p w14:paraId="393F630C">
            <w:pPr>
              <w:pStyle w:val="45"/>
              <w:pageBreakBefore w:val="0"/>
              <w:kinsoku/>
              <w:wordWrap/>
              <w:overflowPunct/>
              <w:topLinePunct w:val="0"/>
              <w:bidi w:val="0"/>
              <w:rPr>
                <w:color w:val="auto"/>
              </w:rPr>
            </w:pPr>
            <w:r>
              <w:rPr>
                <w:color w:val="auto"/>
              </w:rPr>
              <w:t>易</w:t>
            </w:r>
          </w:p>
        </w:tc>
        <w:tc>
          <w:tcPr>
            <w:tcW w:w="1695" w:type="dxa"/>
            <w:vMerge w:val="continue"/>
            <w:tcBorders>
              <w:top w:val="nil"/>
            </w:tcBorders>
            <w:vAlign w:val="center"/>
          </w:tcPr>
          <w:p w14:paraId="551D8217">
            <w:pPr>
              <w:pStyle w:val="45"/>
              <w:pageBreakBefore w:val="0"/>
              <w:kinsoku/>
              <w:wordWrap/>
              <w:overflowPunct/>
              <w:topLinePunct w:val="0"/>
              <w:bidi w:val="0"/>
              <w:rPr>
                <w:color w:val="auto"/>
              </w:rPr>
            </w:pPr>
          </w:p>
        </w:tc>
        <w:tc>
          <w:tcPr>
            <w:tcW w:w="2611" w:type="dxa"/>
            <w:vMerge w:val="continue"/>
            <w:tcBorders>
              <w:top w:val="nil"/>
            </w:tcBorders>
            <w:vAlign w:val="center"/>
          </w:tcPr>
          <w:p w14:paraId="0FE56AC6">
            <w:pPr>
              <w:pStyle w:val="45"/>
              <w:pageBreakBefore w:val="0"/>
              <w:kinsoku/>
              <w:wordWrap/>
              <w:overflowPunct/>
              <w:topLinePunct w:val="0"/>
              <w:bidi w:val="0"/>
              <w:rPr>
                <w:color w:val="auto"/>
              </w:rPr>
            </w:pPr>
          </w:p>
        </w:tc>
      </w:tr>
      <w:tr w14:paraId="1D5747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restart"/>
            <w:vAlign w:val="center"/>
          </w:tcPr>
          <w:p w14:paraId="21524DDB">
            <w:pPr>
              <w:pStyle w:val="45"/>
              <w:pageBreakBefore w:val="0"/>
              <w:kinsoku/>
              <w:wordWrap/>
              <w:overflowPunct/>
              <w:topLinePunct w:val="0"/>
              <w:bidi w:val="0"/>
              <w:rPr>
                <w:color w:val="auto"/>
              </w:rPr>
            </w:pPr>
            <w:r>
              <w:rPr>
                <w:color w:val="auto"/>
              </w:rPr>
              <w:t>一般防渗区</w:t>
            </w:r>
          </w:p>
        </w:tc>
        <w:tc>
          <w:tcPr>
            <w:tcW w:w="1657" w:type="dxa"/>
            <w:vAlign w:val="center"/>
          </w:tcPr>
          <w:p w14:paraId="3CC7B492">
            <w:pPr>
              <w:pStyle w:val="45"/>
              <w:pageBreakBefore w:val="0"/>
              <w:kinsoku/>
              <w:wordWrap/>
              <w:overflowPunct/>
              <w:topLinePunct w:val="0"/>
              <w:bidi w:val="0"/>
              <w:rPr>
                <w:color w:val="auto"/>
              </w:rPr>
            </w:pPr>
            <w:r>
              <w:rPr>
                <w:color w:val="auto"/>
              </w:rPr>
              <w:t>弱</w:t>
            </w:r>
          </w:p>
        </w:tc>
        <w:tc>
          <w:tcPr>
            <w:tcW w:w="1507" w:type="dxa"/>
            <w:vAlign w:val="center"/>
          </w:tcPr>
          <w:p w14:paraId="165D8876">
            <w:pPr>
              <w:pStyle w:val="45"/>
              <w:pageBreakBefore w:val="0"/>
              <w:kinsoku/>
              <w:wordWrap/>
              <w:overflowPunct/>
              <w:topLinePunct w:val="0"/>
              <w:bidi w:val="0"/>
              <w:rPr>
                <w:color w:val="auto"/>
              </w:rPr>
            </w:pPr>
            <w:r>
              <w:rPr>
                <w:color w:val="auto"/>
              </w:rPr>
              <w:t>易-难</w:t>
            </w:r>
          </w:p>
        </w:tc>
        <w:tc>
          <w:tcPr>
            <w:tcW w:w="1695" w:type="dxa"/>
            <w:vMerge w:val="restart"/>
            <w:vAlign w:val="center"/>
          </w:tcPr>
          <w:p w14:paraId="0433B1DD">
            <w:pPr>
              <w:pStyle w:val="45"/>
              <w:pageBreakBefore w:val="0"/>
              <w:kinsoku/>
              <w:wordWrap/>
              <w:overflowPunct/>
              <w:topLinePunct w:val="0"/>
              <w:bidi w:val="0"/>
              <w:rPr>
                <w:color w:val="auto"/>
              </w:rPr>
            </w:pPr>
            <w:r>
              <w:rPr>
                <w:color w:val="auto"/>
              </w:rPr>
              <w:t>其他类型</w:t>
            </w:r>
          </w:p>
        </w:tc>
        <w:tc>
          <w:tcPr>
            <w:tcW w:w="2611" w:type="dxa"/>
            <w:vMerge w:val="restart"/>
            <w:vAlign w:val="center"/>
          </w:tcPr>
          <w:p w14:paraId="3E52A91D">
            <w:pPr>
              <w:pStyle w:val="45"/>
              <w:pageBreakBefore w:val="0"/>
              <w:kinsoku/>
              <w:wordWrap/>
              <w:overflowPunct/>
              <w:topLinePunct w:val="0"/>
              <w:bidi w:val="0"/>
              <w:rPr>
                <w:color w:val="auto"/>
              </w:rPr>
            </w:pPr>
            <w:r>
              <w:rPr>
                <w:color w:val="auto"/>
              </w:rPr>
              <w:t>等效黏土防渗层</w:t>
            </w:r>
          </w:p>
          <w:p w14:paraId="01A96B91">
            <w:pPr>
              <w:pStyle w:val="45"/>
              <w:pageBreakBefore w:val="0"/>
              <w:kinsoku/>
              <w:wordWrap/>
              <w:overflowPunct/>
              <w:topLinePunct w:val="0"/>
              <w:bidi w:val="0"/>
              <w:rPr>
                <w:color w:val="auto"/>
              </w:rPr>
            </w:pPr>
            <w:r>
              <w:rPr>
                <w:color w:val="auto"/>
              </w:rPr>
              <w:t>Mb&gt;1.5m，K&lt;1×10</w:t>
            </w:r>
            <w:r>
              <w:rPr>
                <w:color w:val="auto"/>
                <w:vertAlign w:val="superscript"/>
              </w:rPr>
              <w:t>-7</w:t>
            </w:r>
            <w:r>
              <w:rPr>
                <w:color w:val="auto"/>
              </w:rPr>
              <w:t>cm/s，或参照GB16889执行</w:t>
            </w:r>
          </w:p>
        </w:tc>
      </w:tr>
      <w:tr w14:paraId="0E9780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continue"/>
            <w:tcBorders>
              <w:top w:val="nil"/>
            </w:tcBorders>
            <w:vAlign w:val="center"/>
          </w:tcPr>
          <w:p w14:paraId="3E3850F1">
            <w:pPr>
              <w:pStyle w:val="45"/>
              <w:pageBreakBefore w:val="0"/>
              <w:kinsoku/>
              <w:wordWrap/>
              <w:overflowPunct/>
              <w:topLinePunct w:val="0"/>
              <w:bidi w:val="0"/>
              <w:rPr>
                <w:color w:val="auto"/>
              </w:rPr>
            </w:pPr>
          </w:p>
        </w:tc>
        <w:tc>
          <w:tcPr>
            <w:tcW w:w="1657" w:type="dxa"/>
            <w:vAlign w:val="center"/>
          </w:tcPr>
          <w:p w14:paraId="1828BDEC">
            <w:pPr>
              <w:pStyle w:val="45"/>
              <w:pageBreakBefore w:val="0"/>
              <w:kinsoku/>
              <w:wordWrap/>
              <w:overflowPunct/>
              <w:topLinePunct w:val="0"/>
              <w:bidi w:val="0"/>
              <w:rPr>
                <w:color w:val="auto"/>
              </w:rPr>
            </w:pPr>
            <w:r>
              <w:rPr>
                <w:color w:val="auto"/>
              </w:rPr>
              <w:t>中-强</w:t>
            </w:r>
          </w:p>
        </w:tc>
        <w:tc>
          <w:tcPr>
            <w:tcW w:w="1507" w:type="dxa"/>
            <w:vAlign w:val="center"/>
          </w:tcPr>
          <w:p w14:paraId="19F0009B">
            <w:pPr>
              <w:pStyle w:val="45"/>
              <w:pageBreakBefore w:val="0"/>
              <w:kinsoku/>
              <w:wordWrap/>
              <w:overflowPunct/>
              <w:topLinePunct w:val="0"/>
              <w:bidi w:val="0"/>
              <w:rPr>
                <w:color w:val="auto"/>
              </w:rPr>
            </w:pPr>
            <w:r>
              <w:rPr>
                <w:color w:val="auto"/>
              </w:rPr>
              <w:t>难</w:t>
            </w:r>
          </w:p>
        </w:tc>
        <w:tc>
          <w:tcPr>
            <w:tcW w:w="1695" w:type="dxa"/>
            <w:vMerge w:val="continue"/>
            <w:tcBorders>
              <w:top w:val="nil"/>
            </w:tcBorders>
            <w:vAlign w:val="center"/>
          </w:tcPr>
          <w:p w14:paraId="342D7A92">
            <w:pPr>
              <w:pStyle w:val="45"/>
              <w:pageBreakBefore w:val="0"/>
              <w:kinsoku/>
              <w:wordWrap/>
              <w:overflowPunct/>
              <w:topLinePunct w:val="0"/>
              <w:bidi w:val="0"/>
              <w:rPr>
                <w:color w:val="auto"/>
              </w:rPr>
            </w:pPr>
          </w:p>
        </w:tc>
        <w:tc>
          <w:tcPr>
            <w:tcW w:w="2611" w:type="dxa"/>
            <w:vMerge w:val="continue"/>
            <w:tcBorders>
              <w:top w:val="nil"/>
            </w:tcBorders>
            <w:vAlign w:val="center"/>
          </w:tcPr>
          <w:p w14:paraId="4BBBD9C4">
            <w:pPr>
              <w:pStyle w:val="45"/>
              <w:pageBreakBefore w:val="0"/>
              <w:kinsoku/>
              <w:wordWrap/>
              <w:overflowPunct/>
              <w:topLinePunct w:val="0"/>
              <w:bidi w:val="0"/>
              <w:rPr>
                <w:color w:val="auto"/>
              </w:rPr>
            </w:pPr>
          </w:p>
        </w:tc>
      </w:tr>
      <w:tr w14:paraId="30593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continue"/>
            <w:tcBorders>
              <w:top w:val="nil"/>
            </w:tcBorders>
            <w:vAlign w:val="center"/>
          </w:tcPr>
          <w:p w14:paraId="2442E399">
            <w:pPr>
              <w:pStyle w:val="45"/>
              <w:pageBreakBefore w:val="0"/>
              <w:kinsoku/>
              <w:wordWrap/>
              <w:overflowPunct/>
              <w:topLinePunct w:val="0"/>
              <w:bidi w:val="0"/>
              <w:rPr>
                <w:color w:val="auto"/>
              </w:rPr>
            </w:pPr>
          </w:p>
        </w:tc>
        <w:tc>
          <w:tcPr>
            <w:tcW w:w="1657" w:type="dxa"/>
            <w:vAlign w:val="center"/>
          </w:tcPr>
          <w:p w14:paraId="080DA40E">
            <w:pPr>
              <w:pStyle w:val="45"/>
              <w:pageBreakBefore w:val="0"/>
              <w:kinsoku/>
              <w:wordWrap/>
              <w:overflowPunct/>
              <w:topLinePunct w:val="0"/>
              <w:bidi w:val="0"/>
              <w:rPr>
                <w:color w:val="auto"/>
              </w:rPr>
            </w:pPr>
            <w:r>
              <w:rPr>
                <w:color w:val="auto"/>
              </w:rPr>
              <w:t>中</w:t>
            </w:r>
          </w:p>
        </w:tc>
        <w:tc>
          <w:tcPr>
            <w:tcW w:w="1507" w:type="dxa"/>
            <w:vAlign w:val="center"/>
          </w:tcPr>
          <w:p w14:paraId="5BAD4D41">
            <w:pPr>
              <w:pStyle w:val="45"/>
              <w:pageBreakBefore w:val="0"/>
              <w:kinsoku/>
              <w:wordWrap/>
              <w:overflowPunct/>
              <w:topLinePunct w:val="0"/>
              <w:bidi w:val="0"/>
              <w:rPr>
                <w:color w:val="auto"/>
              </w:rPr>
            </w:pPr>
            <w:r>
              <w:rPr>
                <w:color w:val="auto"/>
              </w:rPr>
              <w:t>易</w:t>
            </w:r>
          </w:p>
        </w:tc>
        <w:tc>
          <w:tcPr>
            <w:tcW w:w="1695" w:type="dxa"/>
            <w:vMerge w:val="restart"/>
            <w:vAlign w:val="center"/>
          </w:tcPr>
          <w:p w14:paraId="4BDD9F7E">
            <w:pPr>
              <w:pStyle w:val="45"/>
              <w:pageBreakBefore w:val="0"/>
              <w:kinsoku/>
              <w:wordWrap/>
              <w:overflowPunct/>
              <w:topLinePunct w:val="0"/>
              <w:bidi w:val="0"/>
              <w:rPr>
                <w:color w:val="auto"/>
              </w:rPr>
            </w:pPr>
            <w:r>
              <w:rPr>
                <w:color w:val="auto"/>
              </w:rPr>
              <w:t>重金属、持久性有机物污染物</w:t>
            </w:r>
          </w:p>
        </w:tc>
        <w:tc>
          <w:tcPr>
            <w:tcW w:w="2611" w:type="dxa"/>
            <w:vMerge w:val="continue"/>
            <w:tcBorders>
              <w:top w:val="nil"/>
            </w:tcBorders>
            <w:vAlign w:val="center"/>
          </w:tcPr>
          <w:p w14:paraId="6BF36A42">
            <w:pPr>
              <w:pStyle w:val="45"/>
              <w:pageBreakBefore w:val="0"/>
              <w:kinsoku/>
              <w:wordWrap/>
              <w:overflowPunct/>
              <w:topLinePunct w:val="0"/>
              <w:bidi w:val="0"/>
              <w:rPr>
                <w:color w:val="auto"/>
              </w:rPr>
            </w:pPr>
          </w:p>
        </w:tc>
      </w:tr>
      <w:tr w14:paraId="304BC9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Merge w:val="continue"/>
            <w:tcBorders>
              <w:top w:val="nil"/>
            </w:tcBorders>
            <w:vAlign w:val="center"/>
          </w:tcPr>
          <w:p w14:paraId="5BA48F70">
            <w:pPr>
              <w:pStyle w:val="45"/>
              <w:pageBreakBefore w:val="0"/>
              <w:kinsoku/>
              <w:wordWrap/>
              <w:overflowPunct/>
              <w:topLinePunct w:val="0"/>
              <w:bidi w:val="0"/>
              <w:rPr>
                <w:color w:val="auto"/>
              </w:rPr>
            </w:pPr>
          </w:p>
        </w:tc>
        <w:tc>
          <w:tcPr>
            <w:tcW w:w="1657" w:type="dxa"/>
            <w:vAlign w:val="center"/>
          </w:tcPr>
          <w:p w14:paraId="16650B4D">
            <w:pPr>
              <w:pStyle w:val="45"/>
              <w:pageBreakBefore w:val="0"/>
              <w:kinsoku/>
              <w:wordWrap/>
              <w:overflowPunct/>
              <w:topLinePunct w:val="0"/>
              <w:bidi w:val="0"/>
              <w:rPr>
                <w:color w:val="auto"/>
              </w:rPr>
            </w:pPr>
            <w:r>
              <w:rPr>
                <w:color w:val="auto"/>
              </w:rPr>
              <w:t>强</w:t>
            </w:r>
          </w:p>
        </w:tc>
        <w:tc>
          <w:tcPr>
            <w:tcW w:w="1507" w:type="dxa"/>
            <w:vAlign w:val="center"/>
          </w:tcPr>
          <w:p w14:paraId="68A090AD">
            <w:pPr>
              <w:pStyle w:val="45"/>
              <w:pageBreakBefore w:val="0"/>
              <w:kinsoku/>
              <w:wordWrap/>
              <w:overflowPunct/>
              <w:topLinePunct w:val="0"/>
              <w:bidi w:val="0"/>
              <w:rPr>
                <w:color w:val="auto"/>
              </w:rPr>
            </w:pPr>
            <w:r>
              <w:rPr>
                <w:color w:val="auto"/>
              </w:rPr>
              <w:t>易</w:t>
            </w:r>
          </w:p>
        </w:tc>
        <w:tc>
          <w:tcPr>
            <w:tcW w:w="1695" w:type="dxa"/>
            <w:vMerge w:val="continue"/>
            <w:tcBorders>
              <w:top w:val="nil"/>
            </w:tcBorders>
            <w:vAlign w:val="center"/>
          </w:tcPr>
          <w:p w14:paraId="5D475B30">
            <w:pPr>
              <w:pStyle w:val="45"/>
              <w:pageBreakBefore w:val="0"/>
              <w:kinsoku/>
              <w:wordWrap/>
              <w:overflowPunct/>
              <w:topLinePunct w:val="0"/>
              <w:bidi w:val="0"/>
              <w:rPr>
                <w:color w:val="auto"/>
              </w:rPr>
            </w:pPr>
          </w:p>
        </w:tc>
        <w:tc>
          <w:tcPr>
            <w:tcW w:w="2611" w:type="dxa"/>
            <w:vMerge w:val="continue"/>
            <w:tcBorders>
              <w:top w:val="nil"/>
            </w:tcBorders>
            <w:vAlign w:val="center"/>
          </w:tcPr>
          <w:p w14:paraId="34C8A790">
            <w:pPr>
              <w:pStyle w:val="45"/>
              <w:pageBreakBefore w:val="0"/>
              <w:kinsoku/>
              <w:wordWrap/>
              <w:overflowPunct/>
              <w:topLinePunct w:val="0"/>
              <w:bidi w:val="0"/>
              <w:rPr>
                <w:color w:val="auto"/>
              </w:rPr>
            </w:pPr>
          </w:p>
        </w:tc>
      </w:tr>
      <w:tr w14:paraId="47BAC1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0" w:hRule="atLeast"/>
          <w:jc w:val="center"/>
        </w:trPr>
        <w:tc>
          <w:tcPr>
            <w:tcW w:w="1620" w:type="dxa"/>
            <w:vAlign w:val="center"/>
          </w:tcPr>
          <w:p w14:paraId="412B7A01">
            <w:pPr>
              <w:pStyle w:val="45"/>
              <w:pageBreakBefore w:val="0"/>
              <w:kinsoku/>
              <w:wordWrap/>
              <w:overflowPunct/>
              <w:topLinePunct w:val="0"/>
              <w:bidi w:val="0"/>
              <w:rPr>
                <w:color w:val="auto"/>
              </w:rPr>
            </w:pPr>
            <w:r>
              <w:rPr>
                <w:color w:val="auto"/>
              </w:rPr>
              <w:t>简单防渗区</w:t>
            </w:r>
          </w:p>
        </w:tc>
        <w:tc>
          <w:tcPr>
            <w:tcW w:w="1657" w:type="dxa"/>
            <w:vAlign w:val="center"/>
          </w:tcPr>
          <w:p w14:paraId="06FFE7C4">
            <w:pPr>
              <w:pStyle w:val="45"/>
              <w:pageBreakBefore w:val="0"/>
              <w:kinsoku/>
              <w:wordWrap/>
              <w:overflowPunct/>
              <w:topLinePunct w:val="0"/>
              <w:bidi w:val="0"/>
              <w:rPr>
                <w:color w:val="auto"/>
              </w:rPr>
            </w:pPr>
            <w:r>
              <w:rPr>
                <w:color w:val="auto"/>
              </w:rPr>
              <w:t>中-强</w:t>
            </w:r>
          </w:p>
        </w:tc>
        <w:tc>
          <w:tcPr>
            <w:tcW w:w="1507" w:type="dxa"/>
            <w:vAlign w:val="center"/>
          </w:tcPr>
          <w:p w14:paraId="4434CC68">
            <w:pPr>
              <w:pStyle w:val="45"/>
              <w:pageBreakBefore w:val="0"/>
              <w:kinsoku/>
              <w:wordWrap/>
              <w:overflowPunct/>
              <w:topLinePunct w:val="0"/>
              <w:bidi w:val="0"/>
              <w:rPr>
                <w:color w:val="auto"/>
              </w:rPr>
            </w:pPr>
            <w:r>
              <w:rPr>
                <w:color w:val="auto"/>
              </w:rPr>
              <w:t>易</w:t>
            </w:r>
          </w:p>
        </w:tc>
        <w:tc>
          <w:tcPr>
            <w:tcW w:w="1695" w:type="dxa"/>
            <w:vAlign w:val="center"/>
          </w:tcPr>
          <w:p w14:paraId="6334CCB5">
            <w:pPr>
              <w:pStyle w:val="45"/>
              <w:pageBreakBefore w:val="0"/>
              <w:kinsoku/>
              <w:wordWrap/>
              <w:overflowPunct/>
              <w:topLinePunct w:val="0"/>
              <w:bidi w:val="0"/>
              <w:rPr>
                <w:color w:val="auto"/>
              </w:rPr>
            </w:pPr>
            <w:r>
              <w:rPr>
                <w:color w:val="auto"/>
              </w:rPr>
              <w:t>其他类型</w:t>
            </w:r>
          </w:p>
        </w:tc>
        <w:tc>
          <w:tcPr>
            <w:tcW w:w="2611" w:type="dxa"/>
            <w:vAlign w:val="center"/>
          </w:tcPr>
          <w:p w14:paraId="52B81DB9">
            <w:pPr>
              <w:pStyle w:val="45"/>
              <w:pageBreakBefore w:val="0"/>
              <w:kinsoku/>
              <w:wordWrap/>
              <w:overflowPunct/>
              <w:topLinePunct w:val="0"/>
              <w:bidi w:val="0"/>
              <w:rPr>
                <w:color w:val="auto"/>
              </w:rPr>
            </w:pPr>
            <w:r>
              <w:rPr>
                <w:color w:val="auto"/>
              </w:rPr>
              <w:t>一般地面硬化</w:t>
            </w:r>
          </w:p>
        </w:tc>
      </w:tr>
    </w:tbl>
    <w:p w14:paraId="63947752">
      <w:pPr>
        <w:pStyle w:val="51"/>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根据《环境影响评价技术导则 地下水环境》（HJ610-2016）要求，结合本项目的性质，厂区分区防渗设置及技术要求见表6.3-4及附图6.3-1。</w:t>
      </w:r>
    </w:p>
    <w:p w14:paraId="15F1F8BF">
      <w:pPr>
        <w:keepNext w:val="0"/>
        <w:keepLines w:val="0"/>
        <w:pageBreakBefore w:val="0"/>
        <w:widowControl w:val="0"/>
        <w:kinsoku/>
        <w:wordWrap/>
        <w:overflowPunct/>
        <w:topLinePunct w:val="0"/>
        <w:autoSpaceDE w:val="0"/>
        <w:autoSpaceDN w:val="0"/>
        <w:bidi w:val="0"/>
        <w:adjustRightInd/>
        <w:snapToGrid/>
        <w:spacing w:line="240" w:lineRule="auto"/>
        <w:ind w:firstLine="480"/>
        <w:jc w:val="center"/>
        <w:textAlignment w:val="auto"/>
        <w:rPr>
          <w:rFonts w:hint="eastAsia" w:cs="Times New Roman"/>
          <w:b/>
          <w:bCs/>
          <w:color w:val="auto"/>
          <w:sz w:val="24"/>
          <w:szCs w:val="24"/>
          <w:lang w:val="en-US" w:eastAsia="zh-CN"/>
        </w:rPr>
      </w:pPr>
      <w:r>
        <w:rPr>
          <w:rFonts w:hint="eastAsia" w:cs="Times New Roman"/>
          <w:b/>
          <w:bCs/>
          <w:color w:val="auto"/>
          <w:sz w:val="24"/>
          <w:szCs w:val="24"/>
          <w:lang w:val="en-US" w:eastAsia="zh-CN"/>
        </w:rPr>
        <w:t>6.3-4     工程防渗措施要求一览表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8"/>
        <w:gridCol w:w="3858"/>
        <w:gridCol w:w="3990"/>
      </w:tblGrid>
      <w:tr w14:paraId="4C59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noWrap w:val="0"/>
            <w:vAlign w:val="center"/>
          </w:tcPr>
          <w:p w14:paraId="7D77EBF2">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防渗分区</w:t>
            </w:r>
          </w:p>
        </w:tc>
        <w:tc>
          <w:tcPr>
            <w:tcW w:w="3858" w:type="dxa"/>
            <w:noWrap w:val="0"/>
            <w:vAlign w:val="center"/>
          </w:tcPr>
          <w:p w14:paraId="17C11550">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区域</w:t>
            </w:r>
          </w:p>
        </w:tc>
        <w:tc>
          <w:tcPr>
            <w:tcW w:w="3990" w:type="dxa"/>
            <w:noWrap w:val="0"/>
            <w:vAlign w:val="center"/>
          </w:tcPr>
          <w:p w14:paraId="4512CF7C">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防渗设计</w:t>
            </w:r>
          </w:p>
        </w:tc>
      </w:tr>
      <w:tr w14:paraId="5C031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noWrap w:val="0"/>
            <w:vAlign w:val="center"/>
          </w:tcPr>
          <w:p w14:paraId="65EE9863">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重点防渗区</w:t>
            </w:r>
          </w:p>
        </w:tc>
        <w:tc>
          <w:tcPr>
            <w:tcW w:w="3858" w:type="dxa"/>
            <w:noWrap w:val="0"/>
            <w:vAlign w:val="center"/>
          </w:tcPr>
          <w:p w14:paraId="4E4B89ED">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危废暂存间</w:t>
            </w:r>
          </w:p>
        </w:tc>
        <w:tc>
          <w:tcPr>
            <w:tcW w:w="3990" w:type="dxa"/>
            <w:noWrap w:val="0"/>
            <w:vAlign w:val="center"/>
          </w:tcPr>
          <w:p w14:paraId="47057836">
            <w:pPr>
              <w:pStyle w:val="42"/>
              <w:keepNext w:val="0"/>
              <w:keepLines w:val="0"/>
              <w:pageBreakBefore w:val="0"/>
              <w:widowControl w:val="0"/>
              <w:kinsoku/>
              <w:wordWrap/>
              <w:overflowPunct/>
              <w:topLinePunct w:val="0"/>
              <w:autoSpaceDE/>
              <w:autoSpaceDN/>
              <w:bidi w:val="0"/>
              <w:ind w:left="-72" w:right="-72"/>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设置等效黏土防渗层Mb≥6.0m，地面渗透系数≤1.0×10</w:t>
            </w:r>
            <w:r>
              <w:rPr>
                <w:rFonts w:hint="eastAsia" w:ascii="Times New Roman" w:hAnsi="Times New Roman" w:eastAsia="宋体" w:cs="Times New Roman"/>
                <w:color w:val="auto"/>
                <w:sz w:val="21"/>
                <w:szCs w:val="21"/>
                <w:vertAlign w:val="superscript"/>
                <w:lang w:val="en-US" w:eastAsia="zh-CN" w:bidi="ar-SA"/>
              </w:rPr>
              <w:t>-10</w:t>
            </w:r>
            <w:r>
              <w:rPr>
                <w:rFonts w:hint="eastAsia" w:ascii="Times New Roman" w:hAnsi="Times New Roman" w:eastAsia="宋体" w:cs="Times New Roman"/>
                <w:color w:val="auto"/>
                <w:sz w:val="21"/>
                <w:szCs w:val="21"/>
                <w:lang w:val="en-US" w:eastAsia="zh-CN" w:bidi="ar-SA"/>
              </w:rPr>
              <w:t>cm/s的防渗层。</w:t>
            </w:r>
          </w:p>
        </w:tc>
      </w:tr>
      <w:tr w14:paraId="2A6D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08" w:type="dxa"/>
            <w:noWrap w:val="0"/>
            <w:vAlign w:val="center"/>
          </w:tcPr>
          <w:p w14:paraId="58642D41">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一般防渗区</w:t>
            </w:r>
          </w:p>
        </w:tc>
        <w:tc>
          <w:tcPr>
            <w:tcW w:w="3858" w:type="dxa"/>
            <w:noWrap w:val="0"/>
            <w:vAlign w:val="center"/>
          </w:tcPr>
          <w:p w14:paraId="4577A5BE">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沉淀池、生活污水处理设施、冷却循环水池、生产车间</w:t>
            </w:r>
          </w:p>
        </w:tc>
        <w:tc>
          <w:tcPr>
            <w:tcW w:w="3990" w:type="dxa"/>
            <w:noWrap w:val="0"/>
            <w:vAlign w:val="center"/>
          </w:tcPr>
          <w:p w14:paraId="3C0B66AC">
            <w:pPr>
              <w:pStyle w:val="42"/>
              <w:keepNext w:val="0"/>
              <w:keepLines w:val="0"/>
              <w:pageBreakBefore w:val="0"/>
              <w:widowControl w:val="0"/>
              <w:kinsoku/>
              <w:wordWrap/>
              <w:overflowPunct/>
              <w:topLinePunct w:val="0"/>
              <w:autoSpaceDE/>
              <w:autoSpaceDN/>
              <w:bidi w:val="0"/>
              <w:ind w:left="-72" w:right="-72"/>
              <w:jc w:val="center"/>
              <w:textAlignment w:val="auto"/>
              <w:rPr>
                <w:rFonts w:hint="eastAsia"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设置等效黏土防渗层Mb≥1.5m，地面渗透系数≤10</w:t>
            </w:r>
            <w:r>
              <w:rPr>
                <w:rFonts w:hint="eastAsia" w:ascii="Times New Roman" w:hAnsi="Times New Roman" w:eastAsia="宋体" w:cs="Times New Roman"/>
                <w:color w:val="auto"/>
                <w:sz w:val="21"/>
                <w:szCs w:val="21"/>
                <w:vertAlign w:val="superscript"/>
                <w:lang w:val="en-US" w:eastAsia="zh-CN" w:bidi="ar-SA"/>
              </w:rPr>
              <w:t>-7</w:t>
            </w:r>
            <w:r>
              <w:rPr>
                <w:rFonts w:hint="eastAsia" w:ascii="Times New Roman" w:hAnsi="Times New Roman" w:eastAsia="宋体" w:cs="Times New Roman"/>
                <w:color w:val="auto"/>
                <w:sz w:val="21"/>
                <w:szCs w:val="21"/>
                <w:lang w:val="en-US" w:eastAsia="zh-CN" w:bidi="ar-SA"/>
              </w:rPr>
              <w:t>cm/s的防渗层。</w:t>
            </w:r>
          </w:p>
        </w:tc>
      </w:tr>
      <w:tr w14:paraId="1691E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308" w:type="dxa"/>
            <w:noWrap w:val="0"/>
            <w:vAlign w:val="center"/>
          </w:tcPr>
          <w:p w14:paraId="0935B6C2">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简单防渗区</w:t>
            </w:r>
          </w:p>
        </w:tc>
        <w:tc>
          <w:tcPr>
            <w:tcW w:w="3858" w:type="dxa"/>
            <w:noWrap w:val="0"/>
            <w:vAlign w:val="center"/>
          </w:tcPr>
          <w:p w14:paraId="42EF377A">
            <w:pPr>
              <w:pStyle w:val="42"/>
              <w:keepNext w:val="0"/>
              <w:keepLines w:val="0"/>
              <w:pageBreakBefore w:val="0"/>
              <w:widowControl w:val="0"/>
              <w:kinsoku/>
              <w:wordWrap/>
              <w:overflowPunct/>
              <w:topLinePunct w:val="0"/>
              <w:autoSpaceDE/>
              <w:autoSpaceDN/>
              <w:bidi w:val="0"/>
              <w:ind w:left="-72" w:right="-72"/>
              <w:jc w:val="center"/>
              <w:textAlignment w:val="auto"/>
              <w:rPr>
                <w:rFonts w:hint="eastAsia" w:ascii="Times New Roman" w:hAnsi="Times New Roman" w:eastAsia="宋体" w:cs="Times New Roman"/>
                <w:color w:val="auto"/>
                <w:sz w:val="21"/>
                <w:szCs w:val="21"/>
                <w:lang w:val="en-US" w:eastAsia="zh-CN" w:bidi="ar-SA"/>
              </w:rPr>
            </w:pPr>
            <w:r>
              <w:rPr>
                <w:rFonts w:hint="eastAsia" w:cs="Times New Roman"/>
                <w:color w:val="auto"/>
                <w:sz w:val="21"/>
                <w:szCs w:val="21"/>
                <w:lang w:val="en-US" w:eastAsia="zh-CN" w:bidi="ar-SA"/>
              </w:rPr>
              <w:t>其他</w:t>
            </w:r>
          </w:p>
        </w:tc>
        <w:tc>
          <w:tcPr>
            <w:tcW w:w="3990" w:type="dxa"/>
            <w:noWrap w:val="0"/>
            <w:vAlign w:val="center"/>
          </w:tcPr>
          <w:p w14:paraId="253FB6A6">
            <w:pPr>
              <w:pStyle w:val="42"/>
              <w:keepNext w:val="0"/>
              <w:keepLines w:val="0"/>
              <w:pageBreakBefore w:val="0"/>
              <w:widowControl w:val="0"/>
              <w:kinsoku/>
              <w:wordWrap/>
              <w:overflowPunct/>
              <w:topLinePunct w:val="0"/>
              <w:autoSpaceDE/>
              <w:autoSpaceDN/>
              <w:bidi w:val="0"/>
              <w:ind w:left="-72" w:right="-72"/>
              <w:jc w:val="center"/>
              <w:textAlignment w:val="auto"/>
              <w:rPr>
                <w:rFonts w:hint="default" w:ascii="Times New Roman" w:hAnsi="Times New Roman" w:eastAsia="宋体" w:cs="Times New Roman"/>
                <w:color w:val="auto"/>
                <w:sz w:val="21"/>
                <w:szCs w:val="21"/>
                <w:lang w:val="en-US" w:eastAsia="zh-CN" w:bidi="ar-SA"/>
              </w:rPr>
            </w:pPr>
            <w:r>
              <w:rPr>
                <w:rFonts w:hint="eastAsia" w:ascii="Times New Roman" w:hAnsi="Times New Roman" w:eastAsia="宋体" w:cs="Times New Roman"/>
                <w:color w:val="auto"/>
                <w:sz w:val="21"/>
                <w:szCs w:val="21"/>
                <w:lang w:val="en-US" w:eastAsia="zh-CN" w:bidi="ar-SA"/>
              </w:rPr>
              <w:t>一般地面硬化</w:t>
            </w:r>
          </w:p>
        </w:tc>
      </w:tr>
    </w:tbl>
    <w:p w14:paraId="2553C050">
      <w:pPr>
        <w:pageBreakBefore w:val="0"/>
        <w:kinsoku/>
        <w:wordWrap/>
        <w:overflowPunct/>
        <w:topLinePunct w:val="0"/>
        <w:bidi w:val="0"/>
        <w:rPr>
          <w:color w:val="auto"/>
        </w:rPr>
      </w:pPr>
      <w:r>
        <w:rPr>
          <w:color w:val="auto"/>
          <w:spacing w:val="0"/>
          <w:w w:val="100"/>
          <w:position w:val="0"/>
        </w:rPr>
        <w:t>废水管道采取的防渗措施如下：地下管道选用钢管，焊接连接，在管道壁厚设计上加大腐蚀裕量，并且采用最高级别的外防</w:t>
      </w:r>
      <w:r>
        <w:rPr>
          <w:color w:val="auto"/>
        </w:rPr>
        <w:t>腐层。防渗结构采用封闭钢筋混凝土管沟防渗结构。最大限度地预防</w:t>
      </w:r>
      <w:r>
        <w:rPr>
          <w:rFonts w:hint="eastAsia"/>
          <w:color w:val="auto"/>
          <w:lang w:eastAsia="zh-CN"/>
        </w:rPr>
        <w:t>“</w:t>
      </w:r>
      <w:r>
        <w:rPr>
          <w:color w:val="auto"/>
        </w:rPr>
        <w:t>跑</w:t>
      </w:r>
      <w:r>
        <w:rPr>
          <w:rFonts w:hint="eastAsia"/>
          <w:color w:val="auto"/>
          <w:lang w:eastAsia="zh-CN"/>
        </w:rPr>
        <w:t>、</w:t>
      </w:r>
      <w:r>
        <w:rPr>
          <w:color w:val="auto"/>
        </w:rPr>
        <w:t>冒</w:t>
      </w:r>
      <w:r>
        <w:rPr>
          <w:rFonts w:hint="eastAsia"/>
          <w:color w:val="auto"/>
          <w:lang w:eastAsia="zh-CN"/>
        </w:rPr>
        <w:t>、</w:t>
      </w:r>
      <w:r>
        <w:rPr>
          <w:color w:val="auto"/>
        </w:rPr>
        <w:t>滴</w:t>
      </w:r>
      <w:r>
        <w:rPr>
          <w:rFonts w:hint="eastAsia"/>
          <w:color w:val="auto"/>
          <w:lang w:eastAsia="zh-CN"/>
        </w:rPr>
        <w:t>、</w:t>
      </w:r>
      <w:r>
        <w:rPr>
          <w:color w:val="auto"/>
        </w:rPr>
        <w:t>漏</w:t>
      </w:r>
      <w:r>
        <w:rPr>
          <w:rFonts w:hint="eastAsia"/>
          <w:color w:val="auto"/>
          <w:lang w:eastAsia="zh-CN"/>
        </w:rPr>
        <w:t>”</w:t>
      </w:r>
      <w:r>
        <w:rPr>
          <w:color w:val="auto"/>
        </w:rPr>
        <w:t>现象的发生。</w:t>
      </w:r>
    </w:p>
    <w:p w14:paraId="45A2305E">
      <w:pPr>
        <w:pageBreakBefore w:val="0"/>
        <w:kinsoku/>
        <w:wordWrap/>
        <w:overflowPunct/>
        <w:topLinePunct w:val="0"/>
        <w:bidi w:val="0"/>
        <w:rPr>
          <w:color w:val="auto"/>
          <w:spacing w:val="0"/>
          <w:w w:val="100"/>
          <w:position w:val="0"/>
        </w:rPr>
      </w:pPr>
      <w:r>
        <w:rPr>
          <w:color w:val="auto"/>
        </w:rPr>
        <w:t>项目运行后，配备专兼职技术人员，加强地</w:t>
      </w:r>
      <w:r>
        <w:rPr>
          <w:color w:val="auto"/>
          <w:spacing w:val="0"/>
          <w:w w:val="100"/>
          <w:position w:val="0"/>
        </w:rPr>
        <w:t>下水环境管理及巡查，定期对车间、冷却水设施等环节进行检漏工作，确保各防渗漏措施运行的长期性、稳定性和可靠性。</w:t>
      </w:r>
    </w:p>
    <w:p w14:paraId="612847E5">
      <w:pPr>
        <w:pageBreakBefore w:val="0"/>
        <w:kinsoku/>
        <w:wordWrap/>
        <w:overflowPunct/>
        <w:topLinePunct w:val="0"/>
        <w:bidi w:val="0"/>
        <w:rPr>
          <w:color w:val="auto"/>
        </w:rPr>
      </w:pPr>
      <w:r>
        <w:rPr>
          <w:color w:val="auto"/>
        </w:rPr>
        <w:t>采取上述防渗措施后，项目不会对地下水造成不利影响。</w:t>
      </w:r>
    </w:p>
    <w:p w14:paraId="379CD546">
      <w:pPr>
        <w:pStyle w:val="4"/>
        <w:pageBreakBefore w:val="0"/>
        <w:kinsoku/>
        <w:wordWrap/>
        <w:overflowPunct/>
        <w:topLinePunct w:val="0"/>
        <w:bidi w:val="0"/>
        <w:rPr>
          <w:rFonts w:hint="default"/>
          <w:color w:val="auto"/>
          <w:highlight w:val="none"/>
          <w:lang w:val="en-US" w:eastAsia="zh-CN"/>
        </w:rPr>
      </w:pPr>
      <w:bookmarkStart w:id="249" w:name="6.4声环境影响分析"/>
      <w:bookmarkEnd w:id="249"/>
      <w:bookmarkStart w:id="250" w:name="_bookmark35"/>
      <w:bookmarkEnd w:id="250"/>
      <w:bookmarkStart w:id="251" w:name="_bookmark35"/>
      <w:bookmarkEnd w:id="251"/>
      <w:bookmarkStart w:id="252" w:name="_Toc23981"/>
      <w:bookmarkStart w:id="253" w:name="_Toc12508"/>
      <w:bookmarkStart w:id="254" w:name="_Toc1191"/>
      <w:r>
        <w:rPr>
          <w:rFonts w:hint="default"/>
          <w:color w:val="auto"/>
          <w:highlight w:val="none"/>
          <w:lang w:val="en-US" w:eastAsia="zh-CN"/>
        </w:rPr>
        <w:t>6.4声环境影响分析</w:t>
      </w:r>
      <w:bookmarkEnd w:id="252"/>
      <w:bookmarkEnd w:id="253"/>
      <w:bookmarkEnd w:id="254"/>
    </w:p>
    <w:p w14:paraId="7DC8A461">
      <w:pPr>
        <w:keepNext w:val="0"/>
        <w:keepLines w:val="0"/>
        <w:pageBreakBefore w:val="0"/>
        <w:widowControl w:val="0"/>
        <w:kinsoku/>
        <w:wordWrap/>
        <w:overflowPunct/>
        <w:topLinePunct w:val="0"/>
        <w:autoSpaceDE w:val="0"/>
        <w:autoSpaceDN w:val="0"/>
        <w:bidi w:val="0"/>
        <w:adjustRightInd w:val="0"/>
        <w:snapToGrid w:val="0"/>
        <w:spacing w:line="360" w:lineRule="auto"/>
        <w:ind w:firstLine="562" w:firstLineChars="200"/>
        <w:jc w:val="both"/>
        <w:textAlignment w:val="auto"/>
        <w:outlineLvl w:val="2"/>
        <w:rPr>
          <w:rFonts w:hint="default" w:ascii="Times New Roman" w:hAnsi="Times New Roman" w:eastAsia="宋体" w:cs="Times New Roman"/>
          <w:b/>
          <w:color w:val="auto"/>
          <w:spacing w:val="0"/>
          <w:w w:val="100"/>
          <w:position w:val="0"/>
          <w:sz w:val="28"/>
          <w:szCs w:val="22"/>
          <w:lang w:val="zh-CN" w:eastAsia="zh-CN" w:bidi="zh-CN"/>
        </w:rPr>
      </w:pPr>
      <w:bookmarkStart w:id="255" w:name="6.5 固体废弃物环境影响分析"/>
      <w:bookmarkEnd w:id="255"/>
      <w:bookmarkStart w:id="256" w:name="6.4.1主要噪声源"/>
      <w:bookmarkEnd w:id="256"/>
      <w:bookmarkStart w:id="257" w:name="_bookmark36"/>
      <w:bookmarkEnd w:id="257"/>
      <w:bookmarkStart w:id="258" w:name="_bookmark36"/>
      <w:bookmarkEnd w:id="258"/>
      <w:bookmarkStart w:id="259" w:name="6.4.1主要噪声源"/>
      <w:bookmarkEnd w:id="259"/>
      <w:bookmarkStart w:id="260" w:name="_Toc275162202"/>
      <w:bookmarkStart w:id="261" w:name="_Toc11532"/>
      <w:r>
        <w:rPr>
          <w:rFonts w:hint="eastAsia" w:ascii="Times New Roman" w:hAnsi="Times New Roman" w:eastAsia="宋体" w:cs="Times New Roman"/>
          <w:b/>
          <w:color w:val="auto"/>
          <w:spacing w:val="0"/>
          <w:w w:val="100"/>
          <w:position w:val="0"/>
          <w:sz w:val="28"/>
          <w:szCs w:val="22"/>
          <w:lang w:val="en-US" w:eastAsia="zh-CN" w:bidi="zh-CN"/>
        </w:rPr>
        <w:t>6.4.1</w:t>
      </w:r>
      <w:r>
        <w:rPr>
          <w:rFonts w:hint="eastAsia" w:ascii="Times New Roman" w:hAnsi="Times New Roman" w:eastAsia="宋体" w:cs="Times New Roman"/>
          <w:b/>
          <w:color w:val="auto"/>
          <w:spacing w:val="0"/>
          <w:w w:val="100"/>
          <w:position w:val="0"/>
          <w:sz w:val="28"/>
          <w:szCs w:val="22"/>
          <w:lang w:val="zh-CN" w:eastAsia="zh-CN" w:bidi="zh-CN"/>
        </w:rPr>
        <w:t>噪声源强</w:t>
      </w:r>
    </w:p>
    <w:bookmarkEnd w:id="260"/>
    <w:bookmarkEnd w:id="261"/>
    <w:p w14:paraId="78E83364">
      <w:pPr>
        <w:keepNext w:val="0"/>
        <w:keepLines w:val="0"/>
        <w:pageBreakBefore w:val="0"/>
        <w:widowControl w:val="0"/>
        <w:kinsoku/>
        <w:wordWrap/>
        <w:overflowPunct/>
        <w:topLinePunct w:val="0"/>
        <w:autoSpaceDE w:val="0"/>
        <w:autoSpaceDN w:val="0"/>
        <w:bidi w:val="0"/>
        <w:adjustRightInd/>
        <w:snapToGrid w:val="0"/>
        <w:spacing w:before="0" w:beforeLines="50" w:line="360" w:lineRule="auto"/>
        <w:ind w:firstLine="480" w:firstLineChars="200"/>
        <w:textAlignment w:val="auto"/>
        <w:rPr>
          <w:rFonts w:ascii="Times New Roman" w:hAnsi="Times New Roman" w:cs="Times New Roman" w:eastAsiaTheme="minorEastAsia"/>
          <w:color w:val="auto"/>
          <w:sz w:val="24"/>
          <w:szCs w:val="24"/>
          <w:lang w:eastAsia="zh-CN"/>
        </w:rPr>
      </w:pPr>
      <w:r>
        <w:rPr>
          <w:rFonts w:ascii="Times New Roman" w:hAnsi="Times New Roman" w:cs="Times New Roman" w:eastAsiaTheme="minorEastAsia"/>
          <w:color w:val="auto"/>
          <w:sz w:val="24"/>
          <w:szCs w:val="24"/>
          <w:lang w:eastAsia="zh-CN"/>
        </w:rPr>
        <w:t>由上表可知，项目厂界噪声满足</w:t>
      </w:r>
      <w:r>
        <w:rPr>
          <w:rFonts w:hint="default" w:ascii="Times New Roman" w:hAnsi="Times New Roman" w:eastAsia="宋体" w:cs="Times New Roman"/>
          <w:color w:val="auto"/>
          <w:spacing w:val="0"/>
          <w:w w:val="100"/>
          <w:position w:val="0"/>
          <w:sz w:val="24"/>
        </w:rPr>
        <w:t>《工业企业厂界环境噪声排放标准》（GB12348－2008）中</w:t>
      </w:r>
      <w:r>
        <w:rPr>
          <w:rFonts w:hint="eastAsia" w:cs="Times New Roman"/>
          <w:color w:val="auto"/>
          <w:spacing w:val="0"/>
          <w:w w:val="100"/>
          <w:position w:val="0"/>
          <w:sz w:val="24"/>
          <w:lang w:val="en-US" w:eastAsia="zh-CN"/>
        </w:rPr>
        <w:t>2</w:t>
      </w:r>
      <w:r>
        <w:rPr>
          <w:rFonts w:hint="default" w:ascii="Times New Roman" w:hAnsi="Times New Roman" w:eastAsia="宋体" w:cs="Times New Roman"/>
          <w:color w:val="auto"/>
          <w:spacing w:val="0"/>
          <w:w w:val="100"/>
          <w:position w:val="0"/>
          <w:sz w:val="24"/>
        </w:rPr>
        <w:t>类标准要求</w:t>
      </w:r>
      <w:r>
        <w:rPr>
          <w:rFonts w:ascii="Times New Roman" w:hAnsi="Times New Roman" w:cs="Times New Roman" w:eastAsiaTheme="minorEastAsia"/>
          <w:color w:val="auto"/>
          <w:sz w:val="24"/>
          <w:szCs w:val="24"/>
          <w:lang w:eastAsia="zh-CN"/>
        </w:rPr>
        <w:t>。</w:t>
      </w:r>
    </w:p>
    <w:p w14:paraId="4D3FD70B">
      <w:pPr>
        <w:keepNext w:val="0"/>
        <w:keepLines w:val="0"/>
        <w:pageBreakBefore w:val="0"/>
        <w:widowControl w:val="0"/>
        <w:kinsoku/>
        <w:wordWrap/>
        <w:overflowPunct/>
        <w:topLinePunct w:val="0"/>
        <w:autoSpaceDE w:val="0"/>
        <w:autoSpaceDN w:val="0"/>
        <w:bidi w:val="0"/>
        <w:adjustRightInd w:val="0"/>
        <w:snapToGrid w:val="0"/>
        <w:spacing w:before="0" w:line="360" w:lineRule="auto"/>
        <w:ind w:firstLine="480" w:firstLineChars="200"/>
        <w:jc w:val="both"/>
        <w:textAlignment w:val="auto"/>
        <w:rPr>
          <w:color w:val="auto"/>
          <w:sz w:val="24"/>
          <w:szCs w:val="24"/>
          <w:highlight w:val="none"/>
        </w:rPr>
      </w:pPr>
      <w:r>
        <w:rPr>
          <w:color w:val="auto"/>
          <w:sz w:val="24"/>
          <w:szCs w:val="24"/>
          <w:highlight w:val="none"/>
        </w:rPr>
        <w:t>本项目</w:t>
      </w:r>
      <w:r>
        <w:rPr>
          <w:rFonts w:hint="eastAsia"/>
          <w:color w:val="auto"/>
          <w:sz w:val="24"/>
          <w:szCs w:val="24"/>
          <w:highlight w:val="none"/>
          <w:lang w:eastAsia="zh-CN"/>
        </w:rPr>
        <w:t>声</w:t>
      </w:r>
      <w:r>
        <w:rPr>
          <w:color w:val="auto"/>
          <w:sz w:val="24"/>
          <w:szCs w:val="24"/>
          <w:highlight w:val="none"/>
        </w:rPr>
        <w:t>环境影响评价自查表见表</w:t>
      </w:r>
      <w:r>
        <w:rPr>
          <w:rFonts w:hint="eastAsia"/>
          <w:color w:val="auto"/>
          <w:sz w:val="24"/>
          <w:szCs w:val="24"/>
          <w:highlight w:val="none"/>
          <w:lang w:val="en-US" w:eastAsia="zh-CN"/>
        </w:rPr>
        <w:t>6.4-4</w:t>
      </w:r>
      <w:r>
        <w:rPr>
          <w:color w:val="auto"/>
          <w:sz w:val="24"/>
          <w:szCs w:val="24"/>
          <w:highlight w:val="none"/>
        </w:rPr>
        <w:t>。</w:t>
      </w:r>
    </w:p>
    <w:p w14:paraId="27E18EFF">
      <w:pPr>
        <w:pStyle w:val="4"/>
        <w:keepNext w:val="0"/>
        <w:keepLines w:val="0"/>
        <w:pageBreakBefore w:val="0"/>
        <w:widowControl/>
        <w:kinsoku/>
        <w:wordWrap/>
        <w:overflowPunct/>
        <w:topLinePunct w:val="0"/>
        <w:autoSpaceDE/>
        <w:autoSpaceDN/>
        <w:bidi w:val="0"/>
        <w:adjustRightInd w:val="0"/>
        <w:snapToGrid w:val="0"/>
        <w:spacing w:before="0" w:beforeLines="50"/>
        <w:textAlignment w:val="auto"/>
        <w:rPr>
          <w:rFonts w:hint="default"/>
          <w:color w:val="auto"/>
          <w:lang w:val="en-US" w:eastAsia="zh-CN"/>
        </w:rPr>
      </w:pPr>
      <w:bookmarkStart w:id="262" w:name="_Toc15050"/>
      <w:bookmarkStart w:id="263" w:name="_Toc6239"/>
      <w:bookmarkStart w:id="264" w:name="_Toc5200"/>
      <w:r>
        <w:rPr>
          <w:rFonts w:hint="eastAsia"/>
          <w:color w:val="auto"/>
          <w:lang w:val="en-US" w:eastAsia="zh-CN"/>
        </w:rPr>
        <w:t>6.5</w:t>
      </w:r>
      <w:r>
        <w:rPr>
          <w:rFonts w:hint="default"/>
          <w:color w:val="auto"/>
          <w:lang w:val="en-US" w:eastAsia="zh-CN"/>
        </w:rPr>
        <w:t>固体废弃物环境影响分析</w:t>
      </w:r>
      <w:bookmarkEnd w:id="262"/>
      <w:bookmarkEnd w:id="263"/>
      <w:bookmarkEnd w:id="264"/>
    </w:p>
    <w:p w14:paraId="5C7653BC">
      <w:pPr>
        <w:pageBreakBefore w:val="0"/>
        <w:kinsoku/>
        <w:wordWrap/>
        <w:overflowPunct/>
        <w:topLinePunct w:val="0"/>
        <w:bidi w:val="0"/>
        <w:rPr>
          <w:rFonts w:hint="eastAsia"/>
          <w:color w:val="auto"/>
        </w:rPr>
      </w:pPr>
      <w:bookmarkStart w:id="265" w:name="6.5.1 一般固体废物"/>
      <w:bookmarkEnd w:id="265"/>
      <w:bookmarkStart w:id="266" w:name="6.5.2 危险废物"/>
      <w:bookmarkEnd w:id="266"/>
      <w:bookmarkStart w:id="267" w:name="6.5.1 一般固体废物"/>
      <w:bookmarkEnd w:id="267"/>
      <w:bookmarkStart w:id="268" w:name="6.5.2 危险废物"/>
      <w:bookmarkEnd w:id="268"/>
      <w:r>
        <w:rPr>
          <w:rFonts w:hint="eastAsia"/>
          <w:color w:val="auto"/>
        </w:rPr>
        <w:t>本项目运营期的固废主要为：</w:t>
      </w:r>
      <w:r>
        <w:rPr>
          <w:rFonts w:hint="eastAsia"/>
          <w:color w:val="auto"/>
          <w:lang w:eastAsia="zh-CN"/>
        </w:rPr>
        <w:t>一般工业固体废物、危险废物和生活垃圾</w:t>
      </w:r>
      <w:r>
        <w:rPr>
          <w:rFonts w:hint="eastAsia"/>
          <w:color w:val="auto"/>
        </w:rPr>
        <w:t>。</w:t>
      </w:r>
    </w:p>
    <w:p w14:paraId="0CDCA46F">
      <w:pPr>
        <w:pStyle w:val="5"/>
        <w:pageBreakBefore w:val="0"/>
        <w:kinsoku/>
        <w:wordWrap/>
        <w:overflowPunct/>
        <w:topLinePunct w:val="0"/>
        <w:bidi w:val="0"/>
        <w:rPr>
          <w:rFonts w:hint="default" w:ascii="Times New Roman" w:hAnsi="Times New Roman" w:eastAsia="宋体" w:cs="Times New Roman"/>
          <w:b/>
          <w:color w:val="auto"/>
          <w:spacing w:val="0"/>
          <w:w w:val="100"/>
          <w:kern w:val="0"/>
          <w:position w:val="0"/>
          <w:sz w:val="28"/>
          <w:szCs w:val="28"/>
          <w:lang w:val="en-US" w:eastAsia="zh-CN" w:bidi="zh-CN"/>
        </w:rPr>
      </w:pPr>
      <w:bookmarkStart w:id="269" w:name="_Toc2963"/>
      <w:r>
        <w:rPr>
          <w:rFonts w:hint="eastAsia" w:ascii="Times New Roman" w:hAnsi="Times New Roman" w:cs="Times New Roman"/>
          <w:b/>
          <w:color w:val="auto"/>
          <w:spacing w:val="0"/>
          <w:w w:val="100"/>
          <w:kern w:val="0"/>
          <w:position w:val="0"/>
          <w:sz w:val="28"/>
          <w:szCs w:val="28"/>
          <w:lang w:val="en-US" w:eastAsia="zh-CN" w:bidi="zh-CN"/>
        </w:rPr>
        <w:t>6.5.1</w:t>
      </w:r>
      <w:r>
        <w:rPr>
          <w:rFonts w:hint="eastAsia" w:ascii="Times New Roman" w:hAnsi="Times New Roman" w:eastAsia="宋体" w:cs="Times New Roman"/>
          <w:b/>
          <w:color w:val="auto"/>
          <w:spacing w:val="0"/>
          <w:w w:val="100"/>
          <w:kern w:val="0"/>
          <w:position w:val="0"/>
          <w:sz w:val="28"/>
          <w:szCs w:val="28"/>
          <w:lang w:val="en-US" w:eastAsia="zh-CN" w:bidi="zh-CN"/>
        </w:rPr>
        <w:t>一般工业固体废物</w:t>
      </w:r>
      <w:bookmarkEnd w:id="269"/>
    </w:p>
    <w:p w14:paraId="1F5BBECE">
      <w:pPr>
        <w:pageBreakBefore w:val="0"/>
        <w:kinsoku/>
        <w:wordWrap/>
        <w:overflowPunct/>
        <w:topLinePunct w:val="0"/>
        <w:bidi w:val="0"/>
        <w:rPr>
          <w:rFonts w:hint="default"/>
          <w:color w:val="auto"/>
        </w:rPr>
      </w:pPr>
      <w:r>
        <w:rPr>
          <w:rFonts w:hint="default" w:ascii="Times New Roman" w:hAnsi="Times New Roman" w:eastAsia="宋体" w:cs="Times New Roman"/>
          <w:color w:val="auto"/>
          <w:spacing w:val="0"/>
          <w:w w:val="100"/>
          <w:position w:val="0"/>
          <w:szCs w:val="22"/>
        </w:rPr>
        <w:t>（1）分拣</w:t>
      </w:r>
      <w:r>
        <w:rPr>
          <w:rFonts w:hint="default"/>
          <w:color w:val="auto"/>
        </w:rPr>
        <w:t>废物</w:t>
      </w:r>
    </w:p>
    <w:p w14:paraId="5D316B02">
      <w:pPr>
        <w:pageBreakBefore w:val="0"/>
        <w:kinsoku/>
        <w:wordWrap/>
        <w:overflowPunct/>
        <w:topLinePunct w:val="0"/>
        <w:bidi w:val="0"/>
        <w:rPr>
          <w:rFonts w:hint="default" w:ascii="Times New Roman" w:hAnsi="Times New Roman" w:eastAsia="宋体" w:cs="Times New Roman"/>
          <w:color w:val="auto"/>
          <w:spacing w:val="0"/>
          <w:w w:val="100"/>
          <w:position w:val="0"/>
          <w:szCs w:val="22"/>
        </w:rPr>
      </w:pPr>
      <w:r>
        <w:rPr>
          <w:rFonts w:hint="default"/>
          <w:color w:val="auto"/>
        </w:rPr>
        <w:t>分拣工序产生的废物主要</w:t>
      </w:r>
      <w:r>
        <w:rPr>
          <w:rFonts w:hint="default" w:ascii="Times New Roman" w:hAnsi="Times New Roman" w:eastAsia="宋体" w:cs="Times New Roman"/>
          <w:color w:val="auto"/>
          <w:spacing w:val="0"/>
          <w:w w:val="100"/>
          <w:position w:val="0"/>
          <w:szCs w:val="22"/>
        </w:rPr>
        <w:t>为石块、土块、作物残渣等非塑料杂质，其产生量约为</w:t>
      </w:r>
      <w:r>
        <w:rPr>
          <w:rFonts w:hint="eastAsia" w:cs="Times New Roman"/>
          <w:color w:val="auto"/>
          <w:spacing w:val="0"/>
          <w:w w:val="100"/>
          <w:position w:val="0"/>
          <w:szCs w:val="22"/>
          <w:lang w:val="en-US" w:eastAsia="zh-CN"/>
        </w:rPr>
        <w:t>165</w:t>
      </w:r>
      <w:r>
        <w:rPr>
          <w:rFonts w:hint="default" w:ascii="Times New Roman" w:hAnsi="Times New Roman" w:eastAsia="宋体" w:cs="Times New Roman"/>
          <w:color w:val="auto"/>
          <w:spacing w:val="0"/>
          <w:w w:val="100"/>
          <w:position w:val="0"/>
          <w:szCs w:val="22"/>
        </w:rPr>
        <w:t>t/a，</w:t>
      </w:r>
      <w:r>
        <w:rPr>
          <w:rFonts w:hint="eastAsia" w:ascii="Times New Roman" w:hAnsi="Times New Roman" w:cs="Times New Roman"/>
          <w:color w:val="auto"/>
          <w:highlight w:val="none"/>
          <w:lang w:eastAsia="zh-CN"/>
        </w:rPr>
        <w:t>集中收集后</w:t>
      </w:r>
      <w:r>
        <w:rPr>
          <w:rFonts w:hint="eastAsia" w:cs="Times New Roman"/>
          <w:color w:val="auto"/>
          <w:highlight w:val="none"/>
          <w:lang w:eastAsia="zh-CN"/>
        </w:rPr>
        <w:t>做为建筑渣土运至固废填埋场处置</w:t>
      </w:r>
      <w:r>
        <w:rPr>
          <w:rFonts w:hint="default" w:ascii="Times New Roman" w:hAnsi="Times New Roman" w:eastAsia="宋体" w:cs="Times New Roman"/>
          <w:color w:val="auto"/>
          <w:spacing w:val="0"/>
          <w:w w:val="100"/>
          <w:position w:val="0"/>
          <w:szCs w:val="22"/>
        </w:rPr>
        <w:t>。</w:t>
      </w:r>
    </w:p>
    <w:p w14:paraId="263B9CE6">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480" w:firstLineChars="200"/>
        <w:jc w:val="both"/>
        <w:textAlignment w:val="auto"/>
        <w:rPr>
          <w:rFonts w:hint="default" w:ascii="Times New Roman" w:hAnsi="Times New Roman" w:eastAsia="宋体" w:cs="Times New Roman"/>
          <w:color w:val="auto"/>
          <w:spacing w:val="0"/>
          <w:w w:val="100"/>
          <w:position w:val="0"/>
          <w:sz w:val="24"/>
          <w:szCs w:val="22"/>
        </w:rPr>
      </w:pPr>
      <w:r>
        <w:rPr>
          <w:rFonts w:hint="default" w:ascii="Times New Roman" w:hAnsi="Times New Roman" w:eastAsia="宋体" w:cs="Times New Roman"/>
          <w:color w:val="auto"/>
          <w:spacing w:val="0"/>
          <w:w w:val="100"/>
          <w:position w:val="0"/>
          <w:sz w:val="24"/>
          <w:szCs w:val="22"/>
        </w:rPr>
        <w:t>（2）污泥</w:t>
      </w:r>
    </w:p>
    <w:p w14:paraId="3297214A">
      <w:pPr>
        <w:keepNext w:val="0"/>
        <w:keepLines w:val="0"/>
        <w:pageBreakBefore w:val="0"/>
        <w:widowControl w:val="0"/>
        <w:kinsoku/>
        <w:wordWrap/>
        <w:overflowPunct/>
        <w:topLinePunct w:val="0"/>
        <w:autoSpaceDE w:val="0"/>
        <w:autoSpaceDN w:val="0"/>
        <w:bidi w:val="0"/>
        <w:adjustRightInd w:val="0"/>
        <w:snapToGrid w:val="0"/>
        <w:spacing w:before="0" w:line="360" w:lineRule="auto"/>
        <w:ind w:left="0" w:firstLine="480" w:firstLineChars="200"/>
        <w:jc w:val="both"/>
        <w:textAlignment w:val="auto"/>
        <w:rPr>
          <w:rFonts w:hint="default" w:ascii="Times New Roman" w:hAnsi="Times New Roman" w:eastAsia="宋体" w:cs="Times New Roman"/>
          <w:color w:val="auto"/>
          <w:spacing w:val="0"/>
          <w:w w:val="100"/>
          <w:position w:val="0"/>
          <w:sz w:val="24"/>
          <w:szCs w:val="22"/>
        </w:rPr>
      </w:pPr>
      <w:r>
        <w:rPr>
          <w:rFonts w:hint="eastAsia" w:ascii="Times New Roman" w:hAnsi="Times New Roman" w:eastAsia="宋体" w:cs="Times New Roman"/>
          <w:color w:val="auto"/>
          <w:spacing w:val="0"/>
          <w:w w:val="100"/>
          <w:position w:val="0"/>
          <w:sz w:val="24"/>
          <w:szCs w:val="22"/>
          <w:lang w:eastAsia="zh-CN"/>
        </w:rPr>
        <w:t>循环沉淀</w:t>
      </w:r>
      <w:r>
        <w:rPr>
          <w:rFonts w:hint="default" w:ascii="Times New Roman" w:hAnsi="Times New Roman" w:eastAsia="宋体" w:cs="Times New Roman"/>
          <w:color w:val="auto"/>
          <w:spacing w:val="0"/>
          <w:w w:val="100"/>
          <w:position w:val="0"/>
          <w:sz w:val="24"/>
          <w:szCs w:val="22"/>
        </w:rPr>
        <w:t>池污泥主要为回收的废塑料表面携带的泥沙，其产生量</w:t>
      </w:r>
      <w:r>
        <w:rPr>
          <w:rFonts w:hint="eastAsia" w:cs="Times New Roman"/>
          <w:color w:val="auto"/>
          <w:spacing w:val="0"/>
          <w:w w:val="100"/>
          <w:position w:val="0"/>
          <w:sz w:val="24"/>
          <w:szCs w:val="22"/>
          <w:lang w:eastAsia="zh-CN"/>
        </w:rPr>
        <w:t>约</w:t>
      </w:r>
      <w:r>
        <w:rPr>
          <w:rFonts w:hint="default" w:ascii="Times New Roman" w:hAnsi="Times New Roman" w:eastAsia="宋体" w:cs="Times New Roman"/>
          <w:color w:val="auto"/>
          <w:spacing w:val="0"/>
          <w:w w:val="100"/>
          <w:position w:val="0"/>
          <w:sz w:val="24"/>
          <w:szCs w:val="22"/>
        </w:rPr>
        <w:t>为</w:t>
      </w:r>
      <w:r>
        <w:rPr>
          <w:rFonts w:hint="eastAsia" w:cs="Times New Roman"/>
          <w:color w:val="auto"/>
          <w:spacing w:val="0"/>
          <w:w w:val="100"/>
          <w:position w:val="0"/>
          <w:sz w:val="24"/>
          <w:szCs w:val="22"/>
          <w:lang w:val="en-US" w:eastAsia="zh-CN"/>
        </w:rPr>
        <w:t>27.5</w:t>
      </w:r>
      <w:r>
        <w:rPr>
          <w:rFonts w:hint="default" w:ascii="Times New Roman" w:hAnsi="Times New Roman" w:eastAsia="宋体" w:cs="Times New Roman"/>
          <w:color w:val="auto"/>
          <w:spacing w:val="0"/>
          <w:w w:val="100"/>
          <w:position w:val="0"/>
          <w:sz w:val="24"/>
          <w:szCs w:val="22"/>
        </w:rPr>
        <w:t>t/a，</w:t>
      </w:r>
      <w:r>
        <w:rPr>
          <w:color w:val="auto"/>
        </w:rPr>
        <w:t>自然干化后</w:t>
      </w:r>
      <w:r>
        <w:rPr>
          <w:rFonts w:hint="eastAsia"/>
          <w:color w:val="auto"/>
          <w:lang w:val="en-US" w:eastAsia="zh-CN"/>
        </w:rPr>
        <w:t>运至一般固废填埋场处置</w:t>
      </w:r>
      <w:r>
        <w:rPr>
          <w:rFonts w:hint="default"/>
          <w:color w:val="auto"/>
        </w:rPr>
        <w:t>。</w:t>
      </w:r>
    </w:p>
    <w:p w14:paraId="40A210C8">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leftChars="200" w:right="0" w:rightChars="0"/>
        <w:jc w:val="both"/>
        <w:textAlignment w:val="auto"/>
        <w:rPr>
          <w:rFonts w:hint="default" w:ascii="Times New Roman" w:hAnsi="Times New Roman" w:eastAsia="宋体" w:cs="Times New Roman"/>
          <w:color w:val="auto"/>
          <w:spacing w:val="0"/>
          <w:w w:val="100"/>
          <w:position w:val="0"/>
          <w:sz w:val="24"/>
          <w:szCs w:val="22"/>
        </w:rPr>
      </w:pPr>
      <w:r>
        <w:rPr>
          <w:rFonts w:hint="eastAsia" w:ascii="Times New Roman" w:hAnsi="Times New Roman" w:eastAsia="宋体" w:cs="Times New Roman"/>
          <w:color w:val="auto"/>
          <w:spacing w:val="0"/>
          <w:w w:val="100"/>
          <w:position w:val="0"/>
          <w:sz w:val="24"/>
          <w:szCs w:val="22"/>
          <w:lang w:eastAsia="zh-CN"/>
        </w:rPr>
        <w:t>（</w:t>
      </w:r>
      <w:r>
        <w:rPr>
          <w:rFonts w:hint="eastAsia" w:ascii="Times New Roman" w:hAnsi="Times New Roman" w:eastAsia="宋体" w:cs="Times New Roman"/>
          <w:color w:val="auto"/>
          <w:spacing w:val="0"/>
          <w:w w:val="100"/>
          <w:position w:val="0"/>
          <w:sz w:val="24"/>
          <w:szCs w:val="22"/>
          <w:lang w:val="en-US" w:eastAsia="zh-CN"/>
        </w:rPr>
        <w:t>3</w:t>
      </w:r>
      <w:r>
        <w:rPr>
          <w:rFonts w:hint="eastAsia" w:ascii="Times New Roman" w:hAnsi="Times New Roman" w:eastAsia="宋体" w:cs="Times New Roman"/>
          <w:color w:val="auto"/>
          <w:spacing w:val="0"/>
          <w:w w:val="100"/>
          <w:position w:val="0"/>
          <w:sz w:val="24"/>
          <w:szCs w:val="22"/>
          <w:lang w:eastAsia="zh-CN"/>
        </w:rPr>
        <w:t>）</w:t>
      </w:r>
      <w:r>
        <w:rPr>
          <w:rFonts w:hint="default" w:ascii="Times New Roman" w:hAnsi="Times New Roman" w:eastAsia="宋体" w:cs="Times New Roman"/>
          <w:color w:val="auto"/>
          <w:spacing w:val="0"/>
          <w:w w:val="100"/>
          <w:position w:val="0"/>
          <w:sz w:val="24"/>
          <w:szCs w:val="22"/>
        </w:rPr>
        <w:t>不合格残次品及边角废料</w:t>
      </w:r>
    </w:p>
    <w:p w14:paraId="449BD66B">
      <w:pPr>
        <w:keepNext w:val="0"/>
        <w:keepLines w:val="0"/>
        <w:pageBreakBefore w:val="0"/>
        <w:widowControl w:val="0"/>
        <w:numPr>
          <w:ilvl w:val="0"/>
          <w:numId w:val="0"/>
        </w:numPr>
        <w:kinsoku/>
        <w:wordWrap/>
        <w:overflowPunct/>
        <w:topLinePunct w:val="0"/>
        <w:autoSpaceDE w:val="0"/>
        <w:autoSpaceDN w:val="0"/>
        <w:bidi w:val="0"/>
        <w:adjustRightInd w:val="0"/>
        <w:snapToGrid w:val="0"/>
        <w:spacing w:before="0" w:line="360" w:lineRule="auto"/>
        <w:ind w:right="0" w:rightChars="0" w:firstLine="480" w:firstLineChars="200"/>
        <w:jc w:val="both"/>
        <w:textAlignment w:val="auto"/>
        <w:rPr>
          <w:rFonts w:hint="eastAsia" w:ascii="宋体" w:hAnsi="宋体" w:eastAsia="宋体" w:cs="宋体"/>
          <w:color w:val="auto"/>
          <w:spacing w:val="0"/>
          <w:w w:val="100"/>
          <w:position w:val="0"/>
          <w:sz w:val="24"/>
          <w:szCs w:val="22"/>
        </w:rPr>
      </w:pPr>
      <w:r>
        <w:rPr>
          <w:rFonts w:hint="default" w:ascii="Times New Roman" w:hAnsi="Times New Roman" w:eastAsia="宋体" w:cs="Times New Roman"/>
          <w:color w:val="auto"/>
          <w:spacing w:val="0"/>
          <w:w w:val="100"/>
          <w:position w:val="0"/>
          <w:sz w:val="24"/>
          <w:szCs w:val="22"/>
        </w:rPr>
        <w:t>滴灌带</w:t>
      </w:r>
      <w:r>
        <w:rPr>
          <w:rFonts w:hint="eastAsia" w:cs="Times New Roman"/>
          <w:color w:val="auto"/>
          <w:spacing w:val="0"/>
          <w:w w:val="100"/>
          <w:position w:val="0"/>
          <w:sz w:val="24"/>
          <w:szCs w:val="22"/>
          <w:lang w:eastAsia="zh-CN"/>
        </w:rPr>
        <w:t>和水带加工</w:t>
      </w:r>
      <w:r>
        <w:rPr>
          <w:rFonts w:hint="default" w:ascii="Times New Roman" w:hAnsi="Times New Roman" w:eastAsia="宋体" w:cs="Times New Roman"/>
          <w:color w:val="auto"/>
          <w:spacing w:val="0"/>
          <w:w w:val="100"/>
          <w:position w:val="0"/>
          <w:sz w:val="24"/>
          <w:szCs w:val="22"/>
        </w:rPr>
        <w:t>时产生少量残次品和边角料</w:t>
      </w:r>
      <w:r>
        <w:rPr>
          <w:rFonts w:hint="eastAsia" w:ascii="Times New Roman" w:hAnsi="Times New Roman" w:eastAsia="宋体" w:cs="Times New Roman"/>
          <w:color w:val="auto"/>
          <w:spacing w:val="0"/>
          <w:w w:val="100"/>
          <w:position w:val="0"/>
          <w:sz w:val="24"/>
          <w:szCs w:val="22"/>
          <w:lang w:eastAsia="zh-CN"/>
        </w:rPr>
        <w:t>，年</w:t>
      </w:r>
      <w:r>
        <w:rPr>
          <w:rFonts w:hint="default" w:ascii="Times New Roman" w:hAnsi="Times New Roman" w:eastAsia="宋体" w:cs="Times New Roman"/>
          <w:color w:val="auto"/>
          <w:spacing w:val="0"/>
          <w:w w:val="100"/>
          <w:position w:val="0"/>
          <w:sz w:val="24"/>
          <w:szCs w:val="22"/>
        </w:rPr>
        <w:t>产生量约为</w:t>
      </w:r>
      <w:r>
        <w:rPr>
          <w:rFonts w:hint="eastAsia" w:cs="Times New Roman"/>
          <w:color w:val="auto"/>
          <w:spacing w:val="0"/>
          <w:w w:val="100"/>
          <w:position w:val="0"/>
          <w:sz w:val="24"/>
          <w:szCs w:val="22"/>
          <w:lang w:val="en-US" w:eastAsia="zh-CN"/>
        </w:rPr>
        <w:t>18</w:t>
      </w:r>
      <w:r>
        <w:rPr>
          <w:rFonts w:hint="eastAsia" w:ascii="Times New Roman" w:hAnsi="Times New Roman" w:eastAsia="宋体" w:cs="Times New Roman"/>
          <w:color w:val="auto"/>
          <w:spacing w:val="0"/>
          <w:w w:val="100"/>
          <w:position w:val="0"/>
          <w:sz w:val="24"/>
          <w:szCs w:val="22"/>
          <w:lang w:val="en-US" w:eastAsia="zh-CN"/>
        </w:rPr>
        <w:t>t</w:t>
      </w:r>
      <w:r>
        <w:rPr>
          <w:rFonts w:hint="default" w:ascii="Times New Roman" w:hAnsi="Times New Roman" w:eastAsia="宋体" w:cs="Times New Roman"/>
          <w:color w:val="auto"/>
          <w:spacing w:val="0"/>
          <w:w w:val="100"/>
          <w:position w:val="0"/>
          <w:sz w:val="24"/>
          <w:szCs w:val="22"/>
        </w:rPr>
        <w:t>/a，返回造粒生产线进行再生造料，实现100%回收利用。</w:t>
      </w:r>
    </w:p>
    <w:p w14:paraId="68890B57">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eastAsia="宋体"/>
          <w:color w:val="auto"/>
          <w:lang w:val="en-US" w:eastAsia="zh-CN"/>
        </w:rPr>
      </w:pPr>
      <w:bookmarkStart w:id="270" w:name="_Toc17826"/>
      <w:r>
        <w:rPr>
          <w:rFonts w:hint="default"/>
          <w:color w:val="auto"/>
        </w:rPr>
        <w:t>（4）</w:t>
      </w:r>
      <w:r>
        <w:rPr>
          <w:rFonts w:hint="eastAsia"/>
          <w:color w:val="auto"/>
          <w:lang w:eastAsia="zh-CN"/>
        </w:rPr>
        <w:t>废包装袋</w:t>
      </w:r>
    </w:p>
    <w:p w14:paraId="02650929">
      <w:pPr>
        <w:spacing w:line="360" w:lineRule="auto"/>
        <w:ind w:firstLine="480"/>
        <w:rPr>
          <w:color w:val="auto"/>
          <w:sz w:val="24"/>
        </w:rPr>
      </w:pPr>
      <w:r>
        <w:rPr>
          <w:rFonts w:hint="eastAsia"/>
          <w:color w:val="auto"/>
          <w:sz w:val="24"/>
        </w:rPr>
        <w:t>本项目运行过程中会产生原辅材料废弃包装物，产生量约</w:t>
      </w:r>
      <w:r>
        <w:rPr>
          <w:rFonts w:hint="eastAsia"/>
          <w:color w:val="auto"/>
          <w:sz w:val="24"/>
          <w:lang w:val="en-US" w:eastAsia="zh-CN"/>
        </w:rPr>
        <w:t>1</w:t>
      </w:r>
      <w:r>
        <w:rPr>
          <w:rFonts w:hint="eastAsia"/>
          <w:color w:val="auto"/>
          <w:sz w:val="24"/>
        </w:rPr>
        <w:t>t</w:t>
      </w:r>
      <w:r>
        <w:rPr>
          <w:rFonts w:hint="eastAsia"/>
          <w:color w:val="auto"/>
          <w:sz w:val="24"/>
          <w:lang w:val="en-US" w:eastAsia="zh-CN"/>
        </w:rPr>
        <w:t>/a</w:t>
      </w:r>
      <w:r>
        <w:rPr>
          <w:rFonts w:hint="eastAsia" w:eastAsia="宋体" w:cs="Times New Roman"/>
          <w:color w:val="auto"/>
          <w:spacing w:val="-5"/>
          <w:sz w:val="24"/>
          <w:szCs w:val="24"/>
          <w:lang w:eastAsia="zh-CN"/>
        </w:rPr>
        <w:t>（</w:t>
      </w:r>
      <w:r>
        <w:rPr>
          <w:rFonts w:hint="eastAsia" w:ascii="Times New Roman" w:hAnsi="Times New Roman" w:cs="Times New Roman"/>
          <w:color w:val="auto"/>
          <w:sz w:val="24"/>
          <w:lang w:eastAsia="zh-CN"/>
        </w:rPr>
        <w:t>固废</w:t>
      </w:r>
      <w:r>
        <w:rPr>
          <w:rFonts w:hint="default" w:ascii="Times New Roman" w:hAnsi="Times New Roman" w:cs="Times New Roman"/>
          <w:color w:val="auto"/>
          <w:sz w:val="24"/>
        </w:rPr>
        <w:t>代码：</w:t>
      </w:r>
      <w:r>
        <w:rPr>
          <w:rFonts w:hint="eastAsia" w:ascii="Times New Roman" w:hAnsi="Times New Roman" w:cs="Times New Roman"/>
          <w:color w:val="auto"/>
          <w:sz w:val="24"/>
          <w:lang w:val="en-US" w:eastAsia="zh-CN"/>
        </w:rPr>
        <w:t>900-003-S17</w:t>
      </w:r>
      <w:r>
        <w:rPr>
          <w:rFonts w:hint="eastAsia"/>
          <w:color w:val="auto"/>
          <w:lang w:val="en-US" w:eastAsia="zh-CN"/>
        </w:rPr>
        <w:t>）</w:t>
      </w:r>
      <w:r>
        <w:rPr>
          <w:rFonts w:hint="eastAsia"/>
          <w:color w:val="auto"/>
          <w:sz w:val="24"/>
        </w:rPr>
        <w:t>，</w:t>
      </w:r>
      <w:r>
        <w:rPr>
          <w:rFonts w:hint="eastAsia"/>
          <w:color w:val="auto"/>
          <w:sz w:val="24"/>
          <w:lang w:eastAsia="zh-CN"/>
        </w:rPr>
        <w:t>集中收集后</w:t>
      </w:r>
      <w:r>
        <w:rPr>
          <w:rFonts w:hint="default" w:ascii="Times New Roman" w:hAnsi="Times New Roman" w:cs="Times New Roman"/>
          <w:color w:val="auto"/>
          <w:sz w:val="24"/>
        </w:rPr>
        <w:t>定期外售至废品回收站。</w:t>
      </w:r>
    </w:p>
    <w:p w14:paraId="0686C418">
      <w:pPr>
        <w:pStyle w:val="5"/>
        <w:pageBreakBefore w:val="0"/>
        <w:kinsoku/>
        <w:wordWrap/>
        <w:overflowPunct/>
        <w:topLinePunct w:val="0"/>
        <w:bidi w:val="0"/>
        <w:rPr>
          <w:rFonts w:hint="default" w:ascii="Times New Roman" w:hAnsi="Times New Roman" w:eastAsia="宋体" w:cs="Times New Roman"/>
          <w:b/>
          <w:color w:val="auto"/>
          <w:spacing w:val="0"/>
          <w:w w:val="100"/>
          <w:kern w:val="0"/>
          <w:position w:val="0"/>
          <w:sz w:val="28"/>
          <w:szCs w:val="28"/>
          <w:lang w:val="en-US" w:eastAsia="zh-CN" w:bidi="zh-CN"/>
        </w:rPr>
      </w:pPr>
      <w:r>
        <w:rPr>
          <w:rFonts w:hint="eastAsia" w:ascii="Times New Roman" w:hAnsi="Times New Roman" w:cs="Times New Roman"/>
          <w:b/>
          <w:color w:val="auto"/>
          <w:spacing w:val="0"/>
          <w:w w:val="100"/>
          <w:kern w:val="0"/>
          <w:position w:val="0"/>
          <w:sz w:val="28"/>
          <w:szCs w:val="28"/>
          <w:lang w:val="en-US" w:eastAsia="zh-CN" w:bidi="zh-CN"/>
        </w:rPr>
        <w:t>6.5.2</w:t>
      </w:r>
      <w:r>
        <w:rPr>
          <w:rFonts w:hint="eastAsia" w:ascii="Times New Roman" w:hAnsi="Times New Roman" w:eastAsia="宋体" w:cs="Times New Roman"/>
          <w:b/>
          <w:color w:val="auto"/>
          <w:spacing w:val="0"/>
          <w:w w:val="100"/>
          <w:kern w:val="0"/>
          <w:position w:val="0"/>
          <w:sz w:val="28"/>
          <w:szCs w:val="28"/>
          <w:lang w:val="en-US" w:eastAsia="zh-CN" w:bidi="zh-CN"/>
        </w:rPr>
        <w:t>危险废物</w:t>
      </w:r>
      <w:bookmarkEnd w:id="270"/>
    </w:p>
    <w:p w14:paraId="18D2CE11">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default"/>
          <w:color w:val="auto"/>
          <w:lang w:eastAsia="zh-CN"/>
        </w:rPr>
      </w:pPr>
      <w:r>
        <w:rPr>
          <w:rFonts w:hint="default"/>
          <w:color w:val="auto"/>
        </w:rPr>
        <w:t>（</w:t>
      </w:r>
      <w:r>
        <w:rPr>
          <w:rFonts w:hint="default"/>
          <w:color w:val="auto"/>
          <w:lang w:val="en-US" w:eastAsia="zh-CN"/>
        </w:rPr>
        <w:t>1</w:t>
      </w:r>
      <w:r>
        <w:rPr>
          <w:rFonts w:hint="default"/>
          <w:color w:val="auto"/>
        </w:rPr>
        <w:t>）</w:t>
      </w:r>
      <w:r>
        <w:rPr>
          <w:rFonts w:hint="default"/>
          <w:color w:val="auto"/>
          <w:lang w:eastAsia="zh-CN"/>
        </w:rPr>
        <w:t>废润滑油</w:t>
      </w:r>
    </w:p>
    <w:p w14:paraId="1A5DB778">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1"/>
        <w:jc w:val="both"/>
        <w:textAlignment w:val="auto"/>
        <w:rPr>
          <w:rFonts w:hint="default" w:ascii="Times New Roman" w:hAnsi="Times New Roman" w:eastAsia="宋体" w:cs="Times New Roman"/>
          <w:color w:val="auto"/>
          <w:sz w:val="24"/>
          <w:szCs w:val="24"/>
        </w:rPr>
      </w:pPr>
      <w:r>
        <w:rPr>
          <w:rFonts w:ascii="宋体" w:hAnsi="宋体" w:eastAsia="宋体" w:cs="宋体"/>
          <w:color w:val="auto"/>
          <w:spacing w:val="2"/>
          <w:sz w:val="24"/>
          <w:szCs w:val="24"/>
        </w:rPr>
        <w:t>本项目生产过程中使用的机械设备需定期更换润滑油以保证设备正常运转。根</w:t>
      </w:r>
      <w:r>
        <w:rPr>
          <w:rFonts w:ascii="宋体" w:hAnsi="宋体" w:eastAsia="宋体" w:cs="宋体"/>
          <w:color w:val="auto"/>
          <w:spacing w:val="-2"/>
          <w:sz w:val="24"/>
          <w:szCs w:val="24"/>
        </w:rPr>
        <w:t>据同类项目类比资料</w:t>
      </w:r>
      <w:r>
        <w:rPr>
          <w:rFonts w:hint="default" w:ascii="Times New Roman" w:hAnsi="Times New Roman" w:eastAsia="宋体" w:cs="Times New Roman"/>
          <w:color w:val="auto"/>
          <w:spacing w:val="-2"/>
          <w:sz w:val="24"/>
          <w:szCs w:val="24"/>
        </w:rPr>
        <w:t>，预计需更换润滑油</w:t>
      </w:r>
      <w:r>
        <w:rPr>
          <w:rFonts w:hint="eastAsia" w:cs="Times New Roman"/>
          <w:color w:val="auto"/>
          <w:spacing w:val="-2"/>
          <w:sz w:val="24"/>
          <w:szCs w:val="24"/>
          <w:lang w:val="en-US" w:eastAsia="zh-CN"/>
        </w:rPr>
        <w:t>1.2</w:t>
      </w:r>
      <w:r>
        <w:rPr>
          <w:rFonts w:hint="default" w:ascii="Times New Roman" w:hAnsi="Times New Roman" w:eastAsia="Times New Roman" w:cs="Times New Roman"/>
          <w:color w:val="auto"/>
          <w:spacing w:val="-2"/>
          <w:sz w:val="24"/>
          <w:szCs w:val="24"/>
        </w:rPr>
        <w:t>t</w:t>
      </w:r>
      <w:r>
        <w:rPr>
          <w:rFonts w:hint="eastAsia" w:ascii="Times New Roman" w:hAnsi="Times New Roman" w:eastAsia="宋体" w:cs="Times New Roman"/>
          <w:color w:val="auto"/>
          <w:spacing w:val="-2"/>
          <w:sz w:val="24"/>
          <w:szCs w:val="24"/>
          <w:lang w:val="en-US" w:eastAsia="zh-CN"/>
        </w:rPr>
        <w:t>/a</w:t>
      </w:r>
      <w:r>
        <w:rPr>
          <w:rFonts w:hint="default" w:ascii="Times New Roman" w:hAnsi="Times New Roman" w:eastAsia="宋体" w:cs="Times New Roman"/>
          <w:color w:val="auto"/>
          <w:spacing w:val="-2"/>
          <w:sz w:val="24"/>
          <w:szCs w:val="24"/>
        </w:rPr>
        <w:t>。根据《国家危险废物名录</w:t>
      </w:r>
      <w:r>
        <w:rPr>
          <w:rFonts w:hint="default" w:ascii="Times New Roman" w:hAnsi="Times New Roman" w:eastAsia="Times New Roman" w:cs="Times New Roman"/>
          <w:color w:val="auto"/>
          <w:spacing w:val="-2"/>
          <w:sz w:val="24"/>
          <w:szCs w:val="24"/>
        </w:rPr>
        <w:t>(202</w:t>
      </w:r>
      <w:r>
        <w:rPr>
          <w:rFonts w:hint="eastAsia" w:eastAsia="宋体" w:cs="Times New Roman"/>
          <w:color w:val="auto"/>
          <w:spacing w:val="-2"/>
          <w:sz w:val="24"/>
          <w:szCs w:val="24"/>
          <w:lang w:val="en-US" w:eastAsia="zh-CN"/>
        </w:rPr>
        <w:t>5</w:t>
      </w:r>
      <w:r>
        <w:rPr>
          <w:rFonts w:hint="default" w:ascii="Times New Roman" w:hAnsi="Times New Roman" w:eastAsia="宋体" w:cs="Times New Roman"/>
          <w:color w:val="auto"/>
          <w:spacing w:val="-4"/>
          <w:sz w:val="24"/>
          <w:szCs w:val="24"/>
        </w:rPr>
        <w:t>年版</w:t>
      </w:r>
      <w:r>
        <w:rPr>
          <w:rFonts w:hint="default" w:ascii="Times New Roman" w:hAnsi="Times New Roman" w:eastAsia="Times New Roman" w:cs="Times New Roman"/>
          <w:color w:val="auto"/>
          <w:spacing w:val="-4"/>
          <w:sz w:val="24"/>
          <w:szCs w:val="24"/>
        </w:rPr>
        <w:t>)</w:t>
      </w:r>
      <w:r>
        <w:rPr>
          <w:rFonts w:hint="default" w:ascii="Times New Roman" w:hAnsi="Times New Roman" w:eastAsia="宋体" w:cs="Times New Roman"/>
          <w:color w:val="auto"/>
          <w:spacing w:val="-4"/>
          <w:sz w:val="24"/>
          <w:szCs w:val="24"/>
        </w:rPr>
        <w:t>》，废弃润滑油为</w:t>
      </w:r>
      <w:r>
        <w:rPr>
          <w:rFonts w:hint="default" w:ascii="Times New Roman" w:hAnsi="Times New Roman" w:eastAsia="Times New Roman" w:cs="Times New Roman"/>
          <w:color w:val="auto"/>
          <w:spacing w:val="-4"/>
          <w:sz w:val="24"/>
          <w:szCs w:val="24"/>
        </w:rPr>
        <w:t>HW08</w:t>
      </w:r>
      <w:r>
        <w:rPr>
          <w:rFonts w:hint="default" w:ascii="Times New Roman" w:hAnsi="Times New Roman" w:eastAsia="宋体" w:cs="Times New Roman"/>
          <w:color w:val="auto"/>
          <w:spacing w:val="-4"/>
          <w:sz w:val="24"/>
          <w:szCs w:val="24"/>
        </w:rPr>
        <w:t>类废矿物油与含矿物油废物，废物代码为</w:t>
      </w:r>
      <w:r>
        <w:rPr>
          <w:rFonts w:hint="default" w:ascii="Times New Roman" w:hAnsi="Times New Roman" w:eastAsia="Times New Roman" w:cs="Times New Roman"/>
          <w:color w:val="auto"/>
          <w:spacing w:val="-4"/>
          <w:sz w:val="24"/>
          <w:szCs w:val="24"/>
        </w:rPr>
        <w:t>90</w:t>
      </w:r>
      <w:r>
        <w:rPr>
          <w:rFonts w:hint="default" w:ascii="Times New Roman" w:hAnsi="Times New Roman" w:eastAsia="Times New Roman" w:cs="Times New Roman"/>
          <w:color w:val="auto"/>
          <w:spacing w:val="-5"/>
          <w:sz w:val="24"/>
          <w:szCs w:val="24"/>
        </w:rPr>
        <w:t>0-217-08</w:t>
      </w:r>
      <w:r>
        <w:rPr>
          <w:rFonts w:hint="default" w:ascii="Times New Roman" w:hAnsi="Times New Roman" w:eastAsia="宋体" w:cs="Times New Roman"/>
          <w:color w:val="auto"/>
          <w:spacing w:val="-5"/>
          <w:sz w:val="24"/>
          <w:szCs w:val="24"/>
        </w:rPr>
        <w:t>。</w:t>
      </w:r>
      <w:r>
        <w:rPr>
          <w:rFonts w:hint="default" w:ascii="Times New Roman" w:hAnsi="Times New Roman" w:eastAsia="宋体" w:cs="Times New Roman"/>
          <w:color w:val="auto"/>
          <w:spacing w:val="2"/>
          <w:sz w:val="24"/>
          <w:szCs w:val="24"/>
        </w:rPr>
        <w:t>废润滑油采用桶装收集，暂存在厂区内的危废暂存间，定期交由有资质的单位</w:t>
      </w:r>
      <w:r>
        <w:rPr>
          <w:rFonts w:hint="default" w:ascii="Times New Roman" w:hAnsi="Times New Roman" w:eastAsia="宋体" w:cs="Times New Roman"/>
          <w:color w:val="auto"/>
          <w:spacing w:val="-3"/>
          <w:sz w:val="24"/>
          <w:szCs w:val="24"/>
        </w:rPr>
        <w:t>处置。</w:t>
      </w:r>
    </w:p>
    <w:p w14:paraId="326AA880">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Times New Roman" w:hAnsi="Times New Roman" w:eastAsia="宋体" w:cs="Times New Roman"/>
          <w:color w:val="auto"/>
          <w:sz w:val="24"/>
          <w:szCs w:val="24"/>
          <w:lang w:eastAsia="zh-CN"/>
        </w:rPr>
      </w:pPr>
      <w:r>
        <w:rPr>
          <w:rFonts w:hint="default" w:ascii="Times New Roman" w:hAnsi="Times New Roman" w:eastAsia="宋体" w:cs="Times New Roman"/>
          <w:color w:val="auto"/>
          <w:spacing w:val="-3"/>
          <w:sz w:val="24"/>
          <w:szCs w:val="24"/>
        </w:rPr>
        <w:t>（</w:t>
      </w:r>
      <w:r>
        <w:rPr>
          <w:rFonts w:hint="default" w:ascii="Times New Roman" w:hAnsi="Times New Roman" w:eastAsia="Times New Roman" w:cs="Times New Roman"/>
          <w:color w:val="auto"/>
          <w:spacing w:val="-3"/>
          <w:sz w:val="24"/>
          <w:szCs w:val="24"/>
        </w:rPr>
        <w:t>2</w:t>
      </w:r>
      <w:r>
        <w:rPr>
          <w:rFonts w:hint="default" w:ascii="Times New Roman" w:hAnsi="Times New Roman" w:eastAsia="宋体" w:cs="Times New Roman"/>
          <w:color w:val="auto"/>
          <w:spacing w:val="-3"/>
          <w:sz w:val="24"/>
          <w:szCs w:val="24"/>
        </w:rPr>
        <w:t>）废</w:t>
      </w:r>
      <w:r>
        <w:rPr>
          <w:rFonts w:hint="eastAsia" w:eastAsia="宋体" w:cs="Times New Roman"/>
          <w:color w:val="auto"/>
          <w:spacing w:val="-3"/>
          <w:sz w:val="24"/>
          <w:szCs w:val="24"/>
          <w:lang w:eastAsia="zh-CN"/>
        </w:rPr>
        <w:t>催化剂</w:t>
      </w:r>
    </w:p>
    <w:p w14:paraId="390BBA59">
      <w:pPr>
        <w:pageBreakBefore w:val="0"/>
        <w:kinsoku/>
        <w:wordWrap/>
        <w:overflowPunct/>
        <w:topLinePunct w:val="0"/>
        <w:bidi w:val="0"/>
        <w:rPr>
          <w:rFonts w:hint="default" w:ascii="Times New Roman" w:hAnsi="Times New Roman" w:eastAsia="宋体" w:cs="Times New Roman"/>
          <w:color w:val="auto"/>
          <w:spacing w:val="0"/>
          <w:w w:val="100"/>
          <w:position w:val="0"/>
          <w:szCs w:val="22"/>
        </w:rPr>
      </w:pPr>
      <w:r>
        <w:rPr>
          <w:rFonts w:hint="default" w:ascii="Times New Roman" w:hAnsi="Times New Roman" w:eastAsia="宋体" w:cs="Times New Roman"/>
          <w:color w:val="auto"/>
          <w:spacing w:val="0"/>
          <w:w w:val="100"/>
          <w:position w:val="0"/>
          <w:szCs w:val="22"/>
        </w:rPr>
        <w:t>本项目</w:t>
      </w:r>
      <w:r>
        <w:rPr>
          <w:rFonts w:hint="default" w:ascii="Times New Roman" w:hAnsi="Times New Roman" w:eastAsia="宋体" w:cs="Times New Roman"/>
          <w:color w:val="auto"/>
          <w:spacing w:val="0"/>
          <w:w w:val="100"/>
          <w:position w:val="0"/>
          <w:szCs w:val="22"/>
          <w:lang w:eastAsia="zh-CN"/>
        </w:rPr>
        <w:t>催化燃烧</w:t>
      </w:r>
      <w:r>
        <w:rPr>
          <w:rFonts w:hint="default" w:ascii="Times New Roman" w:hAnsi="Times New Roman" w:eastAsia="宋体" w:cs="Times New Roman"/>
          <w:color w:val="auto"/>
          <w:spacing w:val="0"/>
          <w:w w:val="100"/>
          <w:position w:val="0"/>
          <w:szCs w:val="22"/>
        </w:rPr>
        <w:t>处理装置处理有机废气过程产生的废</w:t>
      </w:r>
      <w:r>
        <w:rPr>
          <w:rFonts w:hint="default" w:ascii="Times New Roman" w:hAnsi="Times New Roman" w:eastAsia="宋体" w:cs="Times New Roman"/>
          <w:color w:val="auto"/>
          <w:spacing w:val="0"/>
          <w:w w:val="100"/>
          <w:position w:val="0"/>
          <w:szCs w:val="22"/>
          <w:lang w:eastAsia="zh-CN"/>
        </w:rPr>
        <w:t>催化剂，</w:t>
      </w:r>
      <w:r>
        <w:rPr>
          <w:rFonts w:hint="default" w:ascii="Times New Roman" w:hAnsi="Times New Roman" w:eastAsia="宋体" w:cs="Times New Roman"/>
          <w:color w:val="auto"/>
          <w:spacing w:val="-2"/>
          <w:sz w:val="24"/>
          <w:szCs w:val="24"/>
        </w:rPr>
        <w:t>根据《国家危险废物名录</w:t>
      </w:r>
      <w:r>
        <w:rPr>
          <w:rFonts w:hint="default" w:ascii="Times New Roman" w:hAnsi="Times New Roman" w:eastAsia="Times New Roman" w:cs="Times New Roman"/>
          <w:color w:val="auto"/>
          <w:spacing w:val="-2"/>
          <w:sz w:val="24"/>
          <w:szCs w:val="24"/>
        </w:rPr>
        <w:t>(202</w:t>
      </w:r>
      <w:r>
        <w:rPr>
          <w:rFonts w:hint="eastAsia" w:eastAsia="宋体" w:cs="Times New Roman"/>
          <w:color w:val="auto"/>
          <w:spacing w:val="-2"/>
          <w:sz w:val="24"/>
          <w:szCs w:val="24"/>
          <w:lang w:val="en-US" w:eastAsia="zh-CN"/>
        </w:rPr>
        <w:t>5</w:t>
      </w:r>
      <w:r>
        <w:rPr>
          <w:rFonts w:hint="default" w:ascii="Times New Roman" w:hAnsi="Times New Roman" w:eastAsia="宋体" w:cs="Times New Roman"/>
          <w:color w:val="auto"/>
          <w:spacing w:val="-4"/>
          <w:sz w:val="24"/>
          <w:szCs w:val="24"/>
        </w:rPr>
        <w:t>年版</w:t>
      </w:r>
      <w:r>
        <w:rPr>
          <w:rFonts w:hint="default" w:ascii="Times New Roman" w:hAnsi="Times New Roman" w:eastAsia="Times New Roman" w:cs="Times New Roman"/>
          <w:color w:val="auto"/>
          <w:spacing w:val="-4"/>
          <w:sz w:val="24"/>
          <w:szCs w:val="24"/>
        </w:rPr>
        <w:t>)</w:t>
      </w:r>
      <w:r>
        <w:rPr>
          <w:rFonts w:hint="default" w:ascii="Times New Roman" w:hAnsi="Times New Roman" w:eastAsia="宋体" w:cs="Times New Roman"/>
          <w:color w:val="auto"/>
          <w:spacing w:val="-4"/>
          <w:sz w:val="24"/>
          <w:szCs w:val="24"/>
        </w:rPr>
        <w:t>》，</w:t>
      </w:r>
      <w:r>
        <w:rPr>
          <w:rFonts w:hint="eastAsia" w:cs="Times New Roman"/>
          <w:color w:val="auto"/>
          <w:spacing w:val="-4"/>
          <w:sz w:val="24"/>
          <w:szCs w:val="24"/>
          <w:lang w:eastAsia="zh-CN"/>
        </w:rPr>
        <w:t>废催化剂</w:t>
      </w:r>
      <w:r>
        <w:rPr>
          <w:rFonts w:hint="default" w:ascii="Times New Roman" w:hAnsi="Times New Roman" w:eastAsia="宋体" w:cs="Times New Roman"/>
          <w:color w:val="auto"/>
          <w:spacing w:val="-4"/>
          <w:sz w:val="24"/>
          <w:szCs w:val="24"/>
        </w:rPr>
        <w:t>为</w:t>
      </w:r>
      <w:r>
        <w:rPr>
          <w:rFonts w:hint="default" w:ascii="Times New Roman" w:hAnsi="Times New Roman" w:eastAsia="Times New Roman" w:cs="Times New Roman"/>
          <w:color w:val="auto"/>
          <w:spacing w:val="-4"/>
          <w:sz w:val="24"/>
          <w:szCs w:val="24"/>
        </w:rPr>
        <w:t>HW</w:t>
      </w:r>
      <w:r>
        <w:rPr>
          <w:rFonts w:hint="eastAsia" w:eastAsia="宋体" w:cs="Times New Roman"/>
          <w:color w:val="auto"/>
          <w:spacing w:val="-4"/>
          <w:sz w:val="24"/>
          <w:szCs w:val="24"/>
          <w:lang w:val="en-US" w:eastAsia="zh-CN"/>
        </w:rPr>
        <w:t>50</w:t>
      </w:r>
      <w:r>
        <w:rPr>
          <w:rFonts w:hint="default" w:ascii="Times New Roman" w:hAnsi="Times New Roman" w:eastAsia="宋体" w:cs="Times New Roman"/>
          <w:color w:val="auto"/>
          <w:spacing w:val="-4"/>
          <w:sz w:val="24"/>
          <w:szCs w:val="24"/>
        </w:rPr>
        <w:t>类废</w:t>
      </w:r>
      <w:r>
        <w:rPr>
          <w:rFonts w:hint="eastAsia" w:cs="Times New Roman"/>
          <w:color w:val="auto"/>
          <w:spacing w:val="-4"/>
          <w:sz w:val="24"/>
          <w:szCs w:val="24"/>
          <w:lang w:eastAsia="zh-CN"/>
        </w:rPr>
        <w:t>催化剂</w:t>
      </w:r>
      <w:r>
        <w:rPr>
          <w:rFonts w:hint="default" w:ascii="Times New Roman" w:hAnsi="Times New Roman" w:eastAsia="宋体" w:cs="Times New Roman"/>
          <w:color w:val="auto"/>
          <w:spacing w:val="-4"/>
          <w:sz w:val="24"/>
          <w:szCs w:val="24"/>
        </w:rPr>
        <w:t>，废物代码为</w:t>
      </w:r>
      <w:r>
        <w:rPr>
          <w:rFonts w:hint="default" w:ascii="Times New Roman" w:hAnsi="Times New Roman" w:eastAsia="Times New Roman" w:cs="Times New Roman"/>
          <w:color w:val="auto"/>
          <w:spacing w:val="-4"/>
          <w:sz w:val="24"/>
          <w:szCs w:val="24"/>
        </w:rPr>
        <w:t>90</w:t>
      </w:r>
      <w:r>
        <w:rPr>
          <w:rFonts w:hint="default" w:ascii="Times New Roman" w:hAnsi="Times New Roman" w:eastAsia="Times New Roman" w:cs="Times New Roman"/>
          <w:color w:val="auto"/>
          <w:spacing w:val="-5"/>
          <w:sz w:val="24"/>
          <w:szCs w:val="24"/>
        </w:rPr>
        <w:t>0-</w:t>
      </w:r>
      <w:r>
        <w:rPr>
          <w:rFonts w:hint="eastAsia" w:eastAsia="宋体" w:cs="Times New Roman"/>
          <w:color w:val="auto"/>
          <w:spacing w:val="-5"/>
          <w:sz w:val="24"/>
          <w:szCs w:val="24"/>
          <w:lang w:val="en-US" w:eastAsia="zh-CN"/>
        </w:rPr>
        <w:t>049-50</w:t>
      </w:r>
      <w:r>
        <w:rPr>
          <w:rFonts w:hint="default" w:ascii="Times New Roman" w:hAnsi="Times New Roman" w:eastAsia="宋体" w:cs="Times New Roman"/>
          <w:color w:val="auto"/>
          <w:spacing w:val="-5"/>
          <w:sz w:val="24"/>
          <w:szCs w:val="24"/>
        </w:rPr>
        <w:t>。</w:t>
      </w:r>
      <w:r>
        <w:rPr>
          <w:rFonts w:hint="default" w:ascii="Times New Roman" w:hAnsi="Times New Roman" w:eastAsia="宋体" w:cs="Times New Roman"/>
          <w:color w:val="auto"/>
          <w:spacing w:val="0"/>
          <w:w w:val="100"/>
          <w:position w:val="0"/>
          <w:szCs w:val="22"/>
          <w:lang w:val="en-US" w:eastAsia="zh-CN"/>
        </w:rPr>
        <w:t>催化剂更换频次约为2-4年1次</w:t>
      </w:r>
      <w:r>
        <w:rPr>
          <w:rFonts w:hint="default" w:ascii="Times New Roman" w:hAnsi="Times New Roman" w:eastAsia="宋体" w:cs="Times New Roman"/>
          <w:color w:val="auto"/>
          <w:spacing w:val="0"/>
          <w:w w:val="100"/>
          <w:position w:val="0"/>
          <w:szCs w:val="22"/>
        </w:rPr>
        <w:t>，</w:t>
      </w:r>
      <w:r>
        <w:rPr>
          <w:rFonts w:hint="default" w:ascii="Times New Roman" w:hAnsi="Times New Roman" w:eastAsia="宋体" w:cs="Times New Roman"/>
          <w:color w:val="auto"/>
          <w:spacing w:val="0"/>
          <w:w w:val="100"/>
          <w:position w:val="0"/>
          <w:szCs w:val="22"/>
          <w:lang w:eastAsia="zh-CN"/>
        </w:rPr>
        <w:t>产生量约为</w:t>
      </w:r>
      <w:r>
        <w:rPr>
          <w:rFonts w:hint="default" w:ascii="Times New Roman" w:hAnsi="Times New Roman" w:eastAsia="宋体" w:cs="Times New Roman"/>
          <w:color w:val="auto"/>
          <w:spacing w:val="0"/>
          <w:w w:val="100"/>
          <w:position w:val="0"/>
          <w:szCs w:val="22"/>
          <w:lang w:val="en-US" w:eastAsia="zh-CN"/>
        </w:rPr>
        <w:t>0.0</w:t>
      </w:r>
      <w:r>
        <w:rPr>
          <w:rFonts w:hint="eastAsia" w:cs="Times New Roman"/>
          <w:color w:val="auto"/>
          <w:spacing w:val="0"/>
          <w:w w:val="100"/>
          <w:position w:val="0"/>
          <w:szCs w:val="22"/>
          <w:lang w:val="en-US" w:eastAsia="zh-CN"/>
        </w:rPr>
        <w:t>3t</w:t>
      </w:r>
      <w:r>
        <w:rPr>
          <w:rFonts w:hint="default" w:ascii="Times New Roman" w:hAnsi="Times New Roman" w:eastAsia="宋体" w:cs="Times New Roman"/>
          <w:color w:val="auto"/>
          <w:spacing w:val="0"/>
          <w:w w:val="100"/>
          <w:position w:val="0"/>
          <w:szCs w:val="22"/>
          <w:lang w:val="en-US" w:eastAsia="zh-CN"/>
        </w:rPr>
        <w:t>/次，暂存危险废物暂存间，交由有资质单位处置。</w:t>
      </w:r>
    </w:p>
    <w:p w14:paraId="55048367">
      <w:pPr>
        <w:pageBreakBefore w:val="0"/>
        <w:kinsoku/>
        <w:wordWrap/>
        <w:overflowPunct/>
        <w:topLinePunct w:val="0"/>
        <w:bidi w:val="0"/>
        <w:rPr>
          <w:rFonts w:hint="default" w:ascii="Times New Roman" w:hAnsi="Times New Roman" w:eastAsia="宋体" w:cs="Times New Roman"/>
          <w:color w:val="auto"/>
          <w:spacing w:val="0"/>
          <w:w w:val="100"/>
          <w:position w:val="0"/>
          <w:szCs w:val="24"/>
        </w:rPr>
      </w:pPr>
      <w:r>
        <w:rPr>
          <w:rFonts w:hint="eastAsia" w:ascii="Times New Roman" w:hAnsi="Times New Roman" w:eastAsia="宋体" w:cs="Times New Roman"/>
          <w:b w:val="0"/>
          <w:bCs/>
          <w:color w:val="auto"/>
          <w:spacing w:val="10"/>
          <w:kern w:val="0"/>
          <w:sz w:val="24"/>
          <w:szCs w:val="24"/>
          <w:highlight w:val="none"/>
          <w:lang w:val="en-US" w:eastAsia="zh-CN" w:bidi="ar-SA"/>
        </w:rPr>
        <w:t>危废暂存库建筑应严格按照《危险废物贮存污染控制标准》（GB18597-2023）的要求进行设计、建造和管理</w:t>
      </w:r>
      <w:r>
        <w:rPr>
          <w:rFonts w:hint="eastAsia" w:eastAsia="宋体" w:cs="Times New Roman"/>
          <w:b w:val="0"/>
          <w:bCs/>
          <w:color w:val="auto"/>
          <w:spacing w:val="10"/>
          <w:kern w:val="0"/>
          <w:sz w:val="24"/>
          <w:szCs w:val="24"/>
          <w:highlight w:val="none"/>
          <w:lang w:val="en-US" w:eastAsia="zh-CN" w:bidi="ar-SA"/>
        </w:rPr>
        <w:t>，详见表6.5-1。</w:t>
      </w:r>
      <w:r>
        <w:rPr>
          <w:rFonts w:hint="default" w:ascii="Times New Roman" w:hAnsi="Times New Roman" w:cs="Times New Roman"/>
          <w:b w:val="0"/>
          <w:bCs/>
          <w:color w:val="auto"/>
          <w:sz w:val="24"/>
          <w:szCs w:val="24"/>
          <w:lang w:val="en-US" w:eastAsia="zh-CN"/>
        </w:rPr>
        <w:t>根据国务院令第645号《危险化学品安全管理条例》、《危险废物收集 贮存 运输技术规范》（HJ2025-2012）和《危险废物转移管理办法》（生态环境部公安部交通运输部令 第23号）的有关规定，在危险废物外运至处置单位时必须严格遵守表</w:t>
      </w:r>
      <w:r>
        <w:rPr>
          <w:rFonts w:hint="eastAsia" w:cs="Times New Roman"/>
          <w:b w:val="0"/>
          <w:bCs/>
          <w:color w:val="auto"/>
          <w:sz w:val="24"/>
          <w:szCs w:val="24"/>
          <w:lang w:val="en-US" w:eastAsia="zh-CN"/>
        </w:rPr>
        <w:t>6.5-2</w:t>
      </w:r>
      <w:r>
        <w:rPr>
          <w:rFonts w:hint="default" w:ascii="Times New Roman" w:hAnsi="Times New Roman" w:cs="Times New Roman"/>
          <w:b w:val="0"/>
          <w:bCs/>
          <w:color w:val="auto"/>
          <w:sz w:val="24"/>
          <w:szCs w:val="24"/>
          <w:lang w:val="en-US" w:eastAsia="zh-CN"/>
        </w:rPr>
        <w:t>要求</w:t>
      </w:r>
      <w:r>
        <w:rPr>
          <w:rFonts w:hint="eastAsia" w:cs="Times New Roman"/>
          <w:b w:val="0"/>
          <w:bCs/>
          <w:color w:val="auto"/>
          <w:sz w:val="24"/>
          <w:szCs w:val="24"/>
          <w:lang w:val="en-US" w:eastAsia="zh-CN"/>
        </w:rPr>
        <w:t>。</w:t>
      </w:r>
    </w:p>
    <w:p w14:paraId="4A6CB88A">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b/>
          <w:bCs/>
          <w:color w:val="auto"/>
          <w:sz w:val="21"/>
          <w:szCs w:val="21"/>
          <w:lang w:val="en-US" w:eastAsia="zh-CN"/>
        </w:rPr>
        <w:sectPr>
          <w:headerReference r:id="rId11" w:type="default"/>
          <w:footerReference r:id="rId12" w:type="default"/>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2FA1169E">
      <w:pPr>
        <w:pStyle w:val="5"/>
        <w:pageBreakBefore w:val="0"/>
        <w:kinsoku/>
        <w:wordWrap/>
        <w:overflowPunct/>
        <w:topLinePunct w:val="0"/>
        <w:bidi w:val="0"/>
        <w:rPr>
          <w:rFonts w:hint="default" w:ascii="Times New Roman" w:hAnsi="Times New Roman" w:eastAsia="宋体" w:cs="Times New Roman"/>
          <w:b/>
          <w:color w:val="auto"/>
          <w:spacing w:val="0"/>
          <w:w w:val="100"/>
          <w:kern w:val="0"/>
          <w:position w:val="0"/>
          <w:sz w:val="28"/>
          <w:szCs w:val="28"/>
          <w:lang w:val="en-US" w:eastAsia="zh-CN" w:bidi="zh-CN"/>
        </w:rPr>
      </w:pPr>
      <w:bookmarkStart w:id="271" w:name="_Toc10531"/>
      <w:r>
        <w:rPr>
          <w:rFonts w:hint="eastAsia" w:ascii="Times New Roman" w:hAnsi="Times New Roman" w:cs="Times New Roman"/>
          <w:b/>
          <w:color w:val="auto"/>
          <w:spacing w:val="0"/>
          <w:w w:val="100"/>
          <w:kern w:val="0"/>
          <w:position w:val="0"/>
          <w:sz w:val="28"/>
          <w:szCs w:val="28"/>
          <w:lang w:val="en-US" w:eastAsia="zh-CN" w:bidi="zh-CN"/>
        </w:rPr>
        <w:t>6.5.3</w:t>
      </w:r>
      <w:r>
        <w:rPr>
          <w:rFonts w:hint="eastAsia" w:ascii="Times New Roman" w:hAnsi="Times New Roman" w:eastAsia="宋体" w:cs="Times New Roman"/>
          <w:b/>
          <w:color w:val="auto"/>
          <w:spacing w:val="0"/>
          <w:w w:val="100"/>
          <w:kern w:val="0"/>
          <w:position w:val="0"/>
          <w:sz w:val="28"/>
          <w:szCs w:val="28"/>
          <w:lang w:val="en-US" w:eastAsia="zh-CN" w:bidi="zh-CN"/>
        </w:rPr>
        <w:t>生活垃圾</w:t>
      </w:r>
      <w:bookmarkEnd w:id="271"/>
    </w:p>
    <w:p w14:paraId="7D6F5EFB">
      <w:pPr>
        <w:pageBreakBefore w:val="0"/>
        <w:kinsoku/>
        <w:wordWrap/>
        <w:overflowPunct/>
        <w:topLinePunct w:val="0"/>
        <w:bidi w:val="0"/>
        <w:rPr>
          <w:rFonts w:hint="default" w:ascii="Times New Roman" w:hAnsi="Times New Roman" w:eastAsia="宋体" w:cs="Times New Roman"/>
          <w:color w:val="auto"/>
          <w:spacing w:val="0"/>
          <w:w w:val="100"/>
          <w:position w:val="0"/>
          <w:sz w:val="24"/>
          <w:szCs w:val="22"/>
        </w:rPr>
      </w:pPr>
      <w:r>
        <w:rPr>
          <w:rFonts w:hint="default" w:ascii="Times New Roman" w:hAnsi="Times New Roman" w:eastAsia="宋体" w:cs="Times New Roman"/>
          <w:color w:val="auto"/>
          <w:spacing w:val="0"/>
          <w:w w:val="100"/>
          <w:position w:val="0"/>
          <w:sz w:val="24"/>
          <w:szCs w:val="22"/>
        </w:rPr>
        <w:t>本项目劳动定员</w:t>
      </w:r>
      <w:r>
        <w:rPr>
          <w:rFonts w:hint="eastAsia" w:cs="Times New Roman"/>
          <w:color w:val="auto"/>
          <w:spacing w:val="0"/>
          <w:w w:val="100"/>
          <w:position w:val="0"/>
          <w:sz w:val="24"/>
          <w:szCs w:val="22"/>
          <w:lang w:val="en-US" w:eastAsia="zh-CN"/>
        </w:rPr>
        <w:t>16</w:t>
      </w:r>
      <w:r>
        <w:rPr>
          <w:rFonts w:hint="default" w:ascii="Times New Roman" w:hAnsi="Times New Roman" w:eastAsia="宋体" w:cs="Times New Roman"/>
          <w:color w:val="auto"/>
          <w:spacing w:val="0"/>
          <w:w w:val="100"/>
          <w:position w:val="0"/>
          <w:sz w:val="24"/>
          <w:szCs w:val="22"/>
        </w:rPr>
        <w:t>人，工作日</w:t>
      </w:r>
      <w:r>
        <w:rPr>
          <w:rFonts w:hint="eastAsia" w:cs="Times New Roman"/>
          <w:color w:val="auto"/>
          <w:spacing w:val="0"/>
          <w:w w:val="100"/>
          <w:position w:val="0"/>
          <w:sz w:val="24"/>
          <w:szCs w:val="22"/>
          <w:lang w:val="en-US" w:eastAsia="zh-CN"/>
        </w:rPr>
        <w:t>9</w:t>
      </w:r>
      <w:r>
        <w:rPr>
          <w:rFonts w:hint="default" w:ascii="Times New Roman" w:hAnsi="Times New Roman" w:eastAsia="宋体" w:cs="Times New Roman"/>
          <w:color w:val="auto"/>
          <w:spacing w:val="0"/>
          <w:w w:val="100"/>
          <w:position w:val="0"/>
          <w:sz w:val="24"/>
          <w:szCs w:val="22"/>
          <w:lang w:val="en-US" w:eastAsia="zh-CN"/>
        </w:rPr>
        <w:t>0</w:t>
      </w:r>
      <w:r>
        <w:rPr>
          <w:rFonts w:hint="default" w:ascii="Times New Roman" w:hAnsi="Times New Roman" w:eastAsia="宋体" w:cs="Times New Roman"/>
          <w:color w:val="auto"/>
          <w:spacing w:val="0"/>
          <w:w w:val="100"/>
          <w:position w:val="0"/>
          <w:sz w:val="24"/>
          <w:szCs w:val="22"/>
        </w:rPr>
        <w:t>天，生活垃圾排放垃圾量按0.</w:t>
      </w:r>
      <w:r>
        <w:rPr>
          <w:rFonts w:hint="eastAsia" w:cs="Times New Roman"/>
          <w:color w:val="auto"/>
          <w:spacing w:val="0"/>
          <w:w w:val="100"/>
          <w:position w:val="0"/>
          <w:sz w:val="24"/>
          <w:szCs w:val="22"/>
          <w:lang w:val="en-US" w:eastAsia="zh-CN"/>
        </w:rPr>
        <w:t>5</w:t>
      </w:r>
      <w:r>
        <w:rPr>
          <w:rFonts w:hint="default" w:ascii="Times New Roman" w:hAnsi="Times New Roman" w:eastAsia="宋体" w:cs="Times New Roman"/>
          <w:color w:val="auto"/>
          <w:spacing w:val="0"/>
          <w:w w:val="100"/>
          <w:position w:val="0"/>
          <w:sz w:val="24"/>
          <w:szCs w:val="22"/>
        </w:rPr>
        <w:t>kg/人·d计，则生活垃圾</w:t>
      </w:r>
      <w:r>
        <w:rPr>
          <w:rFonts w:hint="eastAsia" w:cs="Times New Roman"/>
          <w:color w:val="auto"/>
          <w:spacing w:val="0"/>
          <w:w w:val="100"/>
          <w:position w:val="0"/>
          <w:sz w:val="24"/>
          <w:szCs w:val="22"/>
          <w:lang w:eastAsia="zh-CN"/>
        </w:rPr>
        <w:t>产生量</w:t>
      </w:r>
      <w:r>
        <w:rPr>
          <w:rFonts w:hint="default" w:ascii="Times New Roman" w:hAnsi="Times New Roman" w:eastAsia="宋体" w:cs="Times New Roman"/>
          <w:color w:val="auto"/>
          <w:spacing w:val="0"/>
          <w:w w:val="100"/>
          <w:position w:val="0"/>
          <w:sz w:val="24"/>
          <w:szCs w:val="22"/>
        </w:rPr>
        <w:t>约为</w:t>
      </w:r>
      <w:r>
        <w:rPr>
          <w:rFonts w:hint="eastAsia" w:cs="Times New Roman"/>
          <w:color w:val="auto"/>
          <w:spacing w:val="0"/>
          <w:w w:val="100"/>
          <w:position w:val="0"/>
          <w:sz w:val="24"/>
          <w:szCs w:val="22"/>
          <w:lang w:val="en-US" w:eastAsia="zh-CN"/>
        </w:rPr>
        <w:t>0.72</w:t>
      </w:r>
      <w:r>
        <w:rPr>
          <w:rFonts w:hint="default" w:ascii="Times New Roman" w:hAnsi="Times New Roman" w:eastAsia="宋体" w:cs="Times New Roman"/>
          <w:color w:val="auto"/>
          <w:spacing w:val="0"/>
          <w:w w:val="100"/>
          <w:position w:val="0"/>
          <w:sz w:val="24"/>
          <w:szCs w:val="22"/>
        </w:rPr>
        <w:t>t/a。生活垃圾集中收集后由环卫部门定期清运处理。</w:t>
      </w:r>
    </w:p>
    <w:p w14:paraId="66752D9D">
      <w:pPr>
        <w:pageBreakBefore w:val="0"/>
        <w:kinsoku/>
        <w:wordWrap/>
        <w:overflowPunct/>
        <w:topLinePunct w:val="0"/>
        <w:bidi w:val="0"/>
        <w:rPr>
          <w:color w:val="auto"/>
        </w:rPr>
      </w:pPr>
      <w:r>
        <w:rPr>
          <w:color w:val="auto"/>
        </w:rPr>
        <w:t>综上分析，固体废物的处置应遵循分类原则、回收利用原则、减量化原则、无公害化原则及分散与集中相结合的原则，将不同类型的固体废物进行分类收集、分类处理。在此基础上采取相应的措施后，本项目产生的固体废物对环境影响不大。</w:t>
      </w:r>
    </w:p>
    <w:p w14:paraId="5A2ABB12">
      <w:pPr>
        <w:pStyle w:val="4"/>
        <w:pageBreakBefore w:val="0"/>
        <w:kinsoku/>
        <w:wordWrap/>
        <w:overflowPunct/>
        <w:topLinePunct w:val="0"/>
        <w:bidi w:val="0"/>
        <w:rPr>
          <w:rFonts w:hint="default" w:ascii="Times New Roman" w:hAnsi="Times New Roman" w:cs="Times New Roman"/>
          <w:color w:val="auto"/>
          <w:spacing w:val="0"/>
          <w:w w:val="100"/>
          <w:position w:val="0"/>
          <w:highlight w:val="none"/>
        </w:rPr>
      </w:pPr>
      <w:bookmarkStart w:id="272" w:name="_bookmark37"/>
      <w:bookmarkEnd w:id="272"/>
      <w:bookmarkStart w:id="273" w:name="6.6 土壤环境影响分析"/>
      <w:bookmarkEnd w:id="273"/>
      <w:bookmarkStart w:id="274" w:name="_bookmark37"/>
      <w:bookmarkEnd w:id="274"/>
      <w:bookmarkStart w:id="275" w:name="_Toc28275"/>
      <w:bookmarkStart w:id="276" w:name="_Toc9093"/>
      <w:bookmarkStart w:id="277" w:name="_Toc19529"/>
      <w:r>
        <w:rPr>
          <w:rFonts w:hint="default" w:ascii="Times New Roman" w:hAnsi="Times New Roman" w:cs="Times New Roman"/>
          <w:color w:val="auto"/>
          <w:spacing w:val="0"/>
          <w:w w:val="100"/>
          <w:position w:val="0"/>
          <w:highlight w:val="none"/>
          <w:lang w:val="en-US" w:eastAsia="zh-CN"/>
        </w:rPr>
        <w:t>6.6</w:t>
      </w:r>
      <w:r>
        <w:rPr>
          <w:rFonts w:hint="default" w:ascii="Times New Roman" w:hAnsi="Times New Roman" w:cs="Times New Roman"/>
          <w:color w:val="auto"/>
          <w:spacing w:val="0"/>
          <w:w w:val="100"/>
          <w:position w:val="0"/>
          <w:highlight w:val="none"/>
        </w:rPr>
        <w:t>土壤环境影</w:t>
      </w:r>
      <w:r>
        <w:rPr>
          <w:rStyle w:val="46"/>
          <w:rFonts w:hint="default"/>
          <w:b/>
          <w:bCs/>
          <w:color w:val="auto"/>
        </w:rPr>
        <w:t>响</w:t>
      </w:r>
      <w:r>
        <w:rPr>
          <w:rFonts w:hint="default" w:ascii="Times New Roman" w:hAnsi="Times New Roman" w:cs="Times New Roman"/>
          <w:color w:val="auto"/>
          <w:spacing w:val="0"/>
          <w:w w:val="100"/>
          <w:position w:val="0"/>
          <w:highlight w:val="none"/>
        </w:rPr>
        <w:t>分析</w:t>
      </w:r>
      <w:bookmarkEnd w:id="275"/>
      <w:bookmarkEnd w:id="276"/>
      <w:bookmarkEnd w:id="277"/>
    </w:p>
    <w:p w14:paraId="26D43F24">
      <w:pPr>
        <w:pStyle w:val="5"/>
        <w:bidi w:val="0"/>
        <w:rPr>
          <w:rFonts w:hint="default"/>
          <w:color w:val="auto"/>
          <w:lang w:val="en-US" w:eastAsia="zh-CN"/>
        </w:rPr>
      </w:pPr>
      <w:r>
        <w:rPr>
          <w:rFonts w:hint="eastAsia" w:ascii="Times New Roman" w:hAnsi="Times New Roman" w:eastAsia="宋体" w:cs="Times New Roman"/>
          <w:b/>
          <w:color w:val="auto"/>
          <w:spacing w:val="0"/>
          <w:w w:val="100"/>
          <w:kern w:val="0"/>
          <w:position w:val="0"/>
          <w:sz w:val="28"/>
          <w:szCs w:val="28"/>
          <w:lang w:val="en-US" w:eastAsia="zh-CN" w:bidi="zh-CN"/>
        </w:rPr>
        <w:t>6.6.</w:t>
      </w:r>
      <w:r>
        <w:rPr>
          <w:rFonts w:hint="eastAsia"/>
          <w:color w:val="auto"/>
          <w:lang w:val="en-US" w:eastAsia="zh-CN"/>
        </w:rPr>
        <w:t>1土壤环境影响识别</w:t>
      </w:r>
    </w:p>
    <w:p w14:paraId="7E2ED616">
      <w:pPr>
        <w:pStyle w:val="5"/>
        <w:bidi w:val="0"/>
        <w:rPr>
          <w:rFonts w:hint="eastAsia"/>
          <w:color w:val="auto"/>
          <w:lang w:val="en-US" w:eastAsia="zh-CN"/>
        </w:rPr>
      </w:pPr>
      <w:r>
        <w:rPr>
          <w:rFonts w:hint="eastAsia"/>
          <w:color w:val="auto"/>
          <w:lang w:val="en-US" w:eastAsia="zh-CN"/>
        </w:rPr>
        <w:t>6.6.2土壤环境保护措施</w:t>
      </w:r>
    </w:p>
    <w:p w14:paraId="395B952B">
      <w:pPr>
        <w:bidi w:val="0"/>
        <w:rPr>
          <w:rFonts w:hint="eastAsia"/>
          <w:color w:val="auto"/>
          <w:lang w:val="en-US" w:eastAsia="zh-CN"/>
        </w:rPr>
      </w:pPr>
      <w:r>
        <w:rPr>
          <w:rFonts w:hint="eastAsia"/>
          <w:color w:val="auto"/>
          <w:lang w:val="en-US" w:eastAsia="zh-CN"/>
        </w:rPr>
        <w:t>（1）现状保障措施</w:t>
      </w:r>
    </w:p>
    <w:p w14:paraId="3C81620F">
      <w:pPr>
        <w:bidi w:val="0"/>
        <w:rPr>
          <w:rFonts w:hint="eastAsia"/>
          <w:color w:val="auto"/>
          <w:lang w:val="en-US" w:eastAsia="zh-CN"/>
        </w:rPr>
      </w:pPr>
      <w:r>
        <w:rPr>
          <w:rFonts w:hint="eastAsia"/>
          <w:color w:val="auto"/>
          <w:lang w:val="en-US" w:eastAsia="zh-CN"/>
        </w:rPr>
        <w:t>根据对厂址区域土壤的监测，可满足《土壤环境质量 建设用地土壤污染风险管控标准（试行）》（GB36600-2018）中表2第二类用地筛选值，</w:t>
      </w:r>
      <w:r>
        <w:rPr>
          <w:rFonts w:hint="default" w:ascii="Times New Roman" w:hAnsi="Times New Roman" w:cs="Times New Roman"/>
          <w:color w:val="auto"/>
          <w:sz w:val="24"/>
        </w:rPr>
        <w:t>场地周边土壤各指标均满足《土壤环境质量 农用地土壤污染风险管控标准（试行）》（GB15618-2018）表1标准。</w:t>
      </w:r>
    </w:p>
    <w:p w14:paraId="6D0F9633">
      <w:pPr>
        <w:bidi w:val="0"/>
        <w:rPr>
          <w:rFonts w:hint="eastAsia"/>
          <w:color w:val="auto"/>
          <w:lang w:val="en-US" w:eastAsia="zh-CN"/>
        </w:rPr>
      </w:pPr>
      <w:r>
        <w:rPr>
          <w:rFonts w:hint="eastAsia"/>
          <w:color w:val="auto"/>
          <w:lang w:val="en-US" w:eastAsia="zh-CN"/>
        </w:rPr>
        <w:t>（2）源头控制措施</w:t>
      </w:r>
    </w:p>
    <w:p w14:paraId="618F6AC4">
      <w:pPr>
        <w:bidi w:val="0"/>
        <w:rPr>
          <w:rFonts w:hint="eastAsia"/>
          <w:color w:val="auto"/>
          <w:lang w:val="en-US" w:eastAsia="zh-CN"/>
        </w:rPr>
      </w:pPr>
      <w:r>
        <w:rPr>
          <w:rFonts w:hint="eastAsia"/>
          <w:color w:val="auto"/>
          <w:lang w:val="en-US" w:eastAsia="zh-CN"/>
        </w:rPr>
        <w:t>加强输送设施、物料储存区及输送设施的维护和管理，防止废水和液体物料的跑、冒、滴、漏和非正常排放，将污染物泄露的环境风险事故降到最低限度。</w:t>
      </w:r>
    </w:p>
    <w:p w14:paraId="38D31102">
      <w:pPr>
        <w:bidi w:val="0"/>
        <w:rPr>
          <w:rFonts w:hint="eastAsia"/>
          <w:color w:val="auto"/>
          <w:lang w:val="en-US" w:eastAsia="zh-CN"/>
        </w:rPr>
      </w:pPr>
      <w:r>
        <w:rPr>
          <w:rFonts w:hint="eastAsia"/>
          <w:color w:val="auto"/>
          <w:lang w:val="en-US" w:eastAsia="zh-CN"/>
        </w:rPr>
        <w:t>（3）过程防控措施</w:t>
      </w:r>
    </w:p>
    <w:p w14:paraId="7E507E86">
      <w:pPr>
        <w:bidi w:val="0"/>
        <w:rPr>
          <w:rFonts w:hint="eastAsia"/>
          <w:color w:val="auto"/>
          <w:lang w:val="en-US" w:eastAsia="zh-CN"/>
        </w:rPr>
      </w:pPr>
      <w:r>
        <w:rPr>
          <w:rFonts w:hint="eastAsia"/>
          <w:color w:val="auto"/>
          <w:lang w:val="en-US" w:eastAsia="zh-CN"/>
        </w:rPr>
        <w:t>项目占地区域划分为重点防渗区和简单防渗区，各分区内不同区域分别根据工程特点采取相应的防渗措施，满足《环境影响评价技术导则 地下水环境》（HJ610-2016）以及《地下水污染源防渗技术指南（试行）》等规范的要求。</w:t>
      </w:r>
    </w:p>
    <w:p w14:paraId="47FDB6C5">
      <w:pPr>
        <w:pStyle w:val="5"/>
        <w:bidi w:val="0"/>
        <w:rPr>
          <w:color w:val="auto"/>
        </w:rPr>
      </w:pPr>
      <w:r>
        <w:rPr>
          <w:rFonts w:hint="eastAsia"/>
          <w:color w:val="auto"/>
          <w:lang w:val="en-US" w:eastAsia="zh-CN"/>
        </w:rPr>
        <w:t>6.6.3</w:t>
      </w:r>
      <w:r>
        <w:rPr>
          <w:color w:val="auto"/>
        </w:rPr>
        <w:t>土壤环境影响结论</w:t>
      </w:r>
    </w:p>
    <w:p w14:paraId="1E2E6E59">
      <w:pPr>
        <w:bidi w:val="0"/>
        <w:rPr>
          <w:rFonts w:hint="eastAsia"/>
          <w:color w:val="auto"/>
          <w:lang w:val="en-US" w:eastAsia="zh-CN"/>
        </w:rPr>
      </w:pPr>
      <w:r>
        <w:rPr>
          <w:color w:val="auto"/>
        </w:rPr>
        <w:t>本项目原材料为</w:t>
      </w:r>
      <w:r>
        <w:rPr>
          <w:rFonts w:hint="eastAsia"/>
          <w:color w:val="auto"/>
          <w:lang w:val="en-US" w:eastAsia="zh-CN"/>
        </w:rPr>
        <w:t>废旧滴灌带</w:t>
      </w:r>
      <w:r>
        <w:rPr>
          <w:color w:val="auto"/>
        </w:rPr>
        <w:t>，</w:t>
      </w:r>
      <w:r>
        <w:rPr>
          <w:rFonts w:hint="eastAsia"/>
          <w:color w:val="auto"/>
          <w:lang w:val="en-US" w:eastAsia="zh-CN"/>
        </w:rPr>
        <w:t>原辅材料及产品存储过程中不会对土壤产生环境影响。生产运营阶段循环水池和生活污水处理装置发生泄漏，可能会对项目区土壤产生一定影响。</w:t>
      </w:r>
    </w:p>
    <w:p w14:paraId="3B1BCC03">
      <w:pPr>
        <w:bidi w:val="0"/>
        <w:rPr>
          <w:color w:val="auto"/>
        </w:rPr>
      </w:pPr>
      <w:r>
        <w:rPr>
          <w:color w:val="auto"/>
        </w:rPr>
        <w:t>项目</w:t>
      </w:r>
      <w:r>
        <w:rPr>
          <w:rFonts w:hint="eastAsia"/>
          <w:color w:val="auto"/>
          <w:lang w:val="en-US" w:eastAsia="zh-CN"/>
        </w:rPr>
        <w:t>厂区</w:t>
      </w:r>
      <w:r>
        <w:rPr>
          <w:color w:val="auto"/>
        </w:rPr>
        <w:t>采用分区防渗措施，</w:t>
      </w:r>
      <w:r>
        <w:rPr>
          <w:rFonts w:hint="eastAsia"/>
          <w:color w:val="auto"/>
          <w:lang w:eastAsia="zh-CN"/>
        </w:rPr>
        <w:t>沉淀池和</w:t>
      </w:r>
      <w:r>
        <w:rPr>
          <w:rFonts w:hint="eastAsia"/>
          <w:color w:val="auto"/>
          <w:lang w:val="en-US" w:eastAsia="zh-CN"/>
        </w:rPr>
        <w:t>循环水池采用一般</w:t>
      </w:r>
      <w:r>
        <w:rPr>
          <w:color w:val="auto"/>
        </w:rPr>
        <w:t>防渗</w:t>
      </w:r>
      <w:r>
        <w:rPr>
          <w:rFonts w:hint="eastAsia"/>
          <w:color w:val="auto"/>
          <w:lang w:val="en-US" w:eastAsia="zh-CN"/>
        </w:rPr>
        <w:t>措施，</w:t>
      </w:r>
      <w:r>
        <w:rPr>
          <w:color w:val="auto"/>
        </w:rPr>
        <w:t>区域采用复合防渗结构，防渗层自上而下由土工膜、抗渗砼、抗渗添加剂、细石砼等组成，渗透系数≤10</w:t>
      </w:r>
      <w:r>
        <w:rPr>
          <w:color w:val="auto"/>
          <w:vertAlign w:val="superscript"/>
        </w:rPr>
        <w:t>-</w:t>
      </w:r>
      <w:r>
        <w:rPr>
          <w:rFonts w:hint="eastAsia"/>
          <w:color w:val="auto"/>
          <w:vertAlign w:val="superscript"/>
          <w:lang w:val="en-US" w:eastAsia="zh-CN"/>
        </w:rPr>
        <w:t>7</w:t>
      </w:r>
      <w:r>
        <w:rPr>
          <w:color w:val="auto"/>
        </w:rPr>
        <w:t>cm/s。</w:t>
      </w:r>
      <w:r>
        <w:rPr>
          <w:rFonts w:hint="eastAsia"/>
          <w:color w:val="auto"/>
          <w:lang w:val="en-US" w:eastAsia="zh-CN"/>
        </w:rPr>
        <w:t>经采取防渗措施后，可有效减少沉淀池和循环水池对周边环境影响</w:t>
      </w:r>
      <w:r>
        <w:rPr>
          <w:color w:val="auto"/>
        </w:rPr>
        <w:t>。</w:t>
      </w:r>
    </w:p>
    <w:p w14:paraId="655461B6">
      <w:pPr>
        <w:bidi w:val="0"/>
        <w:rPr>
          <w:rFonts w:hint="eastAsia"/>
          <w:color w:val="auto"/>
        </w:rPr>
      </w:pPr>
      <w:r>
        <w:rPr>
          <w:color w:val="auto"/>
        </w:rPr>
        <w:t>因此本项目在做到防渗措施的基础上对土壤环境的影响在可控制范围内。运营期在正常工况下，采取相应保护措施后，不会对土壤环境质量造成显著影响。</w:t>
      </w:r>
    </w:p>
    <w:p w14:paraId="2D221D69">
      <w:pPr>
        <w:keepNext w:val="0"/>
        <w:keepLines w:val="0"/>
        <w:widowControl/>
        <w:suppressLineNumbers w:val="0"/>
        <w:jc w:val="left"/>
        <w:rPr>
          <w:rFonts w:hint="default"/>
          <w:color w:val="auto"/>
          <w:lang w:val="en-US" w:eastAsia="zh-CN"/>
        </w:rPr>
      </w:pPr>
      <w:r>
        <w:rPr>
          <w:rFonts w:hint="default"/>
          <w:color w:val="auto"/>
          <w:lang w:val="en-US" w:eastAsia="zh-CN"/>
        </w:rPr>
        <w:t>本项目占地范围内土壤因子监测值均达到《土壤环境质量 建设用地土壤污染风险管控标准（试行）》（GB36600-2018）第二类用地土壤污染风险筛选值标准要求；本工程采取土壤污染防治措施按照</w:t>
      </w:r>
      <w:r>
        <w:rPr>
          <w:rFonts w:hint="eastAsia"/>
          <w:color w:val="auto"/>
          <w:lang w:val="en-US" w:eastAsia="zh-CN"/>
        </w:rPr>
        <w:t>“</w:t>
      </w:r>
      <w:r>
        <w:rPr>
          <w:rFonts w:hint="default"/>
          <w:color w:val="auto"/>
          <w:lang w:val="en-US" w:eastAsia="zh-CN"/>
        </w:rPr>
        <w:t>源头控制、过程防控、应急响应</w:t>
      </w:r>
      <w:r>
        <w:rPr>
          <w:rFonts w:hint="eastAsia"/>
          <w:color w:val="auto"/>
          <w:lang w:val="en-US" w:eastAsia="zh-CN"/>
        </w:rPr>
        <w:t>”</w:t>
      </w:r>
      <w:r>
        <w:rPr>
          <w:rFonts w:hint="default"/>
          <w:color w:val="auto"/>
          <w:lang w:val="en-US" w:eastAsia="zh-CN"/>
        </w:rPr>
        <w:t>相结合的原则，在严格落实土壤污染防护措施后，本工程对区域土壤环境影响可接受。</w:t>
      </w:r>
    </w:p>
    <w:p w14:paraId="43F33F88">
      <w:pPr>
        <w:keepNext w:val="0"/>
        <w:keepLines w:val="0"/>
        <w:widowControl/>
        <w:suppressLineNumbers w:val="0"/>
        <w:jc w:val="left"/>
        <w:rPr>
          <w:color w:val="auto"/>
        </w:rPr>
      </w:pPr>
      <w:r>
        <w:rPr>
          <w:color w:val="auto"/>
        </w:rPr>
        <w:t>土壤环境影响评价完成后，对土壤环境影响评价主要内容与结论进行自查，详见下表：</w:t>
      </w:r>
    </w:p>
    <w:p w14:paraId="49D80FF5">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278" w:name="_bookmark38"/>
      <w:bookmarkEnd w:id="278"/>
      <w:bookmarkStart w:id="279" w:name="6.7 生态环境影响分析"/>
      <w:bookmarkEnd w:id="279"/>
      <w:bookmarkStart w:id="280" w:name="_bookmark38"/>
      <w:bookmarkEnd w:id="280"/>
      <w:bookmarkStart w:id="281" w:name="_Toc30683"/>
      <w:bookmarkStart w:id="282" w:name="_Toc10703"/>
      <w:bookmarkStart w:id="283" w:name="_Toc5553"/>
      <w:r>
        <w:rPr>
          <w:rFonts w:hint="default" w:ascii="Times New Roman" w:hAnsi="Times New Roman" w:cs="Times New Roman"/>
          <w:color w:val="auto"/>
          <w:spacing w:val="0"/>
          <w:w w:val="100"/>
          <w:position w:val="0"/>
          <w:lang w:val="en-US" w:eastAsia="zh-CN"/>
        </w:rPr>
        <w:t>6.7</w:t>
      </w:r>
      <w:r>
        <w:rPr>
          <w:rFonts w:hint="default" w:ascii="Times New Roman" w:hAnsi="Times New Roman" w:cs="Times New Roman"/>
          <w:color w:val="auto"/>
          <w:spacing w:val="0"/>
          <w:w w:val="100"/>
          <w:position w:val="0"/>
        </w:rPr>
        <w:t>生态环境影响分析</w:t>
      </w:r>
      <w:bookmarkEnd w:id="281"/>
      <w:bookmarkEnd w:id="282"/>
      <w:bookmarkEnd w:id="283"/>
    </w:p>
    <w:p w14:paraId="578F6961">
      <w:pPr>
        <w:pStyle w:val="5"/>
        <w:pageBreakBefore w:val="0"/>
        <w:kinsoku/>
        <w:wordWrap/>
        <w:overflowPunct/>
        <w:topLinePunct w:val="0"/>
        <w:bidi w:val="0"/>
        <w:rPr>
          <w:rFonts w:hint="default" w:ascii="Times New Roman" w:hAnsi="Times New Roman" w:eastAsia="宋体" w:cs="Times New Roman"/>
          <w:color w:val="auto"/>
          <w:spacing w:val="0"/>
          <w:w w:val="100"/>
          <w:position w:val="0"/>
          <w:sz w:val="28"/>
          <w:szCs w:val="28"/>
          <w:lang w:val="en-US" w:eastAsia="zh-CN"/>
        </w:rPr>
      </w:pPr>
      <w:bookmarkStart w:id="284" w:name="6.7.1 对周围野生动物的影响分析"/>
      <w:bookmarkEnd w:id="284"/>
      <w:bookmarkStart w:id="285" w:name="6.7.1 对周围野生动物的影响分析"/>
      <w:bookmarkEnd w:id="285"/>
      <w:bookmarkStart w:id="286" w:name="_Toc7442"/>
      <w:r>
        <w:rPr>
          <w:rFonts w:hint="eastAsia" w:ascii="Times New Roman" w:hAnsi="Times New Roman" w:eastAsia="宋体" w:cs="Times New Roman"/>
          <w:color w:val="auto"/>
          <w:spacing w:val="0"/>
          <w:w w:val="100"/>
          <w:position w:val="0"/>
          <w:sz w:val="28"/>
          <w:szCs w:val="28"/>
          <w:lang w:val="en-US" w:eastAsia="zh-CN"/>
        </w:rPr>
        <w:t>6.7</w:t>
      </w:r>
      <w:r>
        <w:rPr>
          <w:rFonts w:hint="default" w:ascii="Times New Roman" w:hAnsi="Times New Roman" w:eastAsia="宋体" w:cs="Times New Roman"/>
          <w:color w:val="auto"/>
          <w:spacing w:val="0"/>
          <w:w w:val="100"/>
          <w:position w:val="0"/>
          <w:sz w:val="28"/>
          <w:szCs w:val="28"/>
          <w:lang w:val="en-US" w:eastAsia="zh-CN"/>
        </w:rPr>
        <w:t>.1对土地利用影响分析</w:t>
      </w:r>
      <w:bookmarkEnd w:id="286"/>
    </w:p>
    <w:p w14:paraId="242DF620">
      <w:pPr>
        <w:bidi w:val="0"/>
        <w:rPr>
          <w:color w:val="auto"/>
        </w:rPr>
      </w:pPr>
      <w:r>
        <w:rPr>
          <w:color w:val="auto"/>
        </w:rPr>
        <w:t>本项目</w:t>
      </w:r>
      <w:r>
        <w:rPr>
          <w:rFonts w:hint="eastAsia"/>
          <w:color w:val="auto"/>
          <w:lang w:val="en-US" w:eastAsia="zh-CN"/>
        </w:rPr>
        <w:t>建设</w:t>
      </w:r>
      <w:r>
        <w:rPr>
          <w:color w:val="auto"/>
        </w:rPr>
        <w:t>未改变评价区域土地利用类型。同时本项目建成后将进行地面硬化措施，因此不会导致生态环境质量的降低。</w:t>
      </w:r>
    </w:p>
    <w:p w14:paraId="41468BC7">
      <w:pPr>
        <w:pStyle w:val="5"/>
        <w:pageBreakBefore w:val="0"/>
        <w:kinsoku/>
        <w:wordWrap/>
        <w:overflowPunct/>
        <w:topLinePunct w:val="0"/>
        <w:bidi w:val="0"/>
        <w:rPr>
          <w:rFonts w:hint="default" w:ascii="Times New Roman" w:hAnsi="Times New Roman" w:eastAsia="宋体" w:cs="Times New Roman"/>
          <w:color w:val="auto"/>
          <w:spacing w:val="0"/>
          <w:w w:val="100"/>
          <w:position w:val="0"/>
          <w:sz w:val="28"/>
          <w:szCs w:val="28"/>
          <w:lang w:val="en-US" w:eastAsia="zh-CN"/>
        </w:rPr>
      </w:pPr>
      <w:bookmarkStart w:id="287" w:name="_Toc5509"/>
      <w:r>
        <w:rPr>
          <w:rFonts w:hint="eastAsia" w:ascii="Times New Roman" w:hAnsi="Times New Roman" w:eastAsia="宋体" w:cs="Times New Roman"/>
          <w:color w:val="auto"/>
          <w:spacing w:val="0"/>
          <w:w w:val="100"/>
          <w:position w:val="0"/>
          <w:sz w:val="28"/>
          <w:szCs w:val="28"/>
          <w:lang w:val="en-US" w:eastAsia="zh-CN"/>
        </w:rPr>
        <w:t>6.7</w:t>
      </w:r>
      <w:r>
        <w:rPr>
          <w:rFonts w:hint="default" w:ascii="Times New Roman" w:hAnsi="Times New Roman" w:eastAsia="宋体" w:cs="Times New Roman"/>
          <w:color w:val="auto"/>
          <w:spacing w:val="0"/>
          <w:w w:val="100"/>
          <w:position w:val="0"/>
          <w:sz w:val="28"/>
          <w:szCs w:val="28"/>
          <w:lang w:val="en-US" w:eastAsia="zh-CN"/>
        </w:rPr>
        <w:t>.2对植物资源的影响分析</w:t>
      </w:r>
      <w:bookmarkEnd w:id="287"/>
    </w:p>
    <w:p w14:paraId="178F0C9D">
      <w:pPr>
        <w:bidi w:val="0"/>
        <w:rPr>
          <w:color w:val="auto"/>
        </w:rPr>
      </w:pPr>
      <w:r>
        <w:rPr>
          <w:color w:val="auto"/>
        </w:rPr>
        <w:t>项目投入运营后，将会加强厂区及其周围的绿化和植被工作，生产过程中不存在破化植被的工业活动。因此，运营期不会对植物资源产生不利影响。</w:t>
      </w:r>
    </w:p>
    <w:p w14:paraId="1021C1AB">
      <w:pPr>
        <w:pStyle w:val="5"/>
        <w:bidi w:val="0"/>
        <w:rPr>
          <w:color w:val="auto"/>
        </w:rPr>
      </w:pPr>
      <w:bookmarkStart w:id="288" w:name="_Toc4706"/>
      <w:r>
        <w:rPr>
          <w:rFonts w:hint="eastAsia"/>
          <w:color w:val="auto"/>
          <w:lang w:val="en-US" w:eastAsia="zh-CN"/>
        </w:rPr>
        <w:t>6.7.3</w:t>
      </w:r>
      <w:r>
        <w:rPr>
          <w:color w:val="auto"/>
        </w:rPr>
        <w:t>对动物资源的影响分析</w:t>
      </w:r>
      <w:bookmarkEnd w:id="288"/>
    </w:p>
    <w:p w14:paraId="407A0039">
      <w:pPr>
        <w:bidi w:val="0"/>
        <w:rPr>
          <w:color w:val="auto"/>
        </w:rPr>
      </w:pPr>
      <w:r>
        <w:rPr>
          <w:color w:val="auto"/>
        </w:rPr>
        <w:t>对于大多数野生动物来说，最大的威胁来自其生境被分割、缩小、破坏和退化。由于本项目位于</w:t>
      </w:r>
      <w:r>
        <w:rPr>
          <w:rFonts w:hint="eastAsia"/>
          <w:color w:val="auto"/>
          <w:lang w:eastAsia="zh-CN"/>
        </w:rPr>
        <w:t>塔城地区托里县乌雪特乡</w:t>
      </w:r>
      <w:r>
        <w:rPr>
          <w:color w:val="auto"/>
        </w:rPr>
        <w:t>，厂址周围均为</w:t>
      </w:r>
      <w:r>
        <w:rPr>
          <w:rFonts w:hint="eastAsia"/>
          <w:color w:val="auto"/>
          <w:lang w:eastAsia="zh-CN"/>
        </w:rPr>
        <w:t>耕地</w:t>
      </w:r>
      <w:r>
        <w:rPr>
          <w:color w:val="auto"/>
        </w:rPr>
        <w:t>，</w:t>
      </w:r>
      <w:r>
        <w:rPr>
          <w:rFonts w:hint="default"/>
          <w:color w:val="auto"/>
        </w:rPr>
        <w:t>区内以农业生产单位为主，人工活动频繁，</w:t>
      </w:r>
      <w:r>
        <w:rPr>
          <w:rFonts w:hint="eastAsia"/>
          <w:color w:val="auto"/>
          <w:lang w:eastAsia="zh-CN"/>
        </w:rPr>
        <w:t>附近</w:t>
      </w:r>
      <w:r>
        <w:rPr>
          <w:rFonts w:hint="default"/>
          <w:color w:val="auto"/>
        </w:rPr>
        <w:t>没有国家及自治区级野生保护动物分布。</w:t>
      </w:r>
      <w:r>
        <w:rPr>
          <w:color w:val="auto"/>
        </w:rPr>
        <w:t>在本项目建设完成后，厂区的正常生产不会对</w:t>
      </w:r>
      <w:r>
        <w:rPr>
          <w:rFonts w:hint="default"/>
          <w:color w:val="auto"/>
        </w:rPr>
        <w:t>小田鼠、田鼠、沙鼠等小动物以及麻雀、燕子、百灵、乌鸦等鸟类活动</w:t>
      </w:r>
      <w:r>
        <w:rPr>
          <w:color w:val="auto"/>
        </w:rPr>
        <w:t>再产生干扰和影响，因此，在运营期对野生动物的影响很小。</w:t>
      </w:r>
      <w:bookmarkStart w:id="289" w:name="_Toc27359"/>
    </w:p>
    <w:p w14:paraId="0BC539F0">
      <w:pPr>
        <w:pStyle w:val="5"/>
        <w:bidi w:val="0"/>
        <w:rPr>
          <w:color w:val="auto"/>
        </w:rPr>
      </w:pPr>
      <w:r>
        <w:rPr>
          <w:rFonts w:hint="eastAsia"/>
          <w:color w:val="auto"/>
          <w:lang w:val="en-US" w:eastAsia="zh-CN"/>
        </w:rPr>
        <w:t>6.7</w:t>
      </w:r>
      <w:r>
        <w:rPr>
          <w:color w:val="auto"/>
        </w:rPr>
        <w:t>.4小结</w:t>
      </w:r>
      <w:bookmarkEnd w:id="289"/>
    </w:p>
    <w:p w14:paraId="2C7A8731">
      <w:pPr>
        <w:adjustRightInd w:val="0"/>
        <w:snapToGrid w:val="0"/>
        <w:spacing w:line="360" w:lineRule="auto"/>
        <w:ind w:firstLine="480" w:firstLineChars="200"/>
        <w:jc w:val="left"/>
        <w:rPr>
          <w:rFonts w:hint="default" w:ascii="Times New Roman" w:hAnsi="Times New Roman" w:cs="Times New Roman"/>
          <w:color w:val="auto"/>
          <w:kern w:val="0"/>
          <w:sz w:val="24"/>
        </w:rPr>
      </w:pPr>
      <w:r>
        <w:rPr>
          <w:color w:val="auto"/>
        </w:rPr>
        <w:t>项目投入运营后，将加强厂区及其周围的绿化和植被的恢复及补偿工作，项目在生产过程中不存在破化植被的工业活动，运营期不会对植物资源产生不利影响。通过加强施工人员的宣传教育和管理，可减少在建设初期对野生动物的影响，对生态环境的影响有限</w:t>
      </w:r>
      <w:r>
        <w:rPr>
          <w:rFonts w:hint="default" w:ascii="Times New Roman" w:hAnsi="Times New Roman" w:cs="Times New Roman"/>
          <w:color w:val="auto"/>
          <w:sz w:val="24"/>
        </w:rPr>
        <w:t>。</w:t>
      </w:r>
    </w:p>
    <w:p w14:paraId="4BC28135">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290" w:name="6.7.4 生态环境影响小结"/>
      <w:bookmarkEnd w:id="290"/>
      <w:bookmarkStart w:id="291" w:name="6.7.4 生态环境影响小结"/>
      <w:bookmarkEnd w:id="291"/>
      <w:bookmarkStart w:id="292" w:name="_Toc25974"/>
      <w:bookmarkStart w:id="293" w:name="_Toc13037"/>
      <w:bookmarkStart w:id="294" w:name="_Toc4681"/>
      <w:r>
        <w:rPr>
          <w:rFonts w:hint="eastAsia" w:ascii="Times New Roman" w:hAnsi="Times New Roman" w:cs="Times New Roman"/>
          <w:color w:val="auto"/>
          <w:spacing w:val="0"/>
          <w:w w:val="100"/>
          <w:position w:val="0"/>
          <w:lang w:val="en-US" w:eastAsia="zh-CN"/>
        </w:rPr>
        <w:t>6.8</w:t>
      </w:r>
      <w:r>
        <w:rPr>
          <w:rFonts w:hint="default" w:ascii="Times New Roman" w:hAnsi="Times New Roman" w:cs="Times New Roman"/>
          <w:color w:val="auto"/>
          <w:spacing w:val="0"/>
          <w:w w:val="100"/>
          <w:position w:val="0"/>
        </w:rPr>
        <w:t>环境风险分析</w:t>
      </w:r>
      <w:bookmarkEnd w:id="292"/>
      <w:bookmarkEnd w:id="293"/>
      <w:bookmarkEnd w:id="294"/>
    </w:p>
    <w:p w14:paraId="64C580E9">
      <w:pPr>
        <w:pStyle w:val="5"/>
        <w:pageBreakBefore w:val="0"/>
        <w:kinsoku/>
        <w:wordWrap/>
        <w:overflowPunct/>
        <w:topLinePunct w:val="0"/>
        <w:bidi w:val="0"/>
        <w:rPr>
          <w:rFonts w:hint="eastAsia" w:ascii="Times New Roman" w:hAnsi="Times New Roman" w:eastAsia="宋体" w:cs="Times New Roman"/>
          <w:b/>
          <w:bCs/>
          <w:color w:val="auto"/>
          <w:spacing w:val="0"/>
          <w:w w:val="100"/>
          <w:position w:val="0"/>
          <w:sz w:val="28"/>
          <w:szCs w:val="28"/>
          <w:lang w:val="en-US" w:eastAsia="zh-CN" w:bidi="zh-CN"/>
        </w:rPr>
      </w:pPr>
      <w:bookmarkStart w:id="295" w:name="6.8.1 环境风险评价原则"/>
      <w:bookmarkEnd w:id="295"/>
      <w:bookmarkStart w:id="296" w:name="6.8.1 环境风险评价原则"/>
      <w:bookmarkEnd w:id="296"/>
      <w:bookmarkStart w:id="297" w:name="_Toc32169"/>
      <w:r>
        <w:rPr>
          <w:rFonts w:hint="eastAsia" w:ascii="Times New Roman" w:hAnsi="Times New Roman" w:cs="Times New Roman"/>
          <w:b/>
          <w:bCs/>
          <w:color w:val="auto"/>
          <w:spacing w:val="0"/>
          <w:w w:val="100"/>
          <w:position w:val="0"/>
          <w:sz w:val="28"/>
          <w:szCs w:val="28"/>
          <w:lang w:val="en-US" w:eastAsia="zh-CN" w:bidi="zh-CN"/>
        </w:rPr>
        <w:t>6.8.2</w:t>
      </w:r>
      <w:r>
        <w:rPr>
          <w:rFonts w:hint="eastAsia" w:ascii="Times New Roman" w:hAnsi="Times New Roman" w:eastAsia="宋体" w:cs="Times New Roman"/>
          <w:b/>
          <w:bCs/>
          <w:color w:val="auto"/>
          <w:spacing w:val="0"/>
          <w:w w:val="100"/>
          <w:position w:val="0"/>
          <w:sz w:val="28"/>
          <w:szCs w:val="28"/>
          <w:lang w:val="en-US" w:eastAsia="zh-CN" w:bidi="zh-CN"/>
        </w:rPr>
        <w:t>风险调查及评价等级</w:t>
      </w:r>
      <w:bookmarkEnd w:id="297"/>
    </w:p>
    <w:p w14:paraId="23652A66">
      <w:pPr>
        <w:pageBreakBefore w:val="0"/>
        <w:kinsoku/>
        <w:wordWrap/>
        <w:overflowPunct/>
        <w:topLinePunct w:val="0"/>
        <w:bidi w:val="0"/>
        <w:spacing w:line="360" w:lineRule="auto"/>
        <w:ind w:firstLine="480" w:firstLineChars="200"/>
        <w:rPr>
          <w:rFonts w:hint="eastAsia" w:ascii="Times New Roman" w:eastAsia="宋体"/>
          <w:color w:val="auto"/>
          <w:spacing w:val="0"/>
          <w:w w:val="100"/>
          <w:position w:val="0"/>
          <w:sz w:val="24"/>
          <w:szCs w:val="24"/>
          <w:lang w:val="en-US" w:eastAsia="zh-CN"/>
        </w:rPr>
      </w:pPr>
      <w:r>
        <w:rPr>
          <w:rFonts w:ascii="Times New Roman" w:hAnsi="Times New Roman" w:cs="Times New Roman"/>
          <w:color w:val="auto"/>
          <w:sz w:val="24"/>
          <w:szCs w:val="24"/>
          <w:highlight w:val="none"/>
        </w:rPr>
        <w:t>本项目所涉及的危险物质</w:t>
      </w:r>
      <w:r>
        <w:rPr>
          <w:rFonts w:hint="eastAsia" w:ascii="Times New Roman" w:hAnsi="Times New Roman" w:cs="Times New Roman"/>
          <w:color w:val="auto"/>
          <w:sz w:val="24"/>
          <w:szCs w:val="24"/>
          <w:highlight w:val="none"/>
        </w:rPr>
        <w:t>主要</w:t>
      </w:r>
      <w:r>
        <w:rPr>
          <w:rFonts w:ascii="Times New Roman" w:hAnsi="Times New Roman" w:cs="Times New Roman"/>
          <w:color w:val="auto"/>
          <w:sz w:val="24"/>
          <w:szCs w:val="24"/>
          <w:highlight w:val="none"/>
        </w:rPr>
        <w:t>为</w:t>
      </w:r>
      <w:r>
        <w:rPr>
          <w:rFonts w:hint="eastAsia" w:cs="Times New Roman"/>
          <w:color w:val="auto"/>
          <w:sz w:val="24"/>
          <w:szCs w:val="24"/>
          <w:highlight w:val="none"/>
          <w:lang w:eastAsia="zh-CN"/>
        </w:rPr>
        <w:t>废润滑油</w:t>
      </w:r>
      <w:r>
        <w:rPr>
          <w:rFonts w:ascii="Times New Roman" w:hAnsi="Times New Roman" w:cs="Times New Roman"/>
          <w:color w:val="auto"/>
          <w:sz w:val="24"/>
          <w:szCs w:val="24"/>
          <w:highlight w:val="none"/>
        </w:rPr>
        <w:t>，属于《建设项目环境风险评价技术导则》（HJ 169-2018）附录</w:t>
      </w:r>
      <w:r>
        <w:rPr>
          <w:rFonts w:hint="eastAsia" w:ascii="Times New Roman" w:hAnsi="Times New Roman" w:cs="Times New Roman"/>
          <w:color w:val="auto"/>
          <w:sz w:val="24"/>
          <w:szCs w:val="24"/>
          <w:highlight w:val="none"/>
          <w:lang w:val="en-US" w:eastAsia="zh-CN"/>
        </w:rPr>
        <w:t>B</w:t>
      </w:r>
      <w:r>
        <w:rPr>
          <w:rFonts w:ascii="Times New Roman" w:hAnsi="Times New Roman" w:cs="Times New Roman"/>
          <w:color w:val="auto"/>
          <w:sz w:val="24"/>
          <w:szCs w:val="24"/>
          <w:highlight w:val="none"/>
        </w:rPr>
        <w:t>中危险物质，推荐临界量分别为</w:t>
      </w:r>
      <w:r>
        <w:rPr>
          <w:rFonts w:hint="eastAsia" w:cs="Times New Roman"/>
          <w:color w:val="auto"/>
          <w:sz w:val="24"/>
          <w:szCs w:val="24"/>
          <w:highlight w:val="none"/>
          <w:lang w:eastAsia="zh-CN"/>
        </w:rPr>
        <w:t>废润滑油</w:t>
      </w:r>
      <w:r>
        <w:rPr>
          <w:rFonts w:hint="eastAsia" w:ascii="Times New Roman" w:hAnsi="Times New Roman" w:cs="Times New Roman"/>
          <w:color w:val="auto"/>
          <w:sz w:val="24"/>
          <w:szCs w:val="24"/>
          <w:highlight w:val="none"/>
          <w:lang w:val="en-US" w:eastAsia="zh-CN"/>
        </w:rPr>
        <w:t>2500</w:t>
      </w:r>
      <w:r>
        <w:rPr>
          <w:rFonts w:ascii="Times New Roman" w:hAnsi="Times New Roman" w:cs="Times New Roman"/>
          <w:color w:val="auto"/>
          <w:sz w:val="24"/>
          <w:szCs w:val="24"/>
          <w:highlight w:val="none"/>
        </w:rPr>
        <w:t>t，</w:t>
      </w:r>
      <w:r>
        <w:rPr>
          <w:rFonts w:hint="eastAsia" w:ascii="Times New Roman" w:hAnsi="Times New Roman" w:cs="Times New Roman"/>
          <w:color w:val="auto"/>
          <w:sz w:val="24"/>
          <w:szCs w:val="24"/>
          <w:highlight w:val="none"/>
        </w:rPr>
        <w:t>项目</w:t>
      </w:r>
      <w:r>
        <w:rPr>
          <w:rFonts w:hint="eastAsia" w:cs="Times New Roman"/>
          <w:color w:val="auto"/>
          <w:sz w:val="24"/>
          <w:szCs w:val="24"/>
          <w:highlight w:val="none"/>
          <w:lang w:eastAsia="zh-CN"/>
        </w:rPr>
        <w:t>废润滑油</w:t>
      </w:r>
      <w:r>
        <w:rPr>
          <w:rFonts w:hint="eastAsia" w:ascii="Times New Roman" w:hAnsi="Times New Roman" w:cs="Times New Roman"/>
          <w:color w:val="auto"/>
          <w:sz w:val="24"/>
          <w:szCs w:val="24"/>
          <w:highlight w:val="none"/>
          <w:lang w:eastAsia="zh-CN"/>
        </w:rPr>
        <w:t>最大储存量</w:t>
      </w:r>
      <w:r>
        <w:rPr>
          <w:rFonts w:hint="eastAsia" w:ascii="Times New Roman" w:hAnsi="Times New Roman" w:cs="Times New Roman"/>
          <w:color w:val="auto"/>
          <w:sz w:val="24"/>
          <w:szCs w:val="24"/>
          <w:highlight w:val="none"/>
        </w:rPr>
        <w:t>约</w:t>
      </w:r>
      <w:r>
        <w:rPr>
          <w:rFonts w:hint="eastAsia" w:cs="Times New Roman"/>
          <w:color w:val="auto"/>
          <w:sz w:val="24"/>
          <w:szCs w:val="24"/>
          <w:highlight w:val="none"/>
          <w:lang w:val="en-US" w:eastAsia="zh-CN"/>
        </w:rPr>
        <w:t>1.2</w:t>
      </w:r>
      <w:r>
        <w:rPr>
          <w:rFonts w:hint="eastAsia" w:ascii="Times New Roman" w:hAnsi="Times New Roman" w:cs="Times New Roman"/>
          <w:color w:val="auto"/>
          <w:sz w:val="24"/>
          <w:szCs w:val="24"/>
          <w:highlight w:val="none"/>
        </w:rPr>
        <w:t>t/a</w:t>
      </w:r>
      <w:r>
        <w:rPr>
          <w:rFonts w:hint="eastAsia" w:ascii="Times New Roman" w:hAnsi="Times New Roman" w:cs="Times New Roman"/>
          <w:color w:val="auto"/>
          <w:sz w:val="24"/>
          <w:szCs w:val="24"/>
          <w:highlight w:val="none"/>
          <w:lang w:eastAsia="zh-CN"/>
        </w:rPr>
        <w:t>，</w:t>
      </w:r>
      <w:r>
        <w:rPr>
          <w:rFonts w:hint="eastAsia" w:ascii="Times New Roman" w:hAnsi="Times New Roman" w:cs="Times New Roman"/>
          <w:color w:val="auto"/>
          <w:sz w:val="24"/>
          <w:szCs w:val="24"/>
          <w:highlight w:val="none"/>
        </w:rPr>
        <w:t>未超过临界量</w:t>
      </w:r>
      <w:r>
        <w:rPr>
          <w:rFonts w:hint="eastAsia" w:ascii="Times New Roman" w:hAnsi="Times New Roman" w:cs="Times New Roman"/>
          <w:color w:val="auto"/>
          <w:sz w:val="24"/>
          <w:szCs w:val="24"/>
          <w:highlight w:val="none"/>
          <w:lang w:eastAsia="zh-CN"/>
        </w:rPr>
        <w:t>；</w:t>
      </w:r>
      <w:r>
        <w:rPr>
          <w:rFonts w:ascii="宋体" w:hAnsi="宋体" w:eastAsia="宋体" w:cs="宋体"/>
          <w:color w:val="auto"/>
          <w:spacing w:val="7"/>
          <w:sz w:val="24"/>
          <w:szCs w:val="24"/>
        </w:rPr>
        <w:t>聚乙烯</w:t>
      </w:r>
      <w:r>
        <w:rPr>
          <w:rFonts w:hint="eastAsia" w:ascii="宋体" w:hAnsi="宋体" w:eastAsia="宋体" w:cs="宋体"/>
          <w:color w:val="auto"/>
          <w:spacing w:val="7"/>
          <w:sz w:val="24"/>
          <w:szCs w:val="24"/>
          <w:lang w:eastAsia="zh-CN"/>
        </w:rPr>
        <w:t>未列入</w:t>
      </w:r>
      <w:r>
        <w:rPr>
          <w:rFonts w:ascii="Times New Roman" w:hAnsi="Times New Roman" w:cs="Times New Roman"/>
          <w:color w:val="auto"/>
          <w:sz w:val="24"/>
          <w:szCs w:val="24"/>
          <w:highlight w:val="none"/>
        </w:rPr>
        <w:t>《建设项目环境风险评价技术导则》（HJ 169-2018）附录</w:t>
      </w:r>
      <w:r>
        <w:rPr>
          <w:rFonts w:hint="eastAsia" w:ascii="Times New Roman" w:hAnsi="Times New Roman" w:cs="Times New Roman"/>
          <w:color w:val="auto"/>
          <w:sz w:val="24"/>
          <w:szCs w:val="24"/>
          <w:highlight w:val="none"/>
          <w:lang w:val="en-US" w:eastAsia="zh-CN"/>
        </w:rPr>
        <w:t>B中，</w:t>
      </w:r>
      <w:r>
        <w:rPr>
          <w:rFonts w:hint="eastAsia" w:ascii="Times New Roman" w:hAnsi="Times New Roman" w:cs="Times New Roman"/>
          <w:color w:val="auto"/>
          <w:sz w:val="24"/>
          <w:szCs w:val="24"/>
          <w:highlight w:val="none"/>
        </w:rPr>
        <w:t>由此判断，</w:t>
      </w:r>
      <w:r>
        <w:rPr>
          <w:rFonts w:ascii="Times New Roman" w:hAnsi="Times New Roman" w:cs="Times New Roman"/>
          <w:color w:val="auto"/>
          <w:sz w:val="24"/>
          <w:szCs w:val="24"/>
          <w:highlight w:val="none"/>
        </w:rPr>
        <w:t>Q＜1</w:t>
      </w:r>
      <w:r>
        <w:rPr>
          <w:rFonts w:hint="eastAsia" w:ascii="Times New Roman" w:hAnsi="Times New Roman" w:cs="Times New Roman"/>
          <w:color w:val="auto"/>
          <w:sz w:val="24"/>
          <w:szCs w:val="24"/>
          <w:highlight w:val="none"/>
          <w:lang w:eastAsia="zh-CN"/>
        </w:rPr>
        <w:t>，</w:t>
      </w:r>
      <w:r>
        <w:rPr>
          <w:rFonts w:ascii="Times New Roman" w:hAnsi="Times New Roman" w:cs="Times New Roman"/>
          <w:color w:val="auto"/>
          <w:sz w:val="24"/>
          <w:szCs w:val="24"/>
          <w:highlight w:val="none"/>
        </w:rPr>
        <w:t>该项目风险潜势为I。</w:t>
      </w:r>
    </w:p>
    <w:p w14:paraId="231F0365">
      <w:pPr>
        <w:pageBreakBefore w:val="0"/>
        <w:kinsoku/>
        <w:wordWrap/>
        <w:overflowPunct/>
        <w:topLinePunct w:val="0"/>
        <w:bidi w:val="0"/>
        <w:rPr>
          <w:color w:val="auto"/>
          <w:spacing w:val="0"/>
          <w:w w:val="100"/>
          <w:position w:val="0"/>
        </w:rPr>
      </w:pPr>
      <w:r>
        <w:rPr>
          <w:rFonts w:hint="eastAsia" w:ascii="Times New Roman" w:eastAsia="宋体"/>
          <w:color w:val="auto"/>
          <w:spacing w:val="0"/>
          <w:w w:val="100"/>
          <w:position w:val="0"/>
          <w:lang w:val="en-US" w:eastAsia="zh-CN"/>
        </w:rPr>
        <w:t>4</w:t>
      </w:r>
      <w:r>
        <w:rPr>
          <w:color w:val="auto"/>
          <w:spacing w:val="0"/>
          <w:w w:val="100"/>
          <w:position w:val="0"/>
        </w:rPr>
        <w:t>、风险评价范围</w:t>
      </w:r>
    </w:p>
    <w:p w14:paraId="50146D6E">
      <w:pPr>
        <w:pageBreakBefore w:val="0"/>
        <w:kinsoku/>
        <w:wordWrap/>
        <w:overflowPunct/>
        <w:topLinePunct w:val="0"/>
        <w:bidi w:val="0"/>
        <w:rPr>
          <w:color w:val="auto"/>
          <w:spacing w:val="0"/>
          <w:w w:val="100"/>
          <w:position w:val="0"/>
        </w:rPr>
      </w:pPr>
      <w:r>
        <w:rPr>
          <w:color w:val="auto"/>
          <w:spacing w:val="0"/>
          <w:w w:val="100"/>
          <w:position w:val="0"/>
        </w:rPr>
        <w:t>按照《建设项目环境风险评价技术导则》（</w:t>
      </w:r>
      <w:r>
        <w:rPr>
          <w:rFonts w:ascii="Times New Roman" w:eastAsia="Times New Roman"/>
          <w:color w:val="auto"/>
          <w:spacing w:val="0"/>
          <w:w w:val="100"/>
          <w:position w:val="0"/>
        </w:rPr>
        <w:t>HJ169-2018</w:t>
      </w:r>
      <w:r>
        <w:rPr>
          <w:color w:val="auto"/>
          <w:spacing w:val="0"/>
          <w:w w:val="100"/>
          <w:position w:val="0"/>
        </w:rPr>
        <w:t>）中的规定，本次不设环境风险评价的范围，仅做简单分析。</w:t>
      </w:r>
    </w:p>
    <w:p w14:paraId="7A341988">
      <w:pPr>
        <w:pStyle w:val="5"/>
        <w:pageBreakBefore w:val="0"/>
        <w:kinsoku/>
        <w:wordWrap/>
        <w:overflowPunct/>
        <w:topLinePunct w:val="0"/>
        <w:bidi w:val="0"/>
        <w:rPr>
          <w:rFonts w:hint="default" w:ascii="Times New Roman" w:hAnsi="Times New Roman" w:cs="Times New Roman"/>
          <w:b/>
          <w:color w:val="auto"/>
          <w:spacing w:val="0"/>
          <w:w w:val="100"/>
          <w:position w:val="0"/>
          <w:sz w:val="21"/>
        </w:rPr>
      </w:pPr>
      <w:bookmarkStart w:id="298" w:name="6.8.4 环境风险识别"/>
      <w:bookmarkEnd w:id="298"/>
      <w:bookmarkStart w:id="299" w:name="6.8.4 环境风险识别"/>
      <w:bookmarkEnd w:id="299"/>
      <w:bookmarkStart w:id="300" w:name="_Toc14589"/>
      <w:bookmarkStart w:id="301" w:name="_Toc31949"/>
      <w:r>
        <w:rPr>
          <w:rFonts w:hint="default" w:ascii="Times New Roman" w:hAnsi="Times New Roman" w:eastAsia="宋体" w:cs="Times New Roman"/>
          <w:b/>
          <w:bCs/>
          <w:color w:val="auto"/>
          <w:spacing w:val="0"/>
          <w:w w:val="100"/>
          <w:position w:val="0"/>
          <w:sz w:val="28"/>
          <w:szCs w:val="28"/>
          <w:lang w:val="en-US" w:eastAsia="zh-CN" w:bidi="zh-CN"/>
        </w:rPr>
        <w:t>6.8.</w:t>
      </w:r>
      <w:r>
        <w:rPr>
          <w:rFonts w:hint="default" w:ascii="Times New Roman" w:hAnsi="Times New Roman" w:cs="Times New Roman"/>
          <w:b/>
          <w:bCs/>
          <w:color w:val="auto"/>
          <w:spacing w:val="0"/>
          <w:w w:val="100"/>
          <w:position w:val="0"/>
          <w:sz w:val="28"/>
          <w:szCs w:val="28"/>
          <w:lang w:val="en-US" w:eastAsia="zh-CN" w:bidi="zh-CN"/>
        </w:rPr>
        <w:t>3</w:t>
      </w:r>
      <w:r>
        <w:rPr>
          <w:rFonts w:hint="default" w:ascii="Times New Roman" w:hAnsi="Times New Roman" w:eastAsia="宋体" w:cs="Times New Roman"/>
          <w:b/>
          <w:bCs/>
          <w:color w:val="auto"/>
          <w:spacing w:val="0"/>
          <w:w w:val="100"/>
          <w:position w:val="0"/>
          <w:sz w:val="28"/>
          <w:szCs w:val="28"/>
          <w:lang w:val="en-US" w:eastAsia="zh-CN" w:bidi="zh-CN"/>
        </w:rPr>
        <w:t>环境风险识别</w:t>
      </w:r>
      <w:bookmarkEnd w:id="300"/>
      <w:bookmarkEnd w:id="301"/>
    </w:p>
    <w:p w14:paraId="027BA9CF">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8"/>
        <w:jc w:val="both"/>
        <w:textAlignment w:val="auto"/>
        <w:rPr>
          <w:rFonts w:ascii="宋体" w:hAnsi="宋体" w:eastAsia="宋体" w:cs="宋体"/>
          <w:color w:val="auto"/>
          <w:sz w:val="24"/>
          <w:szCs w:val="24"/>
        </w:rPr>
      </w:pPr>
      <w:r>
        <w:rPr>
          <w:rFonts w:ascii="宋体" w:hAnsi="宋体" w:eastAsia="宋体" w:cs="宋体"/>
          <w:color w:val="auto"/>
          <w:spacing w:val="2"/>
          <w:sz w:val="24"/>
          <w:szCs w:val="24"/>
        </w:rPr>
        <w:t>根据《关于进一步加强环境影响评价管理防范环境风险的通知》</w:t>
      </w:r>
      <w:r>
        <w:rPr>
          <w:rFonts w:ascii="Times New Roman" w:hAnsi="Times New Roman" w:eastAsia="Times New Roman" w:cs="Times New Roman"/>
          <w:color w:val="auto"/>
          <w:spacing w:val="2"/>
          <w:sz w:val="24"/>
          <w:szCs w:val="24"/>
        </w:rPr>
        <w:t>(</w:t>
      </w:r>
      <w:r>
        <w:rPr>
          <w:rFonts w:ascii="宋体" w:hAnsi="宋体" w:eastAsia="宋体" w:cs="宋体"/>
          <w:color w:val="auto"/>
          <w:spacing w:val="2"/>
          <w:sz w:val="24"/>
          <w:szCs w:val="24"/>
        </w:rPr>
        <w:t>环发</w:t>
      </w:r>
      <w:r>
        <w:rPr>
          <w:rFonts w:ascii="Times New Roman" w:hAnsi="Times New Roman" w:eastAsia="Times New Roman" w:cs="Times New Roman"/>
          <w:color w:val="auto"/>
          <w:spacing w:val="2"/>
          <w:sz w:val="24"/>
          <w:szCs w:val="24"/>
        </w:rPr>
        <w:t>[2012]77</w:t>
      </w:r>
      <w:r>
        <w:rPr>
          <w:rFonts w:ascii="宋体" w:hAnsi="宋体" w:eastAsia="宋体" w:cs="宋体"/>
          <w:color w:val="auto"/>
          <w:sz w:val="24"/>
          <w:szCs w:val="24"/>
        </w:rPr>
        <w:t>号</w:t>
      </w:r>
      <w:r>
        <w:rPr>
          <w:rFonts w:ascii="Times New Roman" w:hAnsi="Times New Roman" w:eastAsia="Times New Roman" w:cs="Times New Roman"/>
          <w:color w:val="auto"/>
          <w:sz w:val="24"/>
          <w:szCs w:val="24"/>
        </w:rPr>
        <w:t>)</w:t>
      </w:r>
      <w:r>
        <w:rPr>
          <w:rFonts w:ascii="宋体" w:hAnsi="宋体" w:eastAsia="宋体" w:cs="宋体"/>
          <w:color w:val="auto"/>
          <w:sz w:val="24"/>
          <w:szCs w:val="24"/>
        </w:rPr>
        <w:t>的要求，应从环境风险源、扩散途径、保护目标三方面识别环境风险。环境风险</w:t>
      </w:r>
      <w:r>
        <w:rPr>
          <w:rFonts w:ascii="宋体" w:hAnsi="宋体" w:eastAsia="宋体" w:cs="宋体"/>
          <w:color w:val="auto"/>
          <w:spacing w:val="-4"/>
          <w:sz w:val="24"/>
          <w:szCs w:val="24"/>
        </w:rPr>
        <w:t>识别应包括生产设施和危险物质的识别，有毒有害物质扩散途径的识别</w:t>
      </w:r>
      <w:r>
        <w:rPr>
          <w:rFonts w:ascii="Times New Roman" w:hAnsi="Times New Roman" w:eastAsia="Times New Roman" w:cs="Times New Roman"/>
          <w:color w:val="auto"/>
          <w:spacing w:val="-5"/>
          <w:sz w:val="24"/>
          <w:szCs w:val="24"/>
        </w:rPr>
        <w:t>(</w:t>
      </w:r>
      <w:r>
        <w:rPr>
          <w:rFonts w:ascii="宋体" w:hAnsi="宋体" w:eastAsia="宋体" w:cs="宋体"/>
          <w:color w:val="auto"/>
          <w:spacing w:val="-5"/>
          <w:sz w:val="24"/>
          <w:szCs w:val="24"/>
        </w:rPr>
        <w:t>如大气环境、</w:t>
      </w:r>
      <w:r>
        <w:rPr>
          <w:rFonts w:ascii="宋体" w:hAnsi="宋体" w:eastAsia="宋体" w:cs="宋体"/>
          <w:color w:val="auto"/>
          <w:spacing w:val="-1"/>
          <w:sz w:val="24"/>
          <w:szCs w:val="24"/>
        </w:rPr>
        <w:t>水环境、土壤等</w:t>
      </w:r>
      <w:r>
        <w:rPr>
          <w:rFonts w:ascii="Times New Roman" w:hAnsi="Times New Roman" w:eastAsia="Times New Roman" w:cs="Times New Roman"/>
          <w:color w:val="auto"/>
          <w:spacing w:val="-1"/>
          <w:sz w:val="24"/>
          <w:szCs w:val="24"/>
        </w:rPr>
        <w:t>)</w:t>
      </w:r>
      <w:r>
        <w:rPr>
          <w:rFonts w:ascii="宋体" w:hAnsi="宋体" w:eastAsia="宋体" w:cs="宋体"/>
          <w:color w:val="auto"/>
          <w:spacing w:val="-1"/>
          <w:sz w:val="24"/>
          <w:szCs w:val="24"/>
        </w:rPr>
        <w:t>以及可能受影响的环境保护目标的识别。</w:t>
      </w:r>
    </w:p>
    <w:p w14:paraId="47921880">
      <w:pPr>
        <w:pStyle w:val="6"/>
        <w:pageBreakBefore w:val="0"/>
        <w:kinsoku/>
        <w:wordWrap/>
        <w:overflowPunct/>
        <w:topLinePunct w:val="0"/>
        <w:bidi w:val="0"/>
        <w:rPr>
          <w:rFonts w:hint="eastAsia" w:ascii="Times New Roman" w:hAnsi="Times New Roman" w:eastAsia="宋体" w:cs="Times New Roman"/>
          <w:color w:val="auto"/>
          <w:spacing w:val="0"/>
          <w:w w:val="100"/>
          <w:position w:val="0"/>
          <w:lang w:val="en-US" w:eastAsia="zh-CN"/>
        </w:rPr>
      </w:pPr>
      <w:r>
        <w:rPr>
          <w:rFonts w:hint="eastAsia" w:ascii="Times New Roman" w:hAnsi="Times New Roman" w:eastAsia="宋体" w:cs="Times New Roman"/>
          <w:color w:val="auto"/>
          <w:spacing w:val="0"/>
          <w:w w:val="100"/>
          <w:position w:val="0"/>
          <w:lang w:val="en-US" w:eastAsia="zh-CN"/>
        </w:rPr>
        <w:fldChar w:fldCharType="begin"/>
      </w:r>
      <w:r>
        <w:rPr>
          <w:rFonts w:hint="eastAsia" w:ascii="Times New Roman" w:hAnsi="Times New Roman" w:eastAsia="宋体" w:cs="Times New Roman"/>
          <w:color w:val="auto"/>
          <w:spacing w:val="0"/>
          <w:w w:val="100"/>
          <w:position w:val="0"/>
          <w:lang w:val="en-US" w:eastAsia="zh-CN"/>
        </w:rPr>
        <w:instrText xml:space="preserve"> HYPERLINK "5.6.3.4" </w:instrText>
      </w:r>
      <w:r>
        <w:rPr>
          <w:rFonts w:hint="eastAsia" w:ascii="Times New Roman" w:hAnsi="Times New Roman" w:eastAsia="宋体" w:cs="Times New Roman"/>
          <w:color w:val="auto"/>
          <w:spacing w:val="0"/>
          <w:w w:val="100"/>
          <w:position w:val="0"/>
          <w:lang w:val="en-US" w:eastAsia="zh-CN"/>
        </w:rPr>
        <w:fldChar w:fldCharType="separate"/>
      </w:r>
      <w:r>
        <w:rPr>
          <w:rFonts w:hint="eastAsia" w:ascii="Times New Roman" w:hAnsi="Times New Roman" w:eastAsia="宋体" w:cs="Times New Roman"/>
          <w:color w:val="auto"/>
          <w:spacing w:val="0"/>
          <w:w w:val="100"/>
          <w:position w:val="0"/>
          <w:lang w:val="en-US" w:eastAsia="zh-CN"/>
        </w:rPr>
        <w:t>6.8.3.4</w:t>
      </w:r>
      <w:r>
        <w:rPr>
          <w:rFonts w:hint="eastAsia" w:ascii="Times New Roman" w:hAnsi="Times New Roman" w:eastAsia="宋体" w:cs="Times New Roman"/>
          <w:color w:val="auto"/>
          <w:spacing w:val="0"/>
          <w:w w:val="100"/>
          <w:position w:val="0"/>
          <w:lang w:val="en-US" w:eastAsia="zh-CN"/>
        </w:rPr>
        <w:fldChar w:fldCharType="end"/>
      </w:r>
      <w:r>
        <w:rPr>
          <w:rFonts w:hint="eastAsia" w:ascii="Times New Roman" w:hAnsi="Times New Roman" w:eastAsia="宋体" w:cs="Times New Roman"/>
          <w:color w:val="auto"/>
          <w:spacing w:val="0"/>
          <w:w w:val="100"/>
          <w:position w:val="0"/>
          <w:lang w:val="en-US" w:eastAsia="zh-CN"/>
        </w:rPr>
        <w:t>风险识别小结</w:t>
      </w:r>
    </w:p>
    <w:p w14:paraId="5CD64303">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78"/>
        <w:jc w:val="both"/>
        <w:textAlignment w:val="auto"/>
        <w:rPr>
          <w:rFonts w:hint="eastAsia" w:ascii="Times New Roman" w:hAnsi="Times New Roman" w:eastAsia="宋体" w:cs="Times New Roman"/>
          <w:color w:val="auto"/>
          <w:spacing w:val="2"/>
          <w:sz w:val="24"/>
          <w:szCs w:val="24"/>
          <w:lang w:eastAsia="zh-CN"/>
        </w:rPr>
      </w:pPr>
      <w:r>
        <w:rPr>
          <w:rFonts w:hint="eastAsia" w:ascii="Times New Roman" w:hAnsi="Times New Roman" w:eastAsia="宋体" w:cs="Times New Roman"/>
          <w:color w:val="auto"/>
          <w:spacing w:val="2"/>
          <w:sz w:val="24"/>
          <w:szCs w:val="24"/>
          <w:lang w:eastAsia="zh-CN"/>
        </w:rPr>
        <w:t>根据对环境风险物质的筛选和工艺流程确定本评价的生产设施风险单元主要为储存单元（储存原料和成品的库房）和生产车间，在生产过程中有可能发生火灾事故，将对人类生命、物质财产和环境安全构成威胁。</w:t>
      </w:r>
    </w:p>
    <w:p w14:paraId="08F1DA16">
      <w:pPr>
        <w:keepNext w:val="0"/>
        <w:keepLines w:val="0"/>
        <w:pageBreakBefore w:val="0"/>
        <w:widowControl w:val="0"/>
        <w:kinsoku/>
        <w:wordWrap/>
        <w:overflowPunct/>
        <w:topLinePunct w:val="0"/>
        <w:autoSpaceDE w:val="0"/>
        <w:autoSpaceDN w:val="0"/>
        <w:bidi w:val="0"/>
        <w:adjustRightInd w:val="0"/>
        <w:snapToGrid w:val="0"/>
        <w:spacing w:line="240" w:lineRule="auto"/>
        <w:ind w:left="0" w:leftChars="0" w:firstLine="0" w:firstLineChars="0"/>
        <w:jc w:val="center"/>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rPr>
        <w:t>表</w:t>
      </w:r>
      <w:r>
        <w:rPr>
          <w:rFonts w:hint="eastAsia" w:ascii="Times New Roman" w:hAnsi="Times New Roman" w:eastAsia="宋体" w:cs="Times New Roman"/>
          <w:b/>
          <w:bCs/>
          <w:color w:val="auto"/>
          <w:spacing w:val="0"/>
          <w:w w:val="100"/>
          <w:position w:val="0"/>
          <w:sz w:val="24"/>
          <w:szCs w:val="24"/>
          <w:lang w:val="en-US" w:eastAsia="zh-CN"/>
        </w:rPr>
        <w:t xml:space="preserve">6.8-3  </w:t>
      </w:r>
      <w:r>
        <w:rPr>
          <w:rFonts w:hint="default" w:ascii="Times New Roman" w:hAnsi="Times New Roman" w:eastAsia="宋体" w:cs="Times New Roman"/>
          <w:b/>
          <w:bCs/>
          <w:color w:val="auto"/>
          <w:spacing w:val="0"/>
          <w:w w:val="100"/>
          <w:position w:val="0"/>
          <w:sz w:val="24"/>
          <w:szCs w:val="24"/>
        </w:rPr>
        <w:t>潜在风险事故类型及因素</w:t>
      </w:r>
    </w:p>
    <w:tbl>
      <w:tblPr>
        <w:tblStyle w:val="41"/>
        <w:tblW w:w="9075"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647"/>
        <w:gridCol w:w="1365"/>
        <w:gridCol w:w="2447"/>
        <w:gridCol w:w="3616"/>
      </w:tblGrid>
      <w:tr w14:paraId="4B106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11" w:hRule="atLeast"/>
          <w:jc w:val="center"/>
        </w:trPr>
        <w:tc>
          <w:tcPr>
            <w:tcW w:w="1647" w:type="dxa"/>
            <w:tcBorders>
              <w:top w:val="single" w:color="000000" w:sz="2" w:space="0"/>
              <w:left w:val="single" w:color="000000" w:sz="2" w:space="0"/>
            </w:tcBorders>
            <w:vAlign w:val="center"/>
          </w:tcPr>
          <w:p w14:paraId="21978839">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b/>
                <w:bCs/>
                <w:color w:val="auto"/>
                <w:spacing w:val="2"/>
                <w:sz w:val="21"/>
                <w:szCs w:val="21"/>
              </w:rPr>
              <w:t>设施</w:t>
            </w:r>
          </w:p>
        </w:tc>
        <w:tc>
          <w:tcPr>
            <w:tcW w:w="1365" w:type="dxa"/>
            <w:tcBorders>
              <w:top w:val="single" w:color="000000" w:sz="2" w:space="0"/>
            </w:tcBorders>
            <w:vAlign w:val="center"/>
          </w:tcPr>
          <w:p w14:paraId="066756CF">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b/>
                <w:bCs/>
                <w:color w:val="auto"/>
                <w:spacing w:val="6"/>
                <w:sz w:val="21"/>
                <w:szCs w:val="21"/>
              </w:rPr>
              <w:t>事故类型</w:t>
            </w:r>
          </w:p>
        </w:tc>
        <w:tc>
          <w:tcPr>
            <w:tcW w:w="2447" w:type="dxa"/>
            <w:tcBorders>
              <w:top w:val="single" w:color="000000" w:sz="2" w:space="0"/>
            </w:tcBorders>
            <w:vAlign w:val="center"/>
          </w:tcPr>
          <w:p w14:paraId="6D0E640D">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b/>
                <w:bCs/>
                <w:color w:val="auto"/>
                <w:spacing w:val="6"/>
                <w:sz w:val="21"/>
                <w:szCs w:val="21"/>
              </w:rPr>
              <w:t>事故原因</w:t>
            </w:r>
          </w:p>
        </w:tc>
        <w:tc>
          <w:tcPr>
            <w:tcW w:w="3616" w:type="dxa"/>
            <w:tcBorders>
              <w:top w:val="single" w:color="000000" w:sz="2" w:space="0"/>
              <w:right w:val="single" w:color="000000" w:sz="2" w:space="0"/>
            </w:tcBorders>
            <w:vAlign w:val="center"/>
          </w:tcPr>
          <w:p w14:paraId="33149088">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b/>
                <w:bCs/>
                <w:color w:val="auto"/>
                <w:spacing w:val="6"/>
                <w:sz w:val="21"/>
                <w:szCs w:val="21"/>
              </w:rPr>
              <w:t>事故后果</w:t>
            </w:r>
          </w:p>
        </w:tc>
      </w:tr>
      <w:tr w14:paraId="7DE0B7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1647" w:type="dxa"/>
            <w:vMerge w:val="restart"/>
            <w:tcBorders>
              <w:left w:val="single" w:color="000000" w:sz="2" w:space="0"/>
              <w:bottom w:val="nil"/>
            </w:tcBorders>
            <w:vAlign w:val="center"/>
          </w:tcPr>
          <w:p w14:paraId="0A2E878D">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7"/>
                <w:sz w:val="21"/>
                <w:szCs w:val="21"/>
              </w:rPr>
              <w:t>生产单元</w:t>
            </w:r>
          </w:p>
        </w:tc>
        <w:tc>
          <w:tcPr>
            <w:tcW w:w="1365" w:type="dxa"/>
            <w:vMerge w:val="restart"/>
            <w:tcBorders>
              <w:bottom w:val="nil"/>
            </w:tcBorders>
            <w:vAlign w:val="center"/>
          </w:tcPr>
          <w:p w14:paraId="74807A14">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4"/>
                <w:sz w:val="21"/>
                <w:szCs w:val="21"/>
              </w:rPr>
              <w:t>火灾</w:t>
            </w:r>
          </w:p>
        </w:tc>
        <w:tc>
          <w:tcPr>
            <w:tcW w:w="2447" w:type="dxa"/>
            <w:vMerge w:val="restart"/>
            <w:tcBorders>
              <w:bottom w:val="nil"/>
            </w:tcBorders>
            <w:vAlign w:val="center"/>
          </w:tcPr>
          <w:p w14:paraId="36D388F9">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9"/>
                <w:sz w:val="21"/>
                <w:szCs w:val="21"/>
              </w:rPr>
              <w:t>在贮存和使用过程中操作</w:t>
            </w:r>
            <w:r>
              <w:rPr>
                <w:color w:val="auto"/>
                <w:spacing w:val="8"/>
                <w:sz w:val="21"/>
                <w:szCs w:val="21"/>
              </w:rPr>
              <w:t>不当引起火灾事故</w:t>
            </w:r>
          </w:p>
        </w:tc>
        <w:tc>
          <w:tcPr>
            <w:tcW w:w="3616" w:type="dxa"/>
            <w:tcBorders>
              <w:right w:val="single" w:color="000000" w:sz="2" w:space="0"/>
            </w:tcBorders>
            <w:vAlign w:val="center"/>
          </w:tcPr>
          <w:p w14:paraId="7CB663BB">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9"/>
                <w:sz w:val="21"/>
                <w:szCs w:val="21"/>
              </w:rPr>
              <w:t>污染环境空气、危害人员健康</w:t>
            </w:r>
          </w:p>
        </w:tc>
      </w:tr>
      <w:tr w14:paraId="4899D4C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4" w:hRule="atLeast"/>
          <w:jc w:val="center"/>
        </w:trPr>
        <w:tc>
          <w:tcPr>
            <w:tcW w:w="1647" w:type="dxa"/>
            <w:vMerge w:val="continue"/>
            <w:tcBorders>
              <w:top w:val="nil"/>
              <w:left w:val="single" w:color="000000" w:sz="2" w:space="0"/>
            </w:tcBorders>
            <w:vAlign w:val="center"/>
          </w:tcPr>
          <w:p w14:paraId="082F129F">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rFonts w:ascii="Arial"/>
                <w:color w:val="auto"/>
                <w:sz w:val="21"/>
                <w:szCs w:val="21"/>
              </w:rPr>
            </w:pPr>
          </w:p>
        </w:tc>
        <w:tc>
          <w:tcPr>
            <w:tcW w:w="1365" w:type="dxa"/>
            <w:vMerge w:val="continue"/>
            <w:tcBorders>
              <w:top w:val="nil"/>
            </w:tcBorders>
            <w:vAlign w:val="center"/>
          </w:tcPr>
          <w:p w14:paraId="72F953BC">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rFonts w:ascii="Arial"/>
                <w:color w:val="auto"/>
                <w:sz w:val="21"/>
                <w:szCs w:val="21"/>
              </w:rPr>
            </w:pPr>
          </w:p>
        </w:tc>
        <w:tc>
          <w:tcPr>
            <w:tcW w:w="2447" w:type="dxa"/>
            <w:vMerge w:val="continue"/>
            <w:tcBorders>
              <w:top w:val="nil"/>
            </w:tcBorders>
            <w:vAlign w:val="center"/>
          </w:tcPr>
          <w:p w14:paraId="7ABEC07A">
            <w:pPr>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rFonts w:ascii="Arial"/>
                <w:color w:val="auto"/>
                <w:sz w:val="21"/>
                <w:szCs w:val="21"/>
              </w:rPr>
            </w:pPr>
          </w:p>
        </w:tc>
        <w:tc>
          <w:tcPr>
            <w:tcW w:w="3616" w:type="dxa"/>
            <w:tcBorders>
              <w:right w:val="single" w:color="000000" w:sz="2" w:space="0"/>
            </w:tcBorders>
            <w:vAlign w:val="center"/>
          </w:tcPr>
          <w:p w14:paraId="742AFD38">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9"/>
                <w:sz w:val="21"/>
                <w:szCs w:val="21"/>
              </w:rPr>
              <w:t>污染环境空气、危害人员健康</w:t>
            </w:r>
          </w:p>
        </w:tc>
      </w:tr>
      <w:tr w14:paraId="7AB558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03" w:hRule="atLeast"/>
          <w:jc w:val="center"/>
        </w:trPr>
        <w:tc>
          <w:tcPr>
            <w:tcW w:w="1647" w:type="dxa"/>
            <w:tcBorders>
              <w:left w:val="single" w:color="000000" w:sz="2" w:space="0"/>
            </w:tcBorders>
            <w:vAlign w:val="center"/>
          </w:tcPr>
          <w:p w14:paraId="3463CCF6">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8"/>
                <w:sz w:val="21"/>
                <w:szCs w:val="21"/>
              </w:rPr>
              <w:t>废气、废水治理</w:t>
            </w:r>
            <w:r>
              <w:rPr>
                <w:color w:val="auto"/>
                <w:spacing w:val="3"/>
                <w:sz w:val="21"/>
                <w:szCs w:val="21"/>
              </w:rPr>
              <w:t>设施</w:t>
            </w:r>
          </w:p>
        </w:tc>
        <w:tc>
          <w:tcPr>
            <w:tcW w:w="1365" w:type="dxa"/>
            <w:vAlign w:val="center"/>
          </w:tcPr>
          <w:p w14:paraId="11F94BC2">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7"/>
                <w:sz w:val="21"/>
                <w:szCs w:val="21"/>
              </w:rPr>
              <w:t>事故排放</w:t>
            </w:r>
          </w:p>
        </w:tc>
        <w:tc>
          <w:tcPr>
            <w:tcW w:w="2447" w:type="dxa"/>
            <w:vAlign w:val="center"/>
          </w:tcPr>
          <w:p w14:paraId="61D89F79">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8"/>
                <w:sz w:val="21"/>
                <w:szCs w:val="21"/>
              </w:rPr>
              <w:t>处理设施异常，废气、废</w:t>
            </w:r>
            <w:r>
              <w:rPr>
                <w:color w:val="auto"/>
                <w:spacing w:val="7"/>
                <w:sz w:val="21"/>
                <w:szCs w:val="21"/>
              </w:rPr>
              <w:t>水超标排放</w:t>
            </w:r>
          </w:p>
        </w:tc>
        <w:tc>
          <w:tcPr>
            <w:tcW w:w="3616" w:type="dxa"/>
            <w:tcBorders>
              <w:right w:val="single" w:color="000000" w:sz="2" w:space="0"/>
            </w:tcBorders>
            <w:vAlign w:val="center"/>
          </w:tcPr>
          <w:p w14:paraId="62E31CC3">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9"/>
                <w:sz w:val="21"/>
                <w:szCs w:val="21"/>
              </w:rPr>
              <w:t>污染环境空气、水环境、危害人员健康</w:t>
            </w:r>
          </w:p>
        </w:tc>
      </w:tr>
      <w:tr w14:paraId="3402B5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7" w:hRule="atLeast"/>
          <w:jc w:val="center"/>
        </w:trPr>
        <w:tc>
          <w:tcPr>
            <w:tcW w:w="1647" w:type="dxa"/>
            <w:tcBorders>
              <w:left w:val="single" w:color="000000" w:sz="2" w:space="0"/>
              <w:bottom w:val="single" w:color="000000" w:sz="2" w:space="0"/>
            </w:tcBorders>
            <w:vAlign w:val="center"/>
          </w:tcPr>
          <w:p w14:paraId="6771407D">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8"/>
                <w:sz w:val="21"/>
                <w:szCs w:val="21"/>
              </w:rPr>
              <w:t>危险废物暂存间</w:t>
            </w:r>
          </w:p>
        </w:tc>
        <w:tc>
          <w:tcPr>
            <w:tcW w:w="1365" w:type="dxa"/>
            <w:tcBorders>
              <w:bottom w:val="single" w:color="000000" w:sz="2" w:space="0"/>
            </w:tcBorders>
            <w:vAlign w:val="center"/>
          </w:tcPr>
          <w:p w14:paraId="425E8B68">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3"/>
                <w:sz w:val="21"/>
                <w:szCs w:val="21"/>
              </w:rPr>
              <w:t>泄露</w:t>
            </w:r>
          </w:p>
        </w:tc>
        <w:tc>
          <w:tcPr>
            <w:tcW w:w="2447" w:type="dxa"/>
            <w:tcBorders>
              <w:bottom w:val="single" w:color="000000" w:sz="2" w:space="0"/>
            </w:tcBorders>
            <w:vAlign w:val="center"/>
          </w:tcPr>
          <w:p w14:paraId="1A25C3C0">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8"/>
                <w:sz w:val="21"/>
                <w:szCs w:val="21"/>
              </w:rPr>
              <w:t>废机油泄露</w:t>
            </w:r>
          </w:p>
        </w:tc>
        <w:tc>
          <w:tcPr>
            <w:tcW w:w="3616" w:type="dxa"/>
            <w:tcBorders>
              <w:bottom w:val="single" w:color="000000" w:sz="2" w:space="0"/>
              <w:right w:val="single" w:color="000000" w:sz="2" w:space="0"/>
            </w:tcBorders>
            <w:vAlign w:val="center"/>
          </w:tcPr>
          <w:p w14:paraId="2CFC3E88">
            <w:pPr>
              <w:pStyle w:val="70"/>
              <w:keepNext w:val="0"/>
              <w:keepLines w:val="0"/>
              <w:pageBreakBefore w:val="0"/>
              <w:widowControl w:val="0"/>
              <w:kinsoku/>
              <w:wordWrap/>
              <w:overflowPunct/>
              <w:topLinePunct w:val="0"/>
              <w:autoSpaceDE w:val="0"/>
              <w:autoSpaceDN w:val="0"/>
              <w:bidi w:val="0"/>
              <w:adjustRightInd/>
              <w:snapToGrid/>
              <w:spacing w:before="0" w:line="240" w:lineRule="auto"/>
              <w:ind w:left="0" w:right="0" w:firstLine="0" w:firstLineChars="0"/>
              <w:jc w:val="center"/>
              <w:textAlignment w:val="auto"/>
              <w:rPr>
                <w:color w:val="auto"/>
                <w:sz w:val="21"/>
                <w:szCs w:val="21"/>
              </w:rPr>
            </w:pPr>
            <w:r>
              <w:rPr>
                <w:color w:val="auto"/>
                <w:spacing w:val="8"/>
                <w:sz w:val="21"/>
                <w:szCs w:val="21"/>
              </w:rPr>
              <w:t>污染地下水、土壤</w:t>
            </w:r>
          </w:p>
        </w:tc>
      </w:tr>
    </w:tbl>
    <w:p w14:paraId="7B5531B6">
      <w:pPr>
        <w:pStyle w:val="5"/>
        <w:pageBreakBefore w:val="0"/>
        <w:kinsoku/>
        <w:wordWrap/>
        <w:overflowPunct/>
        <w:topLinePunct w:val="0"/>
        <w:bidi w:val="0"/>
        <w:rPr>
          <w:rFonts w:hint="default" w:ascii="Times New Roman" w:hAnsi="Times New Roman" w:eastAsia="宋体" w:cs="Times New Roman"/>
          <w:b/>
          <w:bCs/>
          <w:color w:val="auto"/>
          <w:spacing w:val="0"/>
          <w:w w:val="100"/>
          <w:position w:val="0"/>
          <w:sz w:val="28"/>
          <w:szCs w:val="28"/>
          <w:lang w:val="en-US" w:eastAsia="zh-CN" w:bidi="zh-CN"/>
        </w:rPr>
      </w:pPr>
      <w:bookmarkStart w:id="302" w:name="6.8.5 环境风险分析"/>
      <w:bookmarkEnd w:id="302"/>
      <w:bookmarkStart w:id="303" w:name="6.8.5 环境风险分析"/>
      <w:bookmarkEnd w:id="303"/>
      <w:bookmarkStart w:id="304" w:name="_Toc29031"/>
      <w:bookmarkStart w:id="305" w:name="_Toc1964"/>
      <w:r>
        <w:rPr>
          <w:rFonts w:hint="eastAsia" w:ascii="Times New Roman" w:hAnsi="Times New Roman" w:eastAsia="宋体" w:cs="Times New Roman"/>
          <w:b/>
          <w:bCs/>
          <w:color w:val="auto"/>
          <w:spacing w:val="0"/>
          <w:w w:val="100"/>
          <w:position w:val="0"/>
          <w:sz w:val="28"/>
          <w:szCs w:val="28"/>
          <w:lang w:val="en-US" w:eastAsia="zh-CN" w:bidi="zh-CN"/>
        </w:rPr>
        <w:t>6.8.</w:t>
      </w:r>
      <w:r>
        <w:rPr>
          <w:rFonts w:hint="eastAsia" w:ascii="Times New Roman" w:hAnsi="Times New Roman" w:cs="Times New Roman"/>
          <w:b/>
          <w:bCs/>
          <w:color w:val="auto"/>
          <w:spacing w:val="0"/>
          <w:w w:val="100"/>
          <w:position w:val="0"/>
          <w:sz w:val="28"/>
          <w:szCs w:val="28"/>
          <w:lang w:val="en-US" w:eastAsia="zh-CN" w:bidi="zh-CN"/>
        </w:rPr>
        <w:t>4</w:t>
      </w:r>
      <w:r>
        <w:rPr>
          <w:rFonts w:hint="default" w:ascii="Times New Roman" w:hAnsi="Times New Roman" w:eastAsia="宋体" w:cs="Times New Roman"/>
          <w:b/>
          <w:bCs/>
          <w:color w:val="auto"/>
          <w:spacing w:val="0"/>
          <w:w w:val="100"/>
          <w:position w:val="0"/>
          <w:sz w:val="28"/>
          <w:szCs w:val="28"/>
          <w:lang w:val="en-US" w:eastAsia="zh-CN" w:bidi="zh-CN"/>
        </w:rPr>
        <w:t>环境风险分析</w:t>
      </w:r>
      <w:bookmarkEnd w:id="304"/>
      <w:bookmarkEnd w:id="305"/>
    </w:p>
    <w:p w14:paraId="12321435">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根据项目使用的物质分析，对照风险评价导则中物质危险性标准，本项目可能存在的风险事故为废旧塑料及滴灌带等塑料制品发生火灾，以及火灾后产生的废气及消防废水可能产生的环境污染。</w:t>
      </w:r>
    </w:p>
    <w:p w14:paraId="25FBD31D">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火灾次生废气对周围环境的影响：塑料燃烧过程，在高温的作用下，塑料中的各类有机物发生分解，其中含有多种有机物成分，如果吸入可能会对身体造成损害，必须保证发生火灾事故时，厂内工作人员及下风向人群能够及时疏散。</w:t>
      </w:r>
    </w:p>
    <w:p w14:paraId="634B1192">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火灾消防废水对周围水环境的影响：火灾后如果使用消防水灭火，大量消防水会夹带吸收的物质在车间及厂区内漫流，扩散到周围环境，会带来一定的污染，本项目应杜绝消防水直接外排。</w:t>
      </w:r>
    </w:p>
    <w:p w14:paraId="05177C43">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本项目主要的环境风险因素为火灾事故，建设单位采取了相应的风险防范措施，最大限度地降低事故发生的概率，减小事故发生时造成的不利影响，其环境风险在可接受范围内。</w:t>
      </w:r>
    </w:p>
    <w:p w14:paraId="6F978302">
      <w:pPr>
        <w:pStyle w:val="5"/>
        <w:pageBreakBefore w:val="0"/>
        <w:kinsoku/>
        <w:wordWrap/>
        <w:overflowPunct/>
        <w:topLinePunct w:val="0"/>
        <w:bidi w:val="0"/>
        <w:rPr>
          <w:rFonts w:hint="eastAsia" w:ascii="Times New Roman" w:hAnsi="Times New Roman" w:eastAsia="宋体" w:cs="Times New Roman"/>
          <w:b/>
          <w:bCs/>
          <w:color w:val="auto"/>
          <w:spacing w:val="0"/>
          <w:w w:val="100"/>
          <w:position w:val="0"/>
          <w:sz w:val="28"/>
          <w:szCs w:val="28"/>
          <w:lang w:val="en-US" w:eastAsia="zh-CN" w:bidi="zh-CN"/>
        </w:rPr>
      </w:pPr>
      <w:r>
        <w:rPr>
          <w:rFonts w:hint="eastAsia" w:ascii="Times New Roman" w:hAnsi="Times New Roman" w:eastAsia="宋体" w:cs="Times New Roman"/>
          <w:b/>
          <w:bCs/>
          <w:color w:val="auto"/>
          <w:spacing w:val="0"/>
          <w:w w:val="100"/>
          <w:position w:val="0"/>
          <w:sz w:val="28"/>
          <w:szCs w:val="28"/>
          <w:lang w:val="en-US" w:eastAsia="zh-CN" w:bidi="zh-CN"/>
        </w:rPr>
        <w:t>6.8.5环境风险防范措施及应急要求</w:t>
      </w:r>
    </w:p>
    <w:p w14:paraId="1A677A63">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（1）贮存过程中的事故防范措施</w:t>
      </w:r>
    </w:p>
    <w:p w14:paraId="30B942B1">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①厂区的危险废物（废润滑油）存放以及使用的区域，按有关消防部门和</w:t>
      </w:r>
      <w:r>
        <w:rPr>
          <w:rFonts w:hint="eastAsia" w:ascii="Times New Roman" w:hAnsi="Times New Roman" w:eastAsia="宋体" w:cs="Times New Roman"/>
          <w:color w:val="auto"/>
          <w:spacing w:val="0"/>
          <w:w w:val="100"/>
          <w:position w:val="0"/>
          <w:lang w:eastAsia="zh-CN"/>
        </w:rPr>
        <w:t>应急管理</w:t>
      </w:r>
      <w:r>
        <w:rPr>
          <w:rFonts w:hint="default" w:ascii="Times New Roman" w:hAnsi="Times New Roman" w:eastAsia="宋体" w:cs="Times New Roman"/>
          <w:color w:val="auto"/>
          <w:spacing w:val="0"/>
          <w:w w:val="100"/>
          <w:position w:val="0"/>
        </w:rPr>
        <w:t>部门的规范要求进行设计和建设，采取防雷措施、防静电措施、防火措施；地面及四壁均做好防腐防渗处理措施，防止物品渗漏对地下水造成污染。</w:t>
      </w:r>
    </w:p>
    <w:p w14:paraId="33E001F1">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②加强回收废物的储存管理，储存过程必须严格遵守安全防火规定，仓库配备防火器材，项目的原料、产品及产生的生产固废严禁与易燃易爆品混存；</w:t>
      </w:r>
    </w:p>
    <w:p w14:paraId="3D4A9944">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③成品仓库及原材料仓库应设置为禁火区，远离明火、禁烟；生产车间设置防火通道，禁止在通道内堆放物品，并配备防火器材；</w:t>
      </w:r>
    </w:p>
    <w:p w14:paraId="544AEE0C">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④落实责任制，生产车间、仓库应分设负责人看管，确保生产车间、仓库消防隐患时刻监控，不可利用废物定期清理；</w:t>
      </w:r>
    </w:p>
    <w:p w14:paraId="03BB0C45">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⑤如突发火灾，应立即采取急救措施，并及时向当地</w:t>
      </w:r>
      <w:r>
        <w:rPr>
          <w:rFonts w:hint="eastAsia" w:ascii="Times New Roman" w:hAnsi="Times New Roman" w:eastAsia="宋体" w:cs="Times New Roman"/>
          <w:color w:val="auto"/>
          <w:spacing w:val="0"/>
          <w:w w:val="100"/>
          <w:position w:val="0"/>
          <w:lang w:eastAsia="zh-CN"/>
        </w:rPr>
        <w:t>生态环境</w:t>
      </w:r>
      <w:r>
        <w:rPr>
          <w:rFonts w:hint="default" w:ascii="Times New Roman" w:hAnsi="Times New Roman" w:eastAsia="宋体" w:cs="Times New Roman"/>
          <w:color w:val="auto"/>
          <w:spacing w:val="0"/>
          <w:w w:val="100"/>
          <w:position w:val="0"/>
        </w:rPr>
        <w:t>等有关部门报告。</w:t>
      </w:r>
    </w:p>
    <w:p w14:paraId="19D74015">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（2）运行过程中的事故防范措施</w:t>
      </w:r>
    </w:p>
    <w:p w14:paraId="74E3974B">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①严格操作规程，加强对生产和辅助设备定期检修，确保废气处理设施正常运行和加工过程中产生的废气达标排放；</w:t>
      </w:r>
    </w:p>
    <w:p w14:paraId="36ABD7A6">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②加强管理，定期向当地</w:t>
      </w:r>
      <w:r>
        <w:rPr>
          <w:rFonts w:hint="eastAsia" w:ascii="Times New Roman" w:hAnsi="Times New Roman" w:eastAsia="宋体" w:cs="Times New Roman"/>
          <w:color w:val="auto"/>
          <w:spacing w:val="0"/>
          <w:w w:val="100"/>
          <w:position w:val="0"/>
          <w:lang w:eastAsia="zh-CN"/>
        </w:rPr>
        <w:t>生态环境</w:t>
      </w:r>
      <w:r>
        <w:rPr>
          <w:rFonts w:hint="default" w:ascii="Times New Roman" w:hAnsi="Times New Roman" w:eastAsia="宋体" w:cs="Times New Roman"/>
          <w:color w:val="auto"/>
          <w:spacing w:val="0"/>
          <w:w w:val="100"/>
          <w:position w:val="0"/>
        </w:rPr>
        <w:t>主管部门及安全消防部门汇报，以便得到有效监管。</w:t>
      </w:r>
    </w:p>
    <w:p w14:paraId="30825A64">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（3）火灾风险防范措施</w:t>
      </w:r>
    </w:p>
    <w:p w14:paraId="0FAFDC14">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①加强消防安全教育培训。定期组织员工学习消防法规和各项规章制度，做到依法治火；各部门应针对岗位特点进行消防安全教育培训；对消防设施维护保养和使用人员应进行实地演示和培训；对新员工进行岗前消防培训，经考试合格后方可上岗；消控中心等特殊岗位要进行专业培训，经考试合格，持证上岗。</w:t>
      </w:r>
    </w:p>
    <w:p w14:paraId="267BEF37">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②加强防火巡查检查。落实逐级消防安全责任制和岗位消防安全责任制，落实巡查检查制度；每月对单位进行一次防火检查并复查追踪改善，检查中发现火灾隐患，检查人员应填写防火检查记录；检查部门应将检查情况及时通知受检部门，各部门负责人应每日消防安全检查情况通知，若发现本单位存在火灾隐患，应及时整改。</w:t>
      </w:r>
    </w:p>
    <w:p w14:paraId="79D7FB30">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③加强安全疏散设施管理。单位应保持疏散通道、安全出口畅通，严禁占用疏散通道，严禁在安全出口或疏散通道上安装栅栏等影响疏散的障碍物；应按规范设置符合国家规定的消防安全疏散指示标志和应急照明设施；应保持防火门、消防安全疏散指示标志、应急照明、机械排烟送风、火灾事故广播等设施处于正常状态，并定期组织检查、测试、维护和保养；严禁在营业或工作期间将安全出口上锁。</w:t>
      </w:r>
    </w:p>
    <w:p w14:paraId="12B532F9">
      <w:pPr>
        <w:pageBreakBefore w:val="0"/>
        <w:kinsoku/>
        <w:wordWrap/>
        <w:overflowPunct/>
        <w:topLinePunct w:val="0"/>
        <w:bidi w:val="0"/>
        <w:rPr>
          <w:rFonts w:hint="default" w:ascii="Times New Roman" w:hAnsi="Times New Roman" w:eastAsia="宋体" w:cs="Times New Roman"/>
          <w:color w:val="auto"/>
          <w:spacing w:val="0"/>
          <w:w w:val="100"/>
          <w:position w:val="0"/>
        </w:rPr>
      </w:pPr>
      <w:r>
        <w:rPr>
          <w:rFonts w:hint="default" w:ascii="Times New Roman" w:hAnsi="Times New Roman" w:eastAsia="宋体" w:cs="Times New Roman"/>
          <w:color w:val="auto"/>
          <w:spacing w:val="0"/>
          <w:w w:val="100"/>
          <w:position w:val="0"/>
        </w:rPr>
        <w:t>④加强消防设施、器材维护管理。每年在冬防、夏防期间定期两次对灭火器进行普查换药。派专人管理，定期巡查消防器材，包括烟、温感报警系统、消防水泵、喷淋水泵、水幕水泵、正压送风、防排烟系统及室内消火栓等，保证处于完好状态。</w:t>
      </w:r>
    </w:p>
    <w:p w14:paraId="4D596876">
      <w:pPr>
        <w:pStyle w:val="5"/>
        <w:pageBreakBefore w:val="0"/>
        <w:kinsoku/>
        <w:wordWrap/>
        <w:overflowPunct/>
        <w:topLinePunct w:val="0"/>
        <w:bidi w:val="0"/>
        <w:rPr>
          <w:rFonts w:hint="eastAsia" w:ascii="Times New Roman" w:hAnsi="Times New Roman" w:eastAsia="宋体" w:cs="Times New Roman"/>
          <w:b/>
          <w:bCs/>
          <w:color w:val="auto"/>
          <w:spacing w:val="0"/>
          <w:w w:val="100"/>
          <w:position w:val="0"/>
          <w:sz w:val="28"/>
          <w:szCs w:val="28"/>
          <w:lang w:val="en-US" w:eastAsia="zh-CN" w:bidi="zh-CN"/>
        </w:rPr>
      </w:pPr>
      <w:bookmarkStart w:id="306" w:name="_Toc24935"/>
      <w:bookmarkStart w:id="307" w:name="_Toc3530"/>
      <w:r>
        <w:rPr>
          <w:rFonts w:hint="eastAsia" w:ascii="Times New Roman" w:hAnsi="Times New Roman" w:eastAsia="宋体" w:cs="Times New Roman"/>
          <w:b/>
          <w:bCs/>
          <w:color w:val="auto"/>
          <w:spacing w:val="0"/>
          <w:w w:val="100"/>
          <w:position w:val="0"/>
          <w:sz w:val="28"/>
          <w:szCs w:val="28"/>
          <w:lang w:val="en-US" w:eastAsia="zh-CN" w:bidi="zh-CN"/>
        </w:rPr>
        <w:t>6.8.</w:t>
      </w:r>
      <w:r>
        <w:rPr>
          <w:rFonts w:hint="eastAsia" w:ascii="Times New Roman" w:hAnsi="Times New Roman" w:cs="Times New Roman"/>
          <w:b/>
          <w:bCs/>
          <w:color w:val="auto"/>
          <w:spacing w:val="0"/>
          <w:w w:val="100"/>
          <w:position w:val="0"/>
          <w:sz w:val="28"/>
          <w:szCs w:val="28"/>
          <w:lang w:val="en-US" w:eastAsia="zh-CN" w:bidi="zh-CN"/>
        </w:rPr>
        <w:t>6</w:t>
      </w:r>
      <w:r>
        <w:rPr>
          <w:rFonts w:hint="eastAsia" w:ascii="Times New Roman" w:hAnsi="Times New Roman" w:eastAsia="宋体" w:cs="Times New Roman"/>
          <w:b/>
          <w:bCs/>
          <w:color w:val="auto"/>
          <w:spacing w:val="0"/>
          <w:w w:val="100"/>
          <w:position w:val="0"/>
          <w:sz w:val="28"/>
          <w:szCs w:val="28"/>
          <w:lang w:val="en-US" w:eastAsia="zh-CN" w:bidi="zh-CN"/>
        </w:rPr>
        <w:t>应急预案</w:t>
      </w:r>
      <w:bookmarkEnd w:id="306"/>
      <w:bookmarkEnd w:id="307"/>
    </w:p>
    <w:p w14:paraId="2B7828E2">
      <w:pPr>
        <w:pageBreakBefore w:val="0"/>
        <w:kinsoku/>
        <w:wordWrap/>
        <w:overflowPunct/>
        <w:topLinePunct w:val="0"/>
        <w:bidi w:val="0"/>
        <w:rPr>
          <w:rFonts w:hint="default"/>
          <w:color w:val="auto"/>
          <w:lang w:val="en-US" w:eastAsia="zh-CN"/>
        </w:rPr>
      </w:pPr>
      <w:r>
        <w:rPr>
          <w:rFonts w:hint="default"/>
          <w:color w:val="auto"/>
          <w:lang w:val="en-US" w:eastAsia="zh-CN"/>
        </w:rPr>
        <w:t>制订应急计划的目的是在事故和其它突发事件一旦发生的情况下，能快速、高效、有序地进行处理工作，最大限度地保护员工的生命安全和公司财产，把事故危害对环境的影响减少到最低限度。</w:t>
      </w:r>
    </w:p>
    <w:p w14:paraId="65F6FD8F">
      <w:pPr>
        <w:pageBreakBefore w:val="0"/>
        <w:kinsoku/>
        <w:wordWrap/>
        <w:overflowPunct/>
        <w:topLinePunct w:val="0"/>
        <w:bidi w:val="0"/>
        <w:rPr>
          <w:rFonts w:hint="default"/>
          <w:color w:val="auto"/>
        </w:rPr>
      </w:pPr>
      <w:r>
        <w:rPr>
          <w:rFonts w:hint="default"/>
          <w:color w:val="auto"/>
          <w:lang w:val="en-US" w:eastAsia="zh-CN"/>
        </w:rPr>
        <w:t>根据《建设项目环境风险评价技术导则》（HJ169-2018）要求，本项目制定的相关环境保护应急预案的主要内容见表6.</w:t>
      </w:r>
      <w:r>
        <w:rPr>
          <w:rFonts w:hint="eastAsia"/>
          <w:color w:val="auto"/>
          <w:lang w:val="en-US" w:eastAsia="zh-CN"/>
        </w:rPr>
        <w:t>8-4</w:t>
      </w:r>
      <w:r>
        <w:rPr>
          <w:rFonts w:hint="default"/>
          <w:color w:val="auto"/>
          <w:lang w:val="en-US" w:eastAsia="zh-CN"/>
        </w:rPr>
        <w:t>。</w:t>
      </w:r>
    </w:p>
    <w:p w14:paraId="67CA1161">
      <w:pPr>
        <w:pStyle w:val="43"/>
        <w:keepNext w:val="0"/>
        <w:keepLines w:val="0"/>
        <w:pageBreakBefore w:val="0"/>
        <w:widowControl/>
        <w:kinsoku/>
        <w:wordWrap/>
        <w:overflowPunct/>
        <w:topLinePunct w:val="0"/>
        <w:autoSpaceDE/>
        <w:autoSpaceDN/>
        <w:bidi w:val="0"/>
        <w:adjustRightInd w:val="0"/>
        <w:snapToGrid w:val="0"/>
        <w:spacing w:before="0" w:beforeLines="0"/>
        <w:textAlignment w:val="auto"/>
        <w:rPr>
          <w:rFonts w:hint="default"/>
          <w:color w:val="auto"/>
          <w:lang w:val="en-US" w:eastAsia="zh-CN"/>
        </w:rPr>
      </w:pPr>
      <w:r>
        <w:rPr>
          <w:rFonts w:hint="default"/>
          <w:color w:val="auto"/>
          <w:lang w:val="en-US" w:eastAsia="zh-CN"/>
        </w:rPr>
        <w:t>表6.8-</w:t>
      </w:r>
      <w:r>
        <w:rPr>
          <w:rFonts w:hint="eastAsia"/>
          <w:color w:val="auto"/>
          <w:lang w:val="en-US" w:eastAsia="zh-CN"/>
        </w:rPr>
        <w:t xml:space="preserve">4  </w:t>
      </w:r>
      <w:r>
        <w:rPr>
          <w:rFonts w:hint="default"/>
          <w:color w:val="auto"/>
          <w:lang w:val="en-US" w:eastAsia="zh-CN"/>
        </w:rPr>
        <w:t>应急预案内容</w:t>
      </w:r>
    </w:p>
    <w:tbl>
      <w:tblPr>
        <w:tblStyle w:val="27"/>
        <w:tblW w:w="497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2888"/>
        <w:gridCol w:w="5554"/>
      </w:tblGrid>
      <w:tr w14:paraId="35D18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tblHeader/>
          <w:jc w:val="center"/>
        </w:trPr>
        <w:tc>
          <w:tcPr>
            <w:tcW w:w="788" w:type="dxa"/>
            <w:noWrap w:val="0"/>
            <w:vAlign w:val="center"/>
          </w:tcPr>
          <w:p w14:paraId="792DB2A4">
            <w:pPr>
              <w:pStyle w:val="45"/>
              <w:pageBreakBefore w:val="0"/>
              <w:kinsoku/>
              <w:wordWrap/>
              <w:overflowPunct/>
              <w:topLinePunct w:val="0"/>
              <w:bidi w:val="0"/>
              <w:rPr>
                <w:rFonts w:hint="default"/>
                <w:b/>
                <w:bCs/>
                <w:color w:val="auto"/>
              </w:rPr>
            </w:pPr>
            <w:r>
              <w:rPr>
                <w:rFonts w:hint="default"/>
                <w:b/>
                <w:bCs/>
                <w:color w:val="auto"/>
              </w:rPr>
              <w:t>序号</w:t>
            </w:r>
          </w:p>
        </w:tc>
        <w:tc>
          <w:tcPr>
            <w:tcW w:w="2888" w:type="dxa"/>
            <w:noWrap w:val="0"/>
            <w:vAlign w:val="center"/>
          </w:tcPr>
          <w:p w14:paraId="4382C834">
            <w:pPr>
              <w:pStyle w:val="45"/>
              <w:pageBreakBefore w:val="0"/>
              <w:kinsoku/>
              <w:wordWrap/>
              <w:overflowPunct/>
              <w:topLinePunct w:val="0"/>
              <w:bidi w:val="0"/>
              <w:rPr>
                <w:rFonts w:hint="default"/>
                <w:b/>
                <w:bCs/>
                <w:color w:val="auto"/>
              </w:rPr>
            </w:pPr>
            <w:r>
              <w:rPr>
                <w:rFonts w:hint="default"/>
                <w:b/>
                <w:bCs/>
                <w:color w:val="auto"/>
              </w:rPr>
              <w:t>项目</w:t>
            </w:r>
          </w:p>
        </w:tc>
        <w:tc>
          <w:tcPr>
            <w:tcW w:w="5555" w:type="dxa"/>
            <w:noWrap w:val="0"/>
            <w:vAlign w:val="center"/>
          </w:tcPr>
          <w:p w14:paraId="11B906EC">
            <w:pPr>
              <w:pStyle w:val="45"/>
              <w:pageBreakBefore w:val="0"/>
              <w:kinsoku/>
              <w:wordWrap/>
              <w:overflowPunct/>
              <w:topLinePunct w:val="0"/>
              <w:bidi w:val="0"/>
              <w:rPr>
                <w:rFonts w:hint="default"/>
                <w:b/>
                <w:bCs/>
                <w:color w:val="auto"/>
              </w:rPr>
            </w:pPr>
            <w:r>
              <w:rPr>
                <w:rFonts w:hint="default"/>
                <w:b/>
                <w:bCs/>
                <w:color w:val="auto"/>
              </w:rPr>
              <w:t>内容及要求</w:t>
            </w:r>
          </w:p>
        </w:tc>
      </w:tr>
      <w:tr w14:paraId="1FC8D6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126B581E">
            <w:pPr>
              <w:pStyle w:val="45"/>
              <w:pageBreakBefore w:val="0"/>
              <w:kinsoku/>
              <w:wordWrap/>
              <w:overflowPunct/>
              <w:topLinePunct w:val="0"/>
              <w:bidi w:val="0"/>
              <w:rPr>
                <w:rFonts w:hint="default"/>
                <w:color w:val="auto"/>
              </w:rPr>
            </w:pPr>
            <w:r>
              <w:rPr>
                <w:rFonts w:hint="default"/>
                <w:color w:val="auto"/>
              </w:rPr>
              <w:t>1</w:t>
            </w:r>
          </w:p>
        </w:tc>
        <w:tc>
          <w:tcPr>
            <w:tcW w:w="2888" w:type="dxa"/>
            <w:noWrap w:val="0"/>
            <w:vAlign w:val="center"/>
          </w:tcPr>
          <w:p w14:paraId="231542CA">
            <w:pPr>
              <w:pStyle w:val="45"/>
              <w:pageBreakBefore w:val="0"/>
              <w:kinsoku/>
              <w:wordWrap/>
              <w:overflowPunct/>
              <w:topLinePunct w:val="0"/>
              <w:bidi w:val="0"/>
              <w:rPr>
                <w:rFonts w:hint="default"/>
                <w:color w:val="auto"/>
              </w:rPr>
            </w:pPr>
            <w:r>
              <w:rPr>
                <w:rFonts w:hint="default"/>
                <w:color w:val="auto"/>
              </w:rPr>
              <w:t>应急计划区</w:t>
            </w:r>
          </w:p>
        </w:tc>
        <w:tc>
          <w:tcPr>
            <w:tcW w:w="5555" w:type="dxa"/>
            <w:noWrap w:val="0"/>
            <w:vAlign w:val="center"/>
          </w:tcPr>
          <w:p w14:paraId="37A851BC">
            <w:pPr>
              <w:pStyle w:val="45"/>
              <w:pageBreakBefore w:val="0"/>
              <w:kinsoku/>
              <w:wordWrap/>
              <w:overflowPunct/>
              <w:topLinePunct w:val="0"/>
              <w:bidi w:val="0"/>
              <w:rPr>
                <w:rFonts w:hint="default"/>
                <w:color w:val="auto"/>
              </w:rPr>
            </w:pPr>
            <w:r>
              <w:rPr>
                <w:rFonts w:hint="default"/>
                <w:color w:val="auto"/>
              </w:rPr>
              <w:t>生产厂房及原料、产品贮存区</w:t>
            </w:r>
          </w:p>
        </w:tc>
      </w:tr>
      <w:tr w14:paraId="484128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582BB204">
            <w:pPr>
              <w:pStyle w:val="45"/>
              <w:pageBreakBefore w:val="0"/>
              <w:kinsoku/>
              <w:wordWrap/>
              <w:overflowPunct/>
              <w:topLinePunct w:val="0"/>
              <w:bidi w:val="0"/>
              <w:rPr>
                <w:rFonts w:hint="default"/>
                <w:color w:val="auto"/>
              </w:rPr>
            </w:pPr>
            <w:r>
              <w:rPr>
                <w:rFonts w:hint="default"/>
                <w:color w:val="auto"/>
              </w:rPr>
              <w:t>2</w:t>
            </w:r>
          </w:p>
        </w:tc>
        <w:tc>
          <w:tcPr>
            <w:tcW w:w="2888" w:type="dxa"/>
            <w:noWrap w:val="0"/>
            <w:vAlign w:val="center"/>
          </w:tcPr>
          <w:p w14:paraId="2310558E">
            <w:pPr>
              <w:pStyle w:val="45"/>
              <w:pageBreakBefore w:val="0"/>
              <w:kinsoku/>
              <w:wordWrap/>
              <w:overflowPunct/>
              <w:topLinePunct w:val="0"/>
              <w:bidi w:val="0"/>
              <w:rPr>
                <w:rFonts w:hint="default"/>
                <w:color w:val="auto"/>
              </w:rPr>
            </w:pPr>
            <w:r>
              <w:rPr>
                <w:rFonts w:hint="default"/>
                <w:color w:val="auto"/>
              </w:rPr>
              <w:t>应急组织机构、人员</w:t>
            </w:r>
          </w:p>
        </w:tc>
        <w:tc>
          <w:tcPr>
            <w:tcW w:w="5555" w:type="dxa"/>
            <w:noWrap w:val="0"/>
            <w:vAlign w:val="center"/>
          </w:tcPr>
          <w:p w14:paraId="7938CC50">
            <w:pPr>
              <w:pStyle w:val="45"/>
              <w:pageBreakBefore w:val="0"/>
              <w:kinsoku/>
              <w:wordWrap/>
              <w:overflowPunct/>
              <w:topLinePunct w:val="0"/>
              <w:bidi w:val="0"/>
              <w:rPr>
                <w:rFonts w:hint="default"/>
                <w:color w:val="auto"/>
              </w:rPr>
            </w:pPr>
            <w:r>
              <w:rPr>
                <w:rFonts w:hint="default"/>
                <w:color w:val="auto"/>
              </w:rPr>
              <w:t>以厂区为主体，各主要负责人为应急计划、协调第一人，应急人员必须为培训上岗熟练工；区域应急组织结构由当地政府、相关行业专家、卫生安全相关单位组成，并由当地政府进行统一调度</w:t>
            </w:r>
          </w:p>
        </w:tc>
      </w:tr>
      <w:tr w14:paraId="78BD2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2349E788">
            <w:pPr>
              <w:pStyle w:val="45"/>
              <w:pageBreakBefore w:val="0"/>
              <w:kinsoku/>
              <w:wordWrap/>
              <w:overflowPunct/>
              <w:topLinePunct w:val="0"/>
              <w:bidi w:val="0"/>
              <w:rPr>
                <w:rFonts w:hint="default"/>
                <w:color w:val="auto"/>
              </w:rPr>
            </w:pPr>
            <w:r>
              <w:rPr>
                <w:rFonts w:hint="default"/>
                <w:color w:val="auto"/>
              </w:rPr>
              <w:t>3</w:t>
            </w:r>
          </w:p>
        </w:tc>
        <w:tc>
          <w:tcPr>
            <w:tcW w:w="2888" w:type="dxa"/>
            <w:noWrap w:val="0"/>
            <w:vAlign w:val="center"/>
          </w:tcPr>
          <w:p w14:paraId="62D49023">
            <w:pPr>
              <w:pStyle w:val="45"/>
              <w:pageBreakBefore w:val="0"/>
              <w:kinsoku/>
              <w:wordWrap/>
              <w:overflowPunct/>
              <w:topLinePunct w:val="0"/>
              <w:bidi w:val="0"/>
              <w:rPr>
                <w:rFonts w:hint="default"/>
                <w:color w:val="auto"/>
              </w:rPr>
            </w:pPr>
            <w:r>
              <w:rPr>
                <w:rFonts w:hint="default"/>
                <w:color w:val="auto"/>
              </w:rPr>
              <w:t>预案分级响应条件</w:t>
            </w:r>
          </w:p>
        </w:tc>
        <w:tc>
          <w:tcPr>
            <w:tcW w:w="5555" w:type="dxa"/>
            <w:noWrap w:val="0"/>
            <w:vAlign w:val="center"/>
          </w:tcPr>
          <w:p w14:paraId="0AB33E4A">
            <w:pPr>
              <w:pStyle w:val="45"/>
              <w:pageBreakBefore w:val="0"/>
              <w:kinsoku/>
              <w:wordWrap/>
              <w:overflowPunct/>
              <w:topLinePunct w:val="0"/>
              <w:bidi w:val="0"/>
              <w:rPr>
                <w:rFonts w:hint="default"/>
                <w:color w:val="auto"/>
              </w:rPr>
            </w:pPr>
            <w:r>
              <w:rPr>
                <w:rFonts w:hint="default"/>
                <w:color w:val="auto"/>
              </w:rPr>
              <w:t>据事故的严重程度制定相应级别的应急预案，以及适合相应情况的处理措施</w:t>
            </w:r>
          </w:p>
        </w:tc>
      </w:tr>
      <w:tr w14:paraId="4B6BA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39D8C406">
            <w:pPr>
              <w:pStyle w:val="45"/>
              <w:pageBreakBefore w:val="0"/>
              <w:kinsoku/>
              <w:wordWrap/>
              <w:overflowPunct/>
              <w:topLinePunct w:val="0"/>
              <w:bidi w:val="0"/>
              <w:rPr>
                <w:rFonts w:hint="default"/>
                <w:color w:val="auto"/>
              </w:rPr>
            </w:pPr>
            <w:r>
              <w:rPr>
                <w:rFonts w:hint="default"/>
                <w:color w:val="auto"/>
              </w:rPr>
              <w:t>4</w:t>
            </w:r>
          </w:p>
        </w:tc>
        <w:tc>
          <w:tcPr>
            <w:tcW w:w="2888" w:type="dxa"/>
            <w:noWrap w:val="0"/>
            <w:vAlign w:val="center"/>
          </w:tcPr>
          <w:p w14:paraId="741989BE">
            <w:pPr>
              <w:pStyle w:val="45"/>
              <w:pageBreakBefore w:val="0"/>
              <w:kinsoku/>
              <w:wordWrap/>
              <w:overflowPunct/>
              <w:topLinePunct w:val="0"/>
              <w:bidi w:val="0"/>
              <w:rPr>
                <w:rFonts w:hint="default"/>
                <w:color w:val="auto"/>
              </w:rPr>
            </w:pPr>
            <w:r>
              <w:rPr>
                <w:rFonts w:hint="default"/>
                <w:color w:val="auto"/>
              </w:rPr>
              <w:t>应急救援保障</w:t>
            </w:r>
          </w:p>
        </w:tc>
        <w:tc>
          <w:tcPr>
            <w:tcW w:w="5555" w:type="dxa"/>
            <w:noWrap w:val="0"/>
            <w:vAlign w:val="center"/>
          </w:tcPr>
          <w:p w14:paraId="00F8E84E">
            <w:pPr>
              <w:pStyle w:val="45"/>
              <w:pageBreakBefore w:val="0"/>
              <w:kinsoku/>
              <w:wordWrap/>
              <w:overflowPunct/>
              <w:topLinePunct w:val="0"/>
              <w:bidi w:val="0"/>
              <w:rPr>
                <w:rFonts w:hint="default"/>
                <w:color w:val="auto"/>
              </w:rPr>
            </w:pPr>
            <w:r>
              <w:rPr>
                <w:rFonts w:hint="default"/>
                <w:color w:val="auto"/>
              </w:rPr>
              <w:t>应急设施和器材准备全面</w:t>
            </w:r>
          </w:p>
        </w:tc>
      </w:tr>
      <w:tr w14:paraId="16983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1DE1E9B5">
            <w:pPr>
              <w:pStyle w:val="45"/>
              <w:pageBreakBefore w:val="0"/>
              <w:kinsoku/>
              <w:wordWrap/>
              <w:overflowPunct/>
              <w:topLinePunct w:val="0"/>
              <w:bidi w:val="0"/>
              <w:rPr>
                <w:rFonts w:hint="default"/>
                <w:color w:val="auto"/>
              </w:rPr>
            </w:pPr>
            <w:r>
              <w:rPr>
                <w:rFonts w:hint="default"/>
                <w:color w:val="auto"/>
              </w:rPr>
              <w:t>5</w:t>
            </w:r>
          </w:p>
        </w:tc>
        <w:tc>
          <w:tcPr>
            <w:tcW w:w="2888" w:type="dxa"/>
            <w:noWrap w:val="0"/>
            <w:vAlign w:val="center"/>
          </w:tcPr>
          <w:p w14:paraId="1EEA2244">
            <w:pPr>
              <w:pStyle w:val="45"/>
              <w:pageBreakBefore w:val="0"/>
              <w:kinsoku/>
              <w:wordWrap/>
              <w:overflowPunct/>
              <w:topLinePunct w:val="0"/>
              <w:bidi w:val="0"/>
              <w:rPr>
                <w:rFonts w:hint="default"/>
                <w:color w:val="auto"/>
              </w:rPr>
            </w:pPr>
            <w:r>
              <w:rPr>
                <w:rFonts w:hint="default"/>
                <w:color w:val="auto"/>
              </w:rPr>
              <w:t>报警、通讯联络方式</w:t>
            </w:r>
          </w:p>
        </w:tc>
        <w:tc>
          <w:tcPr>
            <w:tcW w:w="5555" w:type="dxa"/>
            <w:noWrap w:val="0"/>
            <w:vAlign w:val="center"/>
          </w:tcPr>
          <w:p w14:paraId="4C496D1A">
            <w:pPr>
              <w:pStyle w:val="45"/>
              <w:pageBreakBefore w:val="0"/>
              <w:kinsoku/>
              <w:wordWrap/>
              <w:overflowPunct/>
              <w:topLinePunct w:val="0"/>
              <w:bidi w:val="0"/>
              <w:rPr>
                <w:rFonts w:hint="default"/>
                <w:color w:val="auto"/>
              </w:rPr>
            </w:pPr>
            <w:r>
              <w:rPr>
                <w:rFonts w:hint="default"/>
                <w:color w:val="auto"/>
              </w:rPr>
              <w:t>逐一细化应急状态下各主要负责单位的报警通讯方式、地点、电话号码以及相关配套的交通保障、管制、消防、环境保护部门联络方法，及时通报事故处理情况，以获得区域性支援</w:t>
            </w:r>
          </w:p>
        </w:tc>
      </w:tr>
      <w:tr w14:paraId="713CB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65F2368D">
            <w:pPr>
              <w:pStyle w:val="45"/>
              <w:pageBreakBefore w:val="0"/>
              <w:kinsoku/>
              <w:wordWrap/>
              <w:overflowPunct/>
              <w:topLinePunct w:val="0"/>
              <w:bidi w:val="0"/>
              <w:rPr>
                <w:rFonts w:hint="default"/>
                <w:color w:val="auto"/>
              </w:rPr>
            </w:pPr>
            <w:r>
              <w:rPr>
                <w:rFonts w:hint="default"/>
                <w:color w:val="auto"/>
              </w:rPr>
              <w:t>6</w:t>
            </w:r>
          </w:p>
        </w:tc>
        <w:tc>
          <w:tcPr>
            <w:tcW w:w="2888" w:type="dxa"/>
            <w:noWrap w:val="0"/>
            <w:vAlign w:val="center"/>
          </w:tcPr>
          <w:p w14:paraId="2B8B721E">
            <w:pPr>
              <w:pStyle w:val="45"/>
              <w:pageBreakBefore w:val="0"/>
              <w:kinsoku/>
              <w:wordWrap/>
              <w:overflowPunct/>
              <w:topLinePunct w:val="0"/>
              <w:bidi w:val="0"/>
              <w:rPr>
                <w:rFonts w:hint="default"/>
                <w:color w:val="auto"/>
              </w:rPr>
            </w:pPr>
            <w:r>
              <w:rPr>
                <w:rFonts w:hint="default"/>
                <w:color w:val="auto"/>
              </w:rPr>
              <w:t>应急环境监测、抢险、救援及控制措施</w:t>
            </w:r>
          </w:p>
        </w:tc>
        <w:tc>
          <w:tcPr>
            <w:tcW w:w="5555" w:type="dxa"/>
            <w:noWrap w:val="0"/>
            <w:vAlign w:val="center"/>
          </w:tcPr>
          <w:p w14:paraId="4717A2FA">
            <w:pPr>
              <w:pStyle w:val="45"/>
              <w:pageBreakBefore w:val="0"/>
              <w:kinsoku/>
              <w:wordWrap/>
              <w:overflowPunct/>
              <w:topLinePunct w:val="0"/>
              <w:bidi w:val="0"/>
              <w:rPr>
                <w:rFonts w:hint="default"/>
                <w:color w:val="auto"/>
              </w:rPr>
            </w:pPr>
            <w:r>
              <w:rPr>
                <w:rFonts w:hint="default"/>
                <w:color w:val="auto"/>
              </w:rPr>
              <w:t>由专业队伍负责对事故现场进行侦查监测、对事故性质、参数与后果进行评估、为指挥部门提供决策依据</w:t>
            </w:r>
          </w:p>
        </w:tc>
      </w:tr>
      <w:tr w14:paraId="3BCE3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014D6A6F">
            <w:pPr>
              <w:pStyle w:val="45"/>
              <w:pageBreakBefore w:val="0"/>
              <w:kinsoku/>
              <w:wordWrap/>
              <w:overflowPunct/>
              <w:topLinePunct w:val="0"/>
              <w:bidi w:val="0"/>
              <w:rPr>
                <w:rFonts w:hint="default"/>
                <w:color w:val="auto"/>
              </w:rPr>
            </w:pPr>
            <w:r>
              <w:rPr>
                <w:rFonts w:hint="default"/>
                <w:color w:val="auto"/>
              </w:rPr>
              <w:t>7</w:t>
            </w:r>
          </w:p>
        </w:tc>
        <w:tc>
          <w:tcPr>
            <w:tcW w:w="2888" w:type="dxa"/>
            <w:noWrap w:val="0"/>
            <w:vAlign w:val="center"/>
          </w:tcPr>
          <w:p w14:paraId="33D37E7E">
            <w:pPr>
              <w:pStyle w:val="45"/>
              <w:pageBreakBefore w:val="0"/>
              <w:kinsoku/>
              <w:wordWrap/>
              <w:overflowPunct/>
              <w:topLinePunct w:val="0"/>
              <w:bidi w:val="0"/>
              <w:rPr>
                <w:rFonts w:hint="default"/>
                <w:color w:val="auto"/>
              </w:rPr>
            </w:pPr>
            <w:r>
              <w:rPr>
                <w:rFonts w:hint="default"/>
                <w:color w:val="auto"/>
              </w:rPr>
              <w:t>应急检测、防护措施、清除泄漏措施和器材</w:t>
            </w:r>
          </w:p>
        </w:tc>
        <w:tc>
          <w:tcPr>
            <w:tcW w:w="5555" w:type="dxa"/>
            <w:noWrap w:val="0"/>
            <w:vAlign w:val="center"/>
          </w:tcPr>
          <w:p w14:paraId="05C447DC">
            <w:pPr>
              <w:pStyle w:val="45"/>
              <w:pageBreakBefore w:val="0"/>
              <w:kinsoku/>
              <w:wordWrap/>
              <w:overflowPunct/>
              <w:topLinePunct w:val="0"/>
              <w:bidi w:val="0"/>
              <w:rPr>
                <w:rFonts w:hint="default"/>
                <w:color w:val="auto"/>
              </w:rPr>
            </w:pPr>
            <w:r>
              <w:rPr>
                <w:rFonts w:hint="default"/>
                <w:color w:val="auto"/>
              </w:rPr>
              <w:t>配备各种防护器材</w:t>
            </w:r>
          </w:p>
        </w:tc>
      </w:tr>
      <w:tr w14:paraId="4A7C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72BA178A">
            <w:pPr>
              <w:pStyle w:val="45"/>
              <w:pageBreakBefore w:val="0"/>
              <w:kinsoku/>
              <w:wordWrap/>
              <w:overflowPunct/>
              <w:topLinePunct w:val="0"/>
              <w:bidi w:val="0"/>
              <w:rPr>
                <w:rFonts w:hint="default"/>
                <w:color w:val="auto"/>
              </w:rPr>
            </w:pPr>
            <w:r>
              <w:rPr>
                <w:rFonts w:hint="default"/>
                <w:color w:val="auto"/>
              </w:rPr>
              <w:t>8</w:t>
            </w:r>
          </w:p>
        </w:tc>
        <w:tc>
          <w:tcPr>
            <w:tcW w:w="2888" w:type="dxa"/>
            <w:noWrap w:val="0"/>
            <w:vAlign w:val="center"/>
          </w:tcPr>
          <w:p w14:paraId="23CDD4E8">
            <w:pPr>
              <w:pStyle w:val="45"/>
              <w:pageBreakBefore w:val="0"/>
              <w:kinsoku/>
              <w:wordWrap/>
              <w:overflowPunct/>
              <w:topLinePunct w:val="0"/>
              <w:bidi w:val="0"/>
              <w:rPr>
                <w:rFonts w:hint="default"/>
                <w:color w:val="auto"/>
              </w:rPr>
            </w:pPr>
            <w:r>
              <w:rPr>
                <w:rFonts w:hint="default"/>
                <w:color w:val="auto"/>
              </w:rPr>
              <w:t>人员紧急撤离、疏散、撤离组织计划</w:t>
            </w:r>
          </w:p>
        </w:tc>
        <w:tc>
          <w:tcPr>
            <w:tcW w:w="5555" w:type="dxa"/>
            <w:noWrap w:val="0"/>
            <w:vAlign w:val="center"/>
          </w:tcPr>
          <w:p w14:paraId="29364CE1">
            <w:pPr>
              <w:pStyle w:val="45"/>
              <w:pageBreakBefore w:val="0"/>
              <w:kinsoku/>
              <w:wordWrap/>
              <w:overflowPunct/>
              <w:topLinePunct w:val="0"/>
              <w:bidi w:val="0"/>
              <w:rPr>
                <w:rFonts w:hint="default"/>
                <w:color w:val="auto"/>
              </w:rPr>
            </w:pPr>
            <w:r>
              <w:rPr>
                <w:rFonts w:hint="default"/>
                <w:color w:val="auto"/>
              </w:rPr>
              <w:t>对事故现场、邻近区和受事故影响的区域人员组织撤离和疏散，必要时进行医疗救护</w:t>
            </w:r>
          </w:p>
        </w:tc>
      </w:tr>
      <w:tr w14:paraId="3B7B9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022CB54A">
            <w:pPr>
              <w:pStyle w:val="45"/>
              <w:pageBreakBefore w:val="0"/>
              <w:kinsoku/>
              <w:wordWrap/>
              <w:overflowPunct/>
              <w:topLinePunct w:val="0"/>
              <w:bidi w:val="0"/>
              <w:rPr>
                <w:rFonts w:hint="default"/>
                <w:color w:val="auto"/>
              </w:rPr>
            </w:pPr>
            <w:r>
              <w:rPr>
                <w:rFonts w:hint="default"/>
                <w:color w:val="auto"/>
              </w:rPr>
              <w:t>9</w:t>
            </w:r>
          </w:p>
        </w:tc>
        <w:tc>
          <w:tcPr>
            <w:tcW w:w="2888" w:type="dxa"/>
            <w:noWrap w:val="0"/>
            <w:vAlign w:val="center"/>
          </w:tcPr>
          <w:p w14:paraId="5B1D4024">
            <w:pPr>
              <w:pStyle w:val="45"/>
              <w:pageBreakBefore w:val="0"/>
              <w:kinsoku/>
              <w:wordWrap/>
              <w:overflowPunct/>
              <w:topLinePunct w:val="0"/>
              <w:bidi w:val="0"/>
              <w:rPr>
                <w:rFonts w:hint="default"/>
                <w:color w:val="auto"/>
              </w:rPr>
            </w:pPr>
            <w:r>
              <w:rPr>
                <w:rFonts w:hint="default"/>
                <w:color w:val="auto"/>
              </w:rPr>
              <w:t>事故应急救援关闭程序与恢复措施</w:t>
            </w:r>
          </w:p>
        </w:tc>
        <w:tc>
          <w:tcPr>
            <w:tcW w:w="5555" w:type="dxa"/>
            <w:noWrap w:val="0"/>
            <w:vAlign w:val="center"/>
          </w:tcPr>
          <w:p w14:paraId="231F1498">
            <w:pPr>
              <w:pStyle w:val="45"/>
              <w:pageBreakBefore w:val="0"/>
              <w:kinsoku/>
              <w:wordWrap/>
              <w:overflowPunct/>
              <w:topLinePunct w:val="0"/>
              <w:bidi w:val="0"/>
              <w:rPr>
                <w:rFonts w:hint="default"/>
                <w:color w:val="auto"/>
              </w:rPr>
            </w:pPr>
            <w:r>
              <w:rPr>
                <w:rFonts w:hint="default"/>
                <w:color w:val="auto"/>
              </w:rPr>
              <w:t>制定应急状态终止程序，对事故现场进行善后处理和恢复</w:t>
            </w:r>
          </w:p>
        </w:tc>
      </w:tr>
      <w:tr w14:paraId="4FFDC5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2369D9D2">
            <w:pPr>
              <w:pStyle w:val="45"/>
              <w:pageBreakBefore w:val="0"/>
              <w:kinsoku/>
              <w:wordWrap/>
              <w:overflowPunct/>
              <w:topLinePunct w:val="0"/>
              <w:bidi w:val="0"/>
              <w:rPr>
                <w:rFonts w:hint="default"/>
                <w:color w:val="auto"/>
              </w:rPr>
            </w:pPr>
            <w:r>
              <w:rPr>
                <w:rFonts w:hint="default"/>
                <w:color w:val="auto"/>
              </w:rPr>
              <w:t>10</w:t>
            </w:r>
          </w:p>
        </w:tc>
        <w:tc>
          <w:tcPr>
            <w:tcW w:w="2888" w:type="dxa"/>
            <w:noWrap w:val="0"/>
            <w:vAlign w:val="center"/>
          </w:tcPr>
          <w:p w14:paraId="1AF1311E">
            <w:pPr>
              <w:pStyle w:val="45"/>
              <w:pageBreakBefore w:val="0"/>
              <w:kinsoku/>
              <w:wordWrap/>
              <w:overflowPunct/>
              <w:topLinePunct w:val="0"/>
              <w:bidi w:val="0"/>
              <w:rPr>
                <w:rFonts w:hint="default"/>
                <w:color w:val="auto"/>
              </w:rPr>
            </w:pPr>
            <w:r>
              <w:rPr>
                <w:rFonts w:hint="default"/>
                <w:color w:val="auto"/>
              </w:rPr>
              <w:t>应急培训计划</w:t>
            </w:r>
          </w:p>
        </w:tc>
        <w:tc>
          <w:tcPr>
            <w:tcW w:w="5555" w:type="dxa"/>
            <w:noWrap w:val="0"/>
            <w:vAlign w:val="center"/>
          </w:tcPr>
          <w:p w14:paraId="53617F43">
            <w:pPr>
              <w:pStyle w:val="45"/>
              <w:pageBreakBefore w:val="0"/>
              <w:kinsoku/>
              <w:wordWrap/>
              <w:overflowPunct/>
              <w:topLinePunct w:val="0"/>
              <w:bidi w:val="0"/>
              <w:rPr>
                <w:rFonts w:hint="default"/>
                <w:color w:val="auto"/>
              </w:rPr>
            </w:pPr>
            <w:r>
              <w:rPr>
                <w:rFonts w:hint="default"/>
                <w:color w:val="auto"/>
              </w:rPr>
              <w:t>安排人员培训与演练</w:t>
            </w:r>
          </w:p>
        </w:tc>
      </w:tr>
      <w:tr w14:paraId="70B32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788" w:type="dxa"/>
            <w:noWrap w:val="0"/>
            <w:vAlign w:val="center"/>
          </w:tcPr>
          <w:p w14:paraId="64234AE4">
            <w:pPr>
              <w:pStyle w:val="45"/>
              <w:pageBreakBefore w:val="0"/>
              <w:kinsoku/>
              <w:wordWrap/>
              <w:overflowPunct/>
              <w:topLinePunct w:val="0"/>
              <w:bidi w:val="0"/>
              <w:rPr>
                <w:rFonts w:hint="default"/>
                <w:color w:val="auto"/>
              </w:rPr>
            </w:pPr>
            <w:r>
              <w:rPr>
                <w:rFonts w:hint="default"/>
                <w:color w:val="auto"/>
              </w:rPr>
              <w:t>11</w:t>
            </w:r>
          </w:p>
        </w:tc>
        <w:tc>
          <w:tcPr>
            <w:tcW w:w="2888" w:type="dxa"/>
            <w:noWrap w:val="0"/>
            <w:vAlign w:val="center"/>
          </w:tcPr>
          <w:p w14:paraId="0A8EF07A">
            <w:pPr>
              <w:pStyle w:val="45"/>
              <w:pageBreakBefore w:val="0"/>
              <w:kinsoku/>
              <w:wordWrap/>
              <w:overflowPunct/>
              <w:topLinePunct w:val="0"/>
              <w:bidi w:val="0"/>
              <w:rPr>
                <w:rFonts w:hint="default"/>
                <w:color w:val="auto"/>
              </w:rPr>
            </w:pPr>
            <w:r>
              <w:rPr>
                <w:rFonts w:hint="default"/>
                <w:color w:val="auto"/>
              </w:rPr>
              <w:t>公众教育和信息</w:t>
            </w:r>
          </w:p>
        </w:tc>
        <w:tc>
          <w:tcPr>
            <w:tcW w:w="5555" w:type="dxa"/>
            <w:noWrap w:val="0"/>
            <w:vAlign w:val="center"/>
          </w:tcPr>
          <w:p w14:paraId="470D9D7B">
            <w:pPr>
              <w:pStyle w:val="45"/>
              <w:pageBreakBefore w:val="0"/>
              <w:kinsoku/>
              <w:wordWrap/>
              <w:overflowPunct/>
              <w:topLinePunct w:val="0"/>
              <w:bidi w:val="0"/>
              <w:rPr>
                <w:rFonts w:hint="default"/>
                <w:color w:val="auto"/>
              </w:rPr>
            </w:pPr>
            <w:r>
              <w:rPr>
                <w:rFonts w:hint="default"/>
                <w:color w:val="auto"/>
              </w:rPr>
              <w:t>对工厂邻近地区开展公众教育、培训和发布有关信息</w:t>
            </w:r>
          </w:p>
        </w:tc>
      </w:tr>
    </w:tbl>
    <w:p w14:paraId="21469375">
      <w:pPr>
        <w:pStyle w:val="5"/>
        <w:keepNext/>
        <w:keepLines/>
        <w:pageBreakBefore w:val="0"/>
        <w:widowControl/>
        <w:kinsoku/>
        <w:wordWrap/>
        <w:overflowPunct/>
        <w:topLinePunct w:val="0"/>
        <w:autoSpaceDE/>
        <w:autoSpaceDN/>
        <w:bidi w:val="0"/>
        <w:adjustRightInd w:val="0"/>
        <w:snapToGrid w:val="0"/>
        <w:spacing w:before="0" w:beforeLines="50"/>
        <w:textAlignment w:val="auto"/>
        <w:rPr>
          <w:rFonts w:hint="default" w:ascii="Times New Roman" w:hAnsi="Times New Roman" w:cs="Times New Roman"/>
          <w:color w:val="auto"/>
          <w:spacing w:val="0"/>
          <w:w w:val="100"/>
          <w:position w:val="0"/>
          <w:sz w:val="28"/>
          <w:szCs w:val="28"/>
        </w:rPr>
      </w:pPr>
      <w:bookmarkStart w:id="308" w:name="6.8.8 环境风险评价结论"/>
      <w:bookmarkEnd w:id="308"/>
      <w:bookmarkStart w:id="309" w:name="6.8.8 环境风险评价结论"/>
      <w:bookmarkEnd w:id="309"/>
      <w:bookmarkStart w:id="310" w:name="_Toc2349"/>
      <w:bookmarkStart w:id="311" w:name="_Toc28134"/>
      <w:r>
        <w:rPr>
          <w:rFonts w:hint="default" w:ascii="Times New Roman" w:hAnsi="Times New Roman" w:eastAsia="宋体" w:cs="Times New Roman"/>
          <w:b/>
          <w:bCs/>
          <w:color w:val="auto"/>
          <w:spacing w:val="0"/>
          <w:w w:val="100"/>
          <w:position w:val="0"/>
          <w:sz w:val="28"/>
          <w:szCs w:val="28"/>
          <w:lang w:val="en-US" w:eastAsia="zh-CN" w:bidi="zh-CN"/>
        </w:rPr>
        <w:t>6.8.</w:t>
      </w:r>
      <w:r>
        <w:rPr>
          <w:rFonts w:hint="default" w:ascii="Times New Roman" w:hAnsi="Times New Roman" w:cs="Times New Roman"/>
          <w:b/>
          <w:bCs/>
          <w:color w:val="auto"/>
          <w:spacing w:val="0"/>
          <w:w w:val="100"/>
          <w:position w:val="0"/>
          <w:sz w:val="28"/>
          <w:szCs w:val="28"/>
          <w:lang w:val="en-US" w:eastAsia="zh-CN" w:bidi="zh-CN"/>
        </w:rPr>
        <w:t>7</w:t>
      </w:r>
      <w:r>
        <w:rPr>
          <w:rFonts w:hint="default" w:ascii="Times New Roman" w:hAnsi="Times New Roman" w:eastAsia="宋体" w:cs="Times New Roman"/>
          <w:b/>
          <w:bCs/>
          <w:color w:val="auto"/>
          <w:spacing w:val="0"/>
          <w:w w:val="100"/>
          <w:position w:val="0"/>
          <w:sz w:val="28"/>
          <w:szCs w:val="28"/>
          <w:lang w:val="en-US" w:eastAsia="zh-CN" w:bidi="zh-CN"/>
        </w:rPr>
        <w:t>环境风险评价结论</w:t>
      </w:r>
      <w:bookmarkEnd w:id="310"/>
      <w:bookmarkEnd w:id="311"/>
    </w:p>
    <w:p w14:paraId="4E670651">
      <w:pPr>
        <w:pageBreakBefore w:val="0"/>
        <w:kinsoku/>
        <w:wordWrap/>
        <w:overflowPunct/>
        <w:topLinePunct w:val="0"/>
        <w:bidi w:val="0"/>
        <w:rPr>
          <w:color w:val="auto"/>
          <w:spacing w:val="0"/>
          <w:w w:val="100"/>
          <w:position w:val="0"/>
        </w:rPr>
      </w:pPr>
      <w:r>
        <w:rPr>
          <w:color w:val="auto"/>
        </w:rPr>
        <w:t>风险评价的结果表明，本项目涉及《建设项目环境风险评价技术导则》（HJ169-2018）附录B中危险物质</w:t>
      </w:r>
      <w:r>
        <w:rPr>
          <w:rFonts w:hint="eastAsia"/>
          <w:color w:val="auto"/>
          <w:lang w:eastAsia="zh-CN"/>
        </w:rPr>
        <w:t>主要为废润滑油</w:t>
      </w:r>
      <w:r>
        <w:rPr>
          <w:color w:val="auto"/>
        </w:rPr>
        <w:t>，不构成重大危险源。本项目环境风险主要为聚乙烯塑料发生火灾事故</w:t>
      </w:r>
      <w:r>
        <w:rPr>
          <w:rFonts w:hint="eastAsia"/>
          <w:color w:val="auto"/>
          <w:lang w:eastAsia="zh-CN"/>
        </w:rPr>
        <w:t>、废润滑油泄露导致火灾爆炸</w:t>
      </w:r>
      <w:r>
        <w:rPr>
          <w:color w:val="auto"/>
        </w:rPr>
        <w:t>等</w:t>
      </w:r>
      <w:r>
        <w:rPr>
          <w:rFonts w:hint="eastAsia"/>
          <w:color w:val="auto"/>
          <w:lang w:eastAsia="zh-CN"/>
        </w:rPr>
        <w:t>事故</w:t>
      </w:r>
      <w:r>
        <w:rPr>
          <w:color w:val="auto"/>
        </w:rPr>
        <w:t>。在进一步采取安全</w:t>
      </w:r>
      <w:r>
        <w:rPr>
          <w:color w:val="auto"/>
          <w:spacing w:val="0"/>
          <w:w w:val="100"/>
          <w:position w:val="0"/>
        </w:rPr>
        <w:t>防范措施和事故应急预案、在落实各项环保措施和采取本报告书提出的有关建议的前提下，基本满足国家相关环境保护和安全法规、标准的要求，该项目发生风险事故的可能进一步降低，其潜在的环境风险是可以接受的。但企业仍需要提高风险管理水平和强化风险防范措施，降低环境风险事故发生的概率。</w:t>
      </w:r>
    </w:p>
    <w:p w14:paraId="05B9D9D3">
      <w:pPr>
        <w:pageBreakBefore w:val="0"/>
        <w:kinsoku/>
        <w:wordWrap/>
        <w:overflowPunct/>
        <w:topLinePunct w:val="0"/>
        <w:bidi w:val="0"/>
        <w:rPr>
          <w:color w:val="auto"/>
          <w:spacing w:val="0"/>
          <w:w w:val="100"/>
          <w:position w:val="0"/>
          <w:sz w:val="24"/>
        </w:rPr>
      </w:pPr>
      <w:r>
        <w:rPr>
          <w:color w:val="auto"/>
          <w:spacing w:val="0"/>
          <w:w w:val="100"/>
          <w:position w:val="0"/>
          <w:sz w:val="24"/>
        </w:rPr>
        <w:t>建设项目环境风险简单分析内容见表</w:t>
      </w:r>
      <w:r>
        <w:rPr>
          <w:rFonts w:ascii="Times New Roman" w:eastAsia="Times New Roman"/>
          <w:color w:val="auto"/>
          <w:spacing w:val="0"/>
          <w:w w:val="100"/>
          <w:position w:val="0"/>
          <w:sz w:val="24"/>
        </w:rPr>
        <w:t>6.8-</w:t>
      </w:r>
      <w:r>
        <w:rPr>
          <w:rFonts w:hint="eastAsia"/>
          <w:color w:val="auto"/>
          <w:spacing w:val="0"/>
          <w:w w:val="100"/>
          <w:position w:val="0"/>
          <w:sz w:val="24"/>
          <w:lang w:val="en-US" w:eastAsia="zh-CN"/>
        </w:rPr>
        <w:t>5</w:t>
      </w:r>
      <w:r>
        <w:rPr>
          <w:color w:val="auto"/>
          <w:spacing w:val="0"/>
          <w:w w:val="100"/>
          <w:position w:val="0"/>
          <w:sz w:val="24"/>
        </w:rPr>
        <w:t>。</w:t>
      </w:r>
    </w:p>
    <w:p w14:paraId="583BE96B">
      <w:pPr>
        <w:pStyle w:val="43"/>
        <w:keepNext w:val="0"/>
        <w:keepLines w:val="0"/>
        <w:pageBreakBefore w:val="0"/>
        <w:widowControl/>
        <w:kinsoku/>
        <w:wordWrap/>
        <w:overflowPunct/>
        <w:topLinePunct w:val="0"/>
        <w:autoSpaceDE/>
        <w:autoSpaceDN/>
        <w:bidi w:val="0"/>
        <w:adjustRightInd/>
        <w:snapToGrid/>
        <w:spacing w:before="0" w:beforeLines="0"/>
        <w:textAlignment w:val="auto"/>
        <w:rPr>
          <w:rFonts w:hint="default" w:ascii="Times New Roman" w:hAnsi="Times New Roman" w:eastAsia="宋体" w:cs="Times New Roman"/>
          <w:b/>
          <w:bCs/>
          <w:color w:val="auto"/>
          <w:spacing w:val="0"/>
          <w:w w:val="100"/>
          <w:position w:val="0"/>
          <w:sz w:val="24"/>
          <w:szCs w:val="24"/>
        </w:rPr>
      </w:pPr>
      <w:r>
        <w:rPr>
          <w:rFonts w:hint="default" w:ascii="Times New Roman" w:hAnsi="Times New Roman" w:eastAsia="宋体" w:cs="Times New Roman"/>
          <w:b/>
          <w:bCs/>
          <w:color w:val="auto"/>
          <w:spacing w:val="0"/>
          <w:w w:val="100"/>
          <w:position w:val="0"/>
          <w:sz w:val="24"/>
          <w:szCs w:val="24"/>
        </w:rPr>
        <w:t>表6.8-</w:t>
      </w:r>
      <w:r>
        <w:rPr>
          <w:rFonts w:hint="eastAsia" w:cs="Times New Roman"/>
          <w:b/>
          <w:bCs/>
          <w:color w:val="auto"/>
          <w:spacing w:val="0"/>
          <w:w w:val="100"/>
          <w:position w:val="0"/>
          <w:sz w:val="24"/>
          <w:szCs w:val="24"/>
          <w:lang w:val="en-US" w:eastAsia="zh-CN"/>
        </w:rPr>
        <w:t>5</w:t>
      </w:r>
      <w:r>
        <w:rPr>
          <w:rFonts w:hint="eastAsia" w:ascii="Times New Roman" w:hAnsi="Times New Roman" w:eastAsia="宋体" w:cs="Times New Roman"/>
          <w:b/>
          <w:bCs/>
          <w:color w:val="auto"/>
          <w:spacing w:val="0"/>
          <w:w w:val="100"/>
          <w:position w:val="0"/>
          <w:sz w:val="24"/>
          <w:szCs w:val="24"/>
          <w:lang w:val="en-US" w:eastAsia="zh-CN"/>
        </w:rPr>
        <w:t xml:space="preserve">   </w:t>
      </w:r>
      <w:r>
        <w:rPr>
          <w:rFonts w:hint="default" w:ascii="Times New Roman" w:hAnsi="Times New Roman" w:eastAsia="宋体" w:cs="Times New Roman"/>
          <w:b/>
          <w:bCs/>
          <w:color w:val="auto"/>
          <w:spacing w:val="0"/>
          <w:w w:val="100"/>
          <w:position w:val="0"/>
          <w:sz w:val="24"/>
          <w:szCs w:val="24"/>
        </w:rPr>
        <w:t>建设项目环境风险简单分析内容表</w:t>
      </w:r>
    </w:p>
    <w:tbl>
      <w:tblPr>
        <w:tblStyle w:val="27"/>
        <w:tblW w:w="502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2219"/>
        <w:gridCol w:w="1419"/>
        <w:gridCol w:w="1474"/>
        <w:gridCol w:w="1082"/>
        <w:gridCol w:w="2926"/>
      </w:tblGrid>
      <w:tr w14:paraId="4E6DBB9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2217" w:type="dxa"/>
            <w:tcBorders>
              <w:bottom w:val="single" w:color="000000" w:sz="6" w:space="0"/>
              <w:right w:val="single" w:color="000000" w:sz="6" w:space="0"/>
            </w:tcBorders>
            <w:vAlign w:val="center"/>
          </w:tcPr>
          <w:p w14:paraId="33174E8A">
            <w:pPr>
              <w:pStyle w:val="45"/>
              <w:pageBreakBefore w:val="0"/>
              <w:kinsoku/>
              <w:wordWrap/>
              <w:overflowPunct/>
              <w:topLinePunct w:val="0"/>
              <w:bidi w:val="0"/>
              <w:rPr>
                <w:rFonts w:hint="default"/>
                <w:b/>
                <w:bCs/>
                <w:color w:val="auto"/>
              </w:rPr>
            </w:pPr>
            <w:r>
              <w:rPr>
                <w:rFonts w:hint="default"/>
                <w:b/>
                <w:bCs/>
                <w:color w:val="auto"/>
              </w:rPr>
              <w:t>建设项目名称</w:t>
            </w:r>
          </w:p>
        </w:tc>
        <w:tc>
          <w:tcPr>
            <w:tcW w:w="6893" w:type="dxa"/>
            <w:gridSpan w:val="4"/>
            <w:tcBorders>
              <w:left w:val="single" w:color="000000" w:sz="6" w:space="0"/>
              <w:bottom w:val="single" w:color="000000" w:sz="6" w:space="0"/>
            </w:tcBorders>
            <w:vAlign w:val="center"/>
          </w:tcPr>
          <w:p w14:paraId="0C3FBB17">
            <w:pPr>
              <w:pStyle w:val="45"/>
              <w:pageBreakBefore w:val="0"/>
              <w:kinsoku/>
              <w:wordWrap/>
              <w:overflowPunct/>
              <w:topLinePunct w:val="0"/>
              <w:bidi w:val="0"/>
              <w:rPr>
                <w:rFonts w:hint="eastAsia" w:eastAsia="宋体"/>
                <w:color w:val="auto"/>
                <w:lang w:eastAsia="zh-CN"/>
              </w:rPr>
            </w:pPr>
            <w:r>
              <w:rPr>
                <w:rFonts w:hint="eastAsia"/>
                <w:color w:val="auto"/>
                <w:lang w:eastAsia="zh-CN"/>
              </w:rPr>
              <w:t>托里县乌雪特乡滴灌带厂房建设项目</w:t>
            </w:r>
          </w:p>
        </w:tc>
      </w:tr>
      <w:tr w14:paraId="3BD399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2217" w:type="dxa"/>
            <w:tcBorders>
              <w:top w:val="single" w:color="000000" w:sz="6" w:space="0"/>
              <w:bottom w:val="single" w:color="000000" w:sz="6" w:space="0"/>
              <w:right w:val="single" w:color="000000" w:sz="6" w:space="0"/>
            </w:tcBorders>
            <w:vAlign w:val="center"/>
          </w:tcPr>
          <w:p w14:paraId="27492F8F">
            <w:pPr>
              <w:pStyle w:val="45"/>
              <w:pageBreakBefore w:val="0"/>
              <w:kinsoku/>
              <w:wordWrap/>
              <w:overflowPunct/>
              <w:topLinePunct w:val="0"/>
              <w:bidi w:val="0"/>
              <w:rPr>
                <w:rFonts w:hint="default"/>
                <w:b/>
                <w:bCs/>
                <w:color w:val="auto"/>
              </w:rPr>
            </w:pPr>
            <w:r>
              <w:rPr>
                <w:rFonts w:hint="default"/>
                <w:b/>
                <w:bCs/>
                <w:color w:val="auto"/>
              </w:rPr>
              <w:t>建设地点</w:t>
            </w:r>
          </w:p>
        </w:tc>
        <w:tc>
          <w:tcPr>
            <w:tcW w:w="1417" w:type="dxa"/>
            <w:tcBorders>
              <w:top w:val="single" w:color="000000" w:sz="6" w:space="0"/>
              <w:left w:val="single" w:color="000000" w:sz="6" w:space="0"/>
              <w:bottom w:val="single" w:color="000000" w:sz="6" w:space="0"/>
              <w:right w:val="single" w:color="000000" w:sz="6" w:space="0"/>
            </w:tcBorders>
            <w:vAlign w:val="center"/>
          </w:tcPr>
          <w:p w14:paraId="678F4000">
            <w:pPr>
              <w:pStyle w:val="45"/>
              <w:pageBreakBefore w:val="0"/>
              <w:kinsoku/>
              <w:wordWrap/>
              <w:overflowPunct/>
              <w:topLinePunct w:val="0"/>
              <w:bidi w:val="0"/>
              <w:rPr>
                <w:rFonts w:hint="default"/>
                <w:color w:val="auto"/>
              </w:rPr>
            </w:pPr>
            <w:r>
              <w:rPr>
                <w:rFonts w:hint="default"/>
                <w:color w:val="auto"/>
              </w:rPr>
              <w:t>新疆</w:t>
            </w:r>
            <w:r>
              <w:rPr>
                <w:rFonts w:hint="eastAsia"/>
                <w:color w:val="auto"/>
                <w:lang w:eastAsia="zh-CN"/>
              </w:rPr>
              <w:t>维吾尔自治区</w:t>
            </w:r>
          </w:p>
        </w:tc>
        <w:tc>
          <w:tcPr>
            <w:tcW w:w="1472" w:type="dxa"/>
            <w:tcBorders>
              <w:top w:val="single" w:color="000000" w:sz="6" w:space="0"/>
              <w:left w:val="single" w:color="000000" w:sz="6" w:space="0"/>
              <w:bottom w:val="single" w:color="000000" w:sz="6" w:space="0"/>
              <w:right w:val="single" w:color="000000" w:sz="6" w:space="0"/>
            </w:tcBorders>
            <w:vAlign w:val="center"/>
          </w:tcPr>
          <w:p w14:paraId="299A0AA6">
            <w:pPr>
              <w:pStyle w:val="45"/>
              <w:pageBreakBefore w:val="0"/>
              <w:kinsoku/>
              <w:wordWrap/>
              <w:overflowPunct/>
              <w:topLinePunct w:val="0"/>
              <w:bidi w:val="0"/>
              <w:rPr>
                <w:rFonts w:hint="default"/>
                <w:color w:val="auto"/>
              </w:rPr>
            </w:pPr>
            <w:r>
              <w:rPr>
                <w:rFonts w:hint="eastAsia"/>
                <w:color w:val="auto"/>
                <w:lang w:eastAsia="zh-CN"/>
              </w:rPr>
              <w:t>塔城</w:t>
            </w:r>
            <w:r>
              <w:rPr>
                <w:rFonts w:hint="default"/>
                <w:color w:val="auto"/>
              </w:rPr>
              <w:t>地区</w:t>
            </w:r>
          </w:p>
        </w:tc>
        <w:tc>
          <w:tcPr>
            <w:tcW w:w="1081" w:type="dxa"/>
            <w:tcBorders>
              <w:top w:val="single" w:color="000000" w:sz="6" w:space="0"/>
              <w:left w:val="single" w:color="000000" w:sz="6" w:space="0"/>
              <w:bottom w:val="single" w:color="000000" w:sz="6" w:space="0"/>
              <w:right w:val="single" w:color="000000" w:sz="6" w:space="0"/>
            </w:tcBorders>
            <w:vAlign w:val="center"/>
          </w:tcPr>
          <w:p w14:paraId="4F790A1E">
            <w:pPr>
              <w:pStyle w:val="45"/>
              <w:pageBreakBefore w:val="0"/>
              <w:kinsoku/>
              <w:wordWrap/>
              <w:overflowPunct/>
              <w:topLinePunct w:val="0"/>
              <w:bidi w:val="0"/>
              <w:rPr>
                <w:rFonts w:hint="default"/>
                <w:color w:val="auto"/>
              </w:rPr>
            </w:pPr>
            <w:r>
              <w:rPr>
                <w:rFonts w:hint="eastAsia"/>
                <w:color w:val="auto"/>
                <w:lang w:eastAsia="zh-CN"/>
              </w:rPr>
              <w:t>托里县</w:t>
            </w:r>
          </w:p>
        </w:tc>
        <w:tc>
          <w:tcPr>
            <w:tcW w:w="2923" w:type="dxa"/>
            <w:tcBorders>
              <w:top w:val="single" w:color="000000" w:sz="6" w:space="0"/>
              <w:left w:val="single" w:color="000000" w:sz="6" w:space="0"/>
              <w:bottom w:val="single" w:color="000000" w:sz="6" w:space="0"/>
            </w:tcBorders>
            <w:vAlign w:val="center"/>
          </w:tcPr>
          <w:p w14:paraId="76C84F9F">
            <w:pPr>
              <w:pStyle w:val="45"/>
              <w:pageBreakBefore w:val="0"/>
              <w:kinsoku/>
              <w:wordWrap/>
              <w:overflowPunct/>
              <w:topLinePunct w:val="0"/>
              <w:bidi w:val="0"/>
              <w:rPr>
                <w:rFonts w:hint="default"/>
                <w:color w:val="auto"/>
              </w:rPr>
            </w:pPr>
            <w:r>
              <w:rPr>
                <w:rFonts w:hint="eastAsia"/>
                <w:color w:val="auto"/>
                <w:lang w:eastAsia="zh-CN"/>
              </w:rPr>
              <w:t>乌雪特乡</w:t>
            </w:r>
          </w:p>
        </w:tc>
      </w:tr>
      <w:tr w14:paraId="244A27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2217" w:type="dxa"/>
            <w:tcBorders>
              <w:top w:val="single" w:color="000000" w:sz="6" w:space="0"/>
              <w:bottom w:val="single" w:color="000000" w:sz="6" w:space="0"/>
              <w:right w:val="single" w:color="000000" w:sz="6" w:space="0"/>
            </w:tcBorders>
            <w:vAlign w:val="center"/>
          </w:tcPr>
          <w:p w14:paraId="2CF0AC72">
            <w:pPr>
              <w:pStyle w:val="45"/>
              <w:pageBreakBefore w:val="0"/>
              <w:kinsoku/>
              <w:wordWrap/>
              <w:overflowPunct/>
              <w:topLinePunct w:val="0"/>
              <w:bidi w:val="0"/>
              <w:rPr>
                <w:rFonts w:hint="default"/>
                <w:b/>
                <w:bCs/>
                <w:color w:val="auto"/>
              </w:rPr>
            </w:pPr>
            <w:r>
              <w:rPr>
                <w:rFonts w:hint="default"/>
                <w:b/>
                <w:bCs/>
                <w:color w:val="auto"/>
              </w:rPr>
              <w:t>主要危险物质及分布</w:t>
            </w:r>
          </w:p>
        </w:tc>
        <w:tc>
          <w:tcPr>
            <w:tcW w:w="6893" w:type="dxa"/>
            <w:gridSpan w:val="4"/>
            <w:tcBorders>
              <w:top w:val="single" w:color="000000" w:sz="6" w:space="0"/>
              <w:left w:val="single" w:color="000000" w:sz="6" w:space="0"/>
              <w:bottom w:val="single" w:color="000000" w:sz="6" w:space="0"/>
            </w:tcBorders>
            <w:vAlign w:val="center"/>
          </w:tcPr>
          <w:p w14:paraId="0AC61617">
            <w:pPr>
              <w:pStyle w:val="45"/>
              <w:pageBreakBefore w:val="0"/>
              <w:kinsoku/>
              <w:wordWrap/>
              <w:overflowPunct/>
              <w:topLinePunct w:val="0"/>
              <w:bidi w:val="0"/>
              <w:rPr>
                <w:rFonts w:hint="default"/>
                <w:color w:val="auto"/>
                <w:lang w:eastAsia="zh-CN"/>
              </w:rPr>
            </w:pPr>
            <w:r>
              <w:rPr>
                <w:rFonts w:hint="default"/>
                <w:color w:val="auto"/>
              </w:rPr>
              <w:t>主要为原料堆场、生产区域</w:t>
            </w:r>
            <w:r>
              <w:rPr>
                <w:rFonts w:hint="default"/>
                <w:color w:val="auto"/>
                <w:lang w:eastAsia="zh-CN"/>
              </w:rPr>
              <w:t>、</w:t>
            </w:r>
            <w:r>
              <w:rPr>
                <w:rFonts w:hint="default"/>
                <w:color w:val="auto"/>
              </w:rPr>
              <w:t>成品区</w:t>
            </w:r>
            <w:r>
              <w:rPr>
                <w:rFonts w:hint="default"/>
                <w:color w:val="auto"/>
                <w:lang w:eastAsia="zh-CN"/>
              </w:rPr>
              <w:t>、危废暂存间</w:t>
            </w:r>
          </w:p>
        </w:tc>
      </w:tr>
      <w:tr w14:paraId="34A01D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2217" w:type="dxa"/>
            <w:tcBorders>
              <w:top w:val="single" w:color="000000" w:sz="6" w:space="0"/>
              <w:bottom w:val="single" w:color="000000" w:sz="6" w:space="0"/>
              <w:right w:val="single" w:color="000000" w:sz="6" w:space="0"/>
            </w:tcBorders>
            <w:vAlign w:val="center"/>
          </w:tcPr>
          <w:p w14:paraId="2DD6C4A9">
            <w:pPr>
              <w:pStyle w:val="45"/>
              <w:pageBreakBefore w:val="0"/>
              <w:kinsoku/>
              <w:wordWrap/>
              <w:overflowPunct/>
              <w:topLinePunct w:val="0"/>
              <w:bidi w:val="0"/>
              <w:rPr>
                <w:rFonts w:hint="default"/>
                <w:b/>
                <w:bCs/>
                <w:color w:val="auto"/>
              </w:rPr>
            </w:pPr>
            <w:r>
              <w:rPr>
                <w:rFonts w:hint="default"/>
                <w:b/>
                <w:bCs/>
                <w:color w:val="auto"/>
              </w:rPr>
              <w:t>环境影响途径及危害后果</w:t>
            </w:r>
          </w:p>
        </w:tc>
        <w:tc>
          <w:tcPr>
            <w:tcW w:w="6893" w:type="dxa"/>
            <w:gridSpan w:val="4"/>
            <w:tcBorders>
              <w:top w:val="single" w:color="000000" w:sz="6" w:space="0"/>
              <w:left w:val="single" w:color="000000" w:sz="6" w:space="0"/>
              <w:bottom w:val="single" w:color="000000" w:sz="6" w:space="0"/>
            </w:tcBorders>
            <w:vAlign w:val="center"/>
          </w:tcPr>
          <w:p w14:paraId="5A314346">
            <w:pPr>
              <w:pStyle w:val="45"/>
              <w:pageBreakBefore w:val="0"/>
              <w:kinsoku/>
              <w:wordWrap/>
              <w:overflowPunct/>
              <w:topLinePunct w:val="0"/>
              <w:bidi w:val="0"/>
              <w:rPr>
                <w:rFonts w:hint="default"/>
                <w:color w:val="auto"/>
              </w:rPr>
            </w:pPr>
            <w:r>
              <w:rPr>
                <w:rFonts w:hint="default"/>
                <w:color w:val="auto"/>
              </w:rPr>
              <w:t>生产期间容易发生的事故主要为火灾爆炸导致财产损失、人员伤亡、污染环境等；事故排放对大气环境造成的污染；污废水泄漏导致地下水、土壤受到污染。</w:t>
            </w:r>
          </w:p>
        </w:tc>
      </w:tr>
      <w:tr w14:paraId="7B027D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2217" w:type="dxa"/>
            <w:tcBorders>
              <w:top w:val="single" w:color="000000" w:sz="6" w:space="0"/>
              <w:bottom w:val="single" w:color="000000" w:sz="6" w:space="0"/>
              <w:right w:val="single" w:color="000000" w:sz="6" w:space="0"/>
            </w:tcBorders>
            <w:vAlign w:val="center"/>
          </w:tcPr>
          <w:p w14:paraId="383B8001">
            <w:pPr>
              <w:pStyle w:val="45"/>
              <w:pageBreakBefore w:val="0"/>
              <w:kinsoku/>
              <w:wordWrap/>
              <w:overflowPunct/>
              <w:topLinePunct w:val="0"/>
              <w:bidi w:val="0"/>
              <w:rPr>
                <w:rFonts w:hint="default"/>
                <w:b/>
                <w:bCs/>
                <w:color w:val="auto"/>
              </w:rPr>
            </w:pPr>
            <w:r>
              <w:rPr>
                <w:rFonts w:hint="default"/>
                <w:b/>
                <w:bCs/>
                <w:color w:val="auto"/>
              </w:rPr>
              <w:t>风险防范措施要求</w:t>
            </w:r>
          </w:p>
        </w:tc>
        <w:tc>
          <w:tcPr>
            <w:tcW w:w="6893" w:type="dxa"/>
            <w:gridSpan w:val="4"/>
            <w:tcBorders>
              <w:top w:val="single" w:color="000000" w:sz="6" w:space="0"/>
              <w:left w:val="single" w:color="000000" w:sz="6" w:space="0"/>
              <w:bottom w:val="single" w:color="000000" w:sz="6" w:space="0"/>
            </w:tcBorders>
            <w:vAlign w:val="center"/>
          </w:tcPr>
          <w:p w14:paraId="1E02F7F7">
            <w:pPr>
              <w:pStyle w:val="45"/>
              <w:pageBreakBefore w:val="0"/>
              <w:kinsoku/>
              <w:wordWrap/>
              <w:overflowPunct/>
              <w:topLinePunct w:val="0"/>
              <w:bidi w:val="0"/>
              <w:rPr>
                <w:rFonts w:hint="default"/>
                <w:color w:val="auto"/>
              </w:rPr>
            </w:pPr>
            <w:r>
              <w:rPr>
                <w:rFonts w:hint="default"/>
                <w:color w:val="auto"/>
              </w:rPr>
              <w:t>严格执行国家的防火安全设计规范，特别是原料堆场和产品贮存区的物料存储量最大，风险事故源强最大，应保证厂房质量，严格安全生产制度，配备消防设施，提高操作人员的素质和水平，建立突发环境事故应急预案。</w:t>
            </w:r>
          </w:p>
        </w:tc>
      </w:tr>
      <w:tr w14:paraId="3971CD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jc w:val="center"/>
        </w:trPr>
        <w:tc>
          <w:tcPr>
            <w:tcW w:w="9110" w:type="dxa"/>
            <w:gridSpan w:val="5"/>
            <w:tcBorders>
              <w:top w:val="single" w:color="000000" w:sz="6" w:space="0"/>
            </w:tcBorders>
            <w:vAlign w:val="center"/>
          </w:tcPr>
          <w:p w14:paraId="5E898C57">
            <w:pPr>
              <w:pStyle w:val="45"/>
              <w:pageBreakBefore w:val="0"/>
              <w:kinsoku/>
              <w:wordWrap/>
              <w:overflowPunct/>
              <w:topLinePunct w:val="0"/>
              <w:bidi w:val="0"/>
              <w:rPr>
                <w:rFonts w:hint="default"/>
                <w:color w:val="auto"/>
              </w:rPr>
            </w:pPr>
            <w:r>
              <w:rPr>
                <w:rFonts w:hint="default"/>
                <w:color w:val="auto"/>
              </w:rPr>
              <w:t>填表说明（列出项目相关信息及评价说明）：根据《建设项目环境风险评价技术导则》（HJ169-2018），本项目环境风险潜势为I，只开展简单分析。</w:t>
            </w:r>
          </w:p>
        </w:tc>
      </w:tr>
    </w:tbl>
    <w:p w14:paraId="56FF70D6">
      <w:pPr>
        <w:pageBreakBefore w:val="0"/>
        <w:kinsoku/>
        <w:wordWrap/>
        <w:overflowPunct/>
        <w:topLinePunct w:val="0"/>
        <w:bidi w:val="0"/>
        <w:rPr>
          <w:rFonts w:hint="default" w:ascii="Times New Roman" w:hAnsi="Times New Roman" w:eastAsia="宋体" w:cs="Times New Roman"/>
          <w:b/>
          <w:bCs/>
          <w:color w:val="auto"/>
          <w:spacing w:val="0"/>
          <w:w w:val="100"/>
          <w:position w:val="0"/>
          <w:sz w:val="28"/>
          <w:szCs w:val="28"/>
          <w:lang w:val="zh-CN" w:eastAsia="zh-CN" w:bidi="zh-CN"/>
        </w:rPr>
      </w:pPr>
      <w:bookmarkStart w:id="312" w:name="_bookmark40"/>
      <w:bookmarkEnd w:id="312"/>
      <w:bookmarkStart w:id="313" w:name="7 环境保护措施及可行性论证"/>
      <w:bookmarkEnd w:id="313"/>
      <w:bookmarkStart w:id="314" w:name="_Toc25152"/>
      <w:r>
        <w:rPr>
          <w:rFonts w:hint="default" w:ascii="Times New Roman" w:hAnsi="Times New Roman" w:eastAsia="宋体" w:cs="Times New Roman"/>
          <w:b/>
          <w:bCs/>
          <w:color w:val="auto"/>
          <w:spacing w:val="0"/>
          <w:w w:val="100"/>
          <w:position w:val="0"/>
          <w:sz w:val="28"/>
          <w:szCs w:val="28"/>
          <w:lang w:val="zh-CN" w:eastAsia="zh-CN" w:bidi="zh-CN"/>
        </w:rPr>
        <w:br w:type="page"/>
      </w:r>
    </w:p>
    <w:p w14:paraId="18B48CCE">
      <w:pPr>
        <w:pStyle w:val="3"/>
        <w:pageBreakBefore w:val="0"/>
        <w:kinsoku/>
        <w:wordWrap/>
        <w:overflowPunct/>
        <w:topLinePunct w:val="0"/>
        <w:bidi w:val="0"/>
        <w:rPr>
          <w:rFonts w:hint="default"/>
          <w:color w:val="auto"/>
          <w:lang w:val="zh-CN" w:eastAsia="zh-CN"/>
        </w:rPr>
      </w:pPr>
      <w:bookmarkStart w:id="315" w:name="_Toc18067"/>
      <w:bookmarkStart w:id="316" w:name="_Toc25613"/>
      <w:r>
        <w:rPr>
          <w:rFonts w:hint="default"/>
          <w:color w:val="auto"/>
          <w:lang w:val="zh-CN" w:eastAsia="zh-CN"/>
        </w:rPr>
        <w:t>7环境保护措施及可行性论证</w:t>
      </w:r>
      <w:bookmarkEnd w:id="314"/>
      <w:bookmarkEnd w:id="315"/>
      <w:bookmarkEnd w:id="316"/>
    </w:p>
    <w:p w14:paraId="4E7336B7">
      <w:pPr>
        <w:pStyle w:val="4"/>
        <w:pageBreakBefore w:val="0"/>
        <w:kinsoku/>
        <w:wordWrap/>
        <w:overflowPunct/>
        <w:topLinePunct w:val="0"/>
        <w:bidi w:val="0"/>
        <w:rPr>
          <w:rFonts w:hint="default" w:ascii="Times New Roman" w:hAnsi="Times New Roman" w:cs="Times New Roman"/>
          <w:b/>
          <w:color w:val="auto"/>
          <w:spacing w:val="0"/>
          <w:w w:val="100"/>
          <w:position w:val="0"/>
          <w:sz w:val="30"/>
          <w:szCs w:val="30"/>
        </w:rPr>
      </w:pPr>
      <w:bookmarkStart w:id="317" w:name="7.1 施工期污染防治措施及可行性论证"/>
      <w:bookmarkEnd w:id="317"/>
      <w:bookmarkStart w:id="318" w:name="_bookmark41"/>
      <w:bookmarkEnd w:id="318"/>
      <w:bookmarkStart w:id="319" w:name="_bookmark41"/>
      <w:bookmarkEnd w:id="319"/>
      <w:bookmarkStart w:id="320" w:name="_Toc5345"/>
      <w:bookmarkStart w:id="321" w:name="_Toc26509"/>
      <w:bookmarkStart w:id="322" w:name="_Toc643"/>
      <w:r>
        <w:rPr>
          <w:rFonts w:hint="default" w:ascii="Times New Roman" w:hAnsi="Times New Roman" w:cs="Times New Roman"/>
          <w:b/>
          <w:color w:val="auto"/>
          <w:spacing w:val="0"/>
          <w:w w:val="100"/>
          <w:position w:val="0"/>
          <w:sz w:val="30"/>
          <w:szCs w:val="30"/>
          <w:lang w:val="en-US" w:eastAsia="zh-CN"/>
        </w:rPr>
        <w:t>7.1</w:t>
      </w:r>
      <w:r>
        <w:rPr>
          <w:rFonts w:hint="default" w:ascii="Times New Roman" w:hAnsi="Times New Roman" w:cs="Times New Roman"/>
          <w:b/>
          <w:color w:val="auto"/>
          <w:spacing w:val="0"/>
          <w:w w:val="100"/>
          <w:position w:val="0"/>
          <w:sz w:val="30"/>
          <w:szCs w:val="30"/>
        </w:rPr>
        <w:t>施工期污染防治措施及可行性论证</w:t>
      </w:r>
      <w:bookmarkEnd w:id="320"/>
      <w:bookmarkEnd w:id="321"/>
      <w:bookmarkEnd w:id="322"/>
    </w:p>
    <w:p w14:paraId="74ADCEEE">
      <w:pPr>
        <w:pStyle w:val="4"/>
        <w:pageBreakBefore w:val="0"/>
        <w:kinsoku/>
        <w:wordWrap/>
        <w:overflowPunct/>
        <w:topLinePunct w:val="0"/>
        <w:bidi w:val="0"/>
        <w:outlineLvl w:val="1"/>
        <w:rPr>
          <w:b/>
          <w:color w:val="auto"/>
          <w:spacing w:val="0"/>
          <w:w w:val="100"/>
          <w:position w:val="0"/>
          <w:sz w:val="30"/>
          <w:szCs w:val="30"/>
        </w:rPr>
      </w:pPr>
      <w:bookmarkStart w:id="323" w:name="7.1.1 大气污染防治措施"/>
      <w:bookmarkEnd w:id="323"/>
      <w:bookmarkStart w:id="324" w:name="7.1.1 大气污染防治措施"/>
      <w:bookmarkEnd w:id="324"/>
      <w:bookmarkStart w:id="325" w:name="_bookmark42"/>
      <w:bookmarkEnd w:id="325"/>
      <w:bookmarkStart w:id="326" w:name="_bookmark42"/>
      <w:bookmarkEnd w:id="326"/>
      <w:bookmarkStart w:id="327" w:name="7.2 运营期环境保护措施及可行性论证"/>
      <w:bookmarkEnd w:id="327"/>
      <w:bookmarkStart w:id="328" w:name="_Toc25256"/>
      <w:bookmarkStart w:id="329" w:name="_Toc25949"/>
      <w:bookmarkStart w:id="330" w:name="_Toc32568"/>
      <w:r>
        <w:rPr>
          <w:rFonts w:hint="eastAsia" w:ascii="Times New Roman" w:hAnsi="Times New Roman" w:eastAsia="宋体" w:cs="Times New Roman"/>
          <w:b/>
          <w:color w:val="auto"/>
          <w:spacing w:val="0"/>
          <w:w w:val="100"/>
          <w:position w:val="0"/>
          <w:sz w:val="30"/>
          <w:szCs w:val="30"/>
          <w:lang w:val="en-US" w:eastAsia="zh-CN" w:bidi="zh-CN"/>
        </w:rPr>
        <w:t>7.2</w:t>
      </w:r>
      <w:r>
        <w:rPr>
          <w:rFonts w:hint="default" w:ascii="Times New Roman" w:hAnsi="Times New Roman" w:eastAsia="宋体" w:cs="Times New Roman"/>
          <w:b/>
          <w:color w:val="auto"/>
          <w:spacing w:val="0"/>
          <w:w w:val="100"/>
          <w:position w:val="0"/>
          <w:sz w:val="30"/>
          <w:szCs w:val="30"/>
          <w:lang w:val="zh-CN" w:eastAsia="zh-CN" w:bidi="zh-CN"/>
        </w:rPr>
        <w:t>运营期环境保护措施及可行性论证</w:t>
      </w:r>
      <w:bookmarkEnd w:id="328"/>
      <w:bookmarkEnd w:id="329"/>
      <w:bookmarkEnd w:id="330"/>
      <w:bookmarkStart w:id="331" w:name="7.2.1大气环境保护措施及可行性论证"/>
      <w:bookmarkEnd w:id="331"/>
      <w:bookmarkStart w:id="332" w:name="7.2.1大气环境保护措施及可行性论证"/>
      <w:bookmarkEnd w:id="332"/>
    </w:p>
    <w:p w14:paraId="64140F5D">
      <w:pPr>
        <w:pStyle w:val="5"/>
        <w:pageBreakBefore w:val="0"/>
        <w:kinsoku/>
        <w:wordWrap/>
        <w:overflowPunct/>
        <w:topLinePunct w:val="0"/>
        <w:bidi w:val="0"/>
        <w:rPr>
          <w:rFonts w:hint="eastAsia"/>
          <w:color w:val="auto"/>
          <w:lang w:val="en-US" w:eastAsia="zh-CN"/>
        </w:rPr>
      </w:pPr>
      <w:bookmarkStart w:id="333" w:name="_Toc9911"/>
      <w:bookmarkStart w:id="334" w:name="_Toc1196"/>
      <w:r>
        <w:rPr>
          <w:rFonts w:hint="eastAsia"/>
          <w:color w:val="auto"/>
          <w:lang w:val="en-US" w:eastAsia="zh-CN"/>
        </w:rPr>
        <w:t>7.2.1大气环境保护措施及可行性论证</w:t>
      </w:r>
      <w:bookmarkEnd w:id="333"/>
      <w:bookmarkEnd w:id="334"/>
    </w:p>
    <w:p w14:paraId="77137F4C">
      <w:pPr>
        <w:pStyle w:val="6"/>
        <w:pageBreakBefore w:val="0"/>
        <w:kinsoku/>
        <w:wordWrap/>
        <w:overflowPunct/>
        <w:topLinePunct w:val="0"/>
        <w:bidi w:val="0"/>
        <w:rPr>
          <w:rFonts w:hint="eastAsia" w:ascii="Times New Roman" w:hAnsi="Times New Roman" w:eastAsia="宋体" w:cs="Times New Roman"/>
          <w:color w:val="auto"/>
          <w:spacing w:val="0"/>
          <w:w w:val="100"/>
          <w:position w:val="0"/>
          <w:sz w:val="24"/>
          <w:szCs w:val="24"/>
          <w:lang w:eastAsia="zh-CN"/>
        </w:rPr>
      </w:pPr>
      <w:bookmarkStart w:id="335" w:name="_Toc14702"/>
      <w:r>
        <w:rPr>
          <w:rFonts w:hint="eastAsia" w:ascii="Times New Roman" w:hAnsi="Times New Roman" w:cs="Times New Roman"/>
          <w:color w:val="auto"/>
          <w:spacing w:val="0"/>
          <w:w w:val="100"/>
          <w:position w:val="0"/>
          <w:sz w:val="24"/>
          <w:szCs w:val="24"/>
          <w:lang w:val="en-US" w:eastAsia="zh-CN"/>
        </w:rPr>
        <w:t>7.2.1.1</w:t>
      </w:r>
      <w:bookmarkEnd w:id="335"/>
      <w:r>
        <w:rPr>
          <w:rFonts w:hint="eastAsia" w:cs="Times New Roman"/>
          <w:color w:val="auto"/>
          <w:spacing w:val="0"/>
          <w:w w:val="100"/>
          <w:position w:val="0"/>
          <w:sz w:val="24"/>
          <w:szCs w:val="24"/>
          <w:lang w:eastAsia="zh-CN"/>
        </w:rPr>
        <w:t>有组织废气环境保护措施</w:t>
      </w:r>
    </w:p>
    <w:p w14:paraId="39AC9EB8">
      <w:pPr>
        <w:spacing w:before="78" w:line="356" w:lineRule="auto"/>
        <w:ind w:left="13" w:right="82" w:firstLine="480"/>
        <w:rPr>
          <w:rFonts w:ascii="宋体" w:hAnsi="宋体" w:eastAsia="宋体" w:cs="宋体"/>
          <w:color w:val="auto"/>
          <w:sz w:val="24"/>
          <w:szCs w:val="24"/>
        </w:rPr>
      </w:pPr>
      <w:r>
        <w:rPr>
          <w:rFonts w:ascii="宋体" w:hAnsi="宋体" w:eastAsia="宋体" w:cs="宋体"/>
          <w:color w:val="auto"/>
          <w:spacing w:val="2"/>
          <w:sz w:val="24"/>
          <w:szCs w:val="24"/>
        </w:rPr>
        <w:t>根据工程分析，本项目运营期产生的废气主要为</w:t>
      </w:r>
      <w:r>
        <w:rPr>
          <w:rFonts w:hint="eastAsia" w:ascii="宋体" w:hAnsi="宋体" w:cs="宋体"/>
          <w:color w:val="auto"/>
          <w:spacing w:val="2"/>
          <w:sz w:val="24"/>
          <w:szCs w:val="24"/>
          <w:lang w:eastAsia="zh-CN"/>
        </w:rPr>
        <w:t>各生产车间</w:t>
      </w:r>
      <w:r>
        <w:rPr>
          <w:rFonts w:ascii="宋体" w:hAnsi="宋体" w:eastAsia="宋体" w:cs="宋体"/>
          <w:color w:val="auto"/>
          <w:spacing w:val="-1"/>
          <w:sz w:val="24"/>
          <w:szCs w:val="24"/>
        </w:rPr>
        <w:t>产生的有机废气非甲烷总烃</w:t>
      </w:r>
      <w:r>
        <w:rPr>
          <w:rFonts w:hint="eastAsia" w:ascii="宋体" w:hAnsi="宋体" w:cs="宋体"/>
          <w:color w:val="auto"/>
          <w:spacing w:val="-1"/>
          <w:sz w:val="24"/>
          <w:szCs w:val="24"/>
          <w:lang w:eastAsia="zh-CN"/>
        </w:rPr>
        <w:t>及恶臭</w:t>
      </w:r>
      <w:r>
        <w:rPr>
          <w:rFonts w:ascii="宋体" w:hAnsi="宋体" w:eastAsia="宋体" w:cs="宋体"/>
          <w:color w:val="auto"/>
          <w:spacing w:val="-1"/>
          <w:sz w:val="24"/>
          <w:szCs w:val="24"/>
        </w:rPr>
        <w:t>。</w:t>
      </w:r>
    </w:p>
    <w:p w14:paraId="6C76FD71">
      <w:pPr>
        <w:pageBreakBefore w:val="0"/>
        <w:kinsoku/>
        <w:wordWrap/>
        <w:overflowPunct/>
        <w:topLinePunct w:val="0"/>
        <w:bidi w:val="0"/>
        <w:ind w:firstLine="480"/>
        <w:jc w:val="both"/>
        <w:rPr>
          <w:rFonts w:hint="eastAsia" w:cs="Times New Roman"/>
          <w:color w:val="auto"/>
        </w:rPr>
      </w:pPr>
      <w:r>
        <w:rPr>
          <w:rFonts w:hint="eastAsia" w:cs="Times New Roman"/>
          <w:color w:val="auto"/>
          <w:lang w:val="en-US" w:eastAsia="zh-CN"/>
        </w:rPr>
        <w:t>（1）</w:t>
      </w:r>
      <w:r>
        <w:rPr>
          <w:rFonts w:hint="eastAsia" w:cs="Times New Roman"/>
          <w:color w:val="auto"/>
        </w:rPr>
        <w:t>处理措施可行性分析</w:t>
      </w:r>
    </w:p>
    <w:p w14:paraId="741D1411">
      <w:pPr>
        <w:pageBreakBefore w:val="0"/>
        <w:kinsoku/>
        <w:wordWrap/>
        <w:overflowPunct/>
        <w:topLinePunct w:val="0"/>
        <w:bidi w:val="0"/>
        <w:ind w:firstLine="480"/>
        <w:jc w:val="both"/>
        <w:rPr>
          <w:rFonts w:hint="eastAsia" w:eastAsia="宋体" w:cs="Times New Roman"/>
          <w:color w:val="auto"/>
          <w:lang w:val="en-US" w:eastAsia="zh-CN"/>
        </w:rPr>
      </w:pPr>
      <w:r>
        <w:rPr>
          <w:rFonts w:hint="eastAsia" w:cs="Times New Roman"/>
          <w:color w:val="auto"/>
        </w:rPr>
        <w:t>有机废气净化的方法有主要包括水喷淋、静电除油等预处理技术，吸附、燃烧、吸收、冷凝及其</w:t>
      </w:r>
      <w:r>
        <w:rPr>
          <w:rFonts w:hint="eastAsia" w:cs="Times New Roman"/>
          <w:color w:val="auto"/>
          <w:lang w:eastAsia="zh-CN"/>
        </w:rPr>
        <w:t>综</w:t>
      </w:r>
      <w:r>
        <w:rPr>
          <w:rFonts w:hint="eastAsia" w:cs="Times New Roman"/>
          <w:color w:val="auto"/>
        </w:rPr>
        <w:t>合治理技术</w:t>
      </w:r>
      <w:bookmarkStart w:id="404" w:name="_GoBack"/>
      <w:bookmarkEnd w:id="404"/>
      <w:r>
        <w:rPr>
          <w:rFonts w:hint="eastAsia" w:cs="Times New Roman"/>
          <w:color w:val="auto"/>
        </w:rPr>
        <w:t>等。常见VOCs控制技术之优缺点比较见表</w:t>
      </w:r>
      <w:r>
        <w:rPr>
          <w:rFonts w:hint="eastAsia" w:cs="Times New Roman"/>
          <w:color w:val="auto"/>
          <w:lang w:val="en-US" w:eastAsia="zh-CN"/>
        </w:rPr>
        <w:t>7</w:t>
      </w:r>
      <w:r>
        <w:rPr>
          <w:rFonts w:hint="eastAsia" w:cs="Times New Roman"/>
          <w:color w:val="auto"/>
        </w:rPr>
        <w:t>.2-1</w:t>
      </w:r>
      <w:r>
        <w:rPr>
          <w:rFonts w:hint="eastAsia" w:cs="Times New Roman"/>
          <w:color w:val="auto"/>
          <w:lang w:eastAsia="zh-CN"/>
        </w:rPr>
        <w:t>。</w:t>
      </w:r>
    </w:p>
    <w:p w14:paraId="666C78B7">
      <w:pPr>
        <w:keepNext w:val="0"/>
        <w:keepLines w:val="0"/>
        <w:pageBreakBefore w:val="0"/>
        <w:widowControl w:val="0"/>
        <w:kinsoku/>
        <w:wordWrap/>
        <w:overflowPunct/>
        <w:topLinePunct w:val="0"/>
        <w:autoSpaceDE w:val="0"/>
        <w:autoSpaceDN w:val="0"/>
        <w:bidi w:val="0"/>
        <w:adjustRightInd/>
        <w:snapToGrid/>
        <w:spacing w:line="240" w:lineRule="auto"/>
        <w:ind w:firstLine="480"/>
        <w:jc w:val="center"/>
        <w:textAlignment w:val="auto"/>
        <w:rPr>
          <w:rFonts w:hint="default" w:cs="Times New Roman"/>
          <w:b/>
          <w:bCs/>
          <w:color w:val="auto"/>
          <w:sz w:val="24"/>
          <w:szCs w:val="24"/>
          <w:lang w:val="en-US" w:eastAsia="zh-CN"/>
        </w:rPr>
      </w:pPr>
      <w:r>
        <w:rPr>
          <w:rFonts w:hint="eastAsia" w:cs="Times New Roman"/>
          <w:b/>
          <w:bCs/>
          <w:color w:val="auto"/>
          <w:sz w:val="24"/>
          <w:szCs w:val="24"/>
          <w:lang w:val="en-US" w:eastAsia="zh-CN"/>
        </w:rPr>
        <w:t>表7.2-1    常见VOCs控制技术之优缺点比较</w:t>
      </w:r>
    </w:p>
    <w:tbl>
      <w:tblPr>
        <w:tblStyle w:val="27"/>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875"/>
        <w:gridCol w:w="2323"/>
        <w:gridCol w:w="2384"/>
        <w:gridCol w:w="2979"/>
      </w:tblGrid>
      <w:tr w14:paraId="2CEC3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858" w:type="pct"/>
            <w:gridSpan w:val="2"/>
            <w:noWrap w:val="0"/>
            <w:vAlign w:val="center"/>
          </w:tcPr>
          <w:p w14:paraId="182BF91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控制技术装备</w:t>
            </w:r>
          </w:p>
        </w:tc>
        <w:tc>
          <w:tcPr>
            <w:tcW w:w="1251" w:type="pct"/>
            <w:noWrap w:val="0"/>
            <w:vAlign w:val="center"/>
          </w:tcPr>
          <w:p w14:paraId="5C78E67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优点</w:t>
            </w:r>
          </w:p>
        </w:tc>
        <w:tc>
          <w:tcPr>
            <w:tcW w:w="1284" w:type="pct"/>
            <w:noWrap w:val="0"/>
            <w:vAlign w:val="center"/>
          </w:tcPr>
          <w:p w14:paraId="7EA2E91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缺点</w:t>
            </w:r>
          </w:p>
        </w:tc>
        <w:tc>
          <w:tcPr>
            <w:tcW w:w="1605" w:type="pct"/>
            <w:noWrap w:val="0"/>
            <w:vAlign w:val="center"/>
          </w:tcPr>
          <w:p w14:paraId="4C2BBDC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适用范围与受限范围</w:t>
            </w:r>
          </w:p>
        </w:tc>
      </w:tr>
      <w:tr w14:paraId="5AD987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restart"/>
            <w:noWrap w:val="0"/>
            <w:vAlign w:val="center"/>
          </w:tcPr>
          <w:p w14:paraId="6E3C499A">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吸附技术</w:t>
            </w:r>
          </w:p>
        </w:tc>
        <w:tc>
          <w:tcPr>
            <w:tcW w:w="471" w:type="pct"/>
            <w:noWrap w:val="0"/>
            <w:vAlign w:val="center"/>
          </w:tcPr>
          <w:p w14:paraId="0856E79F">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固定床吸附系统</w:t>
            </w:r>
          </w:p>
        </w:tc>
        <w:tc>
          <w:tcPr>
            <w:tcW w:w="1251" w:type="pct"/>
            <w:noWrap w:val="0"/>
            <w:vAlign w:val="center"/>
          </w:tcPr>
          <w:p w14:paraId="76E6C0D1">
            <w:pPr>
              <w:pStyle w:val="63"/>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96" w:leftChars="-40" w:right="-96" w:rightChars="-40"/>
              <w:jc w:val="both"/>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1.</w:t>
            </w:r>
            <w:r>
              <w:rPr>
                <w:rFonts w:hint="default" w:ascii="Times New Roman" w:hAnsi="Times New Roman" w:eastAsia="宋体" w:cs="Times New Roman"/>
                <w:color w:val="auto"/>
                <w:sz w:val="21"/>
                <w:szCs w:val="21"/>
                <w:lang w:eastAsia="zh-CN"/>
              </w:rPr>
              <w:t>初设成本低；</w:t>
            </w:r>
          </w:p>
          <w:p w14:paraId="154AF891">
            <w:pPr>
              <w:pStyle w:val="63"/>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96" w:leftChars="-40" w:right="-96" w:rightChars="-40"/>
              <w:jc w:val="both"/>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2.</w:t>
            </w:r>
            <w:r>
              <w:rPr>
                <w:rFonts w:hint="default" w:ascii="Times New Roman" w:hAnsi="Times New Roman" w:eastAsia="宋体" w:cs="Times New Roman"/>
                <w:color w:val="auto"/>
                <w:sz w:val="21"/>
                <w:szCs w:val="21"/>
                <w:lang w:eastAsia="zh-CN"/>
              </w:rPr>
              <w:t>能源需求低；</w:t>
            </w:r>
          </w:p>
          <w:p w14:paraId="03677F49">
            <w:pPr>
              <w:pStyle w:val="63"/>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96" w:leftChars="-40" w:right="-96" w:rightChars="-40"/>
              <w:jc w:val="both"/>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3.</w:t>
            </w:r>
            <w:r>
              <w:rPr>
                <w:rFonts w:hint="default" w:ascii="Times New Roman" w:hAnsi="Times New Roman" w:eastAsia="宋体" w:cs="Times New Roman"/>
                <w:color w:val="auto"/>
                <w:sz w:val="21"/>
                <w:szCs w:val="21"/>
                <w:lang w:eastAsia="zh-CN"/>
              </w:rPr>
              <w:t>能源需求低；</w:t>
            </w:r>
          </w:p>
          <w:p w14:paraId="74C45312">
            <w:pPr>
              <w:pStyle w:val="63"/>
              <w:keepNext w:val="0"/>
              <w:keepLines w:val="0"/>
              <w:pageBreakBefore w:val="0"/>
              <w:widowControl w:val="0"/>
              <w:numPr>
                <w:ilvl w:val="0"/>
                <w:numId w:val="0"/>
              </w:numPr>
              <w:kinsoku/>
              <w:wordWrap/>
              <w:overflowPunct/>
              <w:topLinePunct w:val="0"/>
              <w:autoSpaceDE w:val="0"/>
              <w:autoSpaceDN w:val="0"/>
              <w:bidi w:val="0"/>
              <w:adjustRightInd w:val="0"/>
              <w:snapToGrid w:val="0"/>
              <w:spacing w:line="240" w:lineRule="auto"/>
              <w:ind w:left="-96" w:leftChars="-40" w:right="-96" w:rightChars="-40"/>
              <w:jc w:val="both"/>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4</w:t>
            </w:r>
            <w:r>
              <w:rPr>
                <w:rFonts w:hint="default" w:ascii="Times New Roman" w:hAnsi="Times New Roman" w:eastAsia="宋体" w:cs="Times New Roman"/>
                <w:color w:val="auto"/>
                <w:sz w:val="21"/>
                <w:szCs w:val="21"/>
                <w:lang w:eastAsia="zh-CN"/>
              </w:rPr>
              <w:t>.适合多种污染物；</w:t>
            </w:r>
          </w:p>
          <w:p w14:paraId="76D16F9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jc w:val="both"/>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val="en-US" w:eastAsia="zh-CN"/>
              </w:rPr>
              <w:t>5</w:t>
            </w:r>
            <w:r>
              <w:rPr>
                <w:rFonts w:hint="default" w:ascii="Times New Roman" w:hAnsi="Times New Roman" w:eastAsia="宋体" w:cs="Times New Roman"/>
                <w:color w:val="auto"/>
                <w:sz w:val="21"/>
                <w:szCs w:val="21"/>
                <w:lang w:eastAsia="zh-CN"/>
              </w:rPr>
              <w:t>.臭味去除有很高的效率</w:t>
            </w:r>
          </w:p>
        </w:tc>
        <w:tc>
          <w:tcPr>
            <w:tcW w:w="1284" w:type="pct"/>
            <w:noWrap w:val="0"/>
            <w:vAlign w:val="center"/>
          </w:tcPr>
          <w:p w14:paraId="0E533D6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1.操作时间短，更换频繁；</w:t>
            </w:r>
          </w:p>
          <w:p w14:paraId="67D7228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2.有火灾风险</w:t>
            </w:r>
          </w:p>
        </w:tc>
        <w:tc>
          <w:tcPr>
            <w:tcW w:w="1605" w:type="pct"/>
            <w:noWrap w:val="0"/>
            <w:vAlign w:val="center"/>
          </w:tcPr>
          <w:p w14:paraId="5E916C2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适用于生产和使用溶剂型和水性涂料的企业，如生产卷钢、船舶、机械、汽车、家具、包装印刷、电子 涂料、油墨及胶粘剂的企业等低浓度（≤1000mg/</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）的废气处理；不适合高浓度、含颗粒物状、湿度大的废气，对废气预处理要求高。此外，对酮类、苯乙烯等气体吸附较差</w:t>
            </w:r>
          </w:p>
        </w:tc>
      </w:tr>
      <w:tr w14:paraId="5CD63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20CC6C3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05AE65C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旋转式（转轮、转筒）吸附系统</w:t>
            </w:r>
          </w:p>
        </w:tc>
        <w:tc>
          <w:tcPr>
            <w:tcW w:w="1251" w:type="pct"/>
            <w:noWrap w:val="0"/>
            <w:vAlign w:val="center"/>
          </w:tcPr>
          <w:p w14:paraId="273AB50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1.结构紧凑，占地面积小；</w:t>
            </w:r>
          </w:p>
          <w:p w14:paraId="3A8BD2F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2.操作简单、可连续操作、运行 稳定；</w:t>
            </w:r>
          </w:p>
          <w:p w14:paraId="365AC16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3.单位床层阻力小；</w:t>
            </w:r>
          </w:p>
          <w:p w14:paraId="5897F0DA">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4.脱附后废气浓度浮动范围小</w:t>
            </w:r>
          </w:p>
        </w:tc>
        <w:tc>
          <w:tcPr>
            <w:tcW w:w="1284" w:type="pct"/>
            <w:noWrap w:val="0"/>
            <w:vAlign w:val="center"/>
          </w:tcPr>
          <w:p w14:paraId="7AFFDAD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1.运行能耗高；</w:t>
            </w:r>
          </w:p>
          <w:p w14:paraId="4A5890A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2.对密封件要求高，设备制造难度大、成本高；</w:t>
            </w:r>
          </w:p>
          <w:p w14:paraId="374208A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3.无法独立完全处理废气，需要配备 其他废气处理装置；</w:t>
            </w:r>
          </w:p>
          <w:p w14:paraId="3EC9EF30">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4.吸附剂装填空隙小</w:t>
            </w:r>
          </w:p>
        </w:tc>
        <w:tc>
          <w:tcPr>
            <w:tcW w:w="1605" w:type="pct"/>
            <w:noWrap w:val="0"/>
            <w:vAlign w:val="center"/>
          </w:tcPr>
          <w:p w14:paraId="5CE0320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适用于低浓度（≤5000mg/</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）、大风量（≤100000</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/h）的废气处理，如生产卷钢、船舶、机械、汽车、家具、包装印刷、电子、涂料、油墨及胶粘剂等生产或使用溶剂型涂料和水性涂料的行业；不适合含颗粒物状废气，对废气预处理要求高</w:t>
            </w:r>
          </w:p>
        </w:tc>
      </w:tr>
      <w:tr w14:paraId="57FD46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restart"/>
            <w:noWrap w:val="0"/>
            <w:vAlign w:val="center"/>
          </w:tcPr>
          <w:p w14:paraId="073B3530">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燃烧技术</w:t>
            </w:r>
          </w:p>
        </w:tc>
        <w:tc>
          <w:tcPr>
            <w:tcW w:w="471" w:type="pct"/>
            <w:noWrap w:val="0"/>
            <w:vAlign w:val="center"/>
          </w:tcPr>
          <w:p w14:paraId="19175CD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TO</w:t>
            </w:r>
          </w:p>
        </w:tc>
        <w:tc>
          <w:tcPr>
            <w:tcW w:w="1251" w:type="pct"/>
            <w:noWrap w:val="0"/>
            <w:vAlign w:val="center"/>
          </w:tcPr>
          <w:p w14:paraId="6EBBF73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1.污染物适合范围广；</w:t>
            </w:r>
          </w:p>
          <w:p w14:paraId="5EDCBBD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2.处理效率高（可达90%以上）；</w:t>
            </w:r>
          </w:p>
          <w:p w14:paraId="5F80B6A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3.设备简单</w:t>
            </w:r>
          </w:p>
        </w:tc>
        <w:tc>
          <w:tcPr>
            <w:tcW w:w="1284" w:type="pct"/>
            <w:noWrap w:val="0"/>
            <w:vAlign w:val="center"/>
          </w:tcPr>
          <w:p w14:paraId="6FF905F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1.对低浓度废气，燃料成本较高；</w:t>
            </w:r>
          </w:p>
          <w:p w14:paraId="3E033128">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2.操作温度及成本高；</w:t>
            </w:r>
          </w:p>
          <w:p w14:paraId="3938610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3.可能有NOx、CO问题产生</w:t>
            </w:r>
          </w:p>
        </w:tc>
        <w:tc>
          <w:tcPr>
            <w:tcW w:w="1605" w:type="pct"/>
            <w:noWrap w:val="0"/>
            <w:vAlign w:val="center"/>
          </w:tcPr>
          <w:p w14:paraId="66B65D88">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适用于化工、工业涂装等行业中高浓度、不具有回收价值VOCs的治理，如涂料、油墨及胶粘剂制造业、汽车制造和集装箱制造等；不适合含氮、硫、卤素等化合物的治理</w:t>
            </w:r>
          </w:p>
        </w:tc>
      </w:tr>
      <w:tr w14:paraId="0C745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0772EEB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44F0779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CO</w:t>
            </w:r>
          </w:p>
        </w:tc>
        <w:tc>
          <w:tcPr>
            <w:tcW w:w="1251" w:type="pct"/>
            <w:noWrap w:val="0"/>
            <w:vAlign w:val="center"/>
          </w:tcPr>
          <w:p w14:paraId="59C7BAB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1.操作温度较直接燃烧低；2.相较于TO，燃料消耗量少；3.处理效率高可达（90%以上）</w:t>
            </w:r>
          </w:p>
        </w:tc>
        <w:tc>
          <w:tcPr>
            <w:tcW w:w="1284" w:type="pct"/>
            <w:noWrap w:val="0"/>
            <w:vAlign w:val="center"/>
          </w:tcPr>
          <w:p w14:paraId="69E919B7">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1.催化剂易阻塞、烧结、中毒、破损及活性衰退；</w:t>
            </w:r>
          </w:p>
          <w:p w14:paraId="5232A538">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2.对某些污染物成分及浓度有所限制</w:t>
            </w:r>
          </w:p>
        </w:tc>
        <w:tc>
          <w:tcPr>
            <w:tcW w:w="1605" w:type="pct"/>
            <w:noWrap w:val="0"/>
            <w:vAlign w:val="center"/>
          </w:tcPr>
          <w:p w14:paraId="52B5536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适用于中浓度（数千ppm范围）无回收价值的VOCs治理，如包装印刷、家具制造等；不适合含有硫、卤素等化合物</w:t>
            </w:r>
          </w:p>
        </w:tc>
      </w:tr>
      <w:tr w14:paraId="2734A6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17F32DF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480BF66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RTO</w:t>
            </w:r>
          </w:p>
        </w:tc>
        <w:tc>
          <w:tcPr>
            <w:tcW w:w="1251" w:type="pct"/>
            <w:noWrap w:val="0"/>
            <w:vAlign w:val="center"/>
          </w:tcPr>
          <w:p w14:paraId="1E452CAA">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1.高热回收效率（＞90%）；2.可处理较高进口温度；3.可处理含卤素碳氢化合物；4.高去除效率</w:t>
            </w:r>
          </w:p>
        </w:tc>
        <w:tc>
          <w:tcPr>
            <w:tcW w:w="1284" w:type="pct"/>
            <w:noWrap w:val="0"/>
            <w:vAlign w:val="center"/>
          </w:tcPr>
          <w:p w14:paraId="61668EAC">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1.陶</w:t>
            </w:r>
            <w:r>
              <w:rPr>
                <w:rFonts w:hint="default" w:ascii="Times New Roman" w:hAnsi="Times New Roman" w:eastAsia="宋体" w:cs="Times New Roman"/>
                <w:color w:val="auto"/>
                <w:sz w:val="21"/>
                <w:szCs w:val="21"/>
                <w:highlight w:val="none"/>
                <w:lang w:eastAsia="zh-CN"/>
              </w:rPr>
              <w:t>瓷床压损大且易阻塞；</w:t>
            </w:r>
            <w:r>
              <w:rPr>
                <w:rFonts w:hint="default" w:ascii="Times New Roman" w:hAnsi="Times New Roman" w:eastAsia="宋体" w:cs="Times New Roman"/>
                <w:color w:val="auto"/>
                <w:sz w:val="21"/>
                <w:szCs w:val="21"/>
                <w:lang w:eastAsia="zh-CN"/>
              </w:rPr>
              <w:t>2.低VOCs浓度时燃料费用高；3.NOx问题需注意；4.热机冷却时间长（12～24h）；5.需定期清除氧化室</w:t>
            </w:r>
          </w:p>
        </w:tc>
        <w:tc>
          <w:tcPr>
            <w:tcW w:w="1605" w:type="pct"/>
            <w:noWrap w:val="0"/>
            <w:vAlign w:val="center"/>
          </w:tcPr>
          <w:p w14:paraId="3B8770FA">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适用于中高浓度、不具有回收价值VOCs的治理，如集装箱制造、汽车制造、家具制造等；不适合易自聚化合物（苯乙烯等）硅烷类化合物、含氮化合物等</w:t>
            </w:r>
          </w:p>
        </w:tc>
      </w:tr>
      <w:tr w14:paraId="0A164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093946E7">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5E2C240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RCO</w:t>
            </w:r>
          </w:p>
        </w:tc>
        <w:tc>
          <w:tcPr>
            <w:tcW w:w="1251" w:type="pct"/>
            <w:noWrap w:val="0"/>
            <w:vAlign w:val="center"/>
          </w:tcPr>
          <w:p w14:paraId="197E9788">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1.操作成本较RTO低；</w:t>
            </w:r>
          </w:p>
          <w:p w14:paraId="587D343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2.设备体积较RTO小；</w:t>
            </w:r>
          </w:p>
          <w:p w14:paraId="4F5816A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3.高去除率（95%～99%）及高热回收率（＞90%）</w:t>
            </w:r>
          </w:p>
        </w:tc>
        <w:tc>
          <w:tcPr>
            <w:tcW w:w="1284" w:type="pct"/>
            <w:noWrap w:val="0"/>
            <w:vAlign w:val="center"/>
          </w:tcPr>
          <w:p w14:paraId="79BEBB8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1.催化剂成本高、且有废弃催化剂处理问题；</w:t>
            </w:r>
          </w:p>
          <w:p w14:paraId="6338B75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2.催化剂易阻塞、烧结、中毒、破损及活性衰退</w:t>
            </w:r>
          </w:p>
        </w:tc>
        <w:tc>
          <w:tcPr>
            <w:tcW w:w="1605" w:type="pct"/>
            <w:noWrap w:val="0"/>
            <w:vAlign w:val="center"/>
          </w:tcPr>
          <w:p w14:paraId="649EE20F">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适用于中高浓度废气治理，如化工、工业涂装、包装印刷等行业；不适合处理易自聚、易反应等物质（苯乙烯），不适合处理硅烷类及含氮化合物</w:t>
            </w:r>
          </w:p>
        </w:tc>
      </w:tr>
      <w:tr w14:paraId="65257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noWrap w:val="0"/>
            <w:vAlign w:val="center"/>
          </w:tcPr>
          <w:p w14:paraId="766FC53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冷凝技术</w:t>
            </w:r>
          </w:p>
        </w:tc>
        <w:tc>
          <w:tcPr>
            <w:tcW w:w="471" w:type="pct"/>
            <w:noWrap w:val="0"/>
            <w:vAlign w:val="center"/>
          </w:tcPr>
          <w:p w14:paraId="12C05242">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管壳式冷凝器、板面式冷凝器</w:t>
            </w:r>
          </w:p>
        </w:tc>
        <w:tc>
          <w:tcPr>
            <w:tcW w:w="1251" w:type="pct"/>
            <w:noWrap w:val="0"/>
            <w:vAlign w:val="center"/>
          </w:tcPr>
          <w:p w14:paraId="7EE71182">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1.设备及操作简单；</w:t>
            </w:r>
          </w:p>
          <w:p w14:paraId="6B22F4B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2.回收的物质纯净；</w:t>
            </w:r>
          </w:p>
          <w:p w14:paraId="0F674196">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3.投资及运行费用低</w:t>
            </w:r>
          </w:p>
        </w:tc>
        <w:tc>
          <w:tcPr>
            <w:tcW w:w="1284" w:type="pct"/>
            <w:noWrap w:val="0"/>
            <w:vAlign w:val="center"/>
          </w:tcPr>
          <w:p w14:paraId="0EC0B15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1.净化效率不高；</w:t>
            </w:r>
          </w:p>
          <w:p w14:paraId="102D34A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2.设备较庞大；</w:t>
            </w:r>
          </w:p>
          <w:p w14:paraId="38D08E12">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3.净化后不能达标，需设后处理工艺</w:t>
            </w:r>
          </w:p>
        </w:tc>
        <w:tc>
          <w:tcPr>
            <w:tcW w:w="1605" w:type="pct"/>
            <w:noWrap w:val="0"/>
            <w:vAlign w:val="center"/>
          </w:tcPr>
          <w:p w14:paraId="2691795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适用于高浓度（≥10000mg/</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）、中低风量、具有回收价值的VOCs治理，主要应用于医药制药、炼油与石油化工类行业</w:t>
            </w:r>
          </w:p>
        </w:tc>
      </w:tr>
      <w:tr w14:paraId="3BC8B6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restart"/>
            <w:noWrap w:val="0"/>
            <w:vAlign w:val="center"/>
          </w:tcPr>
          <w:p w14:paraId="04CA1D8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其他组合技术</w:t>
            </w:r>
          </w:p>
        </w:tc>
        <w:tc>
          <w:tcPr>
            <w:tcW w:w="471" w:type="pct"/>
            <w:noWrap w:val="0"/>
            <w:vAlign w:val="center"/>
          </w:tcPr>
          <w:p w14:paraId="26947C8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沸石浓缩转+TO/RTO</w:t>
            </w:r>
          </w:p>
        </w:tc>
        <w:tc>
          <w:tcPr>
            <w:tcW w:w="1251" w:type="pct"/>
            <w:noWrap w:val="0"/>
            <w:vAlign w:val="center"/>
          </w:tcPr>
          <w:p w14:paraId="79C888CB">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1.去除效率高（300ppm以下）；</w:t>
            </w:r>
          </w:p>
          <w:p w14:paraId="2E26926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2.高浓缩比（5～30）；</w:t>
            </w:r>
          </w:p>
          <w:p w14:paraId="034E663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3.燃料费较省；4.高处理效益</w:t>
            </w:r>
          </w:p>
        </w:tc>
        <w:tc>
          <w:tcPr>
            <w:tcW w:w="1284" w:type="pct"/>
            <w:noWrap w:val="0"/>
            <w:vAlign w:val="center"/>
          </w:tcPr>
          <w:p w14:paraId="6B59F38E">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1.含高沸点物质时，转轮需定期水洗 再生（废水处理问题），还会有蓄热 材料堵塞问题；2.浓度较高时及操作处理不当时，有 潜在的着火危险，需加装保护措施（N2 及消防水自动喷洒）；3.转轮寿命3～5年（高沸点成分脱附困难）；4.系统压力变动大；5.燃料费用高</w:t>
            </w:r>
          </w:p>
        </w:tc>
        <w:tc>
          <w:tcPr>
            <w:tcW w:w="1605" w:type="pct"/>
            <w:noWrap w:val="0"/>
            <w:vAlign w:val="center"/>
          </w:tcPr>
          <w:p w14:paraId="4A3DC44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适用于如汽车制造行业企业等产生废气量大（≥100000</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/h）且浓度低的企业</w:t>
            </w:r>
          </w:p>
        </w:tc>
      </w:tr>
      <w:tr w14:paraId="2C4F88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59E9429A">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7B72B6E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活性炭+CO</w:t>
            </w:r>
          </w:p>
        </w:tc>
        <w:tc>
          <w:tcPr>
            <w:tcW w:w="1251" w:type="pct"/>
            <w:noWrap w:val="0"/>
            <w:vAlign w:val="center"/>
          </w:tcPr>
          <w:p w14:paraId="27F21EEF">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1.一次性投资费用低；</w:t>
            </w:r>
          </w:p>
          <w:p w14:paraId="4349340D">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2.浓缩比可达10∶1；</w:t>
            </w:r>
          </w:p>
          <w:p w14:paraId="1C8E1D27">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3.能耗低；</w:t>
            </w:r>
          </w:p>
          <w:p w14:paraId="43E5848C">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4.处理风量大；</w:t>
            </w:r>
          </w:p>
          <w:p w14:paraId="22AA415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5.净化效率高，≥90%</w:t>
            </w:r>
          </w:p>
        </w:tc>
        <w:tc>
          <w:tcPr>
            <w:tcW w:w="1284" w:type="pct"/>
            <w:noWrap w:val="0"/>
            <w:vAlign w:val="center"/>
          </w:tcPr>
          <w:p w14:paraId="2EBFDDF2">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1.活性炭和催化剂需定期更换；2.粉尘量大于0.3mg/N</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时需要 除尘；</w:t>
            </w:r>
          </w:p>
          <w:p w14:paraId="3542688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3.不适合处理有机物浓度高于1g/N</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的废气</w:t>
            </w:r>
          </w:p>
        </w:tc>
        <w:tc>
          <w:tcPr>
            <w:tcW w:w="1605" w:type="pct"/>
            <w:noWrap w:val="0"/>
            <w:vAlign w:val="center"/>
          </w:tcPr>
          <w:p w14:paraId="274E5BB4">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适用于低浓度（≤1000mg/</w:t>
            </w:r>
            <w:r>
              <w:rPr>
                <w:rFonts w:hint="default" w:ascii="Times New Roman" w:hAnsi="Times New Roman" w:eastAsia="宋体" w:cs="Times New Roman"/>
                <w:color w:val="auto"/>
                <w:sz w:val="21"/>
                <w:szCs w:val="21"/>
                <w:lang w:val="en-US" w:eastAsia="zh-CN"/>
              </w:rPr>
              <w:t>m</w:t>
            </w:r>
            <w:r>
              <w:rPr>
                <w:rFonts w:hint="default" w:ascii="Times New Roman" w:hAnsi="Times New Roman" w:eastAsia="宋体" w:cs="Times New Roman"/>
                <w:color w:val="auto"/>
                <w:sz w:val="21"/>
                <w:szCs w:val="21"/>
                <w:vertAlign w:val="superscript"/>
                <w:lang w:val="en-US" w:eastAsia="zh-CN"/>
              </w:rPr>
              <w:t>3</w:t>
            </w:r>
            <w:r>
              <w:rPr>
                <w:rFonts w:hint="default" w:ascii="Times New Roman" w:hAnsi="Times New Roman" w:eastAsia="宋体" w:cs="Times New Roman"/>
                <w:color w:val="auto"/>
                <w:sz w:val="21"/>
                <w:szCs w:val="21"/>
                <w:lang w:eastAsia="zh-CN"/>
              </w:rPr>
              <w:t>）的废气处理；不适合高浓度、含颗粒物状、湿度大的废气；不适合处理含高沸点物质、硫化物、卤素、重金属、油雾、强酸或碱性的废气</w:t>
            </w:r>
          </w:p>
        </w:tc>
      </w:tr>
      <w:tr w14:paraId="552F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386" w:type="pct"/>
            <w:vMerge w:val="continue"/>
            <w:noWrap w:val="0"/>
            <w:vAlign w:val="center"/>
          </w:tcPr>
          <w:p w14:paraId="31C8EF7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p>
        </w:tc>
        <w:tc>
          <w:tcPr>
            <w:tcW w:w="471" w:type="pct"/>
            <w:noWrap w:val="0"/>
            <w:vAlign w:val="center"/>
          </w:tcPr>
          <w:p w14:paraId="1D9CC65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rPr>
              <w:t>冷凝+吸附</w:t>
            </w:r>
          </w:p>
        </w:tc>
        <w:tc>
          <w:tcPr>
            <w:tcW w:w="1251" w:type="pct"/>
            <w:noWrap w:val="0"/>
            <w:vAlign w:val="center"/>
          </w:tcPr>
          <w:p w14:paraId="34A66D52">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1.回收率高、回收物纯度高，经济效益高；</w:t>
            </w:r>
          </w:p>
          <w:p w14:paraId="71FEE673">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2.低温下吸附处理VOCs气体安全性高</w:t>
            </w:r>
          </w:p>
        </w:tc>
        <w:tc>
          <w:tcPr>
            <w:tcW w:w="1284" w:type="pct"/>
            <w:noWrap w:val="0"/>
            <w:vAlign w:val="center"/>
          </w:tcPr>
          <w:p w14:paraId="1A942609">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1.单一冷凝要达标需要到很低的温度，耗电量较大，日常维护需专业的人员；2.净化程度受冷凝温度限制、运行成本高；</w:t>
            </w:r>
          </w:p>
          <w:p w14:paraId="0131AAD1">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3.需要有附设的冷冻设备，投资大 能耗高、运行费用大；4.占地空间较大，吸附剂需定期更换</w:t>
            </w:r>
          </w:p>
        </w:tc>
        <w:tc>
          <w:tcPr>
            <w:tcW w:w="1605" w:type="pct"/>
            <w:noWrap w:val="0"/>
            <w:vAlign w:val="center"/>
          </w:tcPr>
          <w:p w14:paraId="53C2E6F5">
            <w:pPr>
              <w:pStyle w:val="63"/>
              <w:keepNext w:val="0"/>
              <w:keepLines w:val="0"/>
              <w:pageBreakBefore w:val="0"/>
              <w:widowControl w:val="0"/>
              <w:kinsoku/>
              <w:wordWrap/>
              <w:overflowPunct/>
              <w:topLinePunct w:val="0"/>
              <w:autoSpaceDE w:val="0"/>
              <w:autoSpaceDN w:val="0"/>
              <w:bidi w:val="0"/>
              <w:adjustRightInd w:val="0"/>
              <w:snapToGrid w:val="0"/>
              <w:spacing w:line="240" w:lineRule="auto"/>
              <w:ind w:left="-96" w:leftChars="-40" w:right="-96" w:rightChars="-40"/>
              <w:textAlignment w:val="baseline"/>
              <w:rPr>
                <w:rFonts w:hint="default" w:ascii="Times New Roman" w:hAnsi="Times New Roman" w:eastAsia="宋体" w:cs="Times New Roman"/>
                <w:color w:val="auto"/>
                <w:sz w:val="21"/>
                <w:szCs w:val="21"/>
                <w:lang w:eastAsia="zh-CN"/>
              </w:rPr>
            </w:pPr>
            <w:r>
              <w:rPr>
                <w:rFonts w:hint="default" w:ascii="Times New Roman" w:hAnsi="Times New Roman" w:eastAsia="宋体" w:cs="Times New Roman"/>
                <w:color w:val="auto"/>
                <w:sz w:val="21"/>
                <w:szCs w:val="21"/>
                <w:lang w:eastAsia="zh-CN"/>
              </w:rPr>
              <w:t>适用于高沸点、高浓度VOCs治理，如炼油、石油化工、其他化学工业行业以及合成材料行业的企业</w:t>
            </w:r>
          </w:p>
        </w:tc>
      </w:tr>
    </w:tbl>
    <w:p w14:paraId="2C6C6C96">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Times New Roman" w:hAnsi="Times New Roman" w:eastAsia="Times New Roman" w:cs="Times New Roman"/>
          <w:color w:val="auto"/>
          <w:spacing w:val="-1"/>
          <w:sz w:val="24"/>
          <w:szCs w:val="24"/>
          <w:lang w:val="en-US" w:eastAsia="zh-CN"/>
        </w:rPr>
      </w:pPr>
      <w:r>
        <w:rPr>
          <w:rFonts w:hint="eastAsia" w:eastAsia="Times New Roman" w:cs="Times New Roman"/>
          <w:color w:val="auto"/>
          <w:spacing w:val="-1"/>
          <w:sz w:val="24"/>
          <w:szCs w:val="24"/>
          <w:lang w:val="en-US" w:eastAsia="zh-CN"/>
        </w:rPr>
        <w:t>（2）有机</w:t>
      </w:r>
      <w:r>
        <w:rPr>
          <w:rFonts w:hint="eastAsia" w:ascii="Times New Roman" w:hAnsi="Times New Roman" w:eastAsia="Times New Roman" w:cs="Times New Roman"/>
          <w:color w:val="auto"/>
          <w:spacing w:val="-1"/>
          <w:sz w:val="24"/>
          <w:szCs w:val="24"/>
          <w:lang w:val="en-US" w:eastAsia="zh-CN"/>
        </w:rPr>
        <w:t>废气措施可行性分析（</w:t>
      </w:r>
      <w:r>
        <w:rPr>
          <w:rFonts w:hint="eastAsia" w:eastAsia="宋体" w:cs="Times New Roman"/>
          <w:color w:val="auto"/>
          <w:spacing w:val="-1"/>
          <w:sz w:val="24"/>
          <w:szCs w:val="24"/>
          <w:lang w:val="en-US" w:eastAsia="zh-CN"/>
        </w:rPr>
        <w:t>RCO</w:t>
      </w:r>
      <w:r>
        <w:rPr>
          <w:rFonts w:hint="eastAsia" w:ascii="Times New Roman" w:hAnsi="Times New Roman" w:eastAsia="Times New Roman" w:cs="Times New Roman"/>
          <w:color w:val="auto"/>
          <w:spacing w:val="-1"/>
          <w:sz w:val="24"/>
          <w:szCs w:val="24"/>
          <w:lang w:val="en-US" w:eastAsia="zh-CN"/>
        </w:rPr>
        <w:t>）</w:t>
      </w:r>
    </w:p>
    <w:p w14:paraId="7973D2D3">
      <w:pPr>
        <w:pageBreakBefore w:val="0"/>
        <w:kinsoku/>
        <w:wordWrap/>
        <w:overflowPunct/>
        <w:topLinePunct w:val="0"/>
        <w:bidi w:val="0"/>
        <w:ind w:firstLine="480"/>
        <w:jc w:val="both"/>
        <w:rPr>
          <w:rFonts w:hint="eastAsia" w:cs="Times New Roman"/>
          <w:color w:val="auto"/>
          <w:lang w:val="en-US" w:eastAsia="zh-CN"/>
        </w:rPr>
      </w:pPr>
      <w:r>
        <w:rPr>
          <w:rFonts w:hint="eastAsia" w:ascii="Times New Roman" w:hAnsi="Times New Roman" w:eastAsia="Times New Roman" w:cs="Times New Roman"/>
          <w:color w:val="auto"/>
          <w:spacing w:val="-1"/>
          <w:sz w:val="24"/>
          <w:szCs w:val="24"/>
          <w:lang w:val="en-US" w:eastAsia="zh-CN"/>
        </w:rPr>
        <w:t>①</w:t>
      </w:r>
      <w:r>
        <w:rPr>
          <w:rFonts w:hint="eastAsia" w:cs="Times New Roman"/>
          <w:color w:val="auto"/>
          <w:lang w:val="en-US" w:eastAsia="zh-CN"/>
        </w:rPr>
        <w:t>RCO运行原理</w:t>
      </w:r>
    </w:p>
    <w:p w14:paraId="3644DE5C">
      <w:pPr>
        <w:pageBreakBefore w:val="0"/>
        <w:kinsoku/>
        <w:wordWrap/>
        <w:overflowPunct/>
        <w:topLinePunct w:val="0"/>
        <w:bidi w:val="0"/>
        <w:ind w:firstLine="480"/>
        <w:jc w:val="both"/>
        <w:rPr>
          <w:rFonts w:hint="eastAsia" w:cs="Times New Roman"/>
          <w:color w:val="auto"/>
          <w:lang w:val="en-US" w:eastAsia="zh-CN"/>
        </w:rPr>
      </w:pPr>
      <w:r>
        <w:rPr>
          <w:rFonts w:hint="eastAsia" w:cs="Times New Roman"/>
          <w:color w:val="auto"/>
          <w:lang w:val="en-US" w:eastAsia="zh-CN"/>
        </w:rPr>
        <w:t>催化燃烧（RCO）：将有机废气送往催化燃烧室催化燃烧成二氧化碳及水蒸气排出。当有机废气的浓度达到2000PPm以上时，有机废气在催化床可维持自燃，不用外加热。</w:t>
      </w:r>
    </w:p>
    <w:p w14:paraId="6CDD185B">
      <w:pPr>
        <w:pageBreakBefore w:val="0"/>
        <w:kinsoku/>
        <w:wordWrap/>
        <w:overflowPunct/>
        <w:topLinePunct w:val="0"/>
        <w:bidi w:val="0"/>
        <w:ind w:firstLine="480"/>
        <w:jc w:val="both"/>
        <w:rPr>
          <w:rFonts w:hint="eastAsia" w:cs="Times New Roman"/>
          <w:color w:val="auto"/>
          <w:lang w:val="en-US" w:eastAsia="zh-CN"/>
        </w:rPr>
      </w:pPr>
      <w:r>
        <w:rPr>
          <w:rFonts w:hint="eastAsia" w:cs="Times New Roman"/>
          <w:color w:val="auto"/>
          <w:lang w:val="en-US" w:eastAsia="zh-CN"/>
        </w:rPr>
        <w:t>催化燃烧设备设计原理先进、用材独特，性能稳定，结构简便，安全可靠，节能省力，无二次污染。设备占地面积小，重量轻。催化燃烧室采用蜂窝陶瓷状为载体的贵金属催化剂，阻力小，活性高。当有机蒸气浓度达到2000PPm以上时，可维持自燃。耗电量小，由于床层阻力小，用低压风机就可以工作，不但耗电少而且噪音低。催化燃烧时，需电加热启动。有机物在催化床催化燃烧开始后，其燃烧热可足以维持其反应所需的温度，此时电加热停止，启动电加热时间大约为1小时左右。气体送催化燃烧室进行净化，不需外部能量，运行费用低，节能效果显著。</w:t>
      </w:r>
    </w:p>
    <w:p w14:paraId="2538F1AD">
      <w:pPr>
        <w:pageBreakBefore w:val="0"/>
        <w:kinsoku/>
        <w:wordWrap/>
        <w:overflowPunct/>
        <w:topLinePunct w:val="0"/>
        <w:bidi w:val="0"/>
        <w:ind w:firstLine="480"/>
        <w:jc w:val="both"/>
        <w:rPr>
          <w:rFonts w:hint="eastAsia" w:cs="Times New Roman"/>
          <w:color w:val="auto"/>
          <w:lang w:val="en-US" w:eastAsia="zh-CN"/>
        </w:rPr>
      </w:pPr>
      <w:r>
        <w:rPr>
          <w:rFonts w:hint="default" w:ascii="Times New Roman" w:hAnsi="Times New Roman" w:eastAsia="Times New Roman" w:cs="Times New Roman"/>
          <w:color w:val="auto"/>
          <w:spacing w:val="-1"/>
          <w:sz w:val="24"/>
          <w:szCs w:val="24"/>
          <w:lang w:val="en-US" w:eastAsia="zh-CN"/>
        </w:rPr>
        <w:t>②</w:t>
      </w:r>
      <w:r>
        <w:rPr>
          <w:rFonts w:hint="eastAsia" w:cs="Times New Roman"/>
          <w:color w:val="auto"/>
          <w:lang w:val="en-US" w:eastAsia="zh-CN"/>
        </w:rPr>
        <w:t>技术特点</w:t>
      </w:r>
    </w:p>
    <w:p w14:paraId="72BF4195">
      <w:pPr>
        <w:pageBreakBefore w:val="0"/>
        <w:kinsoku/>
        <w:wordWrap/>
        <w:overflowPunct/>
        <w:topLinePunct w:val="0"/>
        <w:bidi w:val="0"/>
        <w:ind w:left="0" w:leftChars="0" w:firstLine="480" w:firstLineChars="200"/>
        <w:jc w:val="both"/>
        <w:rPr>
          <w:rFonts w:hint="eastAsia" w:cs="Times New Roman"/>
          <w:color w:val="auto"/>
          <w:lang w:val="en-US" w:eastAsia="zh-CN"/>
        </w:rPr>
      </w:pPr>
      <w:r>
        <w:rPr>
          <w:rFonts w:hint="eastAsia" w:cs="Times New Roman"/>
          <w:color w:val="auto"/>
          <w:lang w:val="en-US" w:eastAsia="zh-CN"/>
        </w:rPr>
        <w:t>适应范围：适用于中高浓度废气治理，如化工、工业涂装、包装印刷等行业；不适合处理易自聚、易反应等物质（苯乙烯），不适合处理硅烷类及含氮化合物。</w:t>
      </w:r>
    </w:p>
    <w:p w14:paraId="639376A4">
      <w:pPr>
        <w:pageBreakBefore w:val="0"/>
        <w:kinsoku/>
        <w:wordWrap/>
        <w:overflowPunct/>
        <w:topLinePunct w:val="0"/>
        <w:bidi w:val="0"/>
        <w:ind w:firstLine="480"/>
        <w:jc w:val="both"/>
        <w:rPr>
          <w:rFonts w:hint="eastAsia" w:cs="Times New Roman"/>
          <w:color w:val="auto"/>
          <w:lang w:val="en-US" w:eastAsia="zh-CN"/>
        </w:rPr>
      </w:pPr>
      <w:r>
        <w:rPr>
          <w:rFonts w:hint="eastAsia" w:cs="Times New Roman"/>
          <w:color w:val="auto"/>
          <w:lang w:val="en-US" w:eastAsia="zh-CN"/>
        </w:rPr>
        <w:t>高效去除率：能高效去除挥发性有机物（VOCs）及硫化氢、氨气等无机物类污染物，采用“催化燃烧（RCO）”后废旧塑料颗粒加工生产造粒工序有机废气和滴灌带生产过程挤出成型工序有机废气排放浓度满足《合成树脂工业污染物排放标准》（GB31572-2015）</w:t>
      </w:r>
      <w:r>
        <w:rPr>
          <w:color w:val="auto"/>
        </w:rPr>
        <w:t>表4中排放限值要求</w:t>
      </w:r>
      <w:r>
        <w:rPr>
          <w:rFonts w:hint="eastAsia" w:cs="Times New Roman"/>
          <w:color w:val="auto"/>
          <w:lang w:val="en-US" w:eastAsia="zh-CN"/>
        </w:rPr>
        <w:t>。</w:t>
      </w:r>
    </w:p>
    <w:p w14:paraId="7F8EB302">
      <w:pPr>
        <w:pageBreakBefore w:val="0"/>
        <w:kinsoku/>
        <w:wordWrap/>
        <w:overflowPunct/>
        <w:topLinePunct w:val="0"/>
        <w:bidi w:val="0"/>
        <w:ind w:firstLine="480"/>
        <w:jc w:val="both"/>
        <w:rPr>
          <w:rFonts w:hint="eastAsia" w:cs="Times New Roman"/>
          <w:color w:val="auto"/>
          <w:lang w:val="en-US" w:eastAsia="zh-CN"/>
        </w:rPr>
      </w:pPr>
      <w:r>
        <w:rPr>
          <w:rFonts w:hint="eastAsia" w:cs="Times New Roman"/>
          <w:color w:val="auto"/>
          <w:lang w:val="en-US" w:eastAsia="zh-CN"/>
        </w:rPr>
        <w:t>运行成本：一次性投资费用低；能耗低。</w:t>
      </w:r>
    </w:p>
    <w:p w14:paraId="0ECB9CC1">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color w:val="auto"/>
          <w:sz w:val="24"/>
          <w:highlight w:val="none"/>
          <w:lang w:val="en-US" w:eastAsia="zh-CN"/>
        </w:rPr>
      </w:pPr>
      <w:r>
        <w:rPr>
          <w:rFonts w:hint="eastAsia"/>
          <w:color w:val="auto"/>
          <w:sz w:val="24"/>
          <w:highlight w:val="none"/>
          <w:lang w:val="en-US" w:eastAsia="zh-CN"/>
        </w:rPr>
        <w:t>综上所述，本项目生产车间采用</w:t>
      </w:r>
      <w:r>
        <w:rPr>
          <w:rFonts w:hint="eastAsia" w:cs="Times New Roman"/>
          <w:color w:val="auto"/>
          <w:lang w:val="en-US" w:eastAsia="zh-CN"/>
        </w:rPr>
        <w:t>“催化燃烧（RCO）”</w:t>
      </w:r>
      <w:r>
        <w:rPr>
          <w:rFonts w:hint="eastAsia"/>
          <w:color w:val="auto"/>
          <w:sz w:val="24"/>
          <w:highlight w:val="none"/>
          <w:lang w:val="en-US" w:eastAsia="zh-CN"/>
        </w:rPr>
        <w:t>处理生产工序产生的有机废气，符合《挥发性有机物无组织排放控制标准》（GB37822-2019）、《排污许可证申请与核发技术规范 废弃资源加工工业》（HJ1034-2019）及《排污许可证申请与核发技术规范 橡胶和塑料制品工业》（HJ1122-2020）的要求，且工艺技术较为成熟，运行维护较为简单，净化效果较为稳定可靠，可以做到稳定达标排放，所以采取的措施是可行的。</w:t>
      </w:r>
    </w:p>
    <w:p w14:paraId="7B7453A3">
      <w:pPr>
        <w:pStyle w:val="6"/>
        <w:pageBreakBefore w:val="0"/>
        <w:kinsoku/>
        <w:wordWrap/>
        <w:overflowPunct/>
        <w:topLinePunct w:val="0"/>
        <w:bidi w:val="0"/>
        <w:rPr>
          <w:rFonts w:hint="eastAsia" w:ascii="Times New Roman" w:hAnsi="Times New Roman" w:eastAsia="宋体" w:cs="Times New Roman"/>
          <w:color w:val="auto"/>
          <w:spacing w:val="0"/>
          <w:w w:val="100"/>
          <w:position w:val="0"/>
          <w:sz w:val="24"/>
          <w:szCs w:val="24"/>
          <w:lang w:eastAsia="zh-CN"/>
        </w:rPr>
      </w:pPr>
      <w:r>
        <w:rPr>
          <w:rFonts w:hint="eastAsia" w:ascii="Times New Roman" w:hAnsi="Times New Roman" w:cs="Times New Roman"/>
          <w:color w:val="auto"/>
          <w:spacing w:val="0"/>
          <w:w w:val="100"/>
          <w:position w:val="0"/>
          <w:sz w:val="24"/>
          <w:szCs w:val="24"/>
          <w:lang w:val="en-US" w:eastAsia="zh-CN"/>
        </w:rPr>
        <w:t>7.2.1.2无组织</w:t>
      </w:r>
      <w:r>
        <w:rPr>
          <w:rFonts w:hint="eastAsia" w:cs="Times New Roman"/>
          <w:color w:val="auto"/>
          <w:spacing w:val="0"/>
          <w:w w:val="100"/>
          <w:position w:val="0"/>
          <w:sz w:val="24"/>
          <w:szCs w:val="24"/>
          <w:lang w:eastAsia="zh-CN"/>
        </w:rPr>
        <w:t>废气环境保护措施</w:t>
      </w:r>
    </w:p>
    <w:p w14:paraId="253A2346">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lang w:val="en-US" w:eastAsia="zh-CN"/>
        </w:rPr>
      </w:pPr>
      <w:r>
        <w:rPr>
          <w:rFonts w:hint="eastAsia" w:ascii="Times New Roman" w:hAnsi="Times New Roman" w:eastAsia="宋体" w:cs="Times New Roman"/>
          <w:snapToGrid w:val="0"/>
          <w:color w:val="auto"/>
          <w:kern w:val="0"/>
          <w:highlight w:val="none"/>
        </w:rPr>
        <w:t>本项目生产过程中无组织形式排放的主要为未被集气罩收集到的非甲烷总烃</w:t>
      </w:r>
      <w:r>
        <w:rPr>
          <w:rFonts w:hint="eastAsia" w:ascii="Times New Roman" w:hAnsi="Times New Roman" w:eastAsia="宋体" w:cs="Times New Roman"/>
          <w:snapToGrid w:val="0"/>
          <w:color w:val="auto"/>
          <w:kern w:val="0"/>
          <w:highlight w:val="none"/>
          <w:lang w:eastAsia="zh-CN"/>
        </w:rPr>
        <w:t>、</w:t>
      </w:r>
      <w:r>
        <w:rPr>
          <w:rFonts w:hint="eastAsia" w:ascii="Times New Roman" w:hAnsi="Times New Roman" w:eastAsia="宋体" w:cs="Times New Roman"/>
          <w:snapToGrid w:val="0"/>
          <w:color w:val="auto"/>
          <w:kern w:val="0"/>
          <w:highlight w:val="none"/>
          <w:lang w:val="en-US" w:eastAsia="zh-CN"/>
        </w:rPr>
        <w:t>颗粒物</w:t>
      </w:r>
      <w:r>
        <w:rPr>
          <w:rFonts w:hint="eastAsia" w:ascii="Times New Roman" w:hAnsi="Times New Roman" w:eastAsia="宋体" w:cs="Times New Roman"/>
          <w:snapToGrid w:val="0"/>
          <w:color w:val="auto"/>
          <w:kern w:val="0"/>
          <w:highlight w:val="none"/>
        </w:rPr>
        <w:t>。本次环评建议建设单位加强对无组织排放废气的控制监管，尽量减少无组织废气的排放，具体应做到以下几个方面：</w:t>
      </w:r>
    </w:p>
    <w:p w14:paraId="4CE2426A">
      <w:pPr>
        <w:pageBreakBefore w:val="0"/>
        <w:kinsoku/>
        <w:wordWrap/>
        <w:overflowPunct/>
        <w:topLinePunct w:val="0"/>
        <w:bidi w:val="0"/>
        <w:ind w:firstLine="480"/>
        <w:jc w:val="both"/>
        <w:rPr>
          <w:rFonts w:hint="eastAsia" w:cs="Times New Roman"/>
          <w:color w:val="auto"/>
          <w:lang w:val="en-US" w:eastAsia="zh-CN"/>
        </w:rPr>
      </w:pPr>
      <w:r>
        <w:rPr>
          <w:rFonts w:hint="eastAsia" w:ascii="Times New Roman" w:hAnsi="Times New Roman" w:eastAsia="宋体" w:cs="Times New Roman"/>
          <w:snapToGrid w:val="0"/>
          <w:color w:val="auto"/>
          <w:kern w:val="0"/>
          <w:highlight w:val="none"/>
          <w:lang w:val="en-US" w:eastAsia="zh-CN"/>
        </w:rPr>
        <w:t>①</w:t>
      </w:r>
      <w:r>
        <w:rPr>
          <w:rFonts w:hint="eastAsia" w:ascii="Times New Roman" w:hAnsi="Times New Roman" w:eastAsia="宋体" w:cs="Times New Roman"/>
          <w:color w:val="auto"/>
          <w:lang w:val="en-US" w:eastAsia="zh-CN"/>
        </w:rPr>
        <w:t>项目原料及其预处理产物的装卸及运输过程中，应采取必要的防扬散、防渗漏措施，应保持运输车辆的洁净，避免二次污染</w:t>
      </w:r>
      <w:r>
        <w:rPr>
          <w:rFonts w:hint="eastAsia" w:cs="Times New Roman"/>
          <w:color w:val="auto"/>
          <w:lang w:val="en-US" w:eastAsia="zh-CN"/>
        </w:rPr>
        <w:t>。</w:t>
      </w:r>
    </w:p>
    <w:p w14:paraId="1C90E2C1">
      <w:pPr>
        <w:pageBreakBefore w:val="0"/>
        <w:kinsoku/>
        <w:wordWrap/>
        <w:overflowPunct/>
        <w:topLinePunct w:val="0"/>
        <w:bidi w:val="0"/>
        <w:ind w:firstLine="48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②装卸过程在</w:t>
      </w:r>
      <w:r>
        <w:rPr>
          <w:rFonts w:hint="eastAsia" w:cs="Times New Roman"/>
          <w:color w:val="auto"/>
          <w:lang w:val="en-US" w:eastAsia="zh-CN"/>
        </w:rPr>
        <w:t>厂房</w:t>
      </w:r>
      <w:r>
        <w:rPr>
          <w:rFonts w:hint="eastAsia" w:ascii="Times New Roman" w:hAnsi="Times New Roman" w:eastAsia="宋体" w:cs="Times New Roman"/>
          <w:color w:val="auto"/>
          <w:lang w:val="en-US" w:eastAsia="zh-CN"/>
        </w:rPr>
        <w:t>内进行，</w:t>
      </w:r>
      <w:r>
        <w:rPr>
          <w:rFonts w:hint="eastAsia" w:cs="Times New Roman"/>
          <w:color w:val="auto"/>
          <w:lang w:val="en-US" w:eastAsia="zh-CN"/>
        </w:rPr>
        <w:t>厂房</w:t>
      </w:r>
      <w:r>
        <w:rPr>
          <w:rFonts w:hint="eastAsia" w:ascii="Times New Roman" w:hAnsi="Times New Roman" w:eastAsia="宋体" w:cs="Times New Roman"/>
          <w:color w:val="auto"/>
          <w:lang w:val="en-US" w:eastAsia="zh-CN"/>
        </w:rPr>
        <w:t>为封闭结构，具有防雨、防风、防渗等功能。</w:t>
      </w:r>
    </w:p>
    <w:p w14:paraId="554135FC">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lang w:val="en-US" w:eastAsia="zh-CN"/>
        </w:rPr>
        <w:t>③</w:t>
      </w:r>
      <w:r>
        <w:rPr>
          <w:rFonts w:hint="eastAsia" w:ascii="Times New Roman" w:hAnsi="Times New Roman" w:eastAsia="宋体" w:cs="Times New Roman"/>
          <w:snapToGrid w:val="0"/>
          <w:color w:val="auto"/>
          <w:kern w:val="0"/>
          <w:highlight w:val="none"/>
        </w:rPr>
        <w:t>生产线开机先启动环保设施再开启加工机组，停线先停止生产机组再关闭环保设施设备；</w:t>
      </w:r>
    </w:p>
    <w:p w14:paraId="783A89FB">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lang w:val="en-US" w:eastAsia="zh-CN"/>
        </w:rPr>
        <w:t>④</w:t>
      </w:r>
      <w:r>
        <w:rPr>
          <w:rFonts w:hint="eastAsia" w:ascii="Times New Roman" w:hAnsi="Times New Roman" w:eastAsia="宋体" w:cs="Times New Roman"/>
          <w:snapToGrid w:val="0"/>
          <w:color w:val="auto"/>
          <w:kern w:val="0"/>
          <w:highlight w:val="none"/>
        </w:rPr>
        <w:t>经常检查设备工况，保证设备的完好率，防止泄露；</w:t>
      </w:r>
    </w:p>
    <w:p w14:paraId="5E23E661">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lang w:val="en-US" w:eastAsia="zh-CN"/>
        </w:rPr>
        <w:t>⑤</w:t>
      </w:r>
      <w:r>
        <w:rPr>
          <w:rFonts w:hint="eastAsia" w:ascii="Times New Roman" w:hAnsi="Times New Roman" w:eastAsia="宋体" w:cs="Times New Roman"/>
          <w:snapToGrid w:val="0"/>
          <w:color w:val="auto"/>
          <w:kern w:val="0"/>
          <w:highlight w:val="none"/>
        </w:rPr>
        <w:t>在生产过程中加强对废气收集装置的维护，保证有组织废气捕集效率，以尽量将无组织排放的废气量减小到最低限度；</w:t>
      </w:r>
    </w:p>
    <w:p w14:paraId="7E584F23">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lang w:eastAsia="zh-CN"/>
        </w:rPr>
      </w:pPr>
      <w:r>
        <w:rPr>
          <w:rFonts w:hint="eastAsia" w:ascii="Times New Roman" w:hAnsi="Times New Roman" w:eastAsia="宋体" w:cs="Times New Roman"/>
          <w:snapToGrid w:val="0"/>
          <w:color w:val="auto"/>
          <w:kern w:val="0"/>
          <w:highlight w:val="none"/>
          <w:lang w:val="en-US" w:eastAsia="zh-CN"/>
        </w:rPr>
        <w:t>⑥</w:t>
      </w:r>
      <w:r>
        <w:rPr>
          <w:rFonts w:hint="eastAsia" w:ascii="Times New Roman" w:hAnsi="Times New Roman" w:eastAsia="宋体" w:cs="Times New Roman"/>
          <w:snapToGrid w:val="0"/>
          <w:color w:val="auto"/>
          <w:kern w:val="0"/>
          <w:highlight w:val="none"/>
        </w:rPr>
        <w:t>加强车间通排风，通过加强车间气流通畅，为员工配备必要的防护用品</w:t>
      </w:r>
      <w:r>
        <w:rPr>
          <w:rFonts w:hint="eastAsia" w:ascii="Times New Roman" w:hAnsi="Times New Roman" w:eastAsia="宋体" w:cs="Times New Roman"/>
          <w:snapToGrid w:val="0"/>
          <w:color w:val="auto"/>
          <w:kern w:val="0"/>
          <w:highlight w:val="none"/>
          <w:lang w:eastAsia="zh-CN"/>
        </w:rPr>
        <w:t>；</w:t>
      </w:r>
    </w:p>
    <w:p w14:paraId="19EE7FB7">
      <w:pPr>
        <w:pStyle w:val="51"/>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snapToGrid w:val="0"/>
          <w:color w:val="auto"/>
          <w:kern w:val="0"/>
          <w:highlight w:val="none"/>
        </w:rPr>
      </w:pPr>
      <w:r>
        <w:rPr>
          <w:rFonts w:hint="eastAsia" w:ascii="Times New Roman" w:hAnsi="Times New Roman" w:eastAsia="宋体" w:cs="Times New Roman"/>
          <w:snapToGrid w:val="0"/>
          <w:color w:val="auto"/>
          <w:kern w:val="0"/>
          <w:highlight w:val="none"/>
        </w:rPr>
        <w:t>⑦</w:t>
      </w:r>
      <w:r>
        <w:rPr>
          <w:rFonts w:hint="eastAsia" w:ascii="Times New Roman" w:hAnsi="Times New Roman" w:eastAsia="宋体" w:cs="Times New Roman"/>
          <w:snapToGrid w:val="0"/>
          <w:color w:val="auto"/>
          <w:kern w:val="0"/>
          <w:highlight w:val="none"/>
          <w:lang w:eastAsia="zh-CN"/>
        </w:rPr>
        <w:t>本项目回收的原料仅为滴灌带，禁止</w:t>
      </w:r>
      <w:r>
        <w:rPr>
          <w:rFonts w:hint="eastAsia" w:ascii="Times New Roman" w:hAnsi="Times New Roman" w:eastAsia="宋体" w:cs="Times New Roman"/>
          <w:snapToGrid w:val="0"/>
          <w:color w:val="auto"/>
          <w:kern w:val="0"/>
          <w:highlight w:val="none"/>
        </w:rPr>
        <w:t>再生过程使用含重金属添加剂。</w:t>
      </w:r>
    </w:p>
    <w:p w14:paraId="713D8504">
      <w:pPr>
        <w:pageBreakBefore w:val="0"/>
        <w:kinsoku/>
        <w:wordWrap/>
        <w:overflowPunct/>
        <w:topLinePunct w:val="0"/>
        <w:bidi w:val="0"/>
        <w:ind w:firstLine="480"/>
        <w:jc w:val="both"/>
        <w:rPr>
          <w:rFonts w:hint="eastAsia" w:ascii="Times New Roman" w:hAnsi="Times New Roman" w:eastAsia="宋体" w:cs="Times New Roman"/>
          <w:color w:val="auto"/>
          <w:lang w:val="en-US" w:eastAsia="zh-CN"/>
        </w:rPr>
      </w:pPr>
      <w:r>
        <w:rPr>
          <w:rFonts w:hint="eastAsia" w:ascii="Times New Roman" w:hAnsi="Times New Roman" w:eastAsia="宋体" w:cs="Times New Roman"/>
          <w:snapToGrid w:val="0"/>
          <w:color w:val="auto"/>
          <w:kern w:val="0"/>
          <w:highlight w:val="none"/>
        </w:rPr>
        <w:t>采取上述措施后，</w:t>
      </w:r>
      <w:r>
        <w:rPr>
          <w:rFonts w:hint="eastAsia" w:eastAsia="宋体" w:cs="Times New Roman"/>
          <w:snapToGrid w:val="0"/>
          <w:color w:val="auto"/>
          <w:kern w:val="0"/>
          <w:highlight w:val="none"/>
          <w:lang w:eastAsia="zh-CN"/>
        </w:rPr>
        <w:t>厂界</w:t>
      </w:r>
      <w:r>
        <w:rPr>
          <w:rFonts w:hint="eastAsia" w:ascii="Times New Roman" w:hAnsi="Times New Roman" w:eastAsia="宋体" w:cs="Times New Roman"/>
          <w:snapToGrid w:val="0"/>
          <w:color w:val="auto"/>
          <w:kern w:val="0"/>
          <w:highlight w:val="none"/>
          <w:lang w:val="en-US" w:eastAsia="zh-CN"/>
        </w:rPr>
        <w:t>无组织</w:t>
      </w:r>
      <w:r>
        <w:rPr>
          <w:rFonts w:hint="eastAsia" w:ascii="Times New Roman" w:hAnsi="Times New Roman" w:eastAsia="宋体" w:cs="Times New Roman"/>
          <w:snapToGrid w:val="0"/>
          <w:color w:val="auto"/>
          <w:kern w:val="0"/>
          <w:highlight w:val="none"/>
        </w:rPr>
        <w:t>非甲烷总烃</w:t>
      </w:r>
      <w:r>
        <w:rPr>
          <w:rFonts w:hint="eastAsia" w:ascii="Times New Roman" w:hAnsi="Times New Roman" w:eastAsia="宋体" w:cs="Times New Roman"/>
          <w:snapToGrid w:val="0"/>
          <w:color w:val="auto"/>
          <w:kern w:val="0"/>
          <w:highlight w:val="none"/>
          <w:lang w:eastAsia="zh-CN"/>
        </w:rPr>
        <w:t>、</w:t>
      </w:r>
      <w:r>
        <w:rPr>
          <w:rFonts w:hint="eastAsia" w:ascii="Times New Roman" w:hAnsi="Times New Roman" w:eastAsia="宋体" w:cs="Times New Roman"/>
          <w:snapToGrid w:val="0"/>
          <w:color w:val="auto"/>
          <w:kern w:val="0"/>
          <w:highlight w:val="none"/>
          <w:lang w:val="en-US" w:eastAsia="zh-CN"/>
        </w:rPr>
        <w:t>颗粒物</w:t>
      </w:r>
      <w:r>
        <w:rPr>
          <w:rFonts w:hint="eastAsia" w:ascii="Times New Roman" w:hAnsi="Times New Roman" w:eastAsia="宋体" w:cs="Times New Roman"/>
          <w:snapToGrid w:val="0"/>
          <w:color w:val="auto"/>
          <w:kern w:val="0"/>
          <w:highlight w:val="none"/>
        </w:rPr>
        <w:t>满足《合成树脂工业污染物排放标准》（GB31572-2015）表9无组织浓度监控排放限值的要求</w:t>
      </w:r>
      <w:r>
        <w:rPr>
          <w:rFonts w:hint="eastAsia" w:ascii="Times New Roman" w:hAnsi="Times New Roman" w:eastAsia="宋体" w:cs="Times New Roman"/>
          <w:snapToGrid w:val="0"/>
          <w:color w:val="auto"/>
          <w:kern w:val="0"/>
          <w:highlight w:val="none"/>
          <w:lang w:eastAsia="zh-CN"/>
        </w:rPr>
        <w:t>；</w:t>
      </w:r>
      <w:r>
        <w:rPr>
          <w:rFonts w:hint="eastAsia" w:eastAsia="宋体" w:cs="Times New Roman"/>
          <w:snapToGrid w:val="0"/>
          <w:color w:val="auto"/>
          <w:kern w:val="0"/>
          <w:highlight w:val="none"/>
          <w:lang w:eastAsia="zh-CN"/>
        </w:rPr>
        <w:t>厂内</w:t>
      </w:r>
      <w:r>
        <w:rPr>
          <w:rFonts w:hint="eastAsia" w:ascii="Times New Roman" w:hAnsi="Times New Roman" w:eastAsia="宋体" w:cs="Times New Roman"/>
          <w:snapToGrid w:val="0"/>
          <w:color w:val="auto"/>
          <w:kern w:val="0"/>
          <w:highlight w:val="none"/>
          <w:lang w:val="en-US" w:eastAsia="zh-CN"/>
        </w:rPr>
        <w:t>无组织</w:t>
      </w:r>
      <w:r>
        <w:rPr>
          <w:rFonts w:hint="eastAsia" w:ascii="Times New Roman" w:hAnsi="Times New Roman" w:eastAsia="宋体" w:cs="Times New Roman"/>
          <w:snapToGrid w:val="0"/>
          <w:color w:val="auto"/>
          <w:kern w:val="0"/>
          <w:highlight w:val="none"/>
        </w:rPr>
        <w:t>非甲烷总烃</w:t>
      </w:r>
      <w:r>
        <w:rPr>
          <w:rFonts w:hint="eastAsia" w:ascii="Times New Roman" w:hAnsi="Times New Roman" w:eastAsia="宋体" w:cs="Times New Roman"/>
          <w:snapToGrid w:val="0"/>
          <w:color w:val="auto"/>
          <w:kern w:val="0"/>
          <w:highlight w:val="none"/>
          <w:lang w:val="en-US" w:eastAsia="zh-CN"/>
        </w:rPr>
        <w:t>满足</w:t>
      </w:r>
      <w:r>
        <w:rPr>
          <w:rFonts w:hint="eastAsia" w:ascii="Times New Roman" w:hAnsi="Times New Roman" w:eastAsia="宋体" w:cs="Times New Roman"/>
          <w:snapToGrid w:val="0"/>
          <w:color w:val="auto"/>
          <w:kern w:val="0"/>
          <w:highlight w:val="none"/>
          <w:lang w:eastAsia="zh-CN"/>
        </w:rPr>
        <w:t>《挥发性有机物无组织排放控制标准》（GB37822-2019）中相关控制要求</w:t>
      </w:r>
      <w:r>
        <w:rPr>
          <w:rFonts w:hint="eastAsia" w:ascii="Times New Roman" w:hAnsi="Times New Roman" w:eastAsia="宋体" w:cs="Times New Roman"/>
          <w:snapToGrid w:val="0"/>
          <w:color w:val="auto"/>
          <w:kern w:val="0"/>
          <w:highlight w:val="none"/>
        </w:rPr>
        <w:t>。</w:t>
      </w:r>
    </w:p>
    <w:p w14:paraId="4C03AE6A">
      <w:pPr>
        <w:pageBreakBefore w:val="0"/>
        <w:kinsoku/>
        <w:wordWrap/>
        <w:overflowPunct/>
        <w:topLinePunct w:val="0"/>
        <w:bidi w:val="0"/>
        <w:outlineLvl w:val="9"/>
        <w:rPr>
          <w:rFonts w:cs="Times New Roman"/>
          <w:b w:val="0"/>
          <w:bCs/>
          <w:color w:val="auto"/>
        </w:rPr>
      </w:pPr>
      <w:r>
        <w:rPr>
          <w:rFonts w:cs="Times New Roman"/>
          <w:b w:val="0"/>
          <w:bCs/>
          <w:color w:val="auto"/>
        </w:rPr>
        <w:t>本项目废滴灌带</w:t>
      </w:r>
      <w:r>
        <w:rPr>
          <w:rFonts w:hint="eastAsia" w:cs="Times New Roman"/>
          <w:b w:val="0"/>
          <w:bCs/>
          <w:color w:val="auto"/>
          <w:lang w:val="en-US" w:eastAsia="zh-CN"/>
        </w:rPr>
        <w:t>采用“湿法破碎+喷淋”，湿法破碎时因</w:t>
      </w:r>
      <w:r>
        <w:rPr>
          <w:rFonts w:cs="Times New Roman"/>
          <w:b w:val="0"/>
          <w:bCs/>
          <w:color w:val="auto"/>
        </w:rPr>
        <w:t>破碎时物料含有大量水分，因此</w:t>
      </w:r>
      <w:r>
        <w:rPr>
          <w:rFonts w:hint="eastAsia" w:cs="Times New Roman"/>
          <w:b w:val="0"/>
          <w:bCs/>
          <w:color w:val="auto"/>
          <w:lang w:val="en-US" w:eastAsia="zh-CN"/>
        </w:rPr>
        <w:t>极大的减少了</w:t>
      </w:r>
      <w:r>
        <w:rPr>
          <w:rFonts w:cs="Times New Roman"/>
          <w:b w:val="0"/>
          <w:bCs/>
          <w:color w:val="auto"/>
        </w:rPr>
        <w:t>破碎过程</w:t>
      </w:r>
      <w:r>
        <w:rPr>
          <w:rFonts w:hint="eastAsia"/>
          <w:b w:val="0"/>
          <w:bCs/>
          <w:color w:val="auto"/>
          <w:lang w:val="en-US" w:eastAsia="zh-CN"/>
        </w:rPr>
        <w:t>中</w:t>
      </w:r>
      <w:r>
        <w:rPr>
          <w:rFonts w:hint="eastAsia" w:cs="Times New Roman"/>
          <w:b w:val="0"/>
          <w:bCs/>
          <w:color w:val="auto"/>
          <w:lang w:val="en-US" w:eastAsia="zh-CN"/>
        </w:rPr>
        <w:t>产生的颗粒物，</w:t>
      </w:r>
      <w:r>
        <w:rPr>
          <w:rFonts w:hint="eastAsia" w:cs="Times New Roman"/>
          <w:b w:val="0"/>
          <w:bCs/>
          <w:color w:val="auto"/>
          <w:szCs w:val="24"/>
          <w:lang w:val="en-US" w:eastAsia="zh-CN"/>
        </w:rPr>
        <w:t>参考</w:t>
      </w:r>
      <w:r>
        <w:rPr>
          <w:rFonts w:cs="Times New Roman"/>
          <w:b w:val="0"/>
          <w:bCs/>
          <w:color w:val="auto"/>
          <w:szCs w:val="24"/>
          <w:lang w:val="en-US"/>
        </w:rPr>
        <w:t>《排污许可证申请与核发技术规范 废弃资源加工工业》（HJ1034-2019）</w:t>
      </w:r>
      <w:r>
        <w:rPr>
          <w:rFonts w:hint="eastAsia" w:cs="Times New Roman"/>
          <w:b w:val="0"/>
          <w:bCs/>
          <w:color w:val="auto"/>
          <w:szCs w:val="24"/>
          <w:lang w:val="en-US" w:eastAsia="zh-CN"/>
        </w:rPr>
        <w:t>附录A 表A.1废弃资源加工工业排污单位废气污染防治可行技术参考表，“喷淋降尘”属于颗粒物污染防治可行技术；综上，破碎环节的“湿法破碎+封闭厂房+喷淋”技术成熟，且能起到较好的颗粒物治理效果，整体措施可行</w:t>
      </w:r>
      <w:r>
        <w:rPr>
          <w:rFonts w:cs="Times New Roman"/>
          <w:b w:val="0"/>
          <w:bCs/>
          <w:color w:val="auto"/>
        </w:rPr>
        <w:t>。</w:t>
      </w:r>
    </w:p>
    <w:p w14:paraId="505B2DC8">
      <w:pPr>
        <w:pStyle w:val="6"/>
        <w:pageBreakBefore w:val="0"/>
        <w:kinsoku/>
        <w:wordWrap/>
        <w:overflowPunct/>
        <w:topLinePunct w:val="0"/>
        <w:bidi w:val="0"/>
        <w:rPr>
          <w:rFonts w:hint="eastAsia" w:ascii="Times New Roman" w:hAnsi="Times New Roman" w:eastAsia="宋体" w:cs="Times New Roman"/>
          <w:b/>
          <w:bCs/>
          <w:color w:val="auto"/>
          <w:spacing w:val="0"/>
          <w:w w:val="100"/>
          <w:position w:val="0"/>
          <w:sz w:val="24"/>
          <w:szCs w:val="24"/>
          <w:lang w:val="en-US" w:eastAsia="zh-CN" w:bidi="zh-CN"/>
        </w:rPr>
      </w:pPr>
      <w:r>
        <w:rPr>
          <w:rFonts w:hint="eastAsia" w:ascii="Times New Roman" w:hAnsi="Times New Roman" w:eastAsia="宋体" w:cs="Times New Roman"/>
          <w:b/>
          <w:bCs/>
          <w:color w:val="auto"/>
          <w:spacing w:val="0"/>
          <w:w w:val="100"/>
          <w:position w:val="0"/>
          <w:sz w:val="24"/>
          <w:szCs w:val="24"/>
          <w:lang w:val="en-US" w:eastAsia="zh-CN" w:bidi="zh-CN"/>
        </w:rPr>
        <w:t>7.2.1.</w:t>
      </w:r>
      <w:r>
        <w:rPr>
          <w:rFonts w:hint="eastAsia" w:cs="Times New Roman"/>
          <w:b/>
          <w:bCs/>
          <w:color w:val="auto"/>
          <w:spacing w:val="0"/>
          <w:w w:val="100"/>
          <w:position w:val="0"/>
          <w:sz w:val="24"/>
          <w:szCs w:val="24"/>
          <w:lang w:val="en-US" w:eastAsia="zh-CN" w:bidi="zh-CN"/>
        </w:rPr>
        <w:t>3</w:t>
      </w:r>
      <w:r>
        <w:rPr>
          <w:rFonts w:hint="eastAsia" w:ascii="Times New Roman" w:hAnsi="Times New Roman" w:eastAsia="宋体" w:cs="Times New Roman"/>
          <w:b/>
          <w:bCs/>
          <w:color w:val="auto"/>
          <w:spacing w:val="0"/>
          <w:w w:val="100"/>
          <w:position w:val="0"/>
          <w:sz w:val="24"/>
          <w:szCs w:val="24"/>
          <w:lang w:val="en-US" w:eastAsia="zh-CN" w:bidi="zh-CN"/>
        </w:rPr>
        <w:t>非正常工况废气污染防治措施</w:t>
      </w:r>
    </w:p>
    <w:p w14:paraId="7B76A725">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81"/>
        <w:jc w:val="both"/>
        <w:textAlignment w:val="auto"/>
        <w:rPr>
          <w:rFonts w:ascii="宋体" w:hAnsi="宋体" w:eastAsia="宋体" w:cs="宋体"/>
          <w:color w:val="auto"/>
          <w:sz w:val="24"/>
          <w:szCs w:val="24"/>
        </w:rPr>
      </w:pPr>
      <w:r>
        <w:rPr>
          <w:rFonts w:ascii="宋体" w:hAnsi="宋体" w:eastAsia="宋体" w:cs="宋体"/>
          <w:color w:val="auto"/>
          <w:spacing w:val="2"/>
          <w:sz w:val="24"/>
          <w:szCs w:val="24"/>
        </w:rPr>
        <w:t>本项目可能出现的非正常排放主要为废气处理装置失效时造成非甲烷总烃的直</w:t>
      </w:r>
      <w:r>
        <w:rPr>
          <w:rFonts w:ascii="宋体" w:hAnsi="宋体" w:eastAsia="宋体" w:cs="宋体"/>
          <w:color w:val="auto"/>
          <w:spacing w:val="-1"/>
          <w:sz w:val="24"/>
          <w:szCs w:val="24"/>
        </w:rPr>
        <w:t>接排放，造成大气污染。应采取以下措施。</w:t>
      </w:r>
    </w:p>
    <w:p w14:paraId="1B7F78BE">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1</w:t>
      </w:r>
      <w:r>
        <w:rPr>
          <w:rFonts w:ascii="宋体" w:hAnsi="宋体" w:eastAsia="宋体" w:cs="宋体"/>
          <w:color w:val="auto"/>
          <w:spacing w:val="-1"/>
          <w:sz w:val="24"/>
          <w:szCs w:val="24"/>
        </w:rPr>
        <w:t>）双回路电源，防止突然断电引起非正常排放。</w:t>
      </w:r>
    </w:p>
    <w:p w14:paraId="590A01D9">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2</w:t>
      </w:r>
      <w:r>
        <w:rPr>
          <w:rFonts w:ascii="宋体" w:hAnsi="宋体" w:eastAsia="宋体" w:cs="宋体"/>
          <w:color w:val="auto"/>
          <w:spacing w:val="-1"/>
          <w:sz w:val="24"/>
          <w:szCs w:val="24"/>
        </w:rPr>
        <w:t>）定期检查、维修、维护各种设备，尤其是各种动力泵、各种风机等。</w:t>
      </w:r>
    </w:p>
    <w:p w14:paraId="0C8460AC">
      <w:pPr>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491"/>
        <w:jc w:val="both"/>
        <w:textAlignment w:val="auto"/>
        <w:rPr>
          <w:rFonts w:ascii="宋体" w:hAnsi="宋体" w:eastAsia="宋体" w:cs="宋体"/>
          <w:color w:val="auto"/>
          <w:sz w:val="24"/>
          <w:szCs w:val="24"/>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3</w:t>
      </w:r>
      <w:r>
        <w:rPr>
          <w:rFonts w:ascii="宋体" w:hAnsi="宋体" w:eastAsia="宋体" w:cs="宋体"/>
          <w:color w:val="auto"/>
          <w:spacing w:val="-1"/>
          <w:sz w:val="24"/>
          <w:szCs w:val="24"/>
        </w:rPr>
        <w:t>）加强环境管理，加强管理和培训，防止因</w:t>
      </w:r>
      <w:r>
        <w:rPr>
          <w:rFonts w:ascii="宋体" w:hAnsi="宋体" w:eastAsia="宋体" w:cs="宋体"/>
          <w:color w:val="auto"/>
          <w:spacing w:val="-2"/>
          <w:sz w:val="24"/>
          <w:szCs w:val="24"/>
        </w:rPr>
        <w:t>操作失误或玩忽职守引起非正常</w:t>
      </w:r>
      <w:r>
        <w:rPr>
          <w:rFonts w:ascii="宋体" w:hAnsi="宋体" w:eastAsia="宋体" w:cs="宋体"/>
          <w:color w:val="auto"/>
          <w:spacing w:val="-4"/>
          <w:sz w:val="24"/>
          <w:szCs w:val="24"/>
        </w:rPr>
        <w:t>排放。</w:t>
      </w:r>
    </w:p>
    <w:p w14:paraId="43DE3C4B">
      <w:pPr>
        <w:keepNext w:val="0"/>
        <w:keepLines w:val="0"/>
        <w:pageBreakBefore w:val="0"/>
        <w:widowControl w:val="0"/>
        <w:kinsoku/>
        <w:wordWrap/>
        <w:overflowPunct/>
        <w:topLinePunct w:val="0"/>
        <w:autoSpaceDE w:val="0"/>
        <w:autoSpaceDN w:val="0"/>
        <w:bidi w:val="0"/>
        <w:adjustRightInd/>
        <w:snapToGrid/>
        <w:spacing w:before="0" w:line="360" w:lineRule="auto"/>
        <w:ind w:left="0" w:right="0"/>
        <w:jc w:val="both"/>
        <w:textAlignment w:val="auto"/>
        <w:rPr>
          <w:rFonts w:hint="eastAsia" w:ascii="Times New Roman" w:hAnsi="Times New Roman" w:eastAsia="宋体" w:cs="Times New Roman"/>
          <w:b/>
          <w:bCs/>
          <w:color w:val="auto"/>
          <w:spacing w:val="0"/>
          <w:w w:val="100"/>
          <w:position w:val="0"/>
          <w:sz w:val="24"/>
          <w:szCs w:val="24"/>
          <w:lang w:val="en-US" w:eastAsia="zh-CN" w:bidi="zh-CN"/>
        </w:rPr>
      </w:pPr>
      <w:r>
        <w:rPr>
          <w:rFonts w:ascii="宋体" w:hAnsi="宋体" w:eastAsia="宋体" w:cs="宋体"/>
          <w:color w:val="auto"/>
          <w:spacing w:val="-1"/>
          <w:sz w:val="24"/>
          <w:szCs w:val="24"/>
        </w:rPr>
        <w:t>（</w:t>
      </w:r>
      <w:r>
        <w:rPr>
          <w:rFonts w:ascii="Times New Roman" w:hAnsi="Times New Roman" w:eastAsia="Times New Roman" w:cs="Times New Roman"/>
          <w:color w:val="auto"/>
          <w:spacing w:val="-1"/>
          <w:sz w:val="24"/>
          <w:szCs w:val="24"/>
        </w:rPr>
        <w:t>4</w:t>
      </w:r>
      <w:r>
        <w:rPr>
          <w:rFonts w:ascii="宋体" w:hAnsi="宋体" w:eastAsia="宋体" w:cs="宋体"/>
          <w:color w:val="auto"/>
          <w:spacing w:val="-1"/>
          <w:sz w:val="24"/>
          <w:szCs w:val="24"/>
        </w:rPr>
        <w:t>）加强环保设备维护保养，特别是加强对废</w:t>
      </w:r>
      <w:r>
        <w:rPr>
          <w:rFonts w:ascii="宋体" w:hAnsi="宋体" w:eastAsia="宋体" w:cs="宋体"/>
          <w:color w:val="auto"/>
          <w:spacing w:val="-2"/>
          <w:sz w:val="24"/>
          <w:szCs w:val="24"/>
        </w:rPr>
        <w:t>气处理设备的检修及维护，防止由于设备老化或建筑物损坏引起废气超标排放</w:t>
      </w:r>
      <w:r>
        <w:rPr>
          <w:rFonts w:hint="eastAsia" w:ascii="宋体" w:hAnsi="宋体" w:eastAsia="宋体" w:cs="宋体"/>
          <w:color w:val="auto"/>
          <w:spacing w:val="-2"/>
          <w:sz w:val="24"/>
          <w:szCs w:val="24"/>
          <w:lang w:eastAsia="zh-CN"/>
        </w:rPr>
        <w:t>。</w:t>
      </w:r>
    </w:p>
    <w:p w14:paraId="7D48224F">
      <w:pPr>
        <w:pStyle w:val="6"/>
        <w:pageBreakBefore w:val="0"/>
        <w:kinsoku/>
        <w:wordWrap/>
        <w:overflowPunct/>
        <w:topLinePunct w:val="0"/>
        <w:bidi w:val="0"/>
        <w:rPr>
          <w:rFonts w:hint="default"/>
          <w:color w:val="auto"/>
          <w:lang w:val="en-US" w:eastAsia="zh-CN"/>
        </w:rPr>
      </w:pPr>
      <w:bookmarkStart w:id="336" w:name="_Toc23401"/>
      <w:r>
        <w:rPr>
          <w:rFonts w:hint="eastAsia"/>
          <w:color w:val="auto"/>
          <w:lang w:val="en-US" w:eastAsia="zh-CN"/>
        </w:rPr>
        <w:t>7.2.1.4</w:t>
      </w:r>
      <w:r>
        <w:rPr>
          <w:rFonts w:hint="default"/>
          <w:color w:val="auto"/>
          <w:lang w:val="en-US" w:eastAsia="zh-CN"/>
        </w:rPr>
        <w:t>小结</w:t>
      </w:r>
      <w:bookmarkEnd w:id="336"/>
    </w:p>
    <w:p w14:paraId="159A892D">
      <w:pPr>
        <w:pageBreakBefore w:val="0"/>
        <w:kinsoku/>
        <w:wordWrap/>
        <w:overflowPunct/>
        <w:topLinePunct w:val="0"/>
        <w:bidi w:val="0"/>
        <w:rPr>
          <w:color w:val="auto"/>
        </w:rPr>
      </w:pPr>
      <w:r>
        <w:rPr>
          <w:color w:val="auto"/>
        </w:rPr>
        <w:t>综上所述，通过严格落实并且认真执行上述大气环境保护和污染防治措施后，本项目运营期间产生的有机废气均实现达标排放，对项目区及周边附近区域大气环境和人群产生影响较小，采取的大气环境保护和污染防治措施是可行的。</w:t>
      </w:r>
    </w:p>
    <w:p w14:paraId="36E77689">
      <w:pPr>
        <w:pStyle w:val="5"/>
        <w:pageBreakBefore w:val="0"/>
        <w:kinsoku/>
        <w:wordWrap/>
        <w:overflowPunct/>
        <w:topLinePunct w:val="0"/>
        <w:bidi w:val="0"/>
        <w:rPr>
          <w:rFonts w:hint="default" w:ascii="Times New Roman" w:hAnsi="Times New Roman" w:eastAsia="宋体" w:cs="Times New Roman"/>
          <w:color w:val="auto"/>
          <w:spacing w:val="0"/>
          <w:w w:val="100"/>
          <w:position w:val="0"/>
        </w:rPr>
      </w:pPr>
      <w:bookmarkStart w:id="337" w:name="7.2.2 水环境保护措施及可行性论证"/>
      <w:bookmarkEnd w:id="337"/>
      <w:bookmarkStart w:id="338" w:name="7.2.2 水环境保护措施及可行性论证"/>
      <w:bookmarkEnd w:id="338"/>
      <w:bookmarkStart w:id="339" w:name="_Toc24217"/>
      <w:bookmarkStart w:id="340" w:name="_Toc3011"/>
      <w:r>
        <w:rPr>
          <w:rFonts w:hint="default" w:ascii="Times New Roman" w:hAnsi="Times New Roman" w:eastAsia="宋体" w:cs="Times New Roman"/>
          <w:color w:val="auto"/>
          <w:spacing w:val="0"/>
          <w:w w:val="100"/>
          <w:position w:val="0"/>
          <w:lang w:val="en-US" w:eastAsia="zh-CN"/>
        </w:rPr>
        <w:t>7.2.2</w:t>
      </w:r>
      <w:r>
        <w:rPr>
          <w:rFonts w:hint="default" w:ascii="Times New Roman" w:hAnsi="Times New Roman" w:eastAsia="宋体" w:cs="Times New Roman"/>
          <w:color w:val="auto"/>
          <w:spacing w:val="0"/>
          <w:w w:val="100"/>
          <w:position w:val="0"/>
        </w:rPr>
        <w:t>水环境保护措施及可行性论证</w:t>
      </w:r>
      <w:bookmarkEnd w:id="339"/>
      <w:bookmarkEnd w:id="340"/>
    </w:p>
    <w:p w14:paraId="4F9A3C49">
      <w:pPr>
        <w:pStyle w:val="6"/>
        <w:pageBreakBefore w:val="0"/>
        <w:kinsoku/>
        <w:wordWrap/>
        <w:overflowPunct/>
        <w:topLinePunct w:val="0"/>
        <w:bidi w:val="0"/>
        <w:rPr>
          <w:rFonts w:hint="default" w:ascii="Times New Roman" w:hAnsi="Times New Roman" w:eastAsia="宋体" w:cs="Times New Roman"/>
          <w:color w:val="auto"/>
          <w:spacing w:val="0"/>
          <w:w w:val="100"/>
          <w:position w:val="0"/>
        </w:rPr>
      </w:pPr>
      <w:bookmarkStart w:id="341" w:name="_Toc2498"/>
      <w:r>
        <w:rPr>
          <w:rFonts w:hint="default" w:ascii="Times New Roman" w:hAnsi="Times New Roman" w:eastAsia="宋体" w:cs="Times New Roman"/>
          <w:color w:val="auto"/>
          <w:spacing w:val="0"/>
          <w:w w:val="100"/>
          <w:position w:val="0"/>
          <w:lang w:val="en-US" w:eastAsia="zh-CN"/>
        </w:rPr>
        <w:t>7.2.2.1</w:t>
      </w:r>
      <w:r>
        <w:rPr>
          <w:rFonts w:hint="default" w:ascii="Times New Roman" w:hAnsi="Times New Roman" w:eastAsia="宋体" w:cs="Times New Roman"/>
          <w:color w:val="auto"/>
          <w:spacing w:val="0"/>
          <w:w w:val="100"/>
          <w:position w:val="0"/>
        </w:rPr>
        <w:t>地表水环境防治措施</w:t>
      </w:r>
      <w:bookmarkEnd w:id="341"/>
    </w:p>
    <w:p w14:paraId="4E12229F">
      <w:pPr>
        <w:pageBreakBefore w:val="0"/>
        <w:kinsoku/>
        <w:wordWrap/>
        <w:overflowPunct/>
        <w:topLinePunct w:val="0"/>
        <w:bidi w:val="0"/>
        <w:rPr>
          <w:rFonts w:hint="default"/>
          <w:color w:val="auto"/>
        </w:rPr>
      </w:pPr>
      <w:r>
        <w:rPr>
          <w:rFonts w:hint="default" w:ascii="Times New Roman" w:hAnsi="Times New Roman" w:eastAsia="宋体" w:cs="Times New Roman"/>
          <w:color w:val="auto"/>
          <w:spacing w:val="0"/>
          <w:w w:val="100"/>
          <w:position w:val="0"/>
        </w:rPr>
        <w:t>本项目废水主要来自生产废水及生活</w:t>
      </w:r>
      <w:r>
        <w:rPr>
          <w:rFonts w:hint="default"/>
          <w:color w:val="auto"/>
        </w:rPr>
        <w:t>污水。</w:t>
      </w:r>
    </w:p>
    <w:p w14:paraId="2C797D86">
      <w:pPr>
        <w:pageBreakBefore w:val="0"/>
        <w:kinsoku/>
        <w:wordWrap/>
        <w:overflowPunct/>
        <w:topLinePunct w:val="0"/>
        <w:bidi w:val="0"/>
        <w:rPr>
          <w:rFonts w:hint="default"/>
          <w:color w:val="auto"/>
        </w:rPr>
      </w:pPr>
      <w:r>
        <w:rPr>
          <w:rFonts w:hint="eastAsia"/>
          <w:color w:val="auto"/>
          <w:lang w:val="en-US" w:eastAsia="zh-CN"/>
        </w:rPr>
        <w:t>1.</w:t>
      </w:r>
      <w:r>
        <w:rPr>
          <w:rFonts w:hint="default"/>
          <w:color w:val="auto"/>
        </w:rPr>
        <w:t>生产废水治理措施</w:t>
      </w:r>
    </w:p>
    <w:p w14:paraId="517376C0">
      <w:pPr>
        <w:pageBreakBefore w:val="0"/>
        <w:kinsoku/>
        <w:wordWrap/>
        <w:overflowPunct/>
        <w:topLinePunct w:val="0"/>
        <w:bidi w:val="0"/>
        <w:rPr>
          <w:rFonts w:hint="eastAsia" w:eastAsia="宋体"/>
          <w:color w:val="auto"/>
          <w:highlight w:val="none"/>
          <w:lang w:eastAsia="zh-CN"/>
        </w:rPr>
      </w:pPr>
      <w:r>
        <w:rPr>
          <w:rFonts w:hint="eastAsia" w:ascii="宋体" w:hAnsi="宋体" w:eastAsia="宋体" w:cs="宋体"/>
          <w:color w:val="auto"/>
          <w:highlight w:val="none"/>
        </w:rPr>
        <w:t>①</w:t>
      </w:r>
      <w:r>
        <w:rPr>
          <w:rFonts w:hint="eastAsia" w:eastAsia="宋体"/>
          <w:color w:val="auto"/>
          <w:highlight w:val="none"/>
          <w:lang w:eastAsia="zh-CN"/>
        </w:rPr>
        <w:t>清洗废水</w:t>
      </w:r>
    </w:p>
    <w:p w14:paraId="4362A7FF">
      <w:pPr>
        <w:pageBreakBefore w:val="0"/>
        <w:kinsoku/>
        <w:wordWrap/>
        <w:overflowPunct/>
        <w:topLinePunct w:val="0"/>
        <w:bidi w:val="0"/>
        <w:rPr>
          <w:rFonts w:hint="default" w:ascii="Times New Roman" w:hAnsi="Times New Roman" w:eastAsia="宋体" w:cs="Times New Roman"/>
          <w:color w:val="auto"/>
          <w:spacing w:val="0"/>
          <w:w w:val="100"/>
          <w:position w:val="0"/>
          <w:highlight w:val="none"/>
        </w:rPr>
      </w:pPr>
      <w:r>
        <w:rPr>
          <w:rFonts w:hint="default"/>
          <w:color w:val="auto"/>
          <w:highlight w:val="none"/>
        </w:rPr>
        <w:t>本项目设置1座沉淀池</w:t>
      </w:r>
      <w:r>
        <w:rPr>
          <w:rFonts w:hint="eastAsia"/>
          <w:color w:val="auto"/>
          <w:highlight w:val="none"/>
          <w:lang w:eastAsia="zh-CN"/>
        </w:rPr>
        <w:t>，根据工程分析，</w:t>
      </w:r>
      <w:r>
        <w:rPr>
          <w:rFonts w:hint="eastAsia" w:ascii="宋体" w:hAnsi="宋体" w:eastAsia="宋体" w:cs="宋体"/>
          <w:color w:val="auto"/>
          <w:sz w:val="24"/>
          <w:szCs w:val="24"/>
          <w:highlight w:val="none"/>
          <w:lang w:eastAsia="zh-CN"/>
        </w:rPr>
        <w:t>项目</w:t>
      </w:r>
      <w:r>
        <w:rPr>
          <w:rFonts w:ascii="宋体" w:hAnsi="宋体" w:eastAsia="宋体" w:cs="宋体"/>
          <w:color w:val="auto"/>
          <w:sz w:val="24"/>
          <w:szCs w:val="24"/>
          <w:highlight w:val="none"/>
        </w:rPr>
        <w:t>废旧塑料清洗用水量约</w:t>
      </w:r>
      <w:r>
        <w:rPr>
          <w:rFonts w:hint="eastAsia" w:cs="Times New Roman"/>
          <w:color w:val="auto"/>
          <w:sz w:val="24"/>
          <w:szCs w:val="24"/>
          <w:highlight w:val="none"/>
          <w:lang w:val="en-US" w:eastAsia="zh-CN"/>
        </w:rPr>
        <w:t>61.1</w:t>
      </w:r>
      <w:r>
        <w:rPr>
          <w:rFonts w:hint="default" w:ascii="Times New Roman" w:hAnsi="Times New Roman" w:eastAsia="Times New Roman" w:cs="Times New Roman"/>
          <w:color w:val="auto"/>
          <w:sz w:val="24"/>
          <w:szCs w:val="24"/>
          <w:highlight w:val="none"/>
        </w:rPr>
        <w:t>m</w:t>
      </w:r>
      <w:r>
        <w:rPr>
          <w:rFonts w:hint="default" w:ascii="Times New Roman" w:hAnsi="Times New Roman" w:eastAsia="Times New Roman" w:cs="Times New Roman"/>
          <w:color w:val="auto"/>
          <w:position w:val="9"/>
          <w:sz w:val="16"/>
          <w:szCs w:val="16"/>
          <w:highlight w:val="none"/>
        </w:rPr>
        <w:t>3</w:t>
      </w:r>
      <w:r>
        <w:rPr>
          <w:rFonts w:hint="default" w:ascii="Times New Roman" w:hAnsi="Times New Roman" w:eastAsia="Times New Roman" w:cs="Times New Roman"/>
          <w:color w:val="auto"/>
          <w:sz w:val="24"/>
          <w:szCs w:val="24"/>
          <w:highlight w:val="none"/>
        </w:rPr>
        <w:t>/d</w:t>
      </w:r>
      <w:r>
        <w:rPr>
          <w:rFonts w:hint="default" w:ascii="Times New Roman" w:hAnsi="Times New Roman" w:eastAsia="宋体" w:cs="Times New Roman"/>
          <w:color w:val="auto"/>
          <w:sz w:val="24"/>
          <w:szCs w:val="24"/>
          <w:highlight w:val="none"/>
        </w:rPr>
        <w:t>，其中循</w:t>
      </w:r>
      <w:r>
        <w:rPr>
          <w:rFonts w:hint="default" w:ascii="Times New Roman" w:hAnsi="Times New Roman" w:eastAsia="宋体" w:cs="Times New Roman"/>
          <w:color w:val="auto"/>
          <w:spacing w:val="-1"/>
          <w:sz w:val="24"/>
          <w:szCs w:val="24"/>
          <w:highlight w:val="none"/>
        </w:rPr>
        <w:t>环水量为</w:t>
      </w:r>
      <w:r>
        <w:rPr>
          <w:rFonts w:hint="eastAsia" w:cs="Times New Roman"/>
          <w:color w:val="auto"/>
          <w:spacing w:val="-1"/>
          <w:sz w:val="24"/>
          <w:szCs w:val="24"/>
          <w:highlight w:val="none"/>
          <w:lang w:val="en-US" w:eastAsia="zh-CN"/>
        </w:rPr>
        <w:t>49.6</w:t>
      </w:r>
      <w:r>
        <w:rPr>
          <w:rFonts w:hint="default" w:ascii="Times New Roman" w:hAnsi="Times New Roman" w:eastAsia="Times New Roman" w:cs="Times New Roman"/>
          <w:color w:val="auto"/>
          <w:sz w:val="24"/>
          <w:szCs w:val="24"/>
          <w:highlight w:val="none"/>
        </w:rPr>
        <w:t>m</w:t>
      </w:r>
      <w:r>
        <w:rPr>
          <w:rFonts w:hint="default" w:ascii="Times New Roman" w:hAnsi="Times New Roman" w:eastAsia="Times New Roman" w:cs="Times New Roman"/>
          <w:color w:val="auto"/>
          <w:spacing w:val="-1"/>
          <w:position w:val="8"/>
          <w:sz w:val="16"/>
          <w:szCs w:val="16"/>
          <w:highlight w:val="none"/>
        </w:rPr>
        <w:t>3</w:t>
      </w:r>
      <w:r>
        <w:rPr>
          <w:rFonts w:hint="default" w:ascii="Times New Roman" w:hAnsi="Times New Roman" w:eastAsia="Times New Roman" w:cs="Times New Roman"/>
          <w:color w:val="auto"/>
          <w:spacing w:val="-1"/>
          <w:sz w:val="24"/>
          <w:szCs w:val="24"/>
          <w:highlight w:val="none"/>
        </w:rPr>
        <w:t>/</w:t>
      </w:r>
      <w:r>
        <w:rPr>
          <w:rFonts w:hint="default" w:ascii="Times New Roman" w:hAnsi="Times New Roman" w:eastAsia="Times New Roman" w:cs="Times New Roman"/>
          <w:color w:val="auto"/>
          <w:sz w:val="24"/>
          <w:szCs w:val="24"/>
          <w:highlight w:val="none"/>
        </w:rPr>
        <w:t>d</w:t>
      </w:r>
      <w:r>
        <w:rPr>
          <w:rFonts w:hint="default" w:ascii="Times New Roman" w:hAnsi="Times New Roman" w:eastAsia="宋体" w:cs="Times New Roman"/>
          <w:color w:val="auto"/>
          <w:spacing w:val="-1"/>
          <w:sz w:val="24"/>
          <w:szCs w:val="24"/>
          <w:highlight w:val="none"/>
        </w:rPr>
        <w:t>，</w:t>
      </w:r>
      <w:r>
        <w:rPr>
          <w:rFonts w:hint="eastAsia" w:ascii="Times New Roman" w:hAnsi="Times New Roman" w:eastAsia="宋体" w:cs="Times New Roman"/>
          <w:color w:val="auto"/>
          <w:spacing w:val="-1"/>
          <w:sz w:val="24"/>
          <w:szCs w:val="24"/>
          <w:highlight w:val="none"/>
          <w:lang w:eastAsia="zh-CN"/>
        </w:rPr>
        <w:t>沉淀池设计沉淀</w:t>
      </w:r>
      <w:r>
        <w:rPr>
          <w:rFonts w:hint="eastAsia" w:ascii="Times New Roman" w:hAnsi="Times New Roman" w:eastAsia="宋体" w:cs="Times New Roman"/>
          <w:color w:val="auto"/>
          <w:spacing w:val="-1"/>
          <w:sz w:val="24"/>
          <w:szCs w:val="24"/>
          <w:highlight w:val="none"/>
          <w:lang w:val="en-US" w:eastAsia="zh-CN"/>
        </w:rPr>
        <w:t>24h</w:t>
      </w:r>
      <w:r>
        <w:rPr>
          <w:rFonts w:hint="default"/>
          <w:color w:val="auto"/>
          <w:highlight w:val="none"/>
        </w:rPr>
        <w:t>后回用</w:t>
      </w:r>
      <w:r>
        <w:rPr>
          <w:rFonts w:hint="eastAsia"/>
          <w:color w:val="auto"/>
          <w:highlight w:val="none"/>
          <w:lang w:eastAsia="zh-CN"/>
        </w:rPr>
        <w:t>，</w:t>
      </w:r>
      <w:r>
        <w:rPr>
          <w:rFonts w:hint="default" w:ascii="Times New Roman" w:hAnsi="Times New Roman" w:eastAsia="宋体" w:cs="Times New Roman"/>
          <w:color w:val="auto"/>
          <w:spacing w:val="0"/>
          <w:w w:val="100"/>
          <w:position w:val="0"/>
          <w:highlight w:val="none"/>
        </w:rPr>
        <w:t>本项目清洗工序不添加任何清洗剂，清洗废水中主要污染物为SS，清洗废水经沉淀后水质可满足回用要求，沉淀池容量亦可满足工艺需求。</w:t>
      </w:r>
    </w:p>
    <w:p w14:paraId="501ABC48">
      <w:pPr>
        <w:pageBreakBefore w:val="0"/>
        <w:kinsoku/>
        <w:wordWrap/>
        <w:overflowPunct/>
        <w:topLinePunct w:val="0"/>
        <w:bidi w:val="0"/>
        <w:rPr>
          <w:rFonts w:hint="eastAsia" w:ascii="宋体" w:hAnsi="宋体" w:cs="宋体"/>
          <w:color w:val="auto"/>
          <w:spacing w:val="0"/>
          <w:w w:val="100"/>
          <w:position w:val="0"/>
          <w:highlight w:val="none"/>
          <w:lang w:eastAsia="zh-CN"/>
        </w:rPr>
      </w:pPr>
      <w:r>
        <w:rPr>
          <w:rFonts w:hint="default" w:ascii="宋体" w:hAnsi="宋体" w:eastAsia="宋体" w:cs="宋体"/>
          <w:color w:val="auto"/>
          <w:highlight w:val="none"/>
          <w:lang w:eastAsia="zh-CN"/>
        </w:rPr>
        <w:t>②</w:t>
      </w:r>
      <w:r>
        <w:rPr>
          <w:rFonts w:hint="eastAsia" w:ascii="宋体" w:hAnsi="宋体" w:eastAsia="宋体" w:cs="宋体"/>
          <w:color w:val="auto"/>
          <w:highlight w:val="none"/>
          <w:lang w:eastAsia="zh-CN"/>
        </w:rPr>
        <w:t>冷却</w:t>
      </w:r>
      <w:r>
        <w:rPr>
          <w:rFonts w:hint="eastAsia" w:ascii="宋体" w:hAnsi="宋体" w:cs="宋体"/>
          <w:color w:val="auto"/>
          <w:spacing w:val="0"/>
          <w:w w:val="100"/>
          <w:position w:val="0"/>
          <w:highlight w:val="none"/>
          <w:lang w:eastAsia="zh-CN"/>
        </w:rPr>
        <w:t>废水</w:t>
      </w:r>
    </w:p>
    <w:p w14:paraId="47DC464A">
      <w:pPr>
        <w:pageBreakBefore w:val="0"/>
        <w:kinsoku/>
        <w:wordWrap/>
        <w:overflowPunct/>
        <w:topLinePunct w:val="0"/>
        <w:bidi w:val="0"/>
        <w:rPr>
          <w:rFonts w:hint="eastAsia" w:cs="Times New Roman"/>
          <w:color w:val="auto"/>
        </w:rPr>
      </w:pPr>
      <w:r>
        <w:rPr>
          <w:rFonts w:hint="eastAsia" w:cs="Times New Roman"/>
          <w:color w:val="auto"/>
          <w:lang w:eastAsia="zh-CN"/>
        </w:rPr>
        <w:t>工程配套建设</w:t>
      </w:r>
      <w:r>
        <w:rPr>
          <w:rFonts w:hint="eastAsia"/>
          <w:color w:val="auto"/>
          <w:highlight w:val="none"/>
          <w:lang w:val="en-US" w:eastAsia="zh-CN"/>
        </w:rPr>
        <w:t>冷却水池，</w:t>
      </w:r>
      <w:r>
        <w:rPr>
          <w:rFonts w:hint="eastAsia" w:cs="Times New Roman"/>
          <w:color w:val="auto"/>
          <w:lang w:eastAsia="zh-CN"/>
        </w:rPr>
        <w:t>项目生产过程</w:t>
      </w:r>
      <w:r>
        <w:rPr>
          <w:rFonts w:hint="eastAsia" w:cs="Times New Roman"/>
          <w:color w:val="auto"/>
        </w:rPr>
        <w:t>冷却废水循环使用。</w:t>
      </w:r>
    </w:p>
    <w:p w14:paraId="6B4AF17B">
      <w:pPr>
        <w:pageBreakBefore w:val="0"/>
        <w:kinsoku/>
        <w:wordWrap/>
        <w:overflowPunct/>
        <w:topLinePunct w:val="0"/>
        <w:bidi w:val="0"/>
        <w:rPr>
          <w:rFonts w:hint="default"/>
          <w:color w:val="auto"/>
          <w:highlight w:val="none"/>
        </w:rPr>
      </w:pPr>
      <w:r>
        <w:rPr>
          <w:rFonts w:hint="eastAsia" w:cs="Times New Roman"/>
          <w:color w:val="auto"/>
          <w:spacing w:val="0"/>
          <w:w w:val="100"/>
          <w:position w:val="0"/>
          <w:highlight w:val="none"/>
          <w:lang w:eastAsia="zh-CN"/>
        </w:rPr>
        <w:t>项目生产废水处理措施满足</w:t>
      </w:r>
      <w:r>
        <w:rPr>
          <w:rFonts w:hint="default" w:ascii="Times New Roman" w:hAnsi="Times New Roman" w:cs="Times New Roman"/>
          <w:color w:val="auto"/>
          <w:highlight w:val="none"/>
        </w:rPr>
        <w:t>《</w:t>
      </w:r>
      <w:r>
        <w:rPr>
          <w:rFonts w:hint="eastAsia" w:cs="Times New Roman"/>
          <w:color w:val="auto"/>
          <w:highlight w:val="none"/>
          <w:lang w:eastAsia="zh-CN"/>
        </w:rPr>
        <w:t>废塑料污染控制技术规范</w:t>
      </w:r>
      <w:r>
        <w:rPr>
          <w:rFonts w:hint="default" w:ascii="Times New Roman" w:hAnsi="Times New Roman" w:cs="Times New Roman"/>
          <w:color w:val="auto"/>
          <w:highlight w:val="none"/>
        </w:rPr>
        <w:t>》（</w:t>
      </w:r>
      <w:r>
        <w:rPr>
          <w:rFonts w:hint="eastAsia" w:cs="Times New Roman"/>
          <w:color w:val="auto"/>
          <w:highlight w:val="none"/>
          <w:lang w:eastAsia="zh-CN"/>
        </w:rPr>
        <w:t>HJ364-2022</w:t>
      </w:r>
      <w:r>
        <w:rPr>
          <w:rFonts w:hint="default" w:ascii="Times New Roman" w:hAnsi="Times New Roman" w:cs="Times New Roman"/>
          <w:color w:val="auto"/>
          <w:highlight w:val="none"/>
        </w:rPr>
        <w:t>）</w:t>
      </w:r>
      <w:r>
        <w:rPr>
          <w:rFonts w:hint="default"/>
          <w:color w:val="auto"/>
        </w:rPr>
        <w:t>中的要求，</w:t>
      </w:r>
      <w:r>
        <w:rPr>
          <w:rFonts w:hint="eastAsia"/>
          <w:color w:val="auto"/>
          <w:lang w:eastAsia="zh-CN"/>
        </w:rPr>
        <w:t>“</w:t>
      </w:r>
      <w:r>
        <w:rPr>
          <w:rFonts w:hint="default"/>
          <w:color w:val="auto"/>
        </w:rPr>
        <w:t>废塑料预处理、再生</w:t>
      </w:r>
      <w:r>
        <w:rPr>
          <w:rFonts w:hint="default"/>
          <w:color w:val="auto"/>
          <w:highlight w:val="none"/>
        </w:rPr>
        <w:t>利用等过程中产生的废水和厂区产生的生活废水，企业应有配套的废水收集设施。废水宜在厂区内处理并循环利用</w:t>
      </w:r>
      <w:r>
        <w:rPr>
          <w:rFonts w:hint="eastAsia"/>
          <w:color w:val="auto"/>
          <w:highlight w:val="none"/>
          <w:lang w:eastAsia="zh-CN"/>
        </w:rPr>
        <w:t>”</w:t>
      </w:r>
      <w:r>
        <w:rPr>
          <w:rFonts w:hint="default"/>
          <w:color w:val="auto"/>
          <w:highlight w:val="none"/>
        </w:rPr>
        <w:t>。</w:t>
      </w:r>
    </w:p>
    <w:p w14:paraId="2C18D783">
      <w:pPr>
        <w:pageBreakBefore w:val="0"/>
        <w:kinsoku/>
        <w:wordWrap/>
        <w:overflowPunct/>
        <w:topLinePunct w:val="0"/>
        <w:bidi w:val="0"/>
        <w:rPr>
          <w:rFonts w:hint="default"/>
          <w:color w:val="auto"/>
        </w:rPr>
      </w:pPr>
      <w:r>
        <w:rPr>
          <w:rFonts w:hint="default"/>
          <w:color w:val="auto"/>
        </w:rPr>
        <w:t>沉淀池采用混凝土结构或者钢结构，池底和池壁采用抗渗混凝土面层（包括钢筋混凝土、钢纤维混凝土）中掺水泥及渗透结晶型防水剂，抗渗等级不小于P8。</w:t>
      </w:r>
    </w:p>
    <w:p w14:paraId="58B8C647">
      <w:pPr>
        <w:pageBreakBefore w:val="0"/>
        <w:kinsoku/>
        <w:wordWrap/>
        <w:overflowPunct/>
        <w:topLinePunct w:val="0"/>
        <w:bidi w:val="0"/>
        <w:rPr>
          <w:rFonts w:hint="eastAsia"/>
          <w:color w:val="auto"/>
          <w:lang w:val="en-US" w:eastAsia="zh-CN"/>
        </w:rPr>
      </w:pPr>
      <w:r>
        <w:rPr>
          <w:rFonts w:hint="eastAsia" w:cs="Times New Roman"/>
          <w:color w:val="auto"/>
        </w:rPr>
        <w:t>根据《排污许可证申请与核发技术规范 废弃资源加工工业》（HJ1034-2019）附录A.2，废塑料加工行业综合废水预处理可行技术包括沉淀、气浮、混凝、调节等</w:t>
      </w:r>
      <w:r>
        <w:rPr>
          <w:rFonts w:hint="eastAsia" w:cs="Times New Roman"/>
          <w:color w:val="auto"/>
          <w:lang w:eastAsia="zh-CN"/>
        </w:rPr>
        <w:t>。</w:t>
      </w:r>
      <w:r>
        <w:rPr>
          <w:rFonts w:hint="eastAsia" w:cs="Times New Roman"/>
          <w:color w:val="auto"/>
          <w:lang w:val="en-US" w:eastAsia="zh-CN"/>
        </w:rPr>
        <w:t>根据</w:t>
      </w:r>
      <w:r>
        <w:rPr>
          <w:rFonts w:cs="Times New Roman"/>
          <w:color w:val="auto"/>
          <w:szCs w:val="24"/>
          <w:lang w:val="en-US"/>
        </w:rPr>
        <w:t>《排污许可证申请与核发技术规范</w:t>
      </w:r>
      <w:r>
        <w:rPr>
          <w:rFonts w:hint="eastAsia" w:cs="Times New Roman"/>
          <w:color w:val="auto"/>
          <w:szCs w:val="24"/>
          <w:lang w:val="en-US" w:eastAsia="zh-CN"/>
        </w:rPr>
        <w:t xml:space="preserve"> </w:t>
      </w:r>
      <w:r>
        <w:rPr>
          <w:rFonts w:cs="Times New Roman"/>
          <w:color w:val="auto"/>
          <w:szCs w:val="24"/>
          <w:lang w:val="en-US"/>
        </w:rPr>
        <w:t>橡胶和塑料制品工业》（HJ1122-2020）</w:t>
      </w:r>
      <w:r>
        <w:rPr>
          <w:rFonts w:hint="eastAsia" w:cs="Times New Roman"/>
          <w:color w:val="auto"/>
          <w:szCs w:val="24"/>
          <w:lang w:val="en-US" w:eastAsia="zh-CN"/>
        </w:rPr>
        <w:t>，塑料制品工业排污单位废水污染防治可行技术中-厂区综合废水处理设施可行技术包括预处理设施：调节、隔油、沉淀</w:t>
      </w:r>
      <w:r>
        <w:rPr>
          <w:rFonts w:hint="eastAsia" w:cs="Times New Roman"/>
          <w:color w:val="auto"/>
        </w:rPr>
        <w:t>。本项目清洗</w:t>
      </w:r>
      <w:r>
        <w:rPr>
          <w:rFonts w:hint="eastAsia" w:cs="Times New Roman"/>
          <w:color w:val="auto"/>
          <w:lang w:val="en-US" w:eastAsia="zh-CN"/>
        </w:rPr>
        <w:t>及破碎</w:t>
      </w:r>
      <w:r>
        <w:rPr>
          <w:rFonts w:hint="eastAsia" w:cs="Times New Roman"/>
          <w:color w:val="auto"/>
        </w:rPr>
        <w:t>废水进入沉淀池沉淀处理后回用于废旧滴灌带清洗工序，为可行技术。</w:t>
      </w:r>
    </w:p>
    <w:p w14:paraId="6FDB761B">
      <w:pPr>
        <w:pageBreakBefore w:val="0"/>
        <w:kinsoku/>
        <w:wordWrap/>
        <w:overflowPunct/>
        <w:topLinePunct w:val="0"/>
        <w:bidi w:val="0"/>
        <w:rPr>
          <w:rFonts w:hint="default"/>
          <w:color w:val="auto"/>
        </w:rPr>
      </w:pPr>
      <w:r>
        <w:rPr>
          <w:rFonts w:hint="eastAsia"/>
          <w:color w:val="auto"/>
          <w:lang w:val="en-US" w:eastAsia="zh-CN"/>
        </w:rPr>
        <w:t>2.</w:t>
      </w:r>
      <w:r>
        <w:rPr>
          <w:rFonts w:hint="default"/>
          <w:color w:val="auto"/>
        </w:rPr>
        <w:t>生活污水治理措施</w:t>
      </w:r>
    </w:p>
    <w:p w14:paraId="17EFF2D3">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Calibri" w:hAnsi="Calibri" w:cs="Calibri"/>
          <w:color w:val="auto"/>
          <w:sz w:val="24"/>
          <w:lang w:eastAsia="zh-CN"/>
        </w:rPr>
      </w:pPr>
      <w:r>
        <w:rPr>
          <w:rFonts w:hint="default" w:ascii="Times New Roman" w:hAnsi="Times New Roman" w:eastAsia="宋体" w:cs="宋体"/>
          <w:color w:val="auto"/>
          <w:lang w:val="en-US" w:eastAsia="zh-CN"/>
        </w:rPr>
        <w:t>①</w:t>
      </w:r>
      <w:r>
        <w:rPr>
          <w:rFonts w:hint="eastAsia" w:ascii="Times New Roman" w:hAnsi="Times New Roman" w:eastAsia="宋体" w:cs="宋体"/>
          <w:color w:val="auto"/>
          <w:lang w:val="en-US" w:eastAsia="zh-CN"/>
        </w:rPr>
        <w:t>废水</w:t>
      </w:r>
      <w:r>
        <w:rPr>
          <w:rFonts w:hint="eastAsia" w:ascii="Calibri" w:hAnsi="Calibri" w:cs="Calibri"/>
          <w:color w:val="auto"/>
          <w:sz w:val="24"/>
          <w:lang w:eastAsia="zh-CN"/>
        </w:rPr>
        <w:t>处理措施</w:t>
      </w:r>
    </w:p>
    <w:p w14:paraId="1ABDF1CD">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宋体" w:cs="宋体"/>
          <w:color w:val="auto"/>
        </w:rPr>
      </w:pPr>
      <w:r>
        <w:rPr>
          <w:rFonts w:hint="default" w:ascii="Times New Roman" w:hAnsi="Times New Roman" w:cs="Times New Roman"/>
          <w:color w:val="auto"/>
          <w:sz w:val="24"/>
        </w:rPr>
        <w:t>本项目</w:t>
      </w:r>
      <w:r>
        <w:rPr>
          <w:rFonts w:hint="default" w:ascii="Times New Roman" w:hAnsi="Times New Roman" w:eastAsia="宋体" w:cs="Times New Roman"/>
          <w:color w:val="auto"/>
          <w:sz w:val="24"/>
          <w:szCs w:val="24"/>
          <w:lang w:val="en-US" w:eastAsia="zh-CN"/>
        </w:rPr>
        <w:t>生活污水经地埋式</w:t>
      </w:r>
      <w:r>
        <w:rPr>
          <w:rFonts w:hint="eastAsia" w:cs="Times New Roman"/>
          <w:color w:val="auto"/>
          <w:sz w:val="24"/>
          <w:szCs w:val="24"/>
          <w:lang w:val="en-US" w:eastAsia="zh-CN"/>
        </w:rPr>
        <w:t>地埋式一体化</w:t>
      </w:r>
      <w:r>
        <w:rPr>
          <w:rFonts w:hint="default" w:ascii="Times New Roman" w:hAnsi="Times New Roman" w:eastAsia="宋体" w:cs="Times New Roman"/>
          <w:color w:val="auto"/>
          <w:sz w:val="24"/>
          <w:szCs w:val="24"/>
          <w:lang w:val="en-US" w:eastAsia="zh-CN"/>
        </w:rPr>
        <w:t>污水处理设施处理</w:t>
      </w:r>
      <w:r>
        <w:rPr>
          <w:rFonts w:hint="eastAsia" w:cs="Times New Roman"/>
          <w:color w:val="auto"/>
          <w:sz w:val="24"/>
          <w:szCs w:val="24"/>
          <w:lang w:val="en-US" w:eastAsia="zh-CN"/>
        </w:rPr>
        <w:t>，</w:t>
      </w:r>
      <w:r>
        <w:rPr>
          <w:rFonts w:hint="default" w:ascii="Times New Roman" w:hAnsi="Times New Roman" w:eastAsia="宋体" w:cs="Times New Roman"/>
          <w:color w:val="auto"/>
          <w:sz w:val="24"/>
          <w:szCs w:val="24"/>
          <w:lang w:val="en-US" w:eastAsia="zh-CN"/>
        </w:rPr>
        <w:t>满足</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污水综合排放标准</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GB8978</w:t>
      </w:r>
      <w:r>
        <w:rPr>
          <w:rFonts w:hint="eastAsia" w:ascii="Times New Roman" w:hAnsi="Times New Roman" w:eastAsia="宋体" w:cs="Times New Roman"/>
          <w:color w:val="auto"/>
          <w:sz w:val="24"/>
          <w:szCs w:val="24"/>
          <w:lang w:val="en-US" w:eastAsia="zh-CN"/>
        </w:rPr>
        <w:t>-</w:t>
      </w:r>
      <w:r>
        <w:rPr>
          <w:rFonts w:hint="eastAsia" w:cs="Times New Roman"/>
          <w:color w:val="auto"/>
          <w:sz w:val="24"/>
          <w:szCs w:val="24"/>
          <w:lang w:val="en-US" w:eastAsia="zh-CN"/>
        </w:rPr>
        <w:t>1996</w:t>
      </w:r>
      <w:r>
        <w:rPr>
          <w:rFonts w:hint="eastAsia" w:ascii="Times New Roman" w:hAnsi="Times New Roman" w:eastAsia="宋体" w:cs="Times New Roman"/>
          <w:color w:val="auto"/>
          <w:sz w:val="24"/>
          <w:szCs w:val="24"/>
          <w:lang w:val="en-US" w:eastAsia="zh-CN"/>
        </w:rPr>
        <w:t>）中</w:t>
      </w:r>
      <w:r>
        <w:rPr>
          <w:rFonts w:hint="eastAsia" w:cs="Times New Roman"/>
          <w:color w:val="auto"/>
          <w:sz w:val="24"/>
          <w:szCs w:val="24"/>
          <w:lang w:val="en-US" w:eastAsia="zh-CN"/>
        </w:rPr>
        <w:t>的三</w:t>
      </w:r>
      <w:r>
        <w:rPr>
          <w:rFonts w:hint="eastAsia" w:ascii="Times New Roman" w:hAnsi="Times New Roman" w:eastAsia="宋体" w:cs="Times New Roman"/>
          <w:color w:val="auto"/>
          <w:sz w:val="24"/>
          <w:szCs w:val="24"/>
          <w:lang w:val="en-US" w:eastAsia="zh-CN"/>
        </w:rPr>
        <w:t>级标准</w:t>
      </w:r>
      <w:r>
        <w:rPr>
          <w:rFonts w:hint="default" w:ascii="Times New Roman" w:hAnsi="Times New Roman" w:eastAsia="宋体" w:cs="Times New Roman"/>
          <w:color w:val="auto"/>
          <w:sz w:val="24"/>
          <w:szCs w:val="24"/>
          <w:lang w:val="en-US" w:eastAsia="zh-CN"/>
        </w:rPr>
        <w:t>后排入下水管网，最终进入乌雪特乡污水处理站</w:t>
      </w:r>
      <w:r>
        <w:rPr>
          <w:rFonts w:hint="default"/>
          <w:color w:val="auto"/>
        </w:rPr>
        <w:t>。</w:t>
      </w:r>
    </w:p>
    <w:p w14:paraId="7653DC44">
      <w:pPr>
        <w:keepNext w:val="0"/>
        <w:keepLines w:val="0"/>
        <w:pageBreakBefore w:val="0"/>
        <w:widowControl w:val="0"/>
        <w:kinsoku/>
        <w:wordWrap/>
        <w:overflowPunct/>
        <w:topLinePunct w:val="0"/>
        <w:autoSpaceDE w:val="0"/>
        <w:autoSpaceDN w:val="0"/>
        <w:bidi w:val="0"/>
        <w:adjustRightInd/>
        <w:snapToGrid/>
        <w:jc w:val="both"/>
        <w:textAlignment w:val="auto"/>
        <w:rPr>
          <w:rFonts w:hint="eastAsia" w:ascii="Times New Roman" w:hAnsi="Times New Roman" w:eastAsia="宋体" w:cs="宋体"/>
          <w:color w:val="auto"/>
        </w:rPr>
      </w:pPr>
      <w:r>
        <w:rPr>
          <w:rFonts w:hint="default" w:ascii="Times New Roman" w:hAnsi="Times New Roman" w:eastAsia="宋体" w:cs="宋体"/>
          <w:color w:val="auto"/>
          <w:lang w:val="en-US" w:eastAsia="zh-CN"/>
        </w:rPr>
        <w:t>②</w:t>
      </w:r>
      <w:r>
        <w:rPr>
          <w:rFonts w:hint="eastAsia" w:cs="宋体"/>
          <w:color w:val="auto"/>
          <w:lang w:val="en-US" w:eastAsia="zh-CN"/>
        </w:rPr>
        <w:t>依托可行性</w:t>
      </w:r>
    </w:p>
    <w:p w14:paraId="077D430C">
      <w:pPr>
        <w:widowControl/>
        <w:spacing w:line="360" w:lineRule="auto"/>
        <w:ind w:firstLine="480"/>
        <w:outlineLvl w:val="9"/>
        <w:rPr>
          <w:rFonts w:hint="default" w:ascii="Times New Roman" w:hAnsi="Times New Roman" w:eastAsia="宋体" w:cs="Times New Roman"/>
          <w:color w:val="auto"/>
          <w:sz w:val="24"/>
          <w:szCs w:val="24"/>
        </w:rPr>
      </w:pP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位于塔城地区托里县</w:t>
      </w:r>
      <w:r>
        <w:rPr>
          <w:rFonts w:hint="eastAsia" w:cs="Times New Roman"/>
          <w:color w:val="auto"/>
          <w:sz w:val="24"/>
          <w:szCs w:val="24"/>
          <w:lang w:eastAsia="zh-CN"/>
        </w:rPr>
        <w:t>乌雪特乡西侧</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距离本项目区约</w:t>
      </w:r>
      <w:r>
        <w:rPr>
          <w:rFonts w:hint="eastAsia" w:cs="Times New Roman"/>
          <w:color w:val="auto"/>
          <w:sz w:val="24"/>
          <w:szCs w:val="24"/>
          <w:lang w:val="en-US" w:eastAsia="zh-CN"/>
        </w:rPr>
        <w:t>2.3km，</w:t>
      </w:r>
      <w:r>
        <w:rPr>
          <w:rFonts w:hint="default" w:ascii="Times New Roman" w:hAnsi="Times New Roman" w:eastAsia="宋体" w:cs="Times New Roman"/>
          <w:color w:val="auto"/>
          <w:sz w:val="24"/>
          <w:szCs w:val="24"/>
        </w:rPr>
        <w:t>主要接纳</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居民生活污水。污水处理厂设计规模为：</w:t>
      </w:r>
      <w:r>
        <w:rPr>
          <w:rFonts w:hint="eastAsia" w:cs="Times New Roman"/>
          <w:color w:val="auto"/>
          <w:sz w:val="24"/>
          <w:szCs w:val="24"/>
          <w:lang w:val="en-US" w:eastAsia="zh-CN"/>
        </w:rPr>
        <w:t>35</w:t>
      </w:r>
      <w:r>
        <w:rPr>
          <w:rFonts w:hint="default" w:ascii="Times New Roman" w:hAnsi="Times New Roman" w:eastAsia="宋体" w:cs="Times New Roman"/>
          <w:color w:val="auto"/>
          <w:sz w:val="24"/>
          <w:szCs w:val="24"/>
        </w:rPr>
        <w:t>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/d/。污水处理采用“A/O+沉</w:t>
      </w:r>
      <w:r>
        <w:rPr>
          <w:rFonts w:hint="eastAsia" w:cs="Times New Roman"/>
          <w:color w:val="auto"/>
          <w:sz w:val="24"/>
          <w:szCs w:val="24"/>
          <w:lang w:val="en-US" w:eastAsia="zh-CN"/>
        </w:rPr>
        <w:t>MBR</w:t>
      </w:r>
      <w:r>
        <w:rPr>
          <w:rFonts w:hint="default" w:ascii="Times New Roman" w:hAnsi="Times New Roman" w:eastAsia="宋体" w:cs="Times New Roman"/>
          <w:color w:val="auto"/>
          <w:sz w:val="24"/>
          <w:szCs w:val="24"/>
        </w:rPr>
        <w:t>”工艺，处理后用于生态林灌溉。</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于20</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3</w:t>
      </w:r>
      <w:r>
        <w:rPr>
          <w:rFonts w:hint="default" w:ascii="Times New Roman" w:hAnsi="Times New Roman" w:eastAsia="宋体" w:cs="Times New Roman"/>
          <w:color w:val="auto"/>
          <w:sz w:val="24"/>
          <w:szCs w:val="24"/>
        </w:rPr>
        <w:t>月</w:t>
      </w:r>
      <w:r>
        <w:rPr>
          <w:rFonts w:hint="eastAsia" w:cs="Times New Roman"/>
          <w:color w:val="auto"/>
          <w:sz w:val="24"/>
          <w:szCs w:val="24"/>
          <w:lang w:val="en-US" w:eastAsia="zh-CN"/>
        </w:rPr>
        <w:t>11</w:t>
      </w:r>
      <w:r>
        <w:rPr>
          <w:rFonts w:hint="default" w:ascii="Times New Roman" w:hAnsi="Times New Roman" w:eastAsia="宋体" w:cs="Times New Roman"/>
          <w:color w:val="auto"/>
          <w:sz w:val="24"/>
          <w:szCs w:val="24"/>
        </w:rPr>
        <w:t>日取得</w:t>
      </w:r>
      <w:r>
        <w:rPr>
          <w:rFonts w:hint="eastAsia" w:cs="Times New Roman"/>
          <w:color w:val="auto"/>
          <w:sz w:val="24"/>
          <w:szCs w:val="24"/>
          <w:lang w:eastAsia="zh-CN"/>
        </w:rPr>
        <w:t>了建设项目环境影响登记表</w:t>
      </w:r>
      <w:r>
        <w:rPr>
          <w:rFonts w:hint="default" w:ascii="Times New Roman" w:hAnsi="Times New Roman" w:eastAsia="宋体" w:cs="Times New Roman"/>
          <w:color w:val="auto"/>
          <w:sz w:val="24"/>
          <w:szCs w:val="24"/>
        </w:rPr>
        <w:t>（</w:t>
      </w:r>
      <w:r>
        <w:rPr>
          <w:rFonts w:hint="eastAsia" w:cs="Times New Roman"/>
          <w:color w:val="auto"/>
          <w:sz w:val="24"/>
          <w:szCs w:val="24"/>
          <w:lang w:eastAsia="zh-CN"/>
        </w:rPr>
        <w:t>备案号：</w:t>
      </w:r>
      <w:r>
        <w:rPr>
          <w:rFonts w:hint="eastAsia" w:cs="Times New Roman"/>
          <w:color w:val="auto"/>
          <w:sz w:val="24"/>
          <w:szCs w:val="24"/>
          <w:lang w:val="en-US" w:eastAsia="zh-CN"/>
        </w:rPr>
        <w:t>202265422400000002</w:t>
      </w:r>
      <w:r>
        <w:rPr>
          <w:rFonts w:hint="default" w:ascii="Times New Roman" w:hAnsi="Times New Roman" w:eastAsia="宋体" w:cs="Times New Roman"/>
          <w:color w:val="auto"/>
          <w:sz w:val="24"/>
          <w:szCs w:val="24"/>
        </w:rPr>
        <w:t>），20</w:t>
      </w:r>
      <w:r>
        <w:rPr>
          <w:rFonts w:hint="eastAsia" w:cs="Times New Roman"/>
          <w:color w:val="auto"/>
          <w:sz w:val="24"/>
          <w:szCs w:val="24"/>
          <w:lang w:val="en-US" w:eastAsia="zh-CN"/>
        </w:rPr>
        <w:t>22</w:t>
      </w:r>
      <w:r>
        <w:rPr>
          <w:rFonts w:hint="default" w:ascii="Times New Roman" w:hAnsi="Times New Roman" w:eastAsia="宋体" w:cs="Times New Roman"/>
          <w:color w:val="auto"/>
          <w:sz w:val="24"/>
          <w:szCs w:val="24"/>
        </w:rPr>
        <w:t>年</w:t>
      </w:r>
      <w:r>
        <w:rPr>
          <w:rFonts w:hint="eastAsia" w:cs="Times New Roman"/>
          <w:color w:val="auto"/>
          <w:sz w:val="24"/>
          <w:szCs w:val="24"/>
          <w:lang w:val="en-US" w:eastAsia="zh-CN"/>
        </w:rPr>
        <w:t>9</w:t>
      </w:r>
      <w:r>
        <w:rPr>
          <w:rFonts w:hint="default" w:ascii="Times New Roman" w:hAnsi="Times New Roman" w:eastAsia="宋体" w:cs="Times New Roman"/>
          <w:color w:val="auto"/>
          <w:sz w:val="24"/>
          <w:szCs w:val="24"/>
        </w:rPr>
        <w:t>月</w:t>
      </w:r>
      <w:r>
        <w:rPr>
          <w:rFonts w:hint="eastAsia" w:cs="Times New Roman"/>
          <w:color w:val="auto"/>
          <w:sz w:val="24"/>
          <w:szCs w:val="24"/>
          <w:lang w:eastAsia="zh-CN"/>
        </w:rPr>
        <w:t>建成运行</w:t>
      </w:r>
      <w:r>
        <w:rPr>
          <w:rFonts w:hint="default" w:ascii="Times New Roman" w:hAnsi="Times New Roman" w:eastAsia="宋体" w:cs="Times New Roman"/>
          <w:color w:val="auto"/>
          <w:sz w:val="24"/>
          <w:szCs w:val="24"/>
        </w:rPr>
        <w:t>。</w:t>
      </w:r>
    </w:p>
    <w:p w14:paraId="55D1760A">
      <w:pPr>
        <w:keepNext w:val="0"/>
        <w:keepLines w:val="0"/>
        <w:pageBreakBefore w:val="0"/>
        <w:widowControl w:val="0"/>
        <w:kinsoku/>
        <w:wordWrap/>
        <w:overflowPunct/>
        <w:topLinePunct w:val="0"/>
        <w:autoSpaceDE w:val="0"/>
        <w:autoSpaceDN w:val="0"/>
        <w:bidi w:val="0"/>
        <w:adjustRightInd/>
        <w:snapToGrid/>
        <w:jc w:val="both"/>
        <w:textAlignment w:val="auto"/>
        <w:rPr>
          <w:rFonts w:hint="default" w:ascii="Times New Roman" w:hAnsi="Times New Roman" w:eastAsia="宋体" w:cs="宋体"/>
          <w:color w:val="auto"/>
          <w:lang w:val="en-US" w:eastAsia="zh-CN"/>
        </w:rPr>
      </w:pP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目前的使用规模约为200m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/d，余量为</w:t>
      </w:r>
      <w:r>
        <w:rPr>
          <w:rFonts w:hint="eastAsia" w:cs="Times New Roman"/>
          <w:color w:val="auto"/>
          <w:sz w:val="24"/>
          <w:szCs w:val="24"/>
          <w:lang w:val="en-US" w:eastAsia="zh-CN"/>
        </w:rPr>
        <w:t>15</w:t>
      </w:r>
      <w:r>
        <w:rPr>
          <w:rFonts w:hint="default" w:ascii="Times New Roman" w:hAnsi="Times New Roman" w:eastAsia="宋体" w:cs="Times New Roman"/>
          <w:color w:val="auto"/>
          <w:sz w:val="24"/>
          <w:szCs w:val="24"/>
        </w:rPr>
        <w:t>0m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/d，本项目生活污水排放量仅为</w:t>
      </w:r>
      <w:r>
        <w:rPr>
          <w:rFonts w:hint="eastAsia" w:cs="Times New Roman"/>
          <w:color w:val="auto"/>
          <w:sz w:val="24"/>
          <w:szCs w:val="24"/>
          <w:lang w:val="en-US" w:eastAsia="zh-CN"/>
        </w:rPr>
        <w:t>1.02</w:t>
      </w:r>
      <w:r>
        <w:rPr>
          <w:rFonts w:hint="default" w:ascii="Times New Roman" w:hAnsi="Times New Roman" w:eastAsia="宋体" w:cs="Times New Roman"/>
          <w:color w:val="auto"/>
          <w:sz w:val="24"/>
          <w:szCs w:val="24"/>
        </w:rPr>
        <w:t>m</w:t>
      </w:r>
      <w:r>
        <w:rPr>
          <w:rFonts w:hint="default" w:ascii="Times New Roman" w:hAnsi="Times New Roman" w:eastAsia="宋体" w:cs="Times New Roman"/>
          <w:color w:val="auto"/>
          <w:sz w:val="24"/>
          <w:szCs w:val="24"/>
          <w:vertAlign w:val="superscript"/>
        </w:rPr>
        <w:t>3</w:t>
      </w:r>
      <w:r>
        <w:rPr>
          <w:rFonts w:hint="default" w:ascii="Times New Roman" w:hAnsi="Times New Roman" w:eastAsia="宋体" w:cs="Times New Roman"/>
          <w:color w:val="auto"/>
          <w:sz w:val="24"/>
          <w:szCs w:val="24"/>
        </w:rPr>
        <w:t>/d，远小于余量。此外，本项目生活污水预处理后，可达到污水处理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的进水水质要求，即《污水综合排放标准》（GB8978-1996）三级标准。因此，本项目生活污水依托</w:t>
      </w:r>
      <w:r>
        <w:rPr>
          <w:rFonts w:hint="eastAsia" w:cs="Times New Roman"/>
          <w:color w:val="auto"/>
          <w:sz w:val="24"/>
          <w:szCs w:val="24"/>
          <w:lang w:eastAsia="zh-CN"/>
        </w:rPr>
        <w:t>乌雪特乡</w:t>
      </w:r>
      <w:r>
        <w:rPr>
          <w:rFonts w:hint="default" w:ascii="Times New Roman" w:hAnsi="Times New Roman" w:eastAsia="宋体" w:cs="Times New Roman"/>
          <w:color w:val="auto"/>
          <w:sz w:val="24"/>
          <w:szCs w:val="24"/>
        </w:rPr>
        <w:t>污水处理</w:t>
      </w:r>
      <w:r>
        <w:rPr>
          <w:rFonts w:hint="eastAsia" w:cs="Times New Roman"/>
          <w:color w:val="auto"/>
          <w:sz w:val="24"/>
          <w:szCs w:val="24"/>
          <w:lang w:eastAsia="zh-CN"/>
        </w:rPr>
        <w:t>站</w:t>
      </w:r>
      <w:r>
        <w:rPr>
          <w:rFonts w:hint="default" w:ascii="Times New Roman" w:hAnsi="Times New Roman" w:eastAsia="宋体" w:cs="Times New Roman"/>
          <w:color w:val="auto"/>
          <w:sz w:val="24"/>
          <w:szCs w:val="24"/>
        </w:rPr>
        <w:t>是可行的。</w:t>
      </w:r>
    </w:p>
    <w:p w14:paraId="2CEAC3DE">
      <w:pPr>
        <w:pStyle w:val="6"/>
        <w:pageBreakBefore w:val="0"/>
        <w:kinsoku/>
        <w:wordWrap/>
        <w:overflowPunct/>
        <w:topLinePunct w:val="0"/>
        <w:bidi w:val="0"/>
        <w:rPr>
          <w:rFonts w:hint="default" w:ascii="Times New Roman" w:hAnsi="Times New Roman" w:cs="Times New Roman"/>
          <w:color w:val="auto"/>
          <w:spacing w:val="0"/>
          <w:w w:val="100"/>
          <w:position w:val="0"/>
        </w:rPr>
      </w:pPr>
      <w:bookmarkStart w:id="342" w:name="_Toc11470"/>
      <w:r>
        <w:rPr>
          <w:rFonts w:hint="default" w:ascii="Times New Roman" w:hAnsi="Times New Roman" w:cs="Times New Roman"/>
          <w:color w:val="auto"/>
          <w:spacing w:val="0"/>
          <w:w w:val="100"/>
          <w:position w:val="0"/>
          <w:lang w:val="en-US" w:eastAsia="zh-CN"/>
        </w:rPr>
        <w:t>7.2.2.2</w:t>
      </w:r>
      <w:r>
        <w:rPr>
          <w:rFonts w:hint="default" w:ascii="Times New Roman" w:hAnsi="Times New Roman" w:cs="Times New Roman"/>
          <w:color w:val="auto"/>
          <w:spacing w:val="0"/>
          <w:w w:val="100"/>
          <w:position w:val="0"/>
        </w:rPr>
        <w:t>地下水环境防治措施</w:t>
      </w:r>
      <w:bookmarkEnd w:id="342"/>
    </w:p>
    <w:p w14:paraId="071CD30D">
      <w:pPr>
        <w:pageBreakBefore w:val="0"/>
        <w:kinsoku/>
        <w:wordWrap/>
        <w:overflowPunct/>
        <w:topLinePunct w:val="0"/>
        <w:bidi w:val="0"/>
        <w:rPr>
          <w:rFonts w:hint="default"/>
          <w:color w:val="auto"/>
        </w:rPr>
      </w:pPr>
      <w:r>
        <w:rPr>
          <w:rFonts w:hint="default"/>
          <w:color w:val="auto"/>
        </w:rPr>
        <w:t>1、污染防治措施分析</w:t>
      </w:r>
    </w:p>
    <w:p w14:paraId="7AF34396">
      <w:pPr>
        <w:pageBreakBefore w:val="0"/>
        <w:kinsoku/>
        <w:wordWrap/>
        <w:overflowPunct/>
        <w:topLinePunct w:val="0"/>
        <w:bidi w:val="0"/>
        <w:rPr>
          <w:rFonts w:hint="default"/>
          <w:color w:val="auto"/>
        </w:rPr>
      </w:pPr>
      <w:r>
        <w:rPr>
          <w:rFonts w:hint="default"/>
          <w:color w:val="auto"/>
        </w:rPr>
        <w:t>污染物从污染源进入地下水所经过路径称为地下水污染途径，地下水污染途径是多种多样的。本项目运营期环境影响因素主要为生活污水。以上污染因素如不加以管理，</w:t>
      </w:r>
      <w:r>
        <w:rPr>
          <w:rFonts w:hint="eastAsia"/>
          <w:color w:val="auto"/>
          <w:lang w:eastAsia="zh-CN"/>
        </w:rPr>
        <w:t>污水站</w:t>
      </w:r>
      <w:r>
        <w:rPr>
          <w:rFonts w:hint="default"/>
          <w:color w:val="auto"/>
        </w:rPr>
        <w:t>存在下渗污染地下水的隐患；生活垃圾乱堆放，可能转入环境空气或地表水体，并通过下渗影响到地下水环境。</w:t>
      </w:r>
    </w:p>
    <w:p w14:paraId="1550015E">
      <w:pPr>
        <w:pageBreakBefore w:val="0"/>
        <w:kinsoku/>
        <w:wordWrap/>
        <w:overflowPunct/>
        <w:topLinePunct w:val="0"/>
        <w:bidi w:val="0"/>
        <w:rPr>
          <w:rFonts w:hint="default"/>
          <w:color w:val="auto"/>
        </w:rPr>
      </w:pPr>
      <w:r>
        <w:rPr>
          <w:rFonts w:hint="default"/>
          <w:color w:val="auto"/>
        </w:rPr>
        <w:t>本项目在施工阶段，应充分做好排污管理的防渗处理，杜绝污水渗漏，确保污水收集处理系统衔接良好，严格用水管理。针对本项目可能对地下水造成的污染情况，本评价要求建设单位拟采取防止地下水污染的保护措施如下：</w:t>
      </w:r>
    </w:p>
    <w:p w14:paraId="6215BCB4">
      <w:pPr>
        <w:pageBreakBefore w:val="0"/>
        <w:kinsoku/>
        <w:wordWrap/>
        <w:overflowPunct/>
        <w:topLinePunct w:val="0"/>
        <w:bidi w:val="0"/>
        <w:rPr>
          <w:rFonts w:hint="default"/>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default"/>
          <w:color w:val="auto"/>
        </w:rPr>
        <w:t>分区防渗方案</w:t>
      </w:r>
    </w:p>
    <w:p w14:paraId="4F4725F8">
      <w:pPr>
        <w:pageBreakBefore w:val="0"/>
        <w:kinsoku/>
        <w:wordWrap/>
        <w:overflowPunct/>
        <w:topLinePunct w:val="0"/>
        <w:bidi w:val="0"/>
        <w:rPr>
          <w:rFonts w:hint="default"/>
          <w:color w:val="auto"/>
        </w:rPr>
      </w:pPr>
      <w:r>
        <w:rPr>
          <w:rFonts w:hint="default"/>
          <w:color w:val="auto"/>
        </w:rPr>
        <w:t>因本项目投产后，项目在运营过程中会产生含有</w:t>
      </w:r>
      <w:r>
        <w:rPr>
          <w:rFonts w:hint="eastAsia"/>
          <w:color w:val="auto"/>
          <w:lang w:eastAsia="zh-CN"/>
        </w:rPr>
        <w:t>废润滑油</w:t>
      </w:r>
      <w:r>
        <w:rPr>
          <w:rFonts w:hint="default"/>
          <w:color w:val="auto"/>
        </w:rPr>
        <w:t>等废物，拟针对生产工序和污染因子以及对地下水环境的危害程度的不同进行分区，分为简单防渗区和重点防渗区，从而采取不同的防渗措施。</w:t>
      </w:r>
    </w:p>
    <w:p w14:paraId="16C806FC">
      <w:pPr>
        <w:pageBreakBefore w:val="0"/>
        <w:kinsoku/>
        <w:wordWrap/>
        <w:overflowPunct/>
        <w:topLinePunct w:val="0"/>
        <w:bidi w:val="0"/>
        <w:rPr>
          <w:rFonts w:hint="default"/>
          <w:color w:val="auto"/>
        </w:rPr>
      </w:pPr>
      <w:r>
        <w:rPr>
          <w:rFonts w:hint="default"/>
          <w:color w:val="auto"/>
        </w:rPr>
        <w:t>①项目重点防渗区的防腐防渗措施</w:t>
      </w:r>
    </w:p>
    <w:p w14:paraId="55B10BC8">
      <w:pPr>
        <w:pageBreakBefore w:val="0"/>
        <w:kinsoku/>
        <w:wordWrap/>
        <w:overflowPunct/>
        <w:topLinePunct w:val="0"/>
        <w:bidi w:val="0"/>
        <w:rPr>
          <w:rFonts w:hint="default"/>
          <w:color w:val="auto"/>
        </w:rPr>
      </w:pPr>
      <w:r>
        <w:rPr>
          <w:rFonts w:hint="default"/>
          <w:color w:val="auto"/>
        </w:rPr>
        <w:t>项目危废暂存间为重点防渗区，其基础必须防渗，地面采用2mmHDPE+砂浆水泥防腐层+环氧树脂地面三层防腐措施，渗透系数&lt;10</w:t>
      </w:r>
      <w:r>
        <w:rPr>
          <w:rFonts w:hint="default"/>
          <w:color w:val="auto"/>
          <w:vertAlign w:val="superscript"/>
        </w:rPr>
        <w:t>-</w:t>
      </w:r>
      <w:r>
        <w:rPr>
          <w:rFonts w:hint="eastAsia"/>
          <w:color w:val="auto"/>
          <w:vertAlign w:val="superscript"/>
          <w:lang w:val="en-US" w:eastAsia="zh-CN"/>
        </w:rPr>
        <w:t>7</w:t>
      </w:r>
      <w:r>
        <w:rPr>
          <w:rFonts w:hint="default"/>
          <w:color w:val="auto"/>
        </w:rPr>
        <w:t>cm/s。</w:t>
      </w:r>
    </w:p>
    <w:p w14:paraId="746ABA82">
      <w:pPr>
        <w:pageBreakBefore w:val="0"/>
        <w:kinsoku/>
        <w:wordWrap/>
        <w:overflowPunct/>
        <w:topLinePunct w:val="0"/>
        <w:bidi w:val="0"/>
        <w:rPr>
          <w:rFonts w:hint="default"/>
          <w:color w:val="auto"/>
        </w:rPr>
      </w:pPr>
      <w:r>
        <w:rPr>
          <w:rFonts w:hint="default"/>
          <w:color w:val="auto"/>
        </w:rPr>
        <w:t>②一般防渗区防腐防渗措施</w:t>
      </w:r>
    </w:p>
    <w:p w14:paraId="62418B14">
      <w:pPr>
        <w:pageBreakBefore w:val="0"/>
        <w:kinsoku/>
        <w:wordWrap/>
        <w:overflowPunct/>
        <w:topLinePunct w:val="0"/>
        <w:bidi w:val="0"/>
        <w:rPr>
          <w:rFonts w:hint="default"/>
          <w:color w:val="auto"/>
        </w:rPr>
      </w:pPr>
      <w:r>
        <w:rPr>
          <w:rFonts w:hint="eastAsia"/>
          <w:color w:val="auto"/>
          <w:lang w:eastAsia="zh-CN"/>
        </w:rPr>
        <w:t>沉淀池、冷却循环水池、生活污水处理设施、生产车间</w:t>
      </w:r>
      <w:r>
        <w:rPr>
          <w:rFonts w:hint="default"/>
          <w:color w:val="auto"/>
        </w:rPr>
        <w:t>属于一般防渗区，采用混凝土结构或者钢结构，地基为厚度大于1.5米的等效黏土防渗层，确保渗透系数小于1×10</w:t>
      </w:r>
      <w:r>
        <w:rPr>
          <w:rFonts w:hint="default"/>
          <w:color w:val="auto"/>
          <w:vertAlign w:val="superscript"/>
        </w:rPr>
        <w:t>-7</w:t>
      </w:r>
      <w:r>
        <w:rPr>
          <w:rFonts w:hint="default"/>
          <w:color w:val="auto"/>
        </w:rPr>
        <w:t>cm/s。池底和池壁采用抗渗混凝土面层（包括钢筋混凝土、钢纤维混凝土）中掺水泥及渗透结晶型防水剂，抗渗等级不小于P8。</w:t>
      </w:r>
    </w:p>
    <w:p w14:paraId="24C3202B">
      <w:pPr>
        <w:pageBreakBefore w:val="0"/>
        <w:kinsoku/>
        <w:wordWrap/>
        <w:overflowPunct/>
        <w:topLinePunct w:val="0"/>
        <w:bidi w:val="0"/>
        <w:rPr>
          <w:rFonts w:hint="default"/>
          <w:color w:val="auto"/>
        </w:rPr>
      </w:pPr>
      <w:r>
        <w:rPr>
          <w:rFonts w:hint="default"/>
          <w:color w:val="auto"/>
        </w:rPr>
        <w:t>③简单防腐防渗措施</w:t>
      </w:r>
    </w:p>
    <w:p w14:paraId="048C417A">
      <w:pPr>
        <w:pageBreakBefore w:val="0"/>
        <w:kinsoku/>
        <w:wordWrap/>
        <w:overflowPunct/>
        <w:topLinePunct w:val="0"/>
        <w:bidi w:val="0"/>
        <w:rPr>
          <w:rFonts w:hint="default"/>
          <w:color w:val="auto"/>
        </w:rPr>
      </w:pPr>
      <w:r>
        <w:rPr>
          <w:rFonts w:hint="eastAsia"/>
          <w:color w:val="auto"/>
          <w:lang w:eastAsia="zh-CN"/>
        </w:rPr>
        <w:t>其余</w:t>
      </w:r>
      <w:r>
        <w:rPr>
          <w:rFonts w:hint="default"/>
          <w:color w:val="auto"/>
        </w:rPr>
        <w:t>属于简单防渗区，</w:t>
      </w:r>
      <w:r>
        <w:rPr>
          <w:rFonts w:hint="eastAsia"/>
          <w:color w:val="auto"/>
          <w:lang w:eastAsia="zh-CN"/>
        </w:rPr>
        <w:t>值班室</w:t>
      </w:r>
      <w:r>
        <w:rPr>
          <w:rFonts w:hint="default"/>
          <w:color w:val="auto"/>
        </w:rPr>
        <w:t>、</w:t>
      </w:r>
      <w:r>
        <w:rPr>
          <w:rFonts w:hint="eastAsia"/>
          <w:color w:val="auto"/>
          <w:lang w:eastAsia="zh-CN"/>
        </w:rPr>
        <w:t>综合用房</w:t>
      </w:r>
      <w:r>
        <w:rPr>
          <w:rFonts w:hint="default"/>
          <w:color w:val="auto"/>
        </w:rPr>
        <w:t>及道路均采用水泥硬化防渗。</w:t>
      </w:r>
    </w:p>
    <w:p w14:paraId="6DCEEBE1">
      <w:pPr>
        <w:pageBreakBefore w:val="0"/>
        <w:kinsoku/>
        <w:wordWrap/>
        <w:overflowPunct/>
        <w:topLinePunct w:val="0"/>
        <w:bidi w:val="0"/>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其他环节管理方案</w:t>
      </w:r>
    </w:p>
    <w:p w14:paraId="76EE99C0">
      <w:pPr>
        <w:pageBreakBefore w:val="0"/>
        <w:kinsoku/>
        <w:wordWrap/>
        <w:overflowPunct/>
        <w:topLinePunct w:val="0"/>
        <w:bidi w:val="0"/>
        <w:rPr>
          <w:rFonts w:hint="default"/>
          <w:color w:val="auto"/>
        </w:rPr>
      </w:pPr>
      <w:r>
        <w:rPr>
          <w:rFonts w:hint="default"/>
          <w:color w:val="auto"/>
        </w:rPr>
        <w:t>加强生产和设备运行管理，从原料产品储存、生产、运输、污染处理设施等全过程控制各种有害材料、产品泄漏，采取行之有效的防渗措施，定期检查污染源项地下水保护设施，及时消除污染隐患，杜绝跑冒滴漏现象；发现有污染物泄漏或渗漏，采取清理污染物和修补漏洞（缝）等补救措施。</w:t>
      </w:r>
    </w:p>
    <w:p w14:paraId="282D039A">
      <w:pPr>
        <w:pageBreakBefore w:val="0"/>
        <w:kinsoku/>
        <w:wordWrap/>
        <w:overflowPunct/>
        <w:topLinePunct w:val="0"/>
        <w:bidi w:val="0"/>
        <w:rPr>
          <w:rFonts w:hint="default"/>
          <w:color w:val="auto"/>
        </w:rPr>
      </w:pPr>
      <w:bookmarkStart w:id="343" w:name="_Toc19965"/>
      <w:r>
        <w:rPr>
          <w:rFonts w:hint="default"/>
          <w:color w:val="auto"/>
        </w:rPr>
        <w:t>2、管理措施分析</w:t>
      </w:r>
      <w:bookmarkEnd w:id="343"/>
    </w:p>
    <w:p w14:paraId="23601149">
      <w:pPr>
        <w:pageBreakBefore w:val="0"/>
        <w:kinsoku/>
        <w:wordWrap/>
        <w:overflowPunct/>
        <w:topLinePunct w:val="0"/>
        <w:bidi w:val="0"/>
        <w:rPr>
          <w:rFonts w:hint="default"/>
          <w:color w:val="auto"/>
        </w:rPr>
      </w:pPr>
      <w:r>
        <w:rPr>
          <w:rFonts w:hint="default"/>
          <w:color w:val="auto"/>
        </w:rPr>
        <w:t>成立事故处理组织，一旦发生废水事故排放，应立即对设备进行维修，同时对废水进行回收、拦截，以防止污染地下水。</w:t>
      </w:r>
    </w:p>
    <w:p w14:paraId="23FB6FAD">
      <w:pPr>
        <w:pageBreakBefore w:val="0"/>
        <w:kinsoku/>
        <w:wordWrap/>
        <w:overflowPunct/>
        <w:topLinePunct w:val="0"/>
        <w:bidi w:val="0"/>
        <w:rPr>
          <w:rFonts w:hint="default"/>
          <w:color w:val="auto"/>
        </w:rPr>
      </w:pPr>
      <w:bookmarkStart w:id="344" w:name="_Toc26408"/>
      <w:r>
        <w:rPr>
          <w:rFonts w:hint="default"/>
          <w:color w:val="auto"/>
        </w:rPr>
        <w:t>3、地下水污染监控系统</w:t>
      </w:r>
      <w:bookmarkEnd w:id="344"/>
    </w:p>
    <w:p w14:paraId="5F93040D">
      <w:pPr>
        <w:pageBreakBefore w:val="0"/>
        <w:kinsoku/>
        <w:wordWrap/>
        <w:overflowPunct/>
        <w:topLinePunct w:val="0"/>
        <w:bidi w:val="0"/>
        <w:rPr>
          <w:rFonts w:hint="default"/>
          <w:color w:val="auto"/>
        </w:rPr>
      </w:pPr>
      <w:r>
        <w:rPr>
          <w:rFonts w:hint="default"/>
          <w:color w:val="auto"/>
        </w:rPr>
        <w:t>本项目应建立地下水环境监测管理体系，以便及时发现问题，采取措施，根据《环境影响评价技术导则</w:t>
      </w:r>
      <w:r>
        <w:rPr>
          <w:rFonts w:hint="eastAsia"/>
          <w:color w:val="auto"/>
          <w:lang w:val="en-US" w:eastAsia="zh-CN"/>
        </w:rPr>
        <w:t xml:space="preserve"> </w:t>
      </w:r>
      <w:r>
        <w:rPr>
          <w:rFonts w:hint="default"/>
          <w:color w:val="auto"/>
        </w:rPr>
        <w:t>地下水环境》（HJ610-2016），三级评价的建设项目跟踪监测点数量要求一般不少于一个，应至少在建设项目场地下游布置一个。</w:t>
      </w:r>
      <w:r>
        <w:rPr>
          <w:color w:val="auto"/>
        </w:rPr>
        <w:t>综上所述，本项目严格执行上述措施后，杜绝了厂区污水下渗的途径，绝大部分污染物得到有效控制，可有效避免本项目对地下水的影响。生产过程中产生的危险固废均能得到处置，处置途径可行，不会对环境产生二次污染。本评价认为</w:t>
      </w:r>
      <w:r>
        <w:rPr>
          <w:rFonts w:hint="default"/>
          <w:color w:val="auto"/>
        </w:rPr>
        <w:t>建设单位采取的地下水污染防治措施在技术上是可行的。</w:t>
      </w:r>
    </w:p>
    <w:p w14:paraId="1DAF8E93">
      <w:pPr>
        <w:pStyle w:val="5"/>
        <w:pageBreakBefore w:val="0"/>
        <w:kinsoku/>
        <w:wordWrap/>
        <w:overflowPunct/>
        <w:topLinePunct w:val="0"/>
        <w:bidi w:val="0"/>
        <w:rPr>
          <w:rFonts w:hint="default" w:ascii="Times New Roman" w:hAnsi="Times New Roman" w:eastAsia="宋体" w:cs="Times New Roman"/>
          <w:color w:val="auto"/>
          <w:spacing w:val="0"/>
          <w:w w:val="100"/>
          <w:position w:val="0"/>
          <w:lang w:val="en-US" w:eastAsia="zh-CN"/>
        </w:rPr>
      </w:pPr>
      <w:bookmarkStart w:id="345" w:name="7.2.3 噪声污染防治措施及可行性论证"/>
      <w:bookmarkEnd w:id="345"/>
      <w:bookmarkStart w:id="346" w:name="7.2.3 噪声污染防治措施及可行性论证"/>
      <w:bookmarkEnd w:id="346"/>
      <w:bookmarkStart w:id="347" w:name="_Toc11543"/>
      <w:bookmarkStart w:id="348" w:name="_Toc4723"/>
      <w:r>
        <w:rPr>
          <w:rFonts w:hint="default" w:ascii="Times New Roman" w:hAnsi="Times New Roman" w:eastAsia="宋体" w:cs="Times New Roman"/>
          <w:color w:val="auto"/>
          <w:spacing w:val="0"/>
          <w:w w:val="100"/>
          <w:position w:val="0"/>
          <w:lang w:val="en-US" w:eastAsia="zh-CN"/>
        </w:rPr>
        <w:t>7.2.3噪声污染防治措施及可行性论证</w:t>
      </w:r>
      <w:bookmarkEnd w:id="347"/>
      <w:bookmarkEnd w:id="348"/>
    </w:p>
    <w:p w14:paraId="00E3F66C">
      <w:pPr>
        <w:pageBreakBefore w:val="0"/>
        <w:kinsoku/>
        <w:wordWrap/>
        <w:overflowPunct/>
        <w:topLinePunct w:val="0"/>
        <w:bidi w:val="0"/>
        <w:rPr>
          <w:rFonts w:hint="default"/>
          <w:color w:val="auto"/>
        </w:rPr>
      </w:pPr>
      <w:r>
        <w:rPr>
          <w:rFonts w:hint="default"/>
          <w:color w:val="auto"/>
        </w:rPr>
        <w:t>本项目噪声主要来源于破碎机、切粒机、挤出机</w:t>
      </w:r>
      <w:r>
        <w:rPr>
          <w:rFonts w:hint="eastAsia"/>
          <w:color w:val="auto"/>
          <w:lang w:eastAsia="zh-CN"/>
        </w:rPr>
        <w:t>、牵引机</w:t>
      </w:r>
      <w:r>
        <w:rPr>
          <w:rFonts w:hint="default"/>
          <w:color w:val="auto"/>
        </w:rPr>
        <w:t>等设备运行过程中产生的设备噪声，以及水泵、风机等运行时产生的空气动力性噪声，。拟采取的防治措施如下：</w:t>
      </w:r>
    </w:p>
    <w:p w14:paraId="3A52B636">
      <w:pPr>
        <w:pageBreakBefore w:val="0"/>
        <w:kinsoku/>
        <w:wordWrap/>
        <w:overflowPunct/>
        <w:topLinePunct w:val="0"/>
        <w:bidi w:val="0"/>
        <w:rPr>
          <w:rFonts w:hint="default"/>
          <w:color w:val="auto"/>
        </w:rPr>
      </w:pPr>
      <w:r>
        <w:rPr>
          <w:rFonts w:hint="eastAsia"/>
          <w:color w:val="auto"/>
          <w:lang w:val="en-US" w:eastAsia="zh-CN"/>
        </w:rPr>
        <w:t>1.</w:t>
      </w:r>
      <w:r>
        <w:rPr>
          <w:rFonts w:hint="default"/>
          <w:color w:val="auto"/>
        </w:rPr>
        <w:t>合理布局，要充分考虑各机械设备及各生产工序的性能特点，高噪声设备尽量放置在厂房中部集中布置。在厂区总体布置上利用建筑物、构筑物等阻隔声波的传播；</w:t>
      </w:r>
    </w:p>
    <w:p w14:paraId="4E7B1B6F">
      <w:pPr>
        <w:pageBreakBefore w:val="0"/>
        <w:kinsoku/>
        <w:wordWrap/>
        <w:overflowPunct/>
        <w:topLinePunct w:val="0"/>
        <w:bidi w:val="0"/>
        <w:rPr>
          <w:rFonts w:hint="default"/>
          <w:color w:val="auto"/>
        </w:rPr>
      </w:pPr>
      <w:r>
        <w:rPr>
          <w:rFonts w:hint="eastAsia"/>
          <w:color w:val="auto"/>
          <w:lang w:val="en-US" w:eastAsia="zh-CN"/>
        </w:rPr>
        <w:t>2.</w:t>
      </w:r>
      <w:r>
        <w:rPr>
          <w:rFonts w:hint="default"/>
          <w:color w:val="auto"/>
        </w:rPr>
        <w:t>选用低噪声设备，基础减振、采取厂房隔音等措施降噪；</w:t>
      </w:r>
    </w:p>
    <w:p w14:paraId="747B3671">
      <w:pPr>
        <w:pageBreakBefore w:val="0"/>
        <w:kinsoku/>
        <w:wordWrap/>
        <w:overflowPunct/>
        <w:topLinePunct w:val="0"/>
        <w:bidi w:val="0"/>
        <w:rPr>
          <w:rFonts w:hint="default"/>
          <w:color w:val="auto"/>
        </w:rPr>
      </w:pPr>
      <w:r>
        <w:rPr>
          <w:rFonts w:hint="eastAsia"/>
          <w:color w:val="auto"/>
          <w:lang w:val="en-US" w:eastAsia="zh-CN"/>
        </w:rPr>
        <w:t>3.</w:t>
      </w:r>
      <w:r>
        <w:rPr>
          <w:rFonts w:hint="default"/>
          <w:color w:val="auto"/>
        </w:rPr>
        <w:t>建立设备定期维护、保养的管理制度，防止设备故障形成的非正常生产噪声，同时确保环保措施发挥最佳降噪功能；</w:t>
      </w:r>
    </w:p>
    <w:p w14:paraId="288B3934">
      <w:pPr>
        <w:pageBreakBefore w:val="0"/>
        <w:kinsoku/>
        <w:wordWrap/>
        <w:overflowPunct/>
        <w:topLinePunct w:val="0"/>
        <w:bidi w:val="0"/>
        <w:rPr>
          <w:rFonts w:hint="default"/>
          <w:color w:val="auto"/>
        </w:rPr>
      </w:pPr>
      <w:r>
        <w:rPr>
          <w:rFonts w:hint="eastAsia"/>
          <w:color w:val="auto"/>
          <w:lang w:val="en-US" w:eastAsia="zh-CN"/>
        </w:rPr>
        <w:t>4.</w:t>
      </w:r>
      <w:r>
        <w:rPr>
          <w:rFonts w:hint="default"/>
          <w:color w:val="auto"/>
        </w:rPr>
        <w:t>在厂区周围种植绿化林木，利用植物的屏蔽和吸收作用降低噪声污染；</w:t>
      </w:r>
    </w:p>
    <w:p w14:paraId="301EA7AF">
      <w:pPr>
        <w:pageBreakBefore w:val="0"/>
        <w:kinsoku/>
        <w:wordWrap/>
        <w:overflowPunct/>
        <w:topLinePunct w:val="0"/>
        <w:bidi w:val="0"/>
        <w:rPr>
          <w:rFonts w:hint="default"/>
          <w:color w:val="auto"/>
        </w:rPr>
      </w:pPr>
      <w:r>
        <w:rPr>
          <w:rFonts w:hint="eastAsia"/>
          <w:color w:val="auto"/>
          <w:lang w:val="en-US" w:eastAsia="zh-CN"/>
        </w:rPr>
        <w:t>5.</w:t>
      </w:r>
      <w:r>
        <w:rPr>
          <w:rFonts w:hint="default"/>
          <w:color w:val="auto"/>
        </w:rPr>
        <w:t>工作操作人员全部佩带耳塞、耳罩等个人防护用品；</w:t>
      </w:r>
    </w:p>
    <w:p w14:paraId="6099AB98">
      <w:pPr>
        <w:pageBreakBefore w:val="0"/>
        <w:kinsoku/>
        <w:wordWrap/>
        <w:overflowPunct/>
        <w:topLinePunct w:val="0"/>
        <w:bidi w:val="0"/>
        <w:rPr>
          <w:rFonts w:hint="default"/>
          <w:color w:val="auto"/>
        </w:rPr>
      </w:pPr>
      <w:r>
        <w:rPr>
          <w:rFonts w:hint="eastAsia"/>
          <w:color w:val="auto"/>
          <w:lang w:val="en-US" w:eastAsia="zh-CN"/>
        </w:rPr>
        <w:t>6.</w:t>
      </w:r>
      <w:r>
        <w:rPr>
          <w:rFonts w:hint="default"/>
          <w:color w:val="auto"/>
        </w:rPr>
        <w:t>货物运输车辆应配备低音喇叭，在厂区门前做到不鸣或少鸣笛，以减轻交通噪声对厂区周围地区的影响。</w:t>
      </w:r>
    </w:p>
    <w:p w14:paraId="6CB72463">
      <w:pPr>
        <w:pageBreakBefore w:val="0"/>
        <w:kinsoku/>
        <w:wordWrap/>
        <w:overflowPunct/>
        <w:topLinePunct w:val="0"/>
        <w:bidi w:val="0"/>
        <w:rPr>
          <w:color w:val="auto"/>
          <w:spacing w:val="0"/>
          <w:w w:val="100"/>
          <w:position w:val="0"/>
          <w:szCs w:val="24"/>
        </w:rPr>
      </w:pPr>
      <w:r>
        <w:rPr>
          <w:rFonts w:hint="default"/>
          <w:color w:val="auto"/>
        </w:rPr>
        <w:t>采取上述噪声污染防治措施后，厂界外昼夜间噪声值可满足《工业企业厂界环境噪声排放标准》（GB12348-2008）</w:t>
      </w:r>
      <w:r>
        <w:rPr>
          <w:rFonts w:hint="default" w:ascii="Times New Roman" w:hAnsi="Times New Roman" w:cs="Times New Roman"/>
          <w:color w:val="auto"/>
          <w:spacing w:val="0"/>
          <w:w w:val="100"/>
          <w:position w:val="0"/>
          <w:szCs w:val="24"/>
        </w:rPr>
        <w:t>中</w:t>
      </w:r>
      <w:r>
        <w:rPr>
          <w:rFonts w:hint="eastAsia" w:cs="Times New Roman"/>
          <w:color w:val="auto"/>
          <w:spacing w:val="0"/>
          <w:w w:val="100"/>
          <w:position w:val="0"/>
          <w:szCs w:val="24"/>
          <w:lang w:val="en-US" w:eastAsia="zh-CN"/>
        </w:rPr>
        <w:t>2</w:t>
      </w:r>
      <w:r>
        <w:rPr>
          <w:rFonts w:hint="default" w:ascii="Times New Roman" w:hAnsi="Times New Roman" w:cs="Times New Roman"/>
          <w:color w:val="auto"/>
          <w:spacing w:val="0"/>
          <w:w w:val="100"/>
          <w:position w:val="0"/>
          <w:szCs w:val="24"/>
        </w:rPr>
        <w:t>类标准的要求，噪声防治措施可行。</w:t>
      </w:r>
    </w:p>
    <w:p w14:paraId="1FA0B859">
      <w:pPr>
        <w:pStyle w:val="5"/>
        <w:pageBreakBefore w:val="0"/>
        <w:kinsoku/>
        <w:wordWrap/>
        <w:overflowPunct/>
        <w:topLinePunct w:val="0"/>
        <w:bidi w:val="0"/>
        <w:rPr>
          <w:rFonts w:hint="default" w:ascii="Times New Roman" w:hAnsi="Times New Roman" w:eastAsia="宋体" w:cs="Times New Roman"/>
          <w:color w:val="auto"/>
          <w:spacing w:val="0"/>
          <w:w w:val="100"/>
          <w:position w:val="0"/>
          <w:lang w:val="en-US" w:eastAsia="zh-CN"/>
        </w:rPr>
      </w:pPr>
      <w:bookmarkStart w:id="349" w:name="7.2.4 固体废物防治措施及可行性论证"/>
      <w:bookmarkEnd w:id="349"/>
      <w:bookmarkStart w:id="350" w:name="7.2.4 固体废物防治措施及可行性论证"/>
      <w:bookmarkEnd w:id="350"/>
      <w:bookmarkStart w:id="351" w:name="_Toc9565"/>
      <w:bookmarkStart w:id="352" w:name="_Toc6208"/>
      <w:r>
        <w:rPr>
          <w:rFonts w:hint="default" w:ascii="Times New Roman" w:hAnsi="Times New Roman" w:eastAsia="宋体" w:cs="Times New Roman"/>
          <w:color w:val="auto"/>
          <w:spacing w:val="0"/>
          <w:w w:val="100"/>
          <w:position w:val="0"/>
          <w:lang w:val="en-US" w:eastAsia="zh-CN"/>
        </w:rPr>
        <w:t>7.2.4固体废物防治措施及可行性论证</w:t>
      </w:r>
      <w:bookmarkEnd w:id="351"/>
      <w:bookmarkEnd w:id="352"/>
    </w:p>
    <w:p w14:paraId="6D3F816D">
      <w:pPr>
        <w:pageBreakBefore w:val="0"/>
        <w:kinsoku/>
        <w:wordWrap/>
        <w:overflowPunct/>
        <w:topLinePunct w:val="0"/>
        <w:bidi w:val="0"/>
        <w:rPr>
          <w:rFonts w:hint="default"/>
          <w:color w:val="auto"/>
        </w:rPr>
      </w:pPr>
      <w:r>
        <w:rPr>
          <w:rFonts w:hint="default"/>
          <w:color w:val="auto"/>
        </w:rPr>
        <w:t>固体废物包括一般固废和危险废物。一般固废主要包括分拣废物、污泥、不合格产品、废</w:t>
      </w:r>
      <w:r>
        <w:rPr>
          <w:rFonts w:hint="eastAsia"/>
          <w:color w:val="auto"/>
          <w:lang w:eastAsia="zh-CN"/>
        </w:rPr>
        <w:t>包装袋</w:t>
      </w:r>
      <w:r>
        <w:rPr>
          <w:rFonts w:hint="default"/>
          <w:color w:val="auto"/>
        </w:rPr>
        <w:t>和员工生活垃圾。危险废物为</w:t>
      </w:r>
      <w:r>
        <w:rPr>
          <w:rFonts w:hint="eastAsia"/>
          <w:color w:val="auto"/>
          <w:lang w:eastAsia="zh-CN"/>
        </w:rPr>
        <w:t>废润滑油、废催化剂</w:t>
      </w:r>
      <w:r>
        <w:rPr>
          <w:rFonts w:hint="default"/>
          <w:color w:val="auto"/>
        </w:rPr>
        <w:t>。</w:t>
      </w:r>
    </w:p>
    <w:p w14:paraId="07105F2D">
      <w:pPr>
        <w:pageBreakBefore w:val="0"/>
        <w:kinsoku/>
        <w:wordWrap/>
        <w:overflowPunct/>
        <w:topLinePunct w:val="0"/>
        <w:bidi w:val="0"/>
        <w:rPr>
          <w:rFonts w:hint="default"/>
          <w:color w:val="auto"/>
        </w:rPr>
      </w:pPr>
      <w:bookmarkStart w:id="353" w:name="_Toc686"/>
      <w:r>
        <w:rPr>
          <w:rFonts w:hint="default"/>
          <w:color w:val="auto"/>
          <w:lang w:val="en-US" w:eastAsia="zh-CN"/>
        </w:rPr>
        <w:t>1.</w:t>
      </w:r>
      <w:r>
        <w:rPr>
          <w:rFonts w:hint="default"/>
          <w:color w:val="auto"/>
        </w:rPr>
        <w:t>固体废物收集、暂存措施</w:t>
      </w:r>
      <w:bookmarkEnd w:id="353"/>
    </w:p>
    <w:p w14:paraId="41261590">
      <w:pPr>
        <w:pageBreakBefore w:val="0"/>
        <w:kinsoku/>
        <w:wordWrap/>
        <w:overflowPunct/>
        <w:topLinePunct w:val="0"/>
        <w:bidi w:val="0"/>
        <w:rPr>
          <w:rFonts w:hint="default"/>
          <w:color w:val="auto"/>
        </w:rPr>
      </w:pPr>
      <w:bookmarkStart w:id="354" w:name="_Toc27448"/>
      <w:r>
        <w:rPr>
          <w:rFonts w:hint="default"/>
          <w:color w:val="auto"/>
        </w:rPr>
        <w:t>本项目厂区内设置危废暂存间。</w:t>
      </w:r>
      <w:r>
        <w:rPr>
          <w:rFonts w:hint="eastAsia"/>
          <w:color w:val="auto"/>
          <w:lang w:eastAsia="zh-CN"/>
        </w:rPr>
        <w:t>废润滑油、废</w:t>
      </w:r>
      <w:r>
        <w:rPr>
          <w:rFonts w:hint="eastAsia"/>
          <w:color w:val="auto"/>
          <w:lang w:val="en-US" w:eastAsia="zh-CN"/>
        </w:rPr>
        <w:t>催化剂</w:t>
      </w:r>
      <w:r>
        <w:rPr>
          <w:rFonts w:hint="default"/>
          <w:color w:val="auto"/>
        </w:rPr>
        <w:t>为危险固废，需收集桶收集后</w:t>
      </w:r>
      <w:r>
        <w:rPr>
          <w:rFonts w:hint="eastAsia"/>
          <w:color w:val="auto"/>
          <w:lang w:eastAsia="zh-CN"/>
        </w:rPr>
        <w:t>分区</w:t>
      </w:r>
      <w:r>
        <w:rPr>
          <w:rFonts w:hint="default"/>
          <w:color w:val="auto"/>
        </w:rPr>
        <w:t>存放于危废暂存间内，同时危废暂存间的建设必须按照《危险废物贮存污染控制标准》（GB18597-20</w:t>
      </w:r>
      <w:r>
        <w:rPr>
          <w:rFonts w:hint="eastAsia"/>
          <w:color w:val="auto"/>
          <w:lang w:val="en-US" w:eastAsia="zh-CN"/>
        </w:rPr>
        <w:t>23</w:t>
      </w:r>
      <w:r>
        <w:rPr>
          <w:rFonts w:hint="default"/>
          <w:color w:val="auto"/>
        </w:rPr>
        <w:t>）的要求建造专用的危险废物贮存和储存设施，评价要求厂区内危险废物要严格按照《危险废物贮存污染控制标准》（GB18597-20</w:t>
      </w:r>
      <w:r>
        <w:rPr>
          <w:rFonts w:hint="eastAsia"/>
          <w:color w:val="auto"/>
          <w:lang w:val="en-US" w:eastAsia="zh-CN"/>
        </w:rPr>
        <w:t>23</w:t>
      </w:r>
      <w:r>
        <w:rPr>
          <w:rFonts w:hint="default"/>
          <w:color w:val="auto"/>
        </w:rPr>
        <w:t>）的要求贮存，并对危险废物贮存的设施、场所设置危险废物识别标志。</w:t>
      </w:r>
    </w:p>
    <w:p w14:paraId="26C620FE">
      <w:pPr>
        <w:pageBreakBefore w:val="0"/>
        <w:kinsoku/>
        <w:wordWrap/>
        <w:overflowPunct/>
        <w:topLinePunct w:val="0"/>
        <w:bidi w:val="0"/>
        <w:rPr>
          <w:rFonts w:hint="default"/>
          <w:color w:val="auto"/>
        </w:rPr>
      </w:pPr>
      <w:r>
        <w:rPr>
          <w:rFonts w:hint="default"/>
          <w:color w:val="auto"/>
          <w:lang w:val="en-US" w:eastAsia="zh-CN"/>
        </w:rPr>
        <w:t>2.</w:t>
      </w:r>
      <w:r>
        <w:rPr>
          <w:rFonts w:hint="default"/>
          <w:color w:val="auto"/>
        </w:rPr>
        <w:t>固体废物运输与转移措施</w:t>
      </w:r>
      <w:bookmarkEnd w:id="354"/>
    </w:p>
    <w:p w14:paraId="63392CB3">
      <w:pPr>
        <w:pageBreakBefore w:val="0"/>
        <w:kinsoku/>
        <w:wordWrap/>
        <w:overflowPunct/>
        <w:topLinePunct w:val="0"/>
        <w:bidi w:val="0"/>
        <w:rPr>
          <w:rFonts w:hint="default"/>
          <w:color w:val="auto"/>
        </w:rPr>
      </w:pPr>
      <w:r>
        <w:rPr>
          <w:rFonts w:hint="eastAsia"/>
          <w:color w:val="auto"/>
          <w:lang w:eastAsia="zh-CN"/>
        </w:rPr>
        <w:t>（</w:t>
      </w:r>
      <w:r>
        <w:rPr>
          <w:rFonts w:hint="eastAsia"/>
          <w:color w:val="auto"/>
          <w:lang w:val="en-US" w:eastAsia="zh-CN"/>
        </w:rPr>
        <w:t>1</w:t>
      </w:r>
      <w:r>
        <w:rPr>
          <w:rFonts w:hint="eastAsia"/>
          <w:color w:val="auto"/>
          <w:lang w:eastAsia="zh-CN"/>
        </w:rPr>
        <w:t>）</w:t>
      </w:r>
      <w:r>
        <w:rPr>
          <w:rFonts w:hint="default"/>
          <w:color w:val="auto"/>
        </w:rPr>
        <w:t>一般固废</w:t>
      </w:r>
    </w:p>
    <w:p w14:paraId="7E5E5322">
      <w:pPr>
        <w:pageBreakBefore w:val="0"/>
        <w:kinsoku/>
        <w:wordWrap/>
        <w:overflowPunct/>
        <w:topLinePunct w:val="0"/>
        <w:bidi w:val="0"/>
        <w:rPr>
          <w:rFonts w:hint="default"/>
          <w:color w:val="auto"/>
        </w:rPr>
      </w:pPr>
      <w:r>
        <w:rPr>
          <w:rFonts w:hint="default"/>
          <w:color w:val="auto"/>
        </w:rPr>
        <w:t>生活垃圾</w:t>
      </w:r>
      <w:r>
        <w:rPr>
          <w:rFonts w:hint="eastAsia"/>
          <w:color w:val="auto"/>
          <w:lang w:eastAsia="zh-CN"/>
        </w:rPr>
        <w:t>集中收集后由</w:t>
      </w:r>
      <w:r>
        <w:rPr>
          <w:color w:val="auto"/>
        </w:rPr>
        <w:t>环卫部门</w:t>
      </w:r>
      <w:r>
        <w:rPr>
          <w:rFonts w:hint="eastAsia"/>
          <w:color w:val="auto"/>
          <w:lang w:eastAsia="zh-CN"/>
        </w:rPr>
        <w:t>定期</w:t>
      </w:r>
      <w:r>
        <w:rPr>
          <w:color w:val="auto"/>
        </w:rPr>
        <w:t>清运</w:t>
      </w:r>
      <w:r>
        <w:rPr>
          <w:rFonts w:hint="eastAsia"/>
          <w:color w:val="auto"/>
          <w:lang w:eastAsia="zh-CN"/>
        </w:rPr>
        <w:t>处理</w:t>
      </w:r>
      <w:r>
        <w:rPr>
          <w:rFonts w:hint="default"/>
          <w:color w:val="auto"/>
        </w:rPr>
        <w:t>；分拣废物</w:t>
      </w:r>
      <w:r>
        <w:rPr>
          <w:rFonts w:hint="eastAsia" w:ascii="Times New Roman" w:hAnsi="Times New Roman" w:cs="Times New Roman"/>
          <w:color w:val="auto"/>
          <w:highlight w:val="none"/>
          <w:lang w:eastAsia="zh-CN"/>
        </w:rPr>
        <w:t>集中收集后</w:t>
      </w:r>
      <w:r>
        <w:rPr>
          <w:rFonts w:hint="eastAsia" w:cs="Times New Roman"/>
          <w:color w:val="auto"/>
          <w:highlight w:val="none"/>
          <w:lang w:eastAsia="zh-CN"/>
        </w:rPr>
        <w:t>做为建筑渣土运至固废填埋场处置；</w:t>
      </w:r>
      <w:r>
        <w:rPr>
          <w:rFonts w:hint="default"/>
          <w:color w:val="auto"/>
        </w:rPr>
        <w:t>沉淀池污泥</w:t>
      </w:r>
      <w:r>
        <w:rPr>
          <w:color w:val="auto"/>
        </w:rPr>
        <w:t>自然干化后</w:t>
      </w:r>
      <w:r>
        <w:rPr>
          <w:rFonts w:hint="eastAsia"/>
          <w:color w:val="auto"/>
          <w:lang w:val="en-US" w:eastAsia="zh-CN"/>
        </w:rPr>
        <w:t>运至一般固废填埋场处置</w:t>
      </w:r>
      <w:r>
        <w:rPr>
          <w:rFonts w:hint="eastAsia"/>
          <w:color w:val="auto"/>
          <w:lang w:eastAsia="zh-CN"/>
        </w:rPr>
        <w:t>；</w:t>
      </w:r>
      <w:r>
        <w:rPr>
          <w:rFonts w:hint="default"/>
          <w:color w:val="auto"/>
        </w:rPr>
        <w:t>筛分工段不合格品收集后回用于生产；</w:t>
      </w:r>
      <w:r>
        <w:rPr>
          <w:rFonts w:hint="eastAsia"/>
          <w:color w:val="auto"/>
          <w:lang w:eastAsia="zh-CN"/>
        </w:rPr>
        <w:t>废包装袋</w:t>
      </w:r>
      <w:r>
        <w:rPr>
          <w:rFonts w:hint="default"/>
          <w:color w:val="auto"/>
        </w:rPr>
        <w:t>收集后外售给废品收购站。</w:t>
      </w:r>
    </w:p>
    <w:p w14:paraId="307E6480">
      <w:pPr>
        <w:pageBreakBefore w:val="0"/>
        <w:kinsoku/>
        <w:wordWrap/>
        <w:overflowPunct/>
        <w:topLinePunct w:val="0"/>
        <w:bidi w:val="0"/>
        <w:rPr>
          <w:rFonts w:hint="eastAsia"/>
          <w:color w:val="auto"/>
          <w:lang w:eastAsia="zh-CN"/>
        </w:rPr>
      </w:pPr>
      <w:r>
        <w:rPr>
          <w:rFonts w:hint="default"/>
          <w:color w:val="auto"/>
        </w:rPr>
        <w:t>废塑料再生利用过程中产生的不可利用废物应建立台账，不得擅自丢弃、倾倒、焚烧与填埋。</w:t>
      </w:r>
      <w:r>
        <w:rPr>
          <w:rFonts w:hint="eastAsia"/>
          <w:color w:val="auto"/>
          <w:lang w:eastAsia="zh-CN"/>
        </w:rPr>
        <w:t>具体要求如下：</w:t>
      </w:r>
    </w:p>
    <w:p w14:paraId="4502CBC4">
      <w:pPr>
        <w:pageBreakBefore w:val="0"/>
        <w:kinsoku/>
        <w:wordWrap/>
        <w:overflowPunct/>
        <w:topLinePunct w:val="0"/>
        <w:bidi w:val="0"/>
        <w:rPr>
          <w:rFonts w:hint="eastAsia" w:eastAsia="宋体"/>
          <w:color w:val="auto"/>
          <w:lang w:eastAsia="zh-CN"/>
        </w:rPr>
      </w:pPr>
      <w:r>
        <w:rPr>
          <w:rFonts w:hint="default"/>
          <w:color w:val="auto"/>
        </w:rPr>
        <w:t>①一般工业固体废物管理台账实施分级管理。主要用于记录固体废物的基础信息及流向信息，应当结合环境影响评价、排污许可等材料，根据实际生产运营情况记录固体废物产生信息，生产工艺发生重大变动等原因导致固体废物产生种类等发生变化的，应当及时另行填写</w:t>
      </w:r>
      <w:r>
        <w:rPr>
          <w:rFonts w:hint="eastAsia"/>
          <w:color w:val="auto"/>
          <w:lang w:eastAsia="zh-CN"/>
        </w:rPr>
        <w:t>；记录固体废物的产生、贮存、利用、处置数量和利用、处置方式等信息；每一批次固体废物的出厂以及转移信息均应当如实记录。</w:t>
      </w:r>
    </w:p>
    <w:p w14:paraId="6267968A">
      <w:pPr>
        <w:pageBreakBefore w:val="0"/>
        <w:kinsoku/>
        <w:wordWrap/>
        <w:overflowPunct/>
        <w:topLinePunct w:val="0"/>
        <w:bidi w:val="0"/>
        <w:rPr>
          <w:rFonts w:hint="default"/>
          <w:color w:val="auto"/>
        </w:rPr>
      </w:pPr>
      <w:r>
        <w:rPr>
          <w:rFonts w:hint="default"/>
          <w:color w:val="auto"/>
        </w:rPr>
        <w:t>②记录固体废物在产废单位内部的贮存、利用、处置等信息。填写时应确保固体废物的来源信息、流向信息完整准确；根据固体废物产生周期，可按日或按班次、批次填写。</w:t>
      </w:r>
    </w:p>
    <w:p w14:paraId="1242FDB1">
      <w:pPr>
        <w:pageBreakBefore w:val="0"/>
        <w:kinsoku/>
        <w:wordWrap/>
        <w:overflowPunct/>
        <w:topLinePunct w:val="0"/>
        <w:bidi w:val="0"/>
        <w:rPr>
          <w:rFonts w:hint="default"/>
          <w:color w:val="auto"/>
        </w:rPr>
      </w:pPr>
      <w:r>
        <w:rPr>
          <w:rFonts w:hint="default"/>
          <w:color w:val="auto"/>
        </w:rPr>
        <w:t>③产废单位填写台账记录表时，应当根据自身固体废物产生情况选择对应的固体废物种类和代码。</w:t>
      </w:r>
    </w:p>
    <w:p w14:paraId="2634FF89">
      <w:pPr>
        <w:pageBreakBefore w:val="0"/>
        <w:kinsoku/>
        <w:wordWrap/>
        <w:overflowPunct/>
        <w:topLinePunct w:val="0"/>
        <w:bidi w:val="0"/>
        <w:rPr>
          <w:rFonts w:hint="default"/>
          <w:color w:val="auto"/>
        </w:rPr>
      </w:pPr>
      <w:r>
        <w:rPr>
          <w:rFonts w:hint="default"/>
          <w:color w:val="auto"/>
        </w:rPr>
        <w:t>④采用国家建立的一般工业固体废物管理电子台账，简化数据填写、台账管理等工作。地方和企业自行开发的电子台账要实现与国家系统对接。建立电子台账。</w:t>
      </w:r>
    </w:p>
    <w:p w14:paraId="0FCBA690">
      <w:pPr>
        <w:pageBreakBefore w:val="0"/>
        <w:kinsoku/>
        <w:wordWrap/>
        <w:overflowPunct/>
        <w:topLinePunct w:val="0"/>
        <w:bidi w:val="0"/>
        <w:rPr>
          <w:rFonts w:hint="default"/>
          <w:color w:val="auto"/>
        </w:rPr>
      </w:pPr>
      <w:r>
        <w:rPr>
          <w:rFonts w:hint="default"/>
          <w:color w:val="auto"/>
        </w:rPr>
        <w:t>⑤台账记录表各表单的负责人对记录信息的真实性、完整性和规范性负责。</w:t>
      </w:r>
    </w:p>
    <w:p w14:paraId="6C997977">
      <w:pPr>
        <w:pageBreakBefore w:val="0"/>
        <w:kinsoku/>
        <w:wordWrap/>
        <w:overflowPunct/>
        <w:topLinePunct w:val="0"/>
        <w:bidi w:val="0"/>
        <w:rPr>
          <w:rFonts w:hint="default"/>
          <w:color w:val="auto"/>
        </w:rPr>
      </w:pPr>
      <w:r>
        <w:rPr>
          <w:rFonts w:hint="default"/>
          <w:color w:val="auto"/>
        </w:rPr>
        <w:t>⑥产废单位应当设立专人负责台账的管理与归档，一般工业固体废物管理台账保存期限不少于5年。</w:t>
      </w:r>
    </w:p>
    <w:p w14:paraId="75FADF50">
      <w:pPr>
        <w:pageBreakBefore w:val="0"/>
        <w:kinsoku/>
        <w:wordWrap/>
        <w:overflowPunct/>
        <w:topLinePunct w:val="0"/>
        <w:bidi w:val="0"/>
        <w:rPr>
          <w:rFonts w:hint="default"/>
          <w:color w:val="auto"/>
        </w:rPr>
      </w:pPr>
      <w:r>
        <w:rPr>
          <w:rFonts w:hint="eastAsia"/>
          <w:color w:val="auto"/>
          <w:lang w:eastAsia="zh-CN"/>
        </w:rPr>
        <w:t>（</w:t>
      </w:r>
      <w:r>
        <w:rPr>
          <w:rFonts w:hint="eastAsia"/>
          <w:color w:val="auto"/>
          <w:lang w:val="en-US" w:eastAsia="zh-CN"/>
        </w:rPr>
        <w:t>2</w:t>
      </w:r>
      <w:r>
        <w:rPr>
          <w:rFonts w:hint="eastAsia"/>
          <w:color w:val="auto"/>
          <w:lang w:eastAsia="zh-CN"/>
        </w:rPr>
        <w:t>）</w:t>
      </w:r>
      <w:r>
        <w:rPr>
          <w:rFonts w:hint="default"/>
          <w:color w:val="auto"/>
        </w:rPr>
        <w:t>危险废物</w:t>
      </w:r>
    </w:p>
    <w:p w14:paraId="726CB967">
      <w:pPr>
        <w:pageBreakBefore w:val="0"/>
        <w:kinsoku/>
        <w:wordWrap/>
        <w:overflowPunct/>
        <w:topLinePunct w:val="0"/>
        <w:bidi w:val="0"/>
        <w:rPr>
          <w:rFonts w:hint="default"/>
          <w:color w:val="auto"/>
        </w:rPr>
      </w:pPr>
      <w:r>
        <w:rPr>
          <w:rFonts w:hint="default"/>
          <w:color w:val="auto"/>
        </w:rPr>
        <w:t>①危险废物的运输单位必须具备相应条件和能力，委托处置单位要与其签订安全环保责任状，保证分工明确，责任到位；</w:t>
      </w:r>
    </w:p>
    <w:p w14:paraId="2C5401AF">
      <w:pPr>
        <w:pageBreakBefore w:val="0"/>
        <w:kinsoku/>
        <w:wordWrap/>
        <w:overflowPunct/>
        <w:topLinePunct w:val="0"/>
        <w:bidi w:val="0"/>
        <w:rPr>
          <w:rFonts w:hint="default"/>
          <w:color w:val="auto"/>
        </w:rPr>
      </w:pPr>
      <w:r>
        <w:rPr>
          <w:rFonts w:hint="default"/>
          <w:color w:val="auto"/>
        </w:rPr>
        <w:t>②运输时应采取密闭、遮盖、捆扎等措施；</w:t>
      </w:r>
    </w:p>
    <w:p w14:paraId="5829C117">
      <w:pPr>
        <w:pageBreakBefore w:val="0"/>
        <w:kinsoku/>
        <w:wordWrap/>
        <w:overflowPunct/>
        <w:topLinePunct w:val="0"/>
        <w:bidi w:val="0"/>
        <w:rPr>
          <w:rFonts w:hint="default"/>
          <w:color w:val="auto"/>
        </w:rPr>
      </w:pPr>
      <w:r>
        <w:rPr>
          <w:rFonts w:hint="default"/>
          <w:color w:val="auto"/>
        </w:rPr>
        <w:t>③对运输危险废物的设施和设备应当加强管理和维护，保证其正常运行和使用；</w:t>
      </w:r>
    </w:p>
    <w:p w14:paraId="791D12B2">
      <w:pPr>
        <w:pageBreakBefore w:val="0"/>
        <w:kinsoku/>
        <w:wordWrap/>
        <w:overflowPunct/>
        <w:topLinePunct w:val="0"/>
        <w:bidi w:val="0"/>
        <w:rPr>
          <w:rFonts w:hint="default"/>
          <w:color w:val="auto"/>
        </w:rPr>
      </w:pPr>
      <w:r>
        <w:rPr>
          <w:rFonts w:hint="default"/>
          <w:color w:val="auto"/>
        </w:rPr>
        <w:t>④不能混合运输性质不相容而又未经安全性处置的危险废物；</w:t>
      </w:r>
    </w:p>
    <w:p w14:paraId="6A450D72">
      <w:pPr>
        <w:pageBreakBefore w:val="0"/>
        <w:kinsoku/>
        <w:wordWrap/>
        <w:overflowPunct/>
        <w:topLinePunct w:val="0"/>
        <w:bidi w:val="0"/>
        <w:rPr>
          <w:rFonts w:hint="default"/>
          <w:color w:val="auto"/>
        </w:rPr>
      </w:pPr>
      <w:r>
        <w:rPr>
          <w:rFonts w:hint="default"/>
          <w:color w:val="auto"/>
        </w:rPr>
        <w:t>⑤危险废物的转移，必须按规定到环境保护行政主管部门开具危险废物转移</w:t>
      </w:r>
      <w:r>
        <w:rPr>
          <w:rFonts w:hint="eastAsia"/>
          <w:color w:val="auto"/>
          <w:lang w:eastAsia="zh-CN"/>
        </w:rPr>
        <w:t>“</w:t>
      </w:r>
      <w:r>
        <w:rPr>
          <w:rFonts w:hint="default"/>
          <w:color w:val="auto"/>
        </w:rPr>
        <w:t>七联单</w:t>
      </w:r>
      <w:r>
        <w:rPr>
          <w:rFonts w:hint="eastAsia"/>
          <w:color w:val="auto"/>
          <w:lang w:eastAsia="zh-CN"/>
        </w:rPr>
        <w:t>”</w:t>
      </w:r>
      <w:r>
        <w:rPr>
          <w:rFonts w:hint="default"/>
          <w:color w:val="auto"/>
        </w:rPr>
        <w:t>或</w:t>
      </w:r>
      <w:r>
        <w:rPr>
          <w:rFonts w:hint="eastAsia"/>
          <w:color w:val="auto"/>
          <w:lang w:eastAsia="zh-CN"/>
        </w:rPr>
        <w:t>“</w:t>
      </w:r>
      <w:r>
        <w:rPr>
          <w:rFonts w:hint="default"/>
          <w:color w:val="auto"/>
        </w:rPr>
        <w:t>五联单</w:t>
      </w:r>
      <w:r>
        <w:rPr>
          <w:rFonts w:hint="eastAsia"/>
          <w:color w:val="auto"/>
          <w:lang w:eastAsia="zh-CN"/>
        </w:rPr>
        <w:t>”</w:t>
      </w:r>
      <w:r>
        <w:rPr>
          <w:rFonts w:hint="default"/>
          <w:color w:val="auto"/>
        </w:rPr>
        <w:t>，并向危险废物移出地和接受地的县级以上地方人民政府环境保护行政主管部门报告，以避免和减缓其转移过程中的环境风险；</w:t>
      </w:r>
    </w:p>
    <w:p w14:paraId="6A066C0B">
      <w:pPr>
        <w:pageBreakBefore w:val="0"/>
        <w:kinsoku/>
        <w:wordWrap/>
        <w:overflowPunct/>
        <w:topLinePunct w:val="0"/>
        <w:bidi w:val="0"/>
        <w:rPr>
          <w:rFonts w:hint="default"/>
          <w:color w:val="auto"/>
        </w:rPr>
      </w:pPr>
      <w:r>
        <w:rPr>
          <w:rFonts w:hint="default"/>
          <w:color w:val="auto"/>
        </w:rPr>
        <w:t>⑥运输危险废物的车辆应尽可能避开城市、城镇等人群居住区、闹市区等；</w:t>
      </w:r>
    </w:p>
    <w:p w14:paraId="1A2A90F6">
      <w:pPr>
        <w:pageBreakBefore w:val="0"/>
        <w:kinsoku/>
        <w:wordWrap/>
        <w:overflowPunct/>
        <w:topLinePunct w:val="0"/>
        <w:bidi w:val="0"/>
        <w:rPr>
          <w:rFonts w:hint="default"/>
          <w:color w:val="auto"/>
        </w:rPr>
      </w:pPr>
      <w:r>
        <w:rPr>
          <w:rFonts w:hint="default"/>
          <w:color w:val="auto"/>
        </w:rPr>
        <w:t>⑦运输危险废物的人员，应当接受专业培训，经考核合格后，方可从事运输危险废物的工作；</w:t>
      </w:r>
    </w:p>
    <w:p w14:paraId="5C898AC8">
      <w:pPr>
        <w:pageBreakBefore w:val="0"/>
        <w:kinsoku/>
        <w:wordWrap/>
        <w:overflowPunct/>
        <w:topLinePunct w:val="0"/>
        <w:bidi w:val="0"/>
        <w:rPr>
          <w:rFonts w:hint="default"/>
          <w:color w:val="auto"/>
        </w:rPr>
      </w:pPr>
      <w:r>
        <w:rPr>
          <w:rFonts w:hint="default"/>
          <w:color w:val="auto"/>
        </w:rPr>
        <w:t>⑧应制定在发生意外事故时采取的应急措施和防范措施；</w:t>
      </w:r>
    </w:p>
    <w:p w14:paraId="4E13B9A1">
      <w:pPr>
        <w:pageBreakBefore w:val="0"/>
        <w:kinsoku/>
        <w:wordWrap/>
        <w:overflowPunct/>
        <w:topLinePunct w:val="0"/>
        <w:bidi w:val="0"/>
        <w:rPr>
          <w:rFonts w:hint="default"/>
          <w:color w:val="auto"/>
        </w:rPr>
      </w:pPr>
      <w:r>
        <w:rPr>
          <w:rFonts w:hint="default"/>
          <w:color w:val="auto"/>
        </w:rPr>
        <w:t>⑨禁止将危险废物与旅客在同一运输工具上载运；</w:t>
      </w:r>
    </w:p>
    <w:p w14:paraId="7C59BEAC">
      <w:pPr>
        <w:pageBreakBefore w:val="0"/>
        <w:kinsoku/>
        <w:wordWrap/>
        <w:overflowPunct/>
        <w:topLinePunct w:val="0"/>
        <w:bidi w:val="0"/>
        <w:rPr>
          <w:rFonts w:hint="default"/>
          <w:color w:val="auto"/>
        </w:rPr>
      </w:pPr>
      <w:r>
        <w:rPr>
          <w:rFonts w:hint="default"/>
          <w:color w:val="auto"/>
        </w:rPr>
        <w:t>⑩若发生突发性事故必须立即采取措施消除或者减轻对环境的污染危害，及时通报给附近的单位和居民，并向事故发生地县级以上人民政府环境保护行政主管部门和有关部门报告，接受调查处理。</w:t>
      </w:r>
    </w:p>
    <w:p w14:paraId="2F79CB14">
      <w:pPr>
        <w:pageBreakBefore w:val="0"/>
        <w:kinsoku/>
        <w:wordWrap/>
        <w:overflowPunct/>
        <w:topLinePunct w:val="0"/>
        <w:bidi w:val="0"/>
        <w:rPr>
          <w:rFonts w:hint="default"/>
          <w:color w:val="auto"/>
        </w:rPr>
      </w:pPr>
      <w:bookmarkStart w:id="355" w:name="_Toc10259"/>
      <w:r>
        <w:rPr>
          <w:rFonts w:hint="default"/>
          <w:color w:val="auto"/>
          <w:lang w:val="en-US" w:eastAsia="zh-CN"/>
        </w:rPr>
        <w:t>3.</w:t>
      </w:r>
      <w:r>
        <w:rPr>
          <w:rFonts w:hint="default"/>
          <w:color w:val="auto"/>
        </w:rPr>
        <w:t>固体废物的处置或利用</w:t>
      </w:r>
      <w:bookmarkEnd w:id="355"/>
    </w:p>
    <w:p w14:paraId="272A860F">
      <w:pPr>
        <w:pageBreakBefore w:val="0"/>
        <w:kinsoku/>
        <w:wordWrap/>
        <w:overflowPunct/>
        <w:topLinePunct w:val="0"/>
        <w:bidi w:val="0"/>
        <w:rPr>
          <w:rFonts w:hint="default"/>
          <w:color w:val="auto"/>
        </w:rPr>
      </w:pPr>
      <w:r>
        <w:rPr>
          <w:rFonts w:hint="default"/>
          <w:color w:val="auto"/>
        </w:rPr>
        <w:t>本项目污泥经清掏自然干化后</w:t>
      </w:r>
      <w:r>
        <w:rPr>
          <w:rFonts w:hint="eastAsia" w:ascii="Times New Roman" w:hAnsi="Times New Roman" w:eastAsia="宋体" w:cs="宋体"/>
          <w:color w:val="auto"/>
          <w:lang w:val="en-US" w:eastAsia="zh-CN"/>
        </w:rPr>
        <w:t>运至一般固废填埋场处置</w:t>
      </w:r>
      <w:r>
        <w:rPr>
          <w:rFonts w:hint="default" w:ascii="Times New Roman" w:hAnsi="Times New Roman" w:eastAsia="宋体" w:cs="宋体"/>
          <w:color w:val="auto"/>
        </w:rPr>
        <w:t>。</w:t>
      </w:r>
      <w:r>
        <w:rPr>
          <w:rFonts w:hint="default"/>
          <w:color w:val="auto"/>
        </w:rPr>
        <w:t>不合格品经收集后回用于</w:t>
      </w:r>
      <w:r>
        <w:rPr>
          <w:rFonts w:hint="eastAsia"/>
          <w:color w:val="auto"/>
          <w:lang w:eastAsia="zh-CN"/>
        </w:rPr>
        <w:t>造粒</w:t>
      </w:r>
      <w:r>
        <w:rPr>
          <w:rFonts w:hint="default"/>
          <w:color w:val="auto"/>
        </w:rPr>
        <w:t>工段。</w:t>
      </w:r>
      <w:r>
        <w:rPr>
          <w:rFonts w:hint="default" w:ascii="Times New Roman" w:hAnsi="Times New Roman" w:eastAsia="宋体" w:cs="宋体"/>
          <w:color w:val="auto"/>
          <w:lang w:val="en-US" w:eastAsia="zh-CN"/>
        </w:rPr>
        <w:t>分拣废物</w:t>
      </w:r>
      <w:r>
        <w:rPr>
          <w:rFonts w:hint="eastAsia" w:ascii="Times New Roman" w:hAnsi="Times New Roman" w:eastAsia="宋体" w:cs="宋体"/>
          <w:color w:val="auto"/>
          <w:lang w:val="en-US" w:eastAsia="zh-CN"/>
        </w:rPr>
        <w:t>集中收集后做为建筑渣土运至固废填埋场处置；</w:t>
      </w:r>
      <w:r>
        <w:rPr>
          <w:rFonts w:hint="default"/>
          <w:color w:val="auto"/>
        </w:rPr>
        <w:t>生活垃圾</w:t>
      </w:r>
      <w:r>
        <w:rPr>
          <w:color w:val="auto"/>
        </w:rPr>
        <w:t>集中收集后</w:t>
      </w:r>
      <w:r>
        <w:rPr>
          <w:rFonts w:hint="eastAsia"/>
          <w:color w:val="auto"/>
          <w:lang w:eastAsia="zh-CN"/>
        </w:rPr>
        <w:t>由</w:t>
      </w:r>
      <w:r>
        <w:rPr>
          <w:color w:val="auto"/>
        </w:rPr>
        <w:t>环卫部门</w:t>
      </w:r>
      <w:r>
        <w:rPr>
          <w:rFonts w:hint="eastAsia"/>
          <w:color w:val="auto"/>
          <w:lang w:eastAsia="zh-CN"/>
        </w:rPr>
        <w:t>定期</w:t>
      </w:r>
      <w:r>
        <w:rPr>
          <w:color w:val="auto"/>
        </w:rPr>
        <w:t>清运</w:t>
      </w:r>
      <w:r>
        <w:rPr>
          <w:rFonts w:hint="eastAsia"/>
          <w:color w:val="auto"/>
          <w:lang w:eastAsia="zh-CN"/>
        </w:rPr>
        <w:t>处理</w:t>
      </w:r>
      <w:r>
        <w:rPr>
          <w:rFonts w:hint="default"/>
          <w:color w:val="auto"/>
        </w:rPr>
        <w:t>。</w:t>
      </w:r>
      <w:r>
        <w:rPr>
          <w:rFonts w:hint="eastAsia"/>
          <w:color w:val="auto"/>
          <w:lang w:eastAsia="zh-CN"/>
        </w:rPr>
        <w:t>废包装袋</w:t>
      </w:r>
      <w:r>
        <w:rPr>
          <w:rFonts w:hint="default"/>
          <w:color w:val="auto"/>
        </w:rPr>
        <w:t>经收集后定期外售给废品回收站。危险废物在厂区内危废暂存间暂存后及时委托有相应资质的单位回收处置。</w:t>
      </w:r>
    </w:p>
    <w:p w14:paraId="36BCBB93">
      <w:pPr>
        <w:pageBreakBefore w:val="0"/>
        <w:kinsoku/>
        <w:wordWrap/>
        <w:overflowPunct/>
        <w:topLinePunct w:val="0"/>
        <w:bidi w:val="0"/>
        <w:rPr>
          <w:rFonts w:hint="default"/>
          <w:color w:val="auto"/>
        </w:rPr>
      </w:pPr>
      <w:r>
        <w:rPr>
          <w:rFonts w:hint="default"/>
          <w:color w:val="auto"/>
        </w:rPr>
        <w:t>综上分析，项目建成后，所产生的固废均得到了综合利用或妥善处置，因此对环境污染影响</w:t>
      </w:r>
      <w:r>
        <w:rPr>
          <w:rFonts w:hint="eastAsia"/>
          <w:color w:val="auto"/>
          <w:lang w:eastAsia="zh-CN"/>
        </w:rPr>
        <w:t>较小</w:t>
      </w:r>
      <w:r>
        <w:rPr>
          <w:rFonts w:hint="default"/>
          <w:color w:val="auto"/>
        </w:rPr>
        <w:t>。本项目固体废物处置满足环保要求，处理措施可行。</w:t>
      </w:r>
    </w:p>
    <w:p w14:paraId="41F7B8CE">
      <w:pPr>
        <w:pStyle w:val="5"/>
        <w:pageBreakBefore w:val="0"/>
        <w:kinsoku/>
        <w:wordWrap/>
        <w:overflowPunct/>
        <w:topLinePunct w:val="0"/>
        <w:bidi w:val="0"/>
        <w:rPr>
          <w:rFonts w:hint="default" w:ascii="Times New Roman" w:hAnsi="Times New Roman" w:eastAsia="宋体" w:cs="Times New Roman"/>
          <w:color w:val="auto"/>
          <w:spacing w:val="0"/>
          <w:w w:val="100"/>
          <w:position w:val="0"/>
          <w:lang w:val="en-US" w:eastAsia="zh-CN"/>
        </w:rPr>
      </w:pPr>
      <w:bookmarkStart w:id="356" w:name="7.2.5 生态环境污染防治措施及可行性论证"/>
      <w:bookmarkEnd w:id="356"/>
      <w:bookmarkStart w:id="357" w:name="7.2.5 生态环境污染防治措施及可行性论证"/>
      <w:bookmarkEnd w:id="357"/>
      <w:bookmarkStart w:id="358" w:name="_Toc26186"/>
      <w:bookmarkStart w:id="359" w:name="_Toc20617"/>
      <w:r>
        <w:rPr>
          <w:rFonts w:hint="default" w:ascii="Times New Roman" w:hAnsi="Times New Roman" w:eastAsia="宋体" w:cs="Times New Roman"/>
          <w:color w:val="auto"/>
          <w:spacing w:val="0"/>
          <w:w w:val="100"/>
          <w:position w:val="0"/>
          <w:lang w:val="en-US" w:eastAsia="zh-CN"/>
        </w:rPr>
        <w:t>7.2.5生态环境污染防治措施及可行性论证</w:t>
      </w:r>
      <w:bookmarkEnd w:id="358"/>
      <w:bookmarkEnd w:id="359"/>
    </w:p>
    <w:p w14:paraId="7CCF38DF">
      <w:pPr>
        <w:pageBreakBefore w:val="0"/>
        <w:kinsoku/>
        <w:wordWrap/>
        <w:overflowPunct/>
        <w:topLinePunct w:val="0"/>
        <w:bidi w:val="0"/>
        <w:rPr>
          <w:rFonts w:hint="default"/>
          <w:color w:val="auto"/>
        </w:rPr>
      </w:pPr>
      <w:r>
        <w:rPr>
          <w:rFonts w:hint="default"/>
          <w:color w:val="auto"/>
        </w:rPr>
        <w:t>建设项目绿化设计树立了生态观念，注重植物的配植。本项目在树种的选择上，应充分考虑植物的季相变化，选择对废气吸附能力较强的植物类型，且考虑植物的多层次配置，乔灌花、乔灌草的结合，分隔竖向的空间，创造植物群落的整体美。</w:t>
      </w:r>
    </w:p>
    <w:p w14:paraId="58DACBE9">
      <w:pPr>
        <w:pageBreakBefore w:val="0"/>
        <w:kinsoku/>
        <w:wordWrap/>
        <w:overflowPunct/>
        <w:topLinePunct w:val="0"/>
        <w:bidi w:val="0"/>
        <w:spacing w:after="0" w:line="364" w:lineRule="auto"/>
        <w:jc w:val="both"/>
        <w:rPr>
          <w:color w:val="auto"/>
          <w:spacing w:val="0"/>
          <w:w w:val="100"/>
          <w:position w:val="0"/>
        </w:rPr>
        <w:sectPr>
          <w:type w:val="continuous"/>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3E51568D">
      <w:pPr>
        <w:pStyle w:val="3"/>
        <w:pageBreakBefore w:val="0"/>
        <w:kinsoku/>
        <w:wordWrap/>
        <w:overflowPunct/>
        <w:topLinePunct w:val="0"/>
        <w:bidi w:val="0"/>
        <w:rPr>
          <w:color w:val="auto"/>
          <w:spacing w:val="0"/>
          <w:w w:val="100"/>
          <w:position w:val="0"/>
        </w:rPr>
      </w:pPr>
      <w:bookmarkStart w:id="360" w:name="8 环境影响经济损益分析"/>
      <w:bookmarkEnd w:id="360"/>
      <w:bookmarkStart w:id="361" w:name="_bookmark43"/>
      <w:bookmarkEnd w:id="361"/>
      <w:bookmarkStart w:id="362" w:name="_Toc30714"/>
      <w:bookmarkStart w:id="363" w:name="_Toc335"/>
      <w:bookmarkStart w:id="364" w:name="_Toc1217"/>
      <w:r>
        <w:rPr>
          <w:rFonts w:ascii="Times New Roman" w:eastAsia="Times New Roman"/>
          <w:color w:val="auto"/>
          <w:spacing w:val="0"/>
          <w:w w:val="100"/>
          <w:position w:val="0"/>
        </w:rPr>
        <w:t>8</w:t>
      </w:r>
      <w:r>
        <w:rPr>
          <w:color w:val="auto"/>
          <w:spacing w:val="0"/>
          <w:w w:val="100"/>
          <w:position w:val="0"/>
        </w:rPr>
        <w:t>环境影响经济损益分析</w:t>
      </w:r>
      <w:bookmarkEnd w:id="362"/>
      <w:bookmarkEnd w:id="363"/>
      <w:bookmarkEnd w:id="364"/>
    </w:p>
    <w:p w14:paraId="04049085">
      <w:pPr>
        <w:pageBreakBefore w:val="0"/>
        <w:kinsoku/>
        <w:wordWrap/>
        <w:overflowPunct/>
        <w:topLinePunct w:val="0"/>
        <w:bidi w:val="0"/>
        <w:rPr>
          <w:color w:val="auto"/>
        </w:rPr>
      </w:pPr>
      <w:r>
        <w:rPr>
          <w:color w:val="auto"/>
        </w:rPr>
        <w:t>建设项目的环境经济损益分析，是从经济学的角度来分析项目的环境效益和社会效益，是根据项目的特性、总投资及生产规模分析其所采取的环保措施而引起的投资费用和得到的经济、环境和社会效益进行经济分析。充分体现经济效益、社会效益与环境效益对立与统一的关系。通过环境经济损益的分析可以说明环保综合效益状况，而且可从环境效益、经济效益和社会效益相协调统一的角度来讨论项目建设的意义。本项目环境经济损益分析着重对项目环保投资和项目投产后的效益进行分析。</w:t>
      </w:r>
    </w:p>
    <w:p w14:paraId="11553CCE">
      <w:pPr>
        <w:pageBreakBefore w:val="0"/>
        <w:kinsoku/>
        <w:wordWrap/>
        <w:overflowPunct/>
        <w:topLinePunct w:val="0"/>
        <w:bidi w:val="0"/>
        <w:rPr>
          <w:color w:val="auto"/>
        </w:rPr>
      </w:pPr>
      <w:bookmarkStart w:id="365" w:name="_bookmark44"/>
      <w:bookmarkEnd w:id="365"/>
      <w:bookmarkStart w:id="366" w:name="8.1 环保投资估算"/>
      <w:bookmarkEnd w:id="366"/>
      <w:bookmarkStart w:id="367" w:name="_bookmark44"/>
      <w:bookmarkEnd w:id="367"/>
    </w:p>
    <w:p w14:paraId="1343F1CE">
      <w:pPr>
        <w:pageBreakBefore w:val="0"/>
        <w:kinsoku/>
        <w:wordWrap/>
        <w:overflowPunct/>
        <w:topLinePunct w:val="0"/>
        <w:bidi w:val="0"/>
        <w:spacing w:after="0" w:line="364" w:lineRule="auto"/>
        <w:jc w:val="both"/>
        <w:rPr>
          <w:color w:val="auto"/>
          <w:spacing w:val="0"/>
          <w:w w:val="100"/>
          <w:position w:val="0"/>
        </w:rPr>
        <w:sectPr>
          <w:headerReference r:id="rId13" w:type="default"/>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53A0AA57">
      <w:pPr>
        <w:pStyle w:val="3"/>
        <w:pageBreakBefore w:val="0"/>
        <w:kinsoku/>
        <w:wordWrap/>
        <w:overflowPunct/>
        <w:topLinePunct w:val="0"/>
        <w:bidi w:val="0"/>
        <w:rPr>
          <w:color w:val="auto"/>
        </w:rPr>
      </w:pPr>
      <w:bookmarkStart w:id="368" w:name="_bookmark46"/>
      <w:bookmarkEnd w:id="368"/>
      <w:bookmarkStart w:id="369" w:name="9 环境管理与监测计划"/>
      <w:bookmarkEnd w:id="369"/>
      <w:bookmarkStart w:id="370" w:name="_Toc7783"/>
      <w:bookmarkStart w:id="371" w:name="_Toc8878"/>
      <w:bookmarkStart w:id="372" w:name="_Toc32236"/>
      <w:r>
        <w:rPr>
          <w:color w:val="auto"/>
        </w:rPr>
        <w:t>9环境管理与监测计划</w:t>
      </w:r>
      <w:bookmarkEnd w:id="370"/>
      <w:bookmarkEnd w:id="371"/>
      <w:bookmarkEnd w:id="372"/>
    </w:p>
    <w:p w14:paraId="3E539C3D">
      <w:pPr>
        <w:pStyle w:val="4"/>
        <w:pageBreakBefore w:val="0"/>
        <w:kinsoku/>
        <w:wordWrap/>
        <w:overflowPunct/>
        <w:topLinePunct w:val="0"/>
        <w:bidi w:val="0"/>
        <w:rPr>
          <w:rFonts w:hint="default" w:ascii="Times New Roman" w:hAnsi="Times New Roman" w:cs="Times New Roman"/>
          <w:b/>
          <w:color w:val="auto"/>
          <w:spacing w:val="0"/>
          <w:w w:val="100"/>
          <w:position w:val="0"/>
          <w:sz w:val="30"/>
          <w:szCs w:val="30"/>
        </w:rPr>
      </w:pPr>
      <w:bookmarkStart w:id="373" w:name="9.1 环境管理体制"/>
      <w:bookmarkEnd w:id="373"/>
      <w:bookmarkStart w:id="374" w:name="_bookmark47"/>
      <w:bookmarkEnd w:id="374"/>
      <w:bookmarkStart w:id="375" w:name="_bookmark47"/>
      <w:bookmarkEnd w:id="375"/>
      <w:bookmarkStart w:id="376" w:name="_Toc15552"/>
      <w:bookmarkStart w:id="377" w:name="_Toc26936"/>
      <w:bookmarkStart w:id="378" w:name="_Toc451"/>
      <w:r>
        <w:rPr>
          <w:rFonts w:hint="default" w:ascii="Times New Roman" w:hAnsi="Times New Roman" w:cs="Times New Roman"/>
          <w:b/>
          <w:color w:val="auto"/>
          <w:spacing w:val="0"/>
          <w:w w:val="100"/>
          <w:position w:val="0"/>
          <w:sz w:val="30"/>
          <w:szCs w:val="30"/>
          <w:lang w:val="en-US" w:eastAsia="zh-CN"/>
        </w:rPr>
        <w:t>9.1</w:t>
      </w:r>
      <w:r>
        <w:rPr>
          <w:rFonts w:hint="default" w:ascii="Times New Roman" w:hAnsi="Times New Roman" w:cs="Times New Roman"/>
          <w:b/>
          <w:color w:val="auto"/>
          <w:spacing w:val="0"/>
          <w:w w:val="100"/>
          <w:position w:val="0"/>
          <w:sz w:val="30"/>
          <w:szCs w:val="30"/>
        </w:rPr>
        <w:t>环境管理体制</w:t>
      </w:r>
      <w:bookmarkEnd w:id="376"/>
      <w:bookmarkEnd w:id="377"/>
      <w:bookmarkEnd w:id="378"/>
    </w:p>
    <w:p w14:paraId="34ADE187">
      <w:pPr>
        <w:pageBreakBefore w:val="0"/>
        <w:kinsoku/>
        <w:wordWrap/>
        <w:overflowPunct/>
        <w:topLinePunct w:val="0"/>
        <w:bidi w:val="0"/>
        <w:rPr>
          <w:rFonts w:hint="default"/>
          <w:color w:val="auto"/>
          <w:highlight w:val="none"/>
        </w:rPr>
      </w:pPr>
    </w:p>
    <w:p w14:paraId="093BBEAE">
      <w:pPr>
        <w:pStyle w:val="4"/>
        <w:pageBreakBefore w:val="0"/>
        <w:kinsoku/>
        <w:wordWrap/>
        <w:overflowPunct/>
        <w:topLinePunct w:val="0"/>
        <w:bidi w:val="0"/>
        <w:rPr>
          <w:rFonts w:hint="default" w:ascii="Times New Roman" w:hAnsi="Times New Roman" w:cs="Times New Roman"/>
          <w:color w:val="auto"/>
          <w:spacing w:val="0"/>
          <w:w w:val="100"/>
          <w:position w:val="0"/>
        </w:rPr>
      </w:pPr>
      <w:bookmarkStart w:id="379" w:name="_Toc5719"/>
      <w:bookmarkStart w:id="380" w:name="_Toc5432"/>
      <w:r>
        <w:rPr>
          <w:rFonts w:hint="default" w:ascii="Times New Roman" w:hAnsi="Times New Roman" w:cs="Times New Roman"/>
          <w:color w:val="auto"/>
          <w:spacing w:val="0"/>
          <w:w w:val="100"/>
          <w:position w:val="0"/>
          <w:lang w:val="en-US" w:eastAsia="zh-CN"/>
        </w:rPr>
        <w:t>9.2</w:t>
      </w:r>
      <w:r>
        <w:rPr>
          <w:rFonts w:hint="eastAsia"/>
          <w:color w:val="auto"/>
          <w:lang w:val="en-US" w:eastAsia="zh-CN"/>
        </w:rPr>
        <w:t>污染物排放清单</w:t>
      </w:r>
      <w:bookmarkEnd w:id="379"/>
      <w:bookmarkEnd w:id="380"/>
    </w:p>
    <w:p w14:paraId="4FF2AAC9">
      <w:pPr>
        <w:pageBreakBefore w:val="0"/>
        <w:kinsoku/>
        <w:wordWrap/>
        <w:overflowPunct/>
        <w:topLinePunct w:val="0"/>
        <w:bidi w:val="0"/>
        <w:spacing w:after="0"/>
        <w:rPr>
          <w:color w:val="auto"/>
          <w:spacing w:val="0"/>
          <w:w w:val="100"/>
          <w:position w:val="0"/>
          <w:sz w:val="21"/>
        </w:rPr>
        <w:sectPr>
          <w:headerReference r:id="rId14" w:type="default"/>
          <w:footerReference r:id="rId15" w:type="default"/>
          <w:type w:val="continuous"/>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pPr>
    </w:p>
    <w:p w14:paraId="560345D8">
      <w:pPr>
        <w:pStyle w:val="3"/>
        <w:pageBreakBefore w:val="0"/>
        <w:kinsoku/>
        <w:wordWrap/>
        <w:overflowPunct/>
        <w:topLinePunct w:val="0"/>
        <w:bidi w:val="0"/>
        <w:rPr>
          <w:color w:val="auto"/>
          <w:spacing w:val="0"/>
          <w:w w:val="100"/>
          <w:position w:val="0"/>
        </w:rPr>
      </w:pPr>
      <w:bookmarkStart w:id="381" w:name="_bookmark53"/>
      <w:bookmarkEnd w:id="381"/>
      <w:bookmarkStart w:id="382" w:name="10 环境影响评价结论与建议"/>
      <w:bookmarkEnd w:id="382"/>
      <w:bookmarkStart w:id="383" w:name="_Toc22019"/>
      <w:bookmarkStart w:id="384" w:name="_Toc3927"/>
      <w:bookmarkStart w:id="385" w:name="_Toc7991"/>
      <w:r>
        <w:rPr>
          <w:rFonts w:ascii="Times New Roman" w:eastAsia="Times New Roman"/>
          <w:color w:val="auto"/>
          <w:spacing w:val="0"/>
          <w:w w:val="100"/>
          <w:position w:val="0"/>
        </w:rPr>
        <w:t>10</w:t>
      </w:r>
      <w:r>
        <w:rPr>
          <w:color w:val="auto"/>
          <w:spacing w:val="0"/>
          <w:w w:val="100"/>
          <w:position w:val="0"/>
        </w:rPr>
        <w:t>环境影响评价结论与建议</w:t>
      </w:r>
      <w:bookmarkEnd w:id="383"/>
      <w:bookmarkEnd w:id="384"/>
      <w:bookmarkEnd w:id="385"/>
    </w:p>
    <w:p w14:paraId="3C44B221">
      <w:pPr>
        <w:pStyle w:val="4"/>
        <w:pageBreakBefore w:val="0"/>
        <w:kinsoku/>
        <w:wordWrap/>
        <w:overflowPunct/>
        <w:topLinePunct w:val="0"/>
        <w:bidi w:val="0"/>
        <w:rPr>
          <w:rFonts w:hint="default" w:ascii="Times New Roman" w:hAnsi="Times New Roman" w:cs="Times New Roman"/>
          <w:b/>
          <w:color w:val="auto"/>
          <w:spacing w:val="0"/>
          <w:w w:val="100"/>
          <w:position w:val="0"/>
          <w:sz w:val="30"/>
          <w:szCs w:val="30"/>
        </w:rPr>
      </w:pPr>
      <w:bookmarkStart w:id="386" w:name="10.1 结论"/>
      <w:bookmarkEnd w:id="386"/>
      <w:bookmarkStart w:id="387" w:name="_bookmark54"/>
      <w:bookmarkEnd w:id="387"/>
      <w:bookmarkStart w:id="388" w:name="_bookmark54"/>
      <w:bookmarkEnd w:id="388"/>
      <w:bookmarkStart w:id="389" w:name="_Toc582"/>
      <w:bookmarkStart w:id="390" w:name="_Toc13274"/>
      <w:bookmarkStart w:id="391" w:name="_Toc11760"/>
      <w:r>
        <w:rPr>
          <w:rFonts w:hint="default" w:ascii="Times New Roman" w:hAnsi="Times New Roman" w:cs="Times New Roman"/>
          <w:b/>
          <w:color w:val="auto"/>
          <w:spacing w:val="0"/>
          <w:w w:val="100"/>
          <w:position w:val="0"/>
          <w:sz w:val="30"/>
          <w:szCs w:val="30"/>
          <w:lang w:val="en-US" w:eastAsia="zh-CN"/>
        </w:rPr>
        <w:t>10.1</w:t>
      </w:r>
      <w:r>
        <w:rPr>
          <w:rFonts w:hint="default" w:ascii="Times New Roman" w:hAnsi="Times New Roman" w:cs="Times New Roman"/>
          <w:b/>
          <w:color w:val="auto"/>
          <w:spacing w:val="0"/>
          <w:w w:val="100"/>
          <w:position w:val="0"/>
          <w:sz w:val="30"/>
          <w:szCs w:val="30"/>
        </w:rPr>
        <w:t>结论</w:t>
      </w:r>
      <w:bookmarkEnd w:id="389"/>
      <w:bookmarkEnd w:id="390"/>
      <w:bookmarkEnd w:id="391"/>
    </w:p>
    <w:p w14:paraId="43285385">
      <w:pPr>
        <w:pStyle w:val="5"/>
        <w:pageBreakBefore w:val="0"/>
        <w:kinsoku/>
        <w:wordWrap/>
        <w:overflowPunct/>
        <w:topLinePunct w:val="0"/>
        <w:bidi w:val="0"/>
        <w:rPr>
          <w:rFonts w:hint="default" w:ascii="Times New Roman" w:hAnsi="Times New Roman" w:cs="Times New Roman"/>
          <w:b/>
          <w:color w:val="auto"/>
          <w:spacing w:val="0"/>
          <w:w w:val="100"/>
          <w:position w:val="0"/>
          <w:sz w:val="28"/>
          <w:szCs w:val="28"/>
        </w:rPr>
      </w:pPr>
      <w:bookmarkStart w:id="392" w:name="10.1.1 项目概况"/>
      <w:bookmarkEnd w:id="392"/>
      <w:bookmarkStart w:id="393" w:name="10.1.7 评价结论"/>
      <w:bookmarkEnd w:id="393"/>
      <w:bookmarkStart w:id="394" w:name="10.1.1 项目概况"/>
      <w:bookmarkEnd w:id="394"/>
      <w:bookmarkStart w:id="395" w:name="10.1.7 评价结论"/>
      <w:bookmarkEnd w:id="395"/>
      <w:bookmarkStart w:id="396" w:name="_Toc8016"/>
      <w:bookmarkStart w:id="397" w:name="_Toc32766"/>
      <w:r>
        <w:rPr>
          <w:rFonts w:hint="eastAsia" w:ascii="Times New Roman" w:hAnsi="Times New Roman" w:eastAsia="宋体" w:cs="Times New Roman"/>
          <w:b/>
          <w:bCs/>
          <w:color w:val="auto"/>
          <w:spacing w:val="0"/>
          <w:w w:val="100"/>
          <w:position w:val="0"/>
          <w:sz w:val="28"/>
          <w:szCs w:val="28"/>
          <w:lang w:val="en-US" w:eastAsia="zh-CN" w:bidi="zh-CN"/>
        </w:rPr>
        <w:t>10.1.</w:t>
      </w:r>
      <w:r>
        <w:rPr>
          <w:rFonts w:hint="eastAsia" w:cs="Times New Roman"/>
          <w:b/>
          <w:bCs/>
          <w:color w:val="auto"/>
          <w:spacing w:val="0"/>
          <w:w w:val="100"/>
          <w:position w:val="0"/>
          <w:sz w:val="28"/>
          <w:szCs w:val="28"/>
          <w:lang w:val="en-US" w:eastAsia="zh-CN" w:bidi="zh-CN"/>
        </w:rPr>
        <w:t>8</w:t>
      </w:r>
      <w:r>
        <w:rPr>
          <w:rFonts w:hint="default" w:ascii="Times New Roman" w:hAnsi="Times New Roman" w:eastAsia="宋体" w:cs="Times New Roman"/>
          <w:b/>
          <w:bCs/>
          <w:color w:val="auto"/>
          <w:spacing w:val="0"/>
          <w:w w:val="100"/>
          <w:position w:val="0"/>
          <w:sz w:val="28"/>
          <w:szCs w:val="28"/>
          <w:lang w:val="zh-CN" w:eastAsia="zh-CN" w:bidi="zh-CN"/>
        </w:rPr>
        <w:t>评价结论</w:t>
      </w:r>
      <w:bookmarkEnd w:id="396"/>
      <w:bookmarkEnd w:id="397"/>
    </w:p>
    <w:p w14:paraId="6FAA8F75">
      <w:pPr>
        <w:pageBreakBefore w:val="0"/>
        <w:kinsoku/>
        <w:wordWrap/>
        <w:overflowPunct/>
        <w:topLinePunct w:val="0"/>
        <w:bidi w:val="0"/>
        <w:rPr>
          <w:rFonts w:hint="default"/>
          <w:color w:val="auto"/>
        </w:rPr>
      </w:pPr>
      <w:r>
        <w:rPr>
          <w:rFonts w:hint="default"/>
          <w:color w:val="auto"/>
        </w:rPr>
        <w:t>本项目的建设符合国家产业政策、选址基本合理、生产工艺满足清洁生产要求、污染物的防治措施在技术上和经济上可行，能实现达标排放和总量控制的要求。环境影响评价的结果表明，项目在正常生产和污染防治设施正常运行的情况下，项目的污染物排放对环境的影响较小，基本不改变当地环境质量现状和功能要求。</w:t>
      </w:r>
    </w:p>
    <w:p w14:paraId="4CEFF3FA">
      <w:pPr>
        <w:pageBreakBefore w:val="0"/>
        <w:kinsoku/>
        <w:wordWrap/>
        <w:overflowPunct/>
        <w:topLinePunct w:val="0"/>
        <w:bidi w:val="0"/>
        <w:rPr>
          <w:rFonts w:hint="default"/>
          <w:color w:val="auto"/>
        </w:rPr>
      </w:pPr>
      <w:r>
        <w:rPr>
          <w:rFonts w:hint="default"/>
          <w:color w:val="auto"/>
        </w:rPr>
        <w:t>本评价认为，项目在设计和运行时应严格执行安全生产的各项规章制度，根据生产的安全要求，制定事故应急预案，配套相应的安全防范措施，杜绝事故对环境产生的风险。项目建设过程中应严格认真执行环境保护</w:t>
      </w:r>
      <w:r>
        <w:rPr>
          <w:rFonts w:hint="eastAsia"/>
          <w:color w:val="auto"/>
          <w:lang w:eastAsia="zh-CN"/>
        </w:rPr>
        <w:t>“</w:t>
      </w:r>
      <w:r>
        <w:rPr>
          <w:rFonts w:hint="default"/>
          <w:color w:val="auto"/>
        </w:rPr>
        <w:t>三同时</w:t>
      </w:r>
      <w:r>
        <w:rPr>
          <w:rFonts w:hint="eastAsia"/>
          <w:color w:val="auto"/>
          <w:lang w:eastAsia="zh-CN"/>
        </w:rPr>
        <w:t>”</w:t>
      </w:r>
      <w:r>
        <w:rPr>
          <w:rFonts w:hint="default"/>
          <w:color w:val="auto"/>
        </w:rPr>
        <w:t>制度，切实落实本报告书各项污染防治措施和环境管理措施，确保各类污染物稳定达标排放和污染物排放总量控制。在此基础上，本项目的建设在环境保护方面是可行的。</w:t>
      </w:r>
    </w:p>
    <w:p w14:paraId="70405268">
      <w:pPr>
        <w:pStyle w:val="4"/>
        <w:pageBreakBefore w:val="0"/>
        <w:kinsoku/>
        <w:wordWrap/>
        <w:overflowPunct/>
        <w:topLinePunct w:val="0"/>
        <w:bidi w:val="0"/>
        <w:rPr>
          <w:rFonts w:hint="default" w:ascii="Times New Roman" w:hAnsi="Times New Roman" w:cs="Times New Roman"/>
          <w:b/>
          <w:color w:val="auto"/>
          <w:spacing w:val="0"/>
          <w:w w:val="100"/>
          <w:position w:val="0"/>
          <w:sz w:val="30"/>
          <w:szCs w:val="30"/>
        </w:rPr>
      </w:pPr>
      <w:bookmarkStart w:id="398" w:name="10.2 建议"/>
      <w:bookmarkEnd w:id="398"/>
      <w:bookmarkStart w:id="399" w:name="_bookmark55"/>
      <w:bookmarkEnd w:id="399"/>
      <w:bookmarkStart w:id="400" w:name="_bookmark55"/>
      <w:bookmarkEnd w:id="400"/>
      <w:bookmarkStart w:id="401" w:name="_Toc12600"/>
      <w:bookmarkStart w:id="402" w:name="_Toc20967"/>
      <w:bookmarkStart w:id="403" w:name="_Toc29365"/>
      <w:r>
        <w:rPr>
          <w:rFonts w:hint="eastAsia" w:ascii="Times New Roman" w:hAnsi="Times New Roman" w:cs="Times New Roman"/>
          <w:color w:val="auto"/>
          <w:spacing w:val="0"/>
          <w:w w:val="100"/>
          <w:position w:val="0"/>
          <w:sz w:val="30"/>
          <w:szCs w:val="30"/>
          <w:lang w:val="en-US" w:eastAsia="zh-CN"/>
        </w:rPr>
        <w:t>10.2</w:t>
      </w:r>
      <w:r>
        <w:rPr>
          <w:rFonts w:hint="default" w:ascii="Times New Roman" w:hAnsi="Times New Roman" w:cs="Times New Roman"/>
          <w:color w:val="auto"/>
          <w:spacing w:val="0"/>
          <w:w w:val="100"/>
          <w:position w:val="0"/>
          <w:sz w:val="30"/>
          <w:szCs w:val="30"/>
        </w:rPr>
        <w:t>建议</w:t>
      </w:r>
      <w:bookmarkEnd w:id="401"/>
      <w:bookmarkEnd w:id="402"/>
      <w:bookmarkEnd w:id="403"/>
    </w:p>
    <w:p w14:paraId="72B2EEF3">
      <w:pPr>
        <w:pageBreakBefore w:val="0"/>
        <w:kinsoku/>
        <w:wordWrap/>
        <w:overflowPunct/>
        <w:topLinePunct w:val="0"/>
        <w:bidi w:val="0"/>
        <w:ind w:firstLine="480"/>
        <w:rPr>
          <w:rFonts w:hint="eastAsia" w:cs="Times New Roman"/>
          <w:color w:val="auto"/>
          <w:lang w:val="en-US"/>
        </w:rPr>
      </w:pPr>
      <w:r>
        <w:rPr>
          <w:rFonts w:hint="eastAsia" w:cs="Times New Roman"/>
          <w:color w:val="auto"/>
          <w:lang w:val="en-US" w:eastAsia="zh-CN"/>
        </w:rPr>
        <w:t>（1）</w:t>
      </w:r>
      <w:r>
        <w:rPr>
          <w:rFonts w:hint="eastAsia" w:cs="Times New Roman"/>
          <w:color w:val="auto"/>
          <w:lang w:val="en-US"/>
        </w:rPr>
        <w:t>在进行设备选型上，要认真考查和论证，尽量选用先进的设备，保证工程正常运行的同时，最大限度地减少各种污染物的产生，减轻项目对环境的影响。</w:t>
      </w:r>
    </w:p>
    <w:p w14:paraId="2D1AE107">
      <w:pPr>
        <w:pageBreakBefore w:val="0"/>
        <w:kinsoku/>
        <w:wordWrap/>
        <w:overflowPunct/>
        <w:topLinePunct w:val="0"/>
        <w:bidi w:val="0"/>
        <w:ind w:firstLine="480"/>
        <w:rPr>
          <w:rFonts w:hint="default" w:eastAsia="宋体" w:cs="Times New Roman"/>
          <w:color w:val="auto"/>
          <w:lang w:val="en-US" w:eastAsia="zh-CN"/>
        </w:rPr>
      </w:pPr>
      <w:r>
        <w:rPr>
          <w:rFonts w:hint="eastAsia" w:cs="Times New Roman"/>
          <w:color w:val="auto"/>
          <w:lang w:val="en-US"/>
        </w:rPr>
        <w:t>（</w:t>
      </w:r>
      <w:r>
        <w:rPr>
          <w:rFonts w:hint="eastAsia" w:cs="Times New Roman"/>
          <w:color w:val="auto"/>
          <w:lang w:val="en-US" w:eastAsia="zh-CN"/>
        </w:rPr>
        <w:t>2</w:t>
      </w:r>
      <w:r>
        <w:rPr>
          <w:rFonts w:hint="eastAsia" w:cs="Times New Roman"/>
          <w:color w:val="auto"/>
          <w:lang w:val="en-US"/>
        </w:rPr>
        <w:t>）加强生产管理和日常维护及监控工作，保证项目的安全运行，并根据日常监控情况，对项目产生的污染进行防范控制</w:t>
      </w:r>
      <w:r>
        <w:rPr>
          <w:rFonts w:hint="eastAsia" w:cs="Times New Roman"/>
          <w:color w:val="auto"/>
          <w:lang w:val="en-US" w:eastAsia="zh-CN"/>
        </w:rPr>
        <w:t>。</w:t>
      </w:r>
    </w:p>
    <w:sectPr>
      <w:headerReference r:id="rId16" w:type="default"/>
      <w:pgSz w:w="11910" w:h="16840"/>
      <w:pgMar w:top="1360" w:right="1380" w:bottom="1180" w:left="1460" w:header="897" w:footer="989" w:gutter="0"/>
      <w:pgBorders>
        <w:top w:val="none" w:sz="0" w:space="0"/>
        <w:left w:val="none" w:sz="0" w:space="0"/>
        <w:bottom w:val="none" w:sz="0" w:space="0"/>
        <w:right w:val="none" w:sz="0" w:space="0"/>
      </w:pgBorders>
      <w:pgNumType w:fmt="decimal"/>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PMingLiU">
    <w:panose1 w:val="02020500000000000000"/>
    <w:charset w:val="88"/>
    <w:family w:val="auto"/>
    <w:pitch w:val="default"/>
    <w:sig w:usb0="A00002FF" w:usb1="28CFFCFA" w:usb2="00000016" w:usb3="00000000" w:csb0="00100001"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237A6A">
    <w:pPr>
      <w:spacing w:line="196" w:lineRule="auto"/>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-28575</wp:posOffset>
              </wp:positionV>
              <wp:extent cx="1828800" cy="1828800"/>
              <wp:effectExtent l="0" t="0" r="0" b="0"/>
              <wp:wrapNone/>
              <wp:docPr id="4"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42CD478">
                          <w:pPr>
                            <w:pStyle w:val="17"/>
                            <w:ind w:left="0" w:leftChars="0" w:firstLine="0" w:firstLineChars="0"/>
                            <w:jc w:val="center"/>
                          </w:pPr>
                          <w:r>
                            <w:fldChar w:fldCharType="begin"/>
                          </w:r>
                          <w:r>
                            <w:instrText xml:space="preserve"> PAGE  \* MERGEFORMAT </w:instrText>
                          </w:r>
                          <w:r>
                            <w:fldChar w:fldCharType="separate"/>
                          </w:r>
                          <w:r>
                            <w:t>3</w:t>
                          </w:r>
                          <w:r>
                            <w:fldChar w:fldCharType="end"/>
                          </w:r>
                        </w:p>
                      </w:txbxContent>
                    </wps:txbx>
                    <wps:bodyPr wrap="none" lIns="0" tIns="0" rIns="0" bIns="0" upright="0">
                      <a:spAutoFit/>
                    </wps:bodyPr>
                  </wps:wsp>
                </a:graphicData>
              </a:graphic>
            </wp:anchor>
          </w:drawing>
        </mc:Choice>
        <mc:Fallback>
          <w:pict>
            <v:shape id="文本框 2" o:spid="_x0000_s1026" o:spt="202" type="#_x0000_t202" style="position:absolute;left:0pt;margin-top:-2.25pt;height:144pt;width:144pt;mso-position-horizontal:center;mso-position-horizontal-relative:margin;mso-wrap-style:none;z-index:251663360;mso-width-relative:page;mso-height-relative:page;" filled="f" stroked="f" coordsize="21600,21600" o:gfxdata="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tA579QAAAAHAQAADwAAAAAAAAABACAAAAAiAAAAZHJzL2Rvd25y&#10;ZXYueG1sUEsBAhQAFAAAAAgAh07iQNLBf33JAQAAmQMAAA4AAAAAAAAAAQAgAAAAIwEAAGRycy9l&#10;Mm9Eb2MueG1sUEsFBgAAAAAGAAYAWQEAAF4FAAAAAA==&#10;">
              <v:fill on="f" focussize="0,0"/>
              <v:stroke on="f"/>
              <v:imagedata o:title=""/>
              <o:lock v:ext="edit" aspectratio="f"/>
              <v:textbox inset="0mm,0mm,0mm,0mm" style="mso-fit-shape-to-text:t;">
                <w:txbxContent>
                  <w:p w14:paraId="142CD478">
                    <w:pPr>
                      <w:pStyle w:val="17"/>
                      <w:ind w:left="0" w:leftChars="0" w:firstLine="0" w:firstLineChars="0"/>
                      <w:jc w:val="center"/>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794FB4">
    <w:pPr>
      <w:spacing w:line="14" w:lineRule="auto"/>
      <w:ind w:left="0"/>
      <w:rPr>
        <w:sz w:val="20"/>
      </w:rPr>
    </w:pPr>
    <w:r>
      <w:rPr>
        <w:sz w:val="2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-28575</wp:posOffset>
              </wp:positionV>
              <wp:extent cx="415925" cy="217805"/>
              <wp:effectExtent l="0" t="0" r="0" b="0"/>
              <wp:wrapNone/>
              <wp:docPr id="78" name="文本框 3"/>
              <wp:cNvGraphicFramePr/>
              <a:graphic xmlns:a="http://schemas.openxmlformats.org/drawingml/2006/main">
                <a:graphicData uri="http://schemas.microsoft.com/office/word/2010/wordprocessingShape">
                  <wps:wsp>
                    <wps:cNvSpPr txBox="1"/>
                    <wps:spPr>
                      <a:xfrm>
                        <a:off x="0" y="0"/>
                        <a:ext cx="415925" cy="217805"/>
                      </a:xfrm>
                      <a:prstGeom prst="rect">
                        <a:avLst/>
                      </a:prstGeom>
                      <a:noFill/>
                      <a:ln>
                        <a:noFill/>
                      </a:ln>
                    </wps:spPr>
                    <wps:txbx>
                      <w:txbxContent>
                        <w:p w14:paraId="7D87ED90">
                          <w:pPr>
                            <w:pStyle w:val="17"/>
                          </w:pPr>
                          <w:r>
                            <w:fldChar w:fldCharType="begin"/>
                          </w:r>
                          <w:r>
                            <w:instrText xml:space="preserve"> PAGE  \* MERGEFORMAT </w:instrText>
                          </w:r>
                          <w:r>
                            <w:fldChar w:fldCharType="separate"/>
                          </w:r>
                          <w:r>
                            <w:t>18</w:t>
                          </w:r>
                          <w:r>
                            <w:fldChar w:fldCharType="end"/>
                          </w:r>
                        </w:p>
                      </w:txbxContent>
                    </wps:txbx>
                    <wps:bodyPr lIns="0" tIns="0" rIns="0" bIns="0" upright="0"/>
                  </wps:wsp>
                </a:graphicData>
              </a:graphic>
            </wp:anchor>
          </w:drawing>
        </mc:Choice>
        <mc:Fallback>
          <w:pict>
            <v:shape id="文本框 3" o:spid="_x0000_s1026" o:spt="202" type="#_x0000_t202" style="position:absolute;left:0pt;margin-top:-2.25pt;height:17.15pt;width:32.75pt;mso-position-horizontal:center;mso-position-horizontal-relative:margin;z-index:251659264;mso-width-relative:page;mso-height-relative:page;" filled="f" stroked="f" coordsize="21600,21600" o:gfxdata="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Z/KPn9YAAAAFAQAADwAAAAAAAAABACAAAAAiAAAAZHJzL2Rvd25yZXYueG1sUEsBAhQA&#10;FAAAAAgAh07iQOcwnCu7AQAAcgMAAA4AAAAAAAAAAQAgAAAAJQEAAGRycy9lMm9Eb2MueG1sUEsF&#10;BgAAAAAGAAYAWQEAAFIFAAAAAA==&#10;">
              <v:fill on="f" focussize="0,0"/>
              <v:stroke on="f"/>
              <v:imagedata o:title=""/>
              <o:lock v:ext="edit" aspectratio="f"/>
              <v:textbox inset="0mm,0mm,0mm,0mm">
                <w:txbxContent>
                  <w:p w14:paraId="7D87ED90">
                    <w:pPr>
                      <w:pStyle w:val="17"/>
                    </w:pPr>
                    <w:r>
                      <w:fldChar w:fldCharType="begin"/>
                    </w:r>
                    <w:r>
                      <w:instrText xml:space="preserve"> PAGE  \* MERGEFORMAT </w:instrText>
                    </w:r>
                    <w:r>
                      <w:fldChar w:fldCharType="separate"/>
                    </w:r>
                    <w:r>
                      <w:t>18</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40653E">
    <w:pPr>
      <w:spacing w:line="14" w:lineRule="auto"/>
      <w:ind w:left="0"/>
      <w:rPr>
        <w:sz w:val="20"/>
      </w:rPr>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-28575</wp:posOffset>
              </wp:positionV>
              <wp:extent cx="1828800" cy="1828800"/>
              <wp:effectExtent l="0" t="0" r="0" b="0"/>
              <wp:wrapNone/>
              <wp:docPr id="79"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678074C">
                          <w:pPr>
                            <w:pStyle w:val="17"/>
                          </w:pPr>
                          <w:r>
                            <w:fldChar w:fldCharType="begin"/>
                          </w:r>
                          <w:r>
                            <w:instrText xml:space="preserve"> PAGE  \* MERGEFORMAT </w:instrText>
                          </w:r>
                          <w:r>
                            <w:fldChar w:fldCharType="separate"/>
                          </w:r>
                          <w:r>
                            <w:t>34</w:t>
                          </w:r>
                          <w:r>
                            <w:fldChar w:fldCharType="end"/>
                          </w:r>
                        </w:p>
                      </w:txbxContent>
                    </wps:txbx>
                    <wps:bodyPr wrap="none" lIns="0" tIns="0" rIns="0" bIns="0" upright="0">
                      <a:spAutoFit/>
                    </wps:bodyPr>
                  </wps:wsp>
                </a:graphicData>
              </a:graphic>
            </wp:anchor>
          </w:drawing>
        </mc:Choice>
        <mc:Fallback>
          <w:pict>
            <v:shape id="文本框 4" o:spid="_x0000_s1026" o:spt="202" type="#_x0000_t202" style="position:absolute;left:0pt;margin-top:-2.25pt;height:144pt;width:144pt;mso-position-horizontal:center;mso-position-horizontal-relative:margin;mso-wrap-style:none;z-index:251660288;mso-width-relative:page;mso-height-relative:page;" filled="f" stroked="f" coordsize="21600,21600" o:gfxdata="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tA579QAAAAHAQAADwAAAAAAAAABACAAAAAiAAAAZHJzL2Rvd25y&#10;ZXYueG1sUEsBAhQAFAAAAAgAh07iQG33aRTJAQAAmgMAAA4AAAAAAAAAAQAgAAAAIwEAAGRycy9l&#10;Mm9Eb2MueG1sUEsFBgAAAAAGAAYAWQEAAF4FAAAAAA==&#10;">
              <v:fill on="f" focussize="0,0"/>
              <v:stroke on="f"/>
              <v:imagedata o:title=""/>
              <o:lock v:ext="edit" aspectratio="f"/>
              <v:textbox inset="0mm,0mm,0mm,0mm" style="mso-fit-shape-to-text:t;">
                <w:txbxContent>
                  <w:p w14:paraId="5678074C">
                    <w:pPr>
                      <w:pStyle w:val="1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E4F07">
    <w:pPr>
      <w:spacing w:line="14" w:lineRule="auto"/>
      <w:ind w:left="0"/>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-28575</wp:posOffset>
              </wp:positionV>
              <wp:extent cx="1828800" cy="1828800"/>
              <wp:effectExtent l="0" t="0" r="0" b="0"/>
              <wp:wrapNone/>
              <wp:docPr id="80"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B7FC234">
                          <w:pPr>
                            <w:pStyle w:val="17"/>
                          </w:pPr>
                          <w:r>
                            <w:fldChar w:fldCharType="begin"/>
                          </w:r>
                          <w:r>
                            <w:instrText xml:space="preserve"> PAGE  \* MERGEFORMAT </w:instrText>
                          </w:r>
                          <w:r>
                            <w:fldChar w:fldCharType="separate"/>
                          </w:r>
                          <w:r>
                            <w:t>62</w:t>
                          </w:r>
                          <w:r>
                            <w:fldChar w:fldCharType="end"/>
                          </w:r>
                        </w:p>
                      </w:txbxContent>
                    </wps:txbx>
                    <wps:bodyPr wrap="none" lIns="0" tIns="0" rIns="0" bIns="0" upright="0">
                      <a:spAutoFit/>
                    </wps:bodyPr>
                  </wps:wsp>
                </a:graphicData>
              </a:graphic>
            </wp:anchor>
          </w:drawing>
        </mc:Choice>
        <mc:Fallback>
          <w:pict>
            <v:shape id="文本框 5" o:spid="_x0000_s1026" o:spt="202" type="#_x0000_t202" style="position:absolute;left:0pt;margin-top:-2.25pt;height:144pt;width:144pt;mso-position-horizontal:center;mso-position-horizontal-relative:margin;mso-wrap-style:none;z-index:251661312;mso-width-relative:page;mso-height-relative:page;" filled="f" stroked="f" coordsize="21600,21600" o:gfxdata="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S0Dnv1AAAAAcBAAAPAAAAAAAAAAEAIAAAACIAAABkcnMvZG93bnJl&#10;di54bWxQSwECFAAUAAAACACHTuJAxVn7ZcgBAACaAwAADgAAAAAAAAABACAAAAAjAQAAZHJzL2Uy&#10;b0RvYy54bWxQSwUGAAAAAAYABgBZAQAAXQUAAAAA&#10;">
              <v:fill on="f" focussize="0,0"/>
              <v:stroke on="f"/>
              <v:imagedata o:title=""/>
              <o:lock v:ext="edit" aspectratio="f"/>
              <v:textbox inset="0mm,0mm,0mm,0mm" style="mso-fit-shape-to-text:t;">
                <w:txbxContent>
                  <w:p w14:paraId="7B7FC234">
                    <w:pPr>
                      <w:pStyle w:val="1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83903">
    <w:pPr>
      <w:spacing w:line="14" w:lineRule="auto"/>
      <w:ind w:left="0"/>
      <w:rPr>
        <w:sz w:val="20"/>
      </w:rPr>
    </w:pPr>
    <w:r>
      <w:rPr>
        <w:sz w:val="20"/>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-28575</wp:posOffset>
              </wp:positionV>
              <wp:extent cx="1828800" cy="1828800"/>
              <wp:effectExtent l="0" t="0" r="0" b="0"/>
              <wp:wrapNone/>
              <wp:docPr id="81"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9A9193E">
                          <w:pPr>
                            <w:pStyle w:val="17"/>
                          </w:pPr>
                          <w:r>
                            <w:fldChar w:fldCharType="begin"/>
                          </w:r>
                          <w:r>
                            <w:instrText xml:space="preserve"> PAGE  \* MERGEFORMAT </w:instrText>
                          </w:r>
                          <w:r>
                            <w:fldChar w:fldCharType="separate"/>
                          </w:r>
                          <w:r>
                            <w:t>121</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2.25pt;height:144pt;width:144pt;mso-position-horizontal:center;mso-position-horizontal-relative:margin;mso-wrap-style:none;z-index:251662336;mso-width-relative:page;mso-height-relative:page;" filled="f" stroked="f" coordsize="21600,21600" o:gfxdata="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tA579QAAAAHAQAADwAAAAAAAAABACAAAAAiAAAAZHJzL2Rvd25y&#10;ZXYueG1sUEsBAhQAFAAAAAgAh07iQDe16mTJAQAAmgMAAA4AAAAAAAAAAQAgAAAAIwEAAGRycy9l&#10;Mm9Eb2MueG1sUEsFBgAAAAAGAAYAWQEAAF4FAAAAAA==&#10;">
              <v:fill on="f" focussize="0,0"/>
              <v:stroke on="f"/>
              <v:imagedata o:title=""/>
              <o:lock v:ext="edit" aspectratio="f"/>
              <v:textbox inset="0mm,0mm,0mm,0mm" style="mso-fit-shape-to-text:t;">
                <w:txbxContent>
                  <w:p w14:paraId="39A9193E">
                    <w:pPr>
                      <w:pStyle w:val="17"/>
                    </w:pPr>
                    <w:r>
                      <w:fldChar w:fldCharType="begin"/>
                    </w:r>
                    <w:r>
                      <w:instrText xml:space="preserve"> PAGE  \* MERGEFORMAT </w:instrText>
                    </w:r>
                    <w:r>
                      <w:fldChar w:fldCharType="separate"/>
                    </w:r>
                    <w:r>
                      <w:t>121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ind w:firstLine="480"/>
      </w:pPr>
      <w:r>
        <w:separator/>
      </w:r>
    </w:p>
  </w:footnote>
  <w:footnote w:type="continuationSeparator" w:id="1">
    <w:p>
      <w:pPr>
        <w:spacing w:before="0" w:after="0" w:line="36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1064FB">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41975F">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D74484">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513D5">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85620E">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172DE">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0EC88">
    <w:pPr>
      <w:pBdr>
        <w:bottom w:val="single" w:color="auto" w:sz="4" w:space="0"/>
      </w:pBdr>
      <w:jc w:val="center"/>
      <w:rPr>
        <w:sz w:val="20"/>
      </w:rPr>
    </w:pPr>
    <w:r>
      <w:rPr>
        <w:rFonts w:hint="eastAsia"/>
        <w:sz w:val="18"/>
        <w:szCs w:val="18"/>
        <w:lang w:eastAsia="zh-CN"/>
      </w:rPr>
      <w:t>托里县乌雪特乡滴灌带厂房建设项目</w:t>
    </w:r>
    <w:r>
      <w:rPr>
        <w:rFonts w:hint="eastAsia"/>
        <w:sz w:val="18"/>
        <w:szCs w:val="18"/>
      </w:rPr>
      <w:t>环境影响报告书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719"/>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gwOTRjYmVhZDQzMDJiZWRiODkwMjU0YWZiOTIwNmMifQ=="/>
  </w:docVars>
  <w:rsids>
    <w:rsidRoot w:val="00000000"/>
    <w:rsid w:val="000969AD"/>
    <w:rsid w:val="000B44D3"/>
    <w:rsid w:val="000C1FF9"/>
    <w:rsid w:val="000E38E0"/>
    <w:rsid w:val="000E3FC3"/>
    <w:rsid w:val="00112723"/>
    <w:rsid w:val="00172E78"/>
    <w:rsid w:val="001B223C"/>
    <w:rsid w:val="001E3E5C"/>
    <w:rsid w:val="0021067C"/>
    <w:rsid w:val="00216226"/>
    <w:rsid w:val="00227369"/>
    <w:rsid w:val="002410F1"/>
    <w:rsid w:val="00292BAB"/>
    <w:rsid w:val="002B6923"/>
    <w:rsid w:val="00305CE7"/>
    <w:rsid w:val="00351550"/>
    <w:rsid w:val="00360E24"/>
    <w:rsid w:val="00384BA1"/>
    <w:rsid w:val="003A6B66"/>
    <w:rsid w:val="003C0DF2"/>
    <w:rsid w:val="003C11CB"/>
    <w:rsid w:val="003C468C"/>
    <w:rsid w:val="003F23CE"/>
    <w:rsid w:val="004277C9"/>
    <w:rsid w:val="004813F1"/>
    <w:rsid w:val="004B2B21"/>
    <w:rsid w:val="004C65B4"/>
    <w:rsid w:val="00515C5E"/>
    <w:rsid w:val="00537C28"/>
    <w:rsid w:val="00550355"/>
    <w:rsid w:val="005537C6"/>
    <w:rsid w:val="005539A0"/>
    <w:rsid w:val="0055574E"/>
    <w:rsid w:val="00562942"/>
    <w:rsid w:val="00577718"/>
    <w:rsid w:val="005C7237"/>
    <w:rsid w:val="00610597"/>
    <w:rsid w:val="00641E35"/>
    <w:rsid w:val="00667C8F"/>
    <w:rsid w:val="006B4F71"/>
    <w:rsid w:val="006D46F9"/>
    <w:rsid w:val="006E6810"/>
    <w:rsid w:val="007100ED"/>
    <w:rsid w:val="00767C8B"/>
    <w:rsid w:val="007756C4"/>
    <w:rsid w:val="007C717F"/>
    <w:rsid w:val="007D76A0"/>
    <w:rsid w:val="007E4CA5"/>
    <w:rsid w:val="007F6C6F"/>
    <w:rsid w:val="00844285"/>
    <w:rsid w:val="0084680D"/>
    <w:rsid w:val="00863B59"/>
    <w:rsid w:val="008D4A14"/>
    <w:rsid w:val="00936276"/>
    <w:rsid w:val="00942479"/>
    <w:rsid w:val="00951BED"/>
    <w:rsid w:val="009C337D"/>
    <w:rsid w:val="00A06DBA"/>
    <w:rsid w:val="00A42012"/>
    <w:rsid w:val="00A641FB"/>
    <w:rsid w:val="00AF1302"/>
    <w:rsid w:val="00B5443F"/>
    <w:rsid w:val="00B561ED"/>
    <w:rsid w:val="00B766AA"/>
    <w:rsid w:val="00BA3803"/>
    <w:rsid w:val="00BA4FDD"/>
    <w:rsid w:val="00BC757B"/>
    <w:rsid w:val="00BE7A1E"/>
    <w:rsid w:val="00C134E5"/>
    <w:rsid w:val="00C91C98"/>
    <w:rsid w:val="00CD3536"/>
    <w:rsid w:val="00CD79DA"/>
    <w:rsid w:val="00CF2F6B"/>
    <w:rsid w:val="00D05EFC"/>
    <w:rsid w:val="00D348C5"/>
    <w:rsid w:val="00D70859"/>
    <w:rsid w:val="00DE0471"/>
    <w:rsid w:val="00DE5227"/>
    <w:rsid w:val="00E52EEA"/>
    <w:rsid w:val="00E54D24"/>
    <w:rsid w:val="00EB66D9"/>
    <w:rsid w:val="00ED1E2A"/>
    <w:rsid w:val="00EF45B7"/>
    <w:rsid w:val="00F036C9"/>
    <w:rsid w:val="00F22F9D"/>
    <w:rsid w:val="00F8381F"/>
    <w:rsid w:val="00FB1E76"/>
    <w:rsid w:val="00FC206D"/>
    <w:rsid w:val="010030EE"/>
    <w:rsid w:val="01003CFF"/>
    <w:rsid w:val="01061A20"/>
    <w:rsid w:val="01064C9A"/>
    <w:rsid w:val="01080A12"/>
    <w:rsid w:val="01086C64"/>
    <w:rsid w:val="011253ED"/>
    <w:rsid w:val="01170BF2"/>
    <w:rsid w:val="011920FF"/>
    <w:rsid w:val="011E2566"/>
    <w:rsid w:val="01203FAE"/>
    <w:rsid w:val="01207B0A"/>
    <w:rsid w:val="01232ED2"/>
    <w:rsid w:val="012A4E2C"/>
    <w:rsid w:val="012D66CB"/>
    <w:rsid w:val="01334666"/>
    <w:rsid w:val="0134755F"/>
    <w:rsid w:val="0136732D"/>
    <w:rsid w:val="013B2B96"/>
    <w:rsid w:val="013C06BC"/>
    <w:rsid w:val="013E2686"/>
    <w:rsid w:val="013E61E2"/>
    <w:rsid w:val="013F153F"/>
    <w:rsid w:val="01422176"/>
    <w:rsid w:val="01446642"/>
    <w:rsid w:val="0145402C"/>
    <w:rsid w:val="0147778C"/>
    <w:rsid w:val="014B08FF"/>
    <w:rsid w:val="014C12F6"/>
    <w:rsid w:val="01527EDF"/>
    <w:rsid w:val="0156352C"/>
    <w:rsid w:val="015679D0"/>
    <w:rsid w:val="015B3238"/>
    <w:rsid w:val="016043AA"/>
    <w:rsid w:val="01655E65"/>
    <w:rsid w:val="01671BDD"/>
    <w:rsid w:val="016A347B"/>
    <w:rsid w:val="016C2D4F"/>
    <w:rsid w:val="017D4F5C"/>
    <w:rsid w:val="017E63B3"/>
    <w:rsid w:val="018362EB"/>
    <w:rsid w:val="01853181"/>
    <w:rsid w:val="01875225"/>
    <w:rsid w:val="018C1643"/>
    <w:rsid w:val="01904D86"/>
    <w:rsid w:val="0192652E"/>
    <w:rsid w:val="019C26CF"/>
    <w:rsid w:val="019E4ED3"/>
    <w:rsid w:val="01A26771"/>
    <w:rsid w:val="01A319FB"/>
    <w:rsid w:val="01A56261"/>
    <w:rsid w:val="01A746B1"/>
    <w:rsid w:val="01A87AFF"/>
    <w:rsid w:val="01AA7D1B"/>
    <w:rsid w:val="01B82614"/>
    <w:rsid w:val="01BC4F73"/>
    <w:rsid w:val="01BF37C7"/>
    <w:rsid w:val="01C62F7E"/>
    <w:rsid w:val="01CF1530"/>
    <w:rsid w:val="01D60B10"/>
    <w:rsid w:val="01D628BE"/>
    <w:rsid w:val="01D63DB7"/>
    <w:rsid w:val="01D803E5"/>
    <w:rsid w:val="01DC07BC"/>
    <w:rsid w:val="01E07299"/>
    <w:rsid w:val="01E46D89"/>
    <w:rsid w:val="01E66FA5"/>
    <w:rsid w:val="01E70628"/>
    <w:rsid w:val="01E943A0"/>
    <w:rsid w:val="01EE3646"/>
    <w:rsid w:val="01EE5E5A"/>
    <w:rsid w:val="01F01BD2"/>
    <w:rsid w:val="01F06608"/>
    <w:rsid w:val="01F3521E"/>
    <w:rsid w:val="01FD1236"/>
    <w:rsid w:val="01FD42EF"/>
    <w:rsid w:val="01FE5971"/>
    <w:rsid w:val="01FF1E15"/>
    <w:rsid w:val="0201354E"/>
    <w:rsid w:val="02025461"/>
    <w:rsid w:val="02051B91"/>
    <w:rsid w:val="02094A42"/>
    <w:rsid w:val="020B37E3"/>
    <w:rsid w:val="020C4532"/>
    <w:rsid w:val="020E7E2D"/>
    <w:rsid w:val="0213141D"/>
    <w:rsid w:val="02145195"/>
    <w:rsid w:val="021A09FD"/>
    <w:rsid w:val="021B42CE"/>
    <w:rsid w:val="021C29C7"/>
    <w:rsid w:val="021E44BA"/>
    <w:rsid w:val="02217FDE"/>
    <w:rsid w:val="022278B2"/>
    <w:rsid w:val="022510C3"/>
    <w:rsid w:val="02251150"/>
    <w:rsid w:val="022655F4"/>
    <w:rsid w:val="0227136C"/>
    <w:rsid w:val="022831DB"/>
    <w:rsid w:val="022950E4"/>
    <w:rsid w:val="022B2C0A"/>
    <w:rsid w:val="022B7772"/>
    <w:rsid w:val="02345366"/>
    <w:rsid w:val="02347E69"/>
    <w:rsid w:val="02377801"/>
    <w:rsid w:val="02397D48"/>
    <w:rsid w:val="024535A0"/>
    <w:rsid w:val="02466BA4"/>
    <w:rsid w:val="0247556A"/>
    <w:rsid w:val="024912E2"/>
    <w:rsid w:val="024E06A7"/>
    <w:rsid w:val="0250441F"/>
    <w:rsid w:val="0252546B"/>
    <w:rsid w:val="02535CBD"/>
    <w:rsid w:val="02581365"/>
    <w:rsid w:val="025E5F48"/>
    <w:rsid w:val="02646EA1"/>
    <w:rsid w:val="02654E0F"/>
    <w:rsid w:val="02666B84"/>
    <w:rsid w:val="026779BA"/>
    <w:rsid w:val="026954E1"/>
    <w:rsid w:val="02701C68"/>
    <w:rsid w:val="0270686F"/>
    <w:rsid w:val="027F4D04"/>
    <w:rsid w:val="02840270"/>
    <w:rsid w:val="0286060F"/>
    <w:rsid w:val="028642E4"/>
    <w:rsid w:val="02880C6E"/>
    <w:rsid w:val="02881E0B"/>
    <w:rsid w:val="028820E8"/>
    <w:rsid w:val="02892562"/>
    <w:rsid w:val="02895B83"/>
    <w:rsid w:val="02896F36"/>
    <w:rsid w:val="028B5457"/>
    <w:rsid w:val="028D7421"/>
    <w:rsid w:val="028E3199"/>
    <w:rsid w:val="029167E5"/>
    <w:rsid w:val="02922C89"/>
    <w:rsid w:val="02931CA0"/>
    <w:rsid w:val="029C3B08"/>
    <w:rsid w:val="02A1447D"/>
    <w:rsid w:val="02A429BD"/>
    <w:rsid w:val="02A604E3"/>
    <w:rsid w:val="02A824AD"/>
    <w:rsid w:val="02AC4631"/>
    <w:rsid w:val="02AE1145"/>
    <w:rsid w:val="02AE7397"/>
    <w:rsid w:val="02B15EAE"/>
    <w:rsid w:val="02B40E52"/>
    <w:rsid w:val="02B47D3B"/>
    <w:rsid w:val="02B50726"/>
    <w:rsid w:val="02BE3A7E"/>
    <w:rsid w:val="02BF77F6"/>
    <w:rsid w:val="02C10E79"/>
    <w:rsid w:val="02C170CB"/>
    <w:rsid w:val="02C941D1"/>
    <w:rsid w:val="02CB524D"/>
    <w:rsid w:val="02D3402D"/>
    <w:rsid w:val="02DA63DE"/>
    <w:rsid w:val="02E3451B"/>
    <w:rsid w:val="02E64D83"/>
    <w:rsid w:val="02EB264D"/>
    <w:rsid w:val="02EB7596"/>
    <w:rsid w:val="02F2197A"/>
    <w:rsid w:val="02F4124E"/>
    <w:rsid w:val="02F456F2"/>
    <w:rsid w:val="02F53218"/>
    <w:rsid w:val="02F56D74"/>
    <w:rsid w:val="02FE56BC"/>
    <w:rsid w:val="03000182"/>
    <w:rsid w:val="03004097"/>
    <w:rsid w:val="030B2604"/>
    <w:rsid w:val="030B2A3C"/>
    <w:rsid w:val="030C78DB"/>
    <w:rsid w:val="030D3D42"/>
    <w:rsid w:val="03140BF2"/>
    <w:rsid w:val="03174F3D"/>
    <w:rsid w:val="03181948"/>
    <w:rsid w:val="03196F07"/>
    <w:rsid w:val="031B60F3"/>
    <w:rsid w:val="031F0BE5"/>
    <w:rsid w:val="03201783"/>
    <w:rsid w:val="032255CB"/>
    <w:rsid w:val="032338E1"/>
    <w:rsid w:val="032552C8"/>
    <w:rsid w:val="03282174"/>
    <w:rsid w:val="032A1114"/>
    <w:rsid w:val="032D4760"/>
    <w:rsid w:val="03337F28"/>
    <w:rsid w:val="03342D85"/>
    <w:rsid w:val="03343D40"/>
    <w:rsid w:val="033B50CF"/>
    <w:rsid w:val="033E4BBF"/>
    <w:rsid w:val="03463A74"/>
    <w:rsid w:val="0347295E"/>
    <w:rsid w:val="034F2928"/>
    <w:rsid w:val="0350044F"/>
    <w:rsid w:val="03515DC8"/>
    <w:rsid w:val="03525F75"/>
    <w:rsid w:val="03561F09"/>
    <w:rsid w:val="03597303"/>
    <w:rsid w:val="035C2BAD"/>
    <w:rsid w:val="036A7762"/>
    <w:rsid w:val="036C11A8"/>
    <w:rsid w:val="036D5065"/>
    <w:rsid w:val="037203C5"/>
    <w:rsid w:val="037A38B6"/>
    <w:rsid w:val="03824AAC"/>
    <w:rsid w:val="038325D2"/>
    <w:rsid w:val="03863A4F"/>
    <w:rsid w:val="03863E70"/>
    <w:rsid w:val="03867D4B"/>
    <w:rsid w:val="0388408C"/>
    <w:rsid w:val="038E7879"/>
    <w:rsid w:val="039013C8"/>
    <w:rsid w:val="0391535D"/>
    <w:rsid w:val="039447DF"/>
    <w:rsid w:val="03960557"/>
    <w:rsid w:val="03977E2B"/>
    <w:rsid w:val="03996E3F"/>
    <w:rsid w:val="039B5B6E"/>
    <w:rsid w:val="039E740C"/>
    <w:rsid w:val="03A61443"/>
    <w:rsid w:val="03A762C0"/>
    <w:rsid w:val="03AD10E5"/>
    <w:rsid w:val="03B5017B"/>
    <w:rsid w:val="03B60BF9"/>
    <w:rsid w:val="03B66504"/>
    <w:rsid w:val="03B804CE"/>
    <w:rsid w:val="03BB7FBE"/>
    <w:rsid w:val="03BF77F3"/>
    <w:rsid w:val="03C70711"/>
    <w:rsid w:val="03CB7B24"/>
    <w:rsid w:val="03CC5D27"/>
    <w:rsid w:val="03D35307"/>
    <w:rsid w:val="03D360E8"/>
    <w:rsid w:val="03D60954"/>
    <w:rsid w:val="03D756A0"/>
    <w:rsid w:val="03DB41BC"/>
    <w:rsid w:val="03E017D2"/>
    <w:rsid w:val="03E17915"/>
    <w:rsid w:val="03E219EE"/>
    <w:rsid w:val="03E5328D"/>
    <w:rsid w:val="03E77005"/>
    <w:rsid w:val="03E833C5"/>
    <w:rsid w:val="03E94B2B"/>
    <w:rsid w:val="03EE3A96"/>
    <w:rsid w:val="03F1578E"/>
    <w:rsid w:val="03F359AA"/>
    <w:rsid w:val="03F36308"/>
    <w:rsid w:val="03F37B09"/>
    <w:rsid w:val="03F4702C"/>
    <w:rsid w:val="03F90AE6"/>
    <w:rsid w:val="03FB03BA"/>
    <w:rsid w:val="03FD4132"/>
    <w:rsid w:val="03FD54C6"/>
    <w:rsid w:val="03FD5F08"/>
    <w:rsid w:val="03FE4B43"/>
    <w:rsid w:val="03FE4DF0"/>
    <w:rsid w:val="03FE7EAB"/>
    <w:rsid w:val="04021749"/>
    <w:rsid w:val="04030F36"/>
    <w:rsid w:val="040354C1"/>
    <w:rsid w:val="040412EA"/>
    <w:rsid w:val="04043713"/>
    <w:rsid w:val="040E5C29"/>
    <w:rsid w:val="041A1BF4"/>
    <w:rsid w:val="041A2480"/>
    <w:rsid w:val="041B1368"/>
    <w:rsid w:val="04221DEB"/>
    <w:rsid w:val="04223B99"/>
    <w:rsid w:val="042406D5"/>
    <w:rsid w:val="04275653"/>
    <w:rsid w:val="042A2BE3"/>
    <w:rsid w:val="042A6665"/>
    <w:rsid w:val="042A6EF2"/>
    <w:rsid w:val="042B5143"/>
    <w:rsid w:val="042C2C6A"/>
    <w:rsid w:val="042F4508"/>
    <w:rsid w:val="04310280"/>
    <w:rsid w:val="04365896"/>
    <w:rsid w:val="04367644"/>
    <w:rsid w:val="04387E12"/>
    <w:rsid w:val="043B2EAD"/>
    <w:rsid w:val="043B4C5B"/>
    <w:rsid w:val="043F0BEF"/>
    <w:rsid w:val="04461F7D"/>
    <w:rsid w:val="044700BE"/>
    <w:rsid w:val="04477D53"/>
    <w:rsid w:val="0448574E"/>
    <w:rsid w:val="044955CA"/>
    <w:rsid w:val="044C6E68"/>
    <w:rsid w:val="04504BAA"/>
    <w:rsid w:val="04543D1E"/>
    <w:rsid w:val="04545D1C"/>
    <w:rsid w:val="045460CE"/>
    <w:rsid w:val="04553127"/>
    <w:rsid w:val="04575F38"/>
    <w:rsid w:val="04581455"/>
    <w:rsid w:val="045B3587"/>
    <w:rsid w:val="045D1075"/>
    <w:rsid w:val="045D72C7"/>
    <w:rsid w:val="04644481"/>
    <w:rsid w:val="04651CD8"/>
    <w:rsid w:val="04671EF4"/>
    <w:rsid w:val="046B3792"/>
    <w:rsid w:val="046C7577"/>
    <w:rsid w:val="046E5030"/>
    <w:rsid w:val="0472779E"/>
    <w:rsid w:val="047B14FB"/>
    <w:rsid w:val="047C20F3"/>
    <w:rsid w:val="047D5273"/>
    <w:rsid w:val="048900BC"/>
    <w:rsid w:val="04892E54"/>
    <w:rsid w:val="048B3E34"/>
    <w:rsid w:val="048E7480"/>
    <w:rsid w:val="048F42EE"/>
    <w:rsid w:val="0490144A"/>
    <w:rsid w:val="0490338C"/>
    <w:rsid w:val="049251C3"/>
    <w:rsid w:val="04932CE9"/>
    <w:rsid w:val="049727D9"/>
    <w:rsid w:val="04991D9B"/>
    <w:rsid w:val="049A7BD3"/>
    <w:rsid w:val="049F3623"/>
    <w:rsid w:val="04A70542"/>
    <w:rsid w:val="04A77B1E"/>
    <w:rsid w:val="04AA3A81"/>
    <w:rsid w:val="04AB2F2E"/>
    <w:rsid w:val="04AE0B39"/>
    <w:rsid w:val="04AE7B23"/>
    <w:rsid w:val="04B073F7"/>
    <w:rsid w:val="04B14F1D"/>
    <w:rsid w:val="04B2316F"/>
    <w:rsid w:val="04B75D66"/>
    <w:rsid w:val="04BA0275"/>
    <w:rsid w:val="04BB33AF"/>
    <w:rsid w:val="04BD38C2"/>
    <w:rsid w:val="04C3537C"/>
    <w:rsid w:val="04C360FB"/>
    <w:rsid w:val="04C924C0"/>
    <w:rsid w:val="04C9495C"/>
    <w:rsid w:val="04CB2483"/>
    <w:rsid w:val="04CE3D21"/>
    <w:rsid w:val="04D56E5D"/>
    <w:rsid w:val="04DE21DE"/>
    <w:rsid w:val="04E11CA6"/>
    <w:rsid w:val="04E6106A"/>
    <w:rsid w:val="04E627DB"/>
    <w:rsid w:val="04E62E18"/>
    <w:rsid w:val="04ED41A7"/>
    <w:rsid w:val="04ED512E"/>
    <w:rsid w:val="04F17DE4"/>
    <w:rsid w:val="04F31198"/>
    <w:rsid w:val="04F63615"/>
    <w:rsid w:val="04F82B4C"/>
    <w:rsid w:val="04FA6940"/>
    <w:rsid w:val="04FC263C"/>
    <w:rsid w:val="04FC43EA"/>
    <w:rsid w:val="04FF3EDA"/>
    <w:rsid w:val="05015EA4"/>
    <w:rsid w:val="05025778"/>
    <w:rsid w:val="05034C87"/>
    <w:rsid w:val="05045DF2"/>
    <w:rsid w:val="05085485"/>
    <w:rsid w:val="050D65F7"/>
    <w:rsid w:val="050E236F"/>
    <w:rsid w:val="051048A9"/>
    <w:rsid w:val="051122DE"/>
    <w:rsid w:val="05143E2A"/>
    <w:rsid w:val="05145BD8"/>
    <w:rsid w:val="05171224"/>
    <w:rsid w:val="0518120E"/>
    <w:rsid w:val="05184F9C"/>
    <w:rsid w:val="05190A51"/>
    <w:rsid w:val="051A51B8"/>
    <w:rsid w:val="051E25B2"/>
    <w:rsid w:val="05212BF6"/>
    <w:rsid w:val="05243941"/>
    <w:rsid w:val="05272F06"/>
    <w:rsid w:val="05283431"/>
    <w:rsid w:val="052A53FB"/>
    <w:rsid w:val="052C3149"/>
    <w:rsid w:val="052F2A11"/>
    <w:rsid w:val="05341DD6"/>
    <w:rsid w:val="0534627A"/>
    <w:rsid w:val="05393890"/>
    <w:rsid w:val="053C512E"/>
    <w:rsid w:val="053F4EE0"/>
    <w:rsid w:val="054001AD"/>
    <w:rsid w:val="05435427"/>
    <w:rsid w:val="05452235"/>
    <w:rsid w:val="05476ED2"/>
    <w:rsid w:val="0548762F"/>
    <w:rsid w:val="05490347"/>
    <w:rsid w:val="054B35C3"/>
    <w:rsid w:val="054D2E98"/>
    <w:rsid w:val="054E2A1E"/>
    <w:rsid w:val="05502988"/>
    <w:rsid w:val="05575AC4"/>
    <w:rsid w:val="055A7363"/>
    <w:rsid w:val="055A7513"/>
    <w:rsid w:val="055B3806"/>
    <w:rsid w:val="055B4B6A"/>
    <w:rsid w:val="055E1B6F"/>
    <w:rsid w:val="055E32F7"/>
    <w:rsid w:val="055E50A5"/>
    <w:rsid w:val="05665D07"/>
    <w:rsid w:val="056F2E0E"/>
    <w:rsid w:val="0575419C"/>
    <w:rsid w:val="05771CDA"/>
    <w:rsid w:val="05822C11"/>
    <w:rsid w:val="05834B0B"/>
    <w:rsid w:val="05850883"/>
    <w:rsid w:val="058820D2"/>
    <w:rsid w:val="058A40EC"/>
    <w:rsid w:val="058B4100"/>
    <w:rsid w:val="05962A91"/>
    <w:rsid w:val="059A2832"/>
    <w:rsid w:val="059B1E55"/>
    <w:rsid w:val="059E7B97"/>
    <w:rsid w:val="05A131E3"/>
    <w:rsid w:val="05A47E39"/>
    <w:rsid w:val="05B1320D"/>
    <w:rsid w:val="05B15303"/>
    <w:rsid w:val="05B3123A"/>
    <w:rsid w:val="05B57DF5"/>
    <w:rsid w:val="05B60A3D"/>
    <w:rsid w:val="05B64EE1"/>
    <w:rsid w:val="05B9052D"/>
    <w:rsid w:val="05BF60C0"/>
    <w:rsid w:val="05C014ED"/>
    <w:rsid w:val="05C14A88"/>
    <w:rsid w:val="05C758BF"/>
    <w:rsid w:val="05CA44E8"/>
    <w:rsid w:val="05D36833"/>
    <w:rsid w:val="05D709B3"/>
    <w:rsid w:val="05D84E57"/>
    <w:rsid w:val="05D9297D"/>
    <w:rsid w:val="05DB04A3"/>
    <w:rsid w:val="05DE61E6"/>
    <w:rsid w:val="05E355AA"/>
    <w:rsid w:val="05EE467B"/>
    <w:rsid w:val="05EF315A"/>
    <w:rsid w:val="05F132AE"/>
    <w:rsid w:val="05F15F19"/>
    <w:rsid w:val="05F5774C"/>
    <w:rsid w:val="05F81055"/>
    <w:rsid w:val="05F814A1"/>
    <w:rsid w:val="05FA4F12"/>
    <w:rsid w:val="060317A8"/>
    <w:rsid w:val="06053772"/>
    <w:rsid w:val="060816FA"/>
    <w:rsid w:val="06093262"/>
    <w:rsid w:val="060C68AF"/>
    <w:rsid w:val="06126BE7"/>
    <w:rsid w:val="061B393A"/>
    <w:rsid w:val="06255FDE"/>
    <w:rsid w:val="062A31D9"/>
    <w:rsid w:val="062E1176"/>
    <w:rsid w:val="062E4A77"/>
    <w:rsid w:val="06336531"/>
    <w:rsid w:val="0634029A"/>
    <w:rsid w:val="06340970"/>
    <w:rsid w:val="063A78C0"/>
    <w:rsid w:val="06420522"/>
    <w:rsid w:val="06450013"/>
    <w:rsid w:val="06485A0E"/>
    <w:rsid w:val="064C13A1"/>
    <w:rsid w:val="064C7016"/>
    <w:rsid w:val="06510766"/>
    <w:rsid w:val="06530982"/>
    <w:rsid w:val="065344DE"/>
    <w:rsid w:val="065564A8"/>
    <w:rsid w:val="06562220"/>
    <w:rsid w:val="065A75F9"/>
    <w:rsid w:val="065E4C1C"/>
    <w:rsid w:val="06606BFB"/>
    <w:rsid w:val="06624721"/>
    <w:rsid w:val="06624F75"/>
    <w:rsid w:val="066761DB"/>
    <w:rsid w:val="06676D15"/>
    <w:rsid w:val="066F5090"/>
    <w:rsid w:val="06710E08"/>
    <w:rsid w:val="06733D9B"/>
    <w:rsid w:val="06736DB3"/>
    <w:rsid w:val="067526A6"/>
    <w:rsid w:val="06775734"/>
    <w:rsid w:val="067759C5"/>
    <w:rsid w:val="06782196"/>
    <w:rsid w:val="06787267"/>
    <w:rsid w:val="06791B5D"/>
    <w:rsid w:val="067B1C86"/>
    <w:rsid w:val="067B3A34"/>
    <w:rsid w:val="067E3047"/>
    <w:rsid w:val="068154EF"/>
    <w:rsid w:val="06862B05"/>
    <w:rsid w:val="068648B3"/>
    <w:rsid w:val="068723D9"/>
    <w:rsid w:val="068E19BA"/>
    <w:rsid w:val="069114AA"/>
    <w:rsid w:val="069468A4"/>
    <w:rsid w:val="069E4BF1"/>
    <w:rsid w:val="06A06181"/>
    <w:rsid w:val="06A51054"/>
    <w:rsid w:val="06A8306B"/>
    <w:rsid w:val="06AD62E4"/>
    <w:rsid w:val="06AE7966"/>
    <w:rsid w:val="06AF067A"/>
    <w:rsid w:val="06B01930"/>
    <w:rsid w:val="06B07B82"/>
    <w:rsid w:val="06B31420"/>
    <w:rsid w:val="06B331CE"/>
    <w:rsid w:val="06B50CF4"/>
    <w:rsid w:val="06B72BC7"/>
    <w:rsid w:val="06B84C89"/>
    <w:rsid w:val="06BA630B"/>
    <w:rsid w:val="06BF4168"/>
    <w:rsid w:val="06C5794E"/>
    <w:rsid w:val="06C74ECC"/>
    <w:rsid w:val="06C764CB"/>
    <w:rsid w:val="06C77FC8"/>
    <w:rsid w:val="06C90C44"/>
    <w:rsid w:val="06C947A0"/>
    <w:rsid w:val="06CE625A"/>
    <w:rsid w:val="06D03D80"/>
    <w:rsid w:val="06DF5D71"/>
    <w:rsid w:val="06E20753"/>
    <w:rsid w:val="06E67100"/>
    <w:rsid w:val="06EE06AA"/>
    <w:rsid w:val="06F2019A"/>
    <w:rsid w:val="06F2558C"/>
    <w:rsid w:val="06F3181D"/>
    <w:rsid w:val="06F34474"/>
    <w:rsid w:val="06F37A6F"/>
    <w:rsid w:val="06F415CC"/>
    <w:rsid w:val="06F7130D"/>
    <w:rsid w:val="06FA2BAB"/>
    <w:rsid w:val="06FB15AB"/>
    <w:rsid w:val="06FC2DC7"/>
    <w:rsid w:val="06FC6923"/>
    <w:rsid w:val="0700541D"/>
    <w:rsid w:val="07027CB2"/>
    <w:rsid w:val="070677A2"/>
    <w:rsid w:val="0708351A"/>
    <w:rsid w:val="070D6D82"/>
    <w:rsid w:val="07131EBF"/>
    <w:rsid w:val="071C6FC5"/>
    <w:rsid w:val="071E42E2"/>
    <w:rsid w:val="071F0864"/>
    <w:rsid w:val="071F2B16"/>
    <w:rsid w:val="071F6AB6"/>
    <w:rsid w:val="07287718"/>
    <w:rsid w:val="072D5EC8"/>
    <w:rsid w:val="073267E9"/>
    <w:rsid w:val="073360BD"/>
    <w:rsid w:val="07397B77"/>
    <w:rsid w:val="073A55AE"/>
    <w:rsid w:val="073A569E"/>
    <w:rsid w:val="073E518E"/>
    <w:rsid w:val="0741321A"/>
    <w:rsid w:val="074402CA"/>
    <w:rsid w:val="07554285"/>
    <w:rsid w:val="0756459C"/>
    <w:rsid w:val="07591FC8"/>
    <w:rsid w:val="075F5104"/>
    <w:rsid w:val="076170CE"/>
    <w:rsid w:val="07634BF4"/>
    <w:rsid w:val="07664143"/>
    <w:rsid w:val="0768045D"/>
    <w:rsid w:val="076D15CF"/>
    <w:rsid w:val="076D18CD"/>
    <w:rsid w:val="076F17EB"/>
    <w:rsid w:val="077566D6"/>
    <w:rsid w:val="0779373E"/>
    <w:rsid w:val="077946F5"/>
    <w:rsid w:val="077C7570"/>
    <w:rsid w:val="077D0A4B"/>
    <w:rsid w:val="077E0924"/>
    <w:rsid w:val="077E37DC"/>
    <w:rsid w:val="077F1302"/>
    <w:rsid w:val="078057A6"/>
    <w:rsid w:val="07830DF3"/>
    <w:rsid w:val="07832BA1"/>
    <w:rsid w:val="07834523"/>
    <w:rsid w:val="07844D18"/>
    <w:rsid w:val="078608E3"/>
    <w:rsid w:val="07866B35"/>
    <w:rsid w:val="0788465B"/>
    <w:rsid w:val="07886409"/>
    <w:rsid w:val="078B5EF9"/>
    <w:rsid w:val="078D7EC3"/>
    <w:rsid w:val="078E4413"/>
    <w:rsid w:val="07943000"/>
    <w:rsid w:val="07970828"/>
    <w:rsid w:val="079E00C6"/>
    <w:rsid w:val="07A07BF6"/>
    <w:rsid w:val="07A10E4E"/>
    <w:rsid w:val="07A1136F"/>
    <w:rsid w:val="07A1571D"/>
    <w:rsid w:val="07A174CB"/>
    <w:rsid w:val="07A34FF1"/>
    <w:rsid w:val="07AA0D3A"/>
    <w:rsid w:val="07AF7E3A"/>
    <w:rsid w:val="07B15B08"/>
    <w:rsid w:val="07B37C1F"/>
    <w:rsid w:val="07B54D24"/>
    <w:rsid w:val="07BC2556"/>
    <w:rsid w:val="07BD6694"/>
    <w:rsid w:val="07C66F31"/>
    <w:rsid w:val="07CC38DD"/>
    <w:rsid w:val="07CD02C0"/>
    <w:rsid w:val="07CD4D00"/>
    <w:rsid w:val="07D23B28"/>
    <w:rsid w:val="07D93267"/>
    <w:rsid w:val="07DA12E2"/>
    <w:rsid w:val="07DA3499"/>
    <w:rsid w:val="07DF167D"/>
    <w:rsid w:val="07E04497"/>
    <w:rsid w:val="07E13D6B"/>
    <w:rsid w:val="07E64E03"/>
    <w:rsid w:val="07ED0962"/>
    <w:rsid w:val="07F228C3"/>
    <w:rsid w:val="07F4584C"/>
    <w:rsid w:val="07F615C4"/>
    <w:rsid w:val="07F90993"/>
    <w:rsid w:val="07F963D9"/>
    <w:rsid w:val="07F968F9"/>
    <w:rsid w:val="07FC54FA"/>
    <w:rsid w:val="08031F3F"/>
    <w:rsid w:val="08070A00"/>
    <w:rsid w:val="08085D10"/>
    <w:rsid w:val="080A142D"/>
    <w:rsid w:val="080A5070"/>
    <w:rsid w:val="080D4575"/>
    <w:rsid w:val="080F6B2A"/>
    <w:rsid w:val="08114679"/>
    <w:rsid w:val="08147C9D"/>
    <w:rsid w:val="08162B07"/>
    <w:rsid w:val="08163A15"/>
    <w:rsid w:val="081A3210"/>
    <w:rsid w:val="081A339A"/>
    <w:rsid w:val="081D036C"/>
    <w:rsid w:val="08206641"/>
    <w:rsid w:val="0822060B"/>
    <w:rsid w:val="082425D6"/>
    <w:rsid w:val="08251EAA"/>
    <w:rsid w:val="082537F9"/>
    <w:rsid w:val="08256BE2"/>
    <w:rsid w:val="082779D0"/>
    <w:rsid w:val="082E5089"/>
    <w:rsid w:val="082F3E47"/>
    <w:rsid w:val="083245C7"/>
    <w:rsid w:val="0835607C"/>
    <w:rsid w:val="08362309"/>
    <w:rsid w:val="0837398B"/>
    <w:rsid w:val="08387E2F"/>
    <w:rsid w:val="083D057F"/>
    <w:rsid w:val="083F4318"/>
    <w:rsid w:val="0845254C"/>
    <w:rsid w:val="08485B98"/>
    <w:rsid w:val="084958C7"/>
    <w:rsid w:val="08510EF1"/>
    <w:rsid w:val="08545896"/>
    <w:rsid w:val="08580653"/>
    <w:rsid w:val="08585DDB"/>
    <w:rsid w:val="08593D2C"/>
    <w:rsid w:val="085D1644"/>
    <w:rsid w:val="08674270"/>
    <w:rsid w:val="086A1FB2"/>
    <w:rsid w:val="086C1A35"/>
    <w:rsid w:val="086C1BEB"/>
    <w:rsid w:val="086C5D2B"/>
    <w:rsid w:val="086C7996"/>
    <w:rsid w:val="086D0E3E"/>
    <w:rsid w:val="087150EF"/>
    <w:rsid w:val="087370B9"/>
    <w:rsid w:val="0874698D"/>
    <w:rsid w:val="087566B7"/>
    <w:rsid w:val="087A0439"/>
    <w:rsid w:val="088272FC"/>
    <w:rsid w:val="088766C0"/>
    <w:rsid w:val="08935065"/>
    <w:rsid w:val="08964B56"/>
    <w:rsid w:val="089A1325"/>
    <w:rsid w:val="089F7EAE"/>
    <w:rsid w:val="08A07782"/>
    <w:rsid w:val="08A873EB"/>
    <w:rsid w:val="08AC25CB"/>
    <w:rsid w:val="08B33959"/>
    <w:rsid w:val="08B374B6"/>
    <w:rsid w:val="08B576D2"/>
    <w:rsid w:val="08B60D54"/>
    <w:rsid w:val="08BB280E"/>
    <w:rsid w:val="08BC2A1A"/>
    <w:rsid w:val="08BF40AC"/>
    <w:rsid w:val="08C474E1"/>
    <w:rsid w:val="08C571E9"/>
    <w:rsid w:val="08CD1DBA"/>
    <w:rsid w:val="08D12032"/>
    <w:rsid w:val="08D258BC"/>
    <w:rsid w:val="08D5567E"/>
    <w:rsid w:val="08D631A4"/>
    <w:rsid w:val="08D833C0"/>
    <w:rsid w:val="08DE158E"/>
    <w:rsid w:val="08E104C7"/>
    <w:rsid w:val="08E12275"/>
    <w:rsid w:val="08E21B49"/>
    <w:rsid w:val="08E2378E"/>
    <w:rsid w:val="08E26C00"/>
    <w:rsid w:val="08E9380A"/>
    <w:rsid w:val="08F0070A"/>
    <w:rsid w:val="08F24482"/>
    <w:rsid w:val="08F43C68"/>
    <w:rsid w:val="08F45EA0"/>
    <w:rsid w:val="08FA50E4"/>
    <w:rsid w:val="08FD6362"/>
    <w:rsid w:val="08FD6983"/>
    <w:rsid w:val="08FE04F3"/>
    <w:rsid w:val="090146C5"/>
    <w:rsid w:val="09060CCF"/>
    <w:rsid w:val="090715AF"/>
    <w:rsid w:val="09093579"/>
    <w:rsid w:val="090B4B94"/>
    <w:rsid w:val="090D2CD0"/>
    <w:rsid w:val="09102B5A"/>
    <w:rsid w:val="0911242E"/>
    <w:rsid w:val="09124B98"/>
    <w:rsid w:val="091268D2"/>
    <w:rsid w:val="09137F54"/>
    <w:rsid w:val="09150170"/>
    <w:rsid w:val="091947B6"/>
    <w:rsid w:val="091B5EEE"/>
    <w:rsid w:val="0923288D"/>
    <w:rsid w:val="09242161"/>
    <w:rsid w:val="092906CB"/>
    <w:rsid w:val="09297778"/>
    <w:rsid w:val="092D370C"/>
    <w:rsid w:val="092D54BA"/>
    <w:rsid w:val="092E1232"/>
    <w:rsid w:val="092F01B8"/>
    <w:rsid w:val="092F6FCD"/>
    <w:rsid w:val="093323A4"/>
    <w:rsid w:val="0935436E"/>
    <w:rsid w:val="09385CEE"/>
    <w:rsid w:val="093F0D49"/>
    <w:rsid w:val="093F2ABC"/>
    <w:rsid w:val="093F51ED"/>
    <w:rsid w:val="09491BC8"/>
    <w:rsid w:val="094B3B92"/>
    <w:rsid w:val="094C3466"/>
    <w:rsid w:val="09510A7C"/>
    <w:rsid w:val="09572537"/>
    <w:rsid w:val="095A7C8D"/>
    <w:rsid w:val="09616F12"/>
    <w:rsid w:val="09645F3F"/>
    <w:rsid w:val="09652EA6"/>
    <w:rsid w:val="096864F2"/>
    <w:rsid w:val="096B1B3E"/>
    <w:rsid w:val="09736C45"/>
    <w:rsid w:val="097A4477"/>
    <w:rsid w:val="097C60B7"/>
    <w:rsid w:val="097E5D15"/>
    <w:rsid w:val="097F55EA"/>
    <w:rsid w:val="09815C56"/>
    <w:rsid w:val="09827219"/>
    <w:rsid w:val="09834B42"/>
    <w:rsid w:val="09840E52"/>
    <w:rsid w:val="09866C5A"/>
    <w:rsid w:val="09886B94"/>
    <w:rsid w:val="098D703C"/>
    <w:rsid w:val="09912242"/>
    <w:rsid w:val="0992356F"/>
    <w:rsid w:val="09A339CE"/>
    <w:rsid w:val="09A3577C"/>
    <w:rsid w:val="09AD03A9"/>
    <w:rsid w:val="09B142ED"/>
    <w:rsid w:val="09B259BF"/>
    <w:rsid w:val="09B30D57"/>
    <w:rsid w:val="09B47989"/>
    <w:rsid w:val="09B6326C"/>
    <w:rsid w:val="09B878B7"/>
    <w:rsid w:val="09B907C2"/>
    <w:rsid w:val="09C273BB"/>
    <w:rsid w:val="09C676BC"/>
    <w:rsid w:val="09C851E3"/>
    <w:rsid w:val="09C951A0"/>
    <w:rsid w:val="09CB378F"/>
    <w:rsid w:val="09CD3996"/>
    <w:rsid w:val="09D31321"/>
    <w:rsid w:val="09D640F0"/>
    <w:rsid w:val="09DE4A06"/>
    <w:rsid w:val="09DF1A02"/>
    <w:rsid w:val="09E35FBD"/>
    <w:rsid w:val="09E65669"/>
    <w:rsid w:val="09E71B0D"/>
    <w:rsid w:val="09EA5159"/>
    <w:rsid w:val="09F15A65"/>
    <w:rsid w:val="09F71742"/>
    <w:rsid w:val="09F935EE"/>
    <w:rsid w:val="09FB7366"/>
    <w:rsid w:val="09FC30DE"/>
    <w:rsid w:val="0A00497C"/>
    <w:rsid w:val="0A037FC9"/>
    <w:rsid w:val="0A0501E5"/>
    <w:rsid w:val="0A075D0B"/>
    <w:rsid w:val="0A085BCC"/>
    <w:rsid w:val="0A0A57FB"/>
    <w:rsid w:val="0A0C3321"/>
    <w:rsid w:val="0A0D52EB"/>
    <w:rsid w:val="0A122902"/>
    <w:rsid w:val="0A1348C9"/>
    <w:rsid w:val="0A1641A0"/>
    <w:rsid w:val="0A165F4E"/>
    <w:rsid w:val="0A1E3055"/>
    <w:rsid w:val="0A20501F"/>
    <w:rsid w:val="0A222B45"/>
    <w:rsid w:val="0A2763AD"/>
    <w:rsid w:val="0A285C81"/>
    <w:rsid w:val="0A2A7852"/>
    <w:rsid w:val="0A2A7C4B"/>
    <w:rsid w:val="0A2D14EA"/>
    <w:rsid w:val="0A2F1DA4"/>
    <w:rsid w:val="0A374116"/>
    <w:rsid w:val="0A3925DE"/>
    <w:rsid w:val="0A3960E0"/>
    <w:rsid w:val="0A3B59B5"/>
    <w:rsid w:val="0A3B7763"/>
    <w:rsid w:val="0A3D797F"/>
    <w:rsid w:val="0A463FB5"/>
    <w:rsid w:val="0A466107"/>
    <w:rsid w:val="0A4800D1"/>
    <w:rsid w:val="0A4C70C9"/>
    <w:rsid w:val="0A4D7496"/>
    <w:rsid w:val="0A4F1460"/>
    <w:rsid w:val="0A5151D8"/>
    <w:rsid w:val="0A581F3C"/>
    <w:rsid w:val="0A5847B8"/>
    <w:rsid w:val="0A5B0BEB"/>
    <w:rsid w:val="0A603108"/>
    <w:rsid w:val="0A6071C9"/>
    <w:rsid w:val="0A6A629A"/>
    <w:rsid w:val="0A726EFC"/>
    <w:rsid w:val="0A7315F2"/>
    <w:rsid w:val="0A7B4003"/>
    <w:rsid w:val="0A7E7619"/>
    <w:rsid w:val="0A8235E3"/>
    <w:rsid w:val="0A83110A"/>
    <w:rsid w:val="0A867D70"/>
    <w:rsid w:val="0A885FF6"/>
    <w:rsid w:val="0A8A693C"/>
    <w:rsid w:val="0A8C7FBE"/>
    <w:rsid w:val="0A923284"/>
    <w:rsid w:val="0A95202C"/>
    <w:rsid w:val="0A981059"/>
    <w:rsid w:val="0A99092D"/>
    <w:rsid w:val="0AA23C86"/>
    <w:rsid w:val="0AA56E2D"/>
    <w:rsid w:val="0AA74DF8"/>
    <w:rsid w:val="0AA925B8"/>
    <w:rsid w:val="0AA96DC2"/>
    <w:rsid w:val="0AAF1EFF"/>
    <w:rsid w:val="0AAF5B24"/>
    <w:rsid w:val="0AB1211B"/>
    <w:rsid w:val="0ABA0FCF"/>
    <w:rsid w:val="0ABD2CEF"/>
    <w:rsid w:val="0AC05EBA"/>
    <w:rsid w:val="0AC51722"/>
    <w:rsid w:val="0AC7549A"/>
    <w:rsid w:val="0AC77248"/>
    <w:rsid w:val="0ACC2AB1"/>
    <w:rsid w:val="0ACE4A7B"/>
    <w:rsid w:val="0AD02447"/>
    <w:rsid w:val="0AD025A1"/>
    <w:rsid w:val="0ADF27E4"/>
    <w:rsid w:val="0AE24082"/>
    <w:rsid w:val="0AE41BA8"/>
    <w:rsid w:val="0AE53B72"/>
    <w:rsid w:val="0AE56260"/>
    <w:rsid w:val="0AE61EF7"/>
    <w:rsid w:val="0AE75B3C"/>
    <w:rsid w:val="0AEA1189"/>
    <w:rsid w:val="0AEC6CAF"/>
    <w:rsid w:val="0AF15F44"/>
    <w:rsid w:val="0AFA3062"/>
    <w:rsid w:val="0AFC1A9B"/>
    <w:rsid w:val="0B022976"/>
    <w:rsid w:val="0B0264D2"/>
    <w:rsid w:val="0B0B6449"/>
    <w:rsid w:val="0B0C10FF"/>
    <w:rsid w:val="0B132EAB"/>
    <w:rsid w:val="0B137D59"/>
    <w:rsid w:val="0B187425"/>
    <w:rsid w:val="0B1F0E32"/>
    <w:rsid w:val="0B246449"/>
    <w:rsid w:val="0B297F03"/>
    <w:rsid w:val="0B2B5A29"/>
    <w:rsid w:val="0B300371"/>
    <w:rsid w:val="0B316DB7"/>
    <w:rsid w:val="0B324867"/>
    <w:rsid w:val="0B34474A"/>
    <w:rsid w:val="0B344C6B"/>
    <w:rsid w:val="0B3B3792"/>
    <w:rsid w:val="0B3F7726"/>
    <w:rsid w:val="0B4F7789"/>
    <w:rsid w:val="0B534139"/>
    <w:rsid w:val="0B582596"/>
    <w:rsid w:val="0B61144B"/>
    <w:rsid w:val="0B626F71"/>
    <w:rsid w:val="0B666A61"/>
    <w:rsid w:val="0B680A2B"/>
    <w:rsid w:val="0B691F99"/>
    <w:rsid w:val="0B6B051B"/>
    <w:rsid w:val="0B707741"/>
    <w:rsid w:val="0B73117E"/>
    <w:rsid w:val="0B732F2C"/>
    <w:rsid w:val="0B747091"/>
    <w:rsid w:val="0B754EF6"/>
    <w:rsid w:val="0B7A69B0"/>
    <w:rsid w:val="0B7D7BCE"/>
    <w:rsid w:val="0B7F5D75"/>
    <w:rsid w:val="0B815649"/>
    <w:rsid w:val="0B854AFA"/>
    <w:rsid w:val="0B8769D7"/>
    <w:rsid w:val="0B884C29"/>
    <w:rsid w:val="0B8909A2"/>
    <w:rsid w:val="0B892750"/>
    <w:rsid w:val="0B8C15FE"/>
    <w:rsid w:val="0B8C3FEE"/>
    <w:rsid w:val="0B9379E7"/>
    <w:rsid w:val="0B995089"/>
    <w:rsid w:val="0B9A0F05"/>
    <w:rsid w:val="0B9B339A"/>
    <w:rsid w:val="0B9B3C26"/>
    <w:rsid w:val="0BA53A2D"/>
    <w:rsid w:val="0BAB6B6A"/>
    <w:rsid w:val="0BAD4690"/>
    <w:rsid w:val="0BB05F2E"/>
    <w:rsid w:val="0BB21CA6"/>
    <w:rsid w:val="0BB27EF8"/>
    <w:rsid w:val="0BB43C70"/>
    <w:rsid w:val="0BB73761"/>
    <w:rsid w:val="0BB8019E"/>
    <w:rsid w:val="0BB84DE3"/>
    <w:rsid w:val="0BB93035"/>
    <w:rsid w:val="0BBA6DAD"/>
    <w:rsid w:val="0BBC48D3"/>
    <w:rsid w:val="0BBF2615"/>
    <w:rsid w:val="0BBF43C3"/>
    <w:rsid w:val="0BC348DB"/>
    <w:rsid w:val="0BC47C2C"/>
    <w:rsid w:val="0BC83F6E"/>
    <w:rsid w:val="0BCE4606"/>
    <w:rsid w:val="0BCF6B5B"/>
    <w:rsid w:val="0BD04822"/>
    <w:rsid w:val="0BD22349"/>
    <w:rsid w:val="0BD55995"/>
    <w:rsid w:val="0BD7795F"/>
    <w:rsid w:val="0BD936D7"/>
    <w:rsid w:val="0BDC4F75"/>
    <w:rsid w:val="0BDE6F3F"/>
    <w:rsid w:val="0BE01BDD"/>
    <w:rsid w:val="0BE04A65"/>
    <w:rsid w:val="0BE107DE"/>
    <w:rsid w:val="0BE14020"/>
    <w:rsid w:val="0BE37CA1"/>
    <w:rsid w:val="0BE45BD8"/>
    <w:rsid w:val="0BE5207C"/>
    <w:rsid w:val="0BE567DF"/>
    <w:rsid w:val="0BE61950"/>
    <w:rsid w:val="0BE65DF4"/>
    <w:rsid w:val="0BEB340A"/>
    <w:rsid w:val="0BED0F30"/>
    <w:rsid w:val="0BF00A21"/>
    <w:rsid w:val="0BF2461F"/>
    <w:rsid w:val="0BF64289"/>
    <w:rsid w:val="0BF7193F"/>
    <w:rsid w:val="0BFA22C1"/>
    <w:rsid w:val="0BFA364D"/>
    <w:rsid w:val="0BFD012B"/>
    <w:rsid w:val="0BFE67EC"/>
    <w:rsid w:val="0C0043CF"/>
    <w:rsid w:val="0C004C5B"/>
    <w:rsid w:val="0C00517C"/>
    <w:rsid w:val="0C013622"/>
    <w:rsid w:val="0C0149DC"/>
    <w:rsid w:val="0C026056"/>
    <w:rsid w:val="0C060244"/>
    <w:rsid w:val="0C097EDB"/>
    <w:rsid w:val="0C105208"/>
    <w:rsid w:val="0C1069CD"/>
    <w:rsid w:val="0C120997"/>
    <w:rsid w:val="0C122745"/>
    <w:rsid w:val="0C15378C"/>
    <w:rsid w:val="0C191D25"/>
    <w:rsid w:val="0C193AD3"/>
    <w:rsid w:val="0C1B5A9E"/>
    <w:rsid w:val="0C1E733C"/>
    <w:rsid w:val="0C1F4E62"/>
    <w:rsid w:val="0C221FBD"/>
    <w:rsid w:val="0C2549C6"/>
    <w:rsid w:val="0C2801BA"/>
    <w:rsid w:val="0C2A7A8F"/>
    <w:rsid w:val="0C2B3807"/>
    <w:rsid w:val="0C2E1CA1"/>
    <w:rsid w:val="0C2F1549"/>
    <w:rsid w:val="0C2F515E"/>
    <w:rsid w:val="0C322DE7"/>
    <w:rsid w:val="0C3502F0"/>
    <w:rsid w:val="0C37664F"/>
    <w:rsid w:val="0C394176"/>
    <w:rsid w:val="0C3C3C66"/>
    <w:rsid w:val="0C3C499F"/>
    <w:rsid w:val="0C3C5A14"/>
    <w:rsid w:val="0C3E406E"/>
    <w:rsid w:val="0C3E79DE"/>
    <w:rsid w:val="0C4A61AA"/>
    <w:rsid w:val="0C4F369E"/>
    <w:rsid w:val="0C50249D"/>
    <w:rsid w:val="0C517711"/>
    <w:rsid w:val="0C523489"/>
    <w:rsid w:val="0C5F4AC6"/>
    <w:rsid w:val="0C5F6EA6"/>
    <w:rsid w:val="0C605BA6"/>
    <w:rsid w:val="0C677261"/>
    <w:rsid w:val="0C680135"/>
    <w:rsid w:val="0C692CAD"/>
    <w:rsid w:val="0C6D3AA2"/>
    <w:rsid w:val="0C6E02C3"/>
    <w:rsid w:val="0C6F1945"/>
    <w:rsid w:val="0C757A49"/>
    <w:rsid w:val="0C783D9B"/>
    <w:rsid w:val="0C790A16"/>
    <w:rsid w:val="0C796C68"/>
    <w:rsid w:val="0C7B4653"/>
    <w:rsid w:val="0C7E602C"/>
    <w:rsid w:val="0C8106BD"/>
    <w:rsid w:val="0C8221A1"/>
    <w:rsid w:val="0C85560D"/>
    <w:rsid w:val="0C8C699B"/>
    <w:rsid w:val="0C8C7AEC"/>
    <w:rsid w:val="0C924D4B"/>
    <w:rsid w:val="0C9320DF"/>
    <w:rsid w:val="0C935725"/>
    <w:rsid w:val="0C9475FE"/>
    <w:rsid w:val="0C9B273A"/>
    <w:rsid w:val="0C9C64B3"/>
    <w:rsid w:val="0C9D7330"/>
    <w:rsid w:val="0C9E222B"/>
    <w:rsid w:val="0CA15CBB"/>
    <w:rsid w:val="0CA535B9"/>
    <w:rsid w:val="0CA77331"/>
    <w:rsid w:val="0CA85B84"/>
    <w:rsid w:val="0CA94973"/>
    <w:rsid w:val="0CAC2B9A"/>
    <w:rsid w:val="0CAE2EBC"/>
    <w:rsid w:val="0CAF0888"/>
    <w:rsid w:val="0CAF3712"/>
    <w:rsid w:val="0CAF61E6"/>
    <w:rsid w:val="0CB101B0"/>
    <w:rsid w:val="0CB115FB"/>
    <w:rsid w:val="0CB63A18"/>
    <w:rsid w:val="0CB952B6"/>
    <w:rsid w:val="0CBC007C"/>
    <w:rsid w:val="0CBC38F1"/>
    <w:rsid w:val="0CBD6B55"/>
    <w:rsid w:val="0CC41F2E"/>
    <w:rsid w:val="0CC53C5B"/>
    <w:rsid w:val="0CC56B53"/>
    <w:rsid w:val="0CC75D6A"/>
    <w:rsid w:val="0CC954FA"/>
    <w:rsid w:val="0CCC323C"/>
    <w:rsid w:val="0CDA7E69"/>
    <w:rsid w:val="0CDB654D"/>
    <w:rsid w:val="0CE51C08"/>
    <w:rsid w:val="0CE61437"/>
    <w:rsid w:val="0CE71E24"/>
    <w:rsid w:val="0CEC11E8"/>
    <w:rsid w:val="0CEC2F96"/>
    <w:rsid w:val="0CEC743A"/>
    <w:rsid w:val="0CEE0FFB"/>
    <w:rsid w:val="0CEE31B2"/>
    <w:rsid w:val="0CF167FE"/>
    <w:rsid w:val="0CF6760B"/>
    <w:rsid w:val="0CFD33F5"/>
    <w:rsid w:val="0D006A41"/>
    <w:rsid w:val="0D0414C3"/>
    <w:rsid w:val="0D0C53E6"/>
    <w:rsid w:val="0D0F7651"/>
    <w:rsid w:val="0D166265"/>
    <w:rsid w:val="0D186481"/>
    <w:rsid w:val="0D1C1E0B"/>
    <w:rsid w:val="0D1D75F3"/>
    <w:rsid w:val="0D1F511A"/>
    <w:rsid w:val="0D2210AE"/>
    <w:rsid w:val="0D2328AC"/>
    <w:rsid w:val="0D241949"/>
    <w:rsid w:val="0D252FB8"/>
    <w:rsid w:val="0D305579"/>
    <w:rsid w:val="0D315E36"/>
    <w:rsid w:val="0D344206"/>
    <w:rsid w:val="0D366907"/>
    <w:rsid w:val="0D3A1F53"/>
    <w:rsid w:val="0D3B3F1D"/>
    <w:rsid w:val="0D3D1A44"/>
    <w:rsid w:val="0D42705A"/>
    <w:rsid w:val="0D4422E5"/>
    <w:rsid w:val="0D447276"/>
    <w:rsid w:val="0D466B4A"/>
    <w:rsid w:val="0D4769D0"/>
    <w:rsid w:val="0D49663A"/>
    <w:rsid w:val="0D4A7B86"/>
    <w:rsid w:val="0D4E59FF"/>
    <w:rsid w:val="0D5079C9"/>
    <w:rsid w:val="0D531267"/>
    <w:rsid w:val="0D5374B9"/>
    <w:rsid w:val="0D553231"/>
    <w:rsid w:val="0D562B05"/>
    <w:rsid w:val="0D5648B3"/>
    <w:rsid w:val="0D5758FA"/>
    <w:rsid w:val="0D58687D"/>
    <w:rsid w:val="0D5C45C0"/>
    <w:rsid w:val="0D5D3E94"/>
    <w:rsid w:val="0D5F19BA"/>
    <w:rsid w:val="0D625D59"/>
    <w:rsid w:val="0D63594E"/>
    <w:rsid w:val="0D674D12"/>
    <w:rsid w:val="0D682F64"/>
    <w:rsid w:val="0D692839"/>
    <w:rsid w:val="0D6B7368"/>
    <w:rsid w:val="0D735465"/>
    <w:rsid w:val="0D75742F"/>
    <w:rsid w:val="0D786F20"/>
    <w:rsid w:val="0D7878E6"/>
    <w:rsid w:val="0D7C256C"/>
    <w:rsid w:val="0D817B82"/>
    <w:rsid w:val="0D8256A8"/>
    <w:rsid w:val="0D8C4BF5"/>
    <w:rsid w:val="0D8E6743"/>
    <w:rsid w:val="0D951880"/>
    <w:rsid w:val="0D985A2E"/>
    <w:rsid w:val="0D9C051F"/>
    <w:rsid w:val="0D9F625A"/>
    <w:rsid w:val="0DA10224"/>
    <w:rsid w:val="0DA25D4B"/>
    <w:rsid w:val="0DA57240"/>
    <w:rsid w:val="0DA57405"/>
    <w:rsid w:val="0DA6583B"/>
    <w:rsid w:val="0DA815B3"/>
    <w:rsid w:val="0DAD0977"/>
    <w:rsid w:val="0DAD4E1B"/>
    <w:rsid w:val="0DAD536B"/>
    <w:rsid w:val="0DB333E3"/>
    <w:rsid w:val="0DB5188A"/>
    <w:rsid w:val="0DB60C93"/>
    <w:rsid w:val="0DB717F6"/>
    <w:rsid w:val="0DB93D54"/>
    <w:rsid w:val="0DBB7938"/>
    <w:rsid w:val="0DBC0BBA"/>
    <w:rsid w:val="0DC2517F"/>
    <w:rsid w:val="0DC3421D"/>
    <w:rsid w:val="0DC353D1"/>
    <w:rsid w:val="0DC52BE4"/>
    <w:rsid w:val="0DC67C8B"/>
    <w:rsid w:val="0DC857B1"/>
    <w:rsid w:val="0DCA1DB9"/>
    <w:rsid w:val="0DCD1CFD"/>
    <w:rsid w:val="0DCE6B40"/>
    <w:rsid w:val="0DD405FA"/>
    <w:rsid w:val="0DD44063"/>
    <w:rsid w:val="0DD51C7C"/>
    <w:rsid w:val="0DD57ECE"/>
    <w:rsid w:val="0DD73C46"/>
    <w:rsid w:val="0DD8176C"/>
    <w:rsid w:val="0DD979BE"/>
    <w:rsid w:val="0DDA1988"/>
    <w:rsid w:val="0DDA653B"/>
    <w:rsid w:val="0DDA7292"/>
    <w:rsid w:val="0DDF6F9F"/>
    <w:rsid w:val="0DE40952"/>
    <w:rsid w:val="0DE46363"/>
    <w:rsid w:val="0DEA1441"/>
    <w:rsid w:val="0DEC0073"/>
    <w:rsid w:val="0DED16BC"/>
    <w:rsid w:val="0DF13A79"/>
    <w:rsid w:val="0DF30354"/>
    <w:rsid w:val="0DF73A45"/>
    <w:rsid w:val="0DF91E0E"/>
    <w:rsid w:val="0DFA26A5"/>
    <w:rsid w:val="0DFC18FF"/>
    <w:rsid w:val="0E032C8D"/>
    <w:rsid w:val="0E083E00"/>
    <w:rsid w:val="0E097122"/>
    <w:rsid w:val="0E0A1FE1"/>
    <w:rsid w:val="0E0D6E14"/>
    <w:rsid w:val="0E0F340D"/>
    <w:rsid w:val="0E116234"/>
    <w:rsid w:val="0E130328"/>
    <w:rsid w:val="0E1409F6"/>
    <w:rsid w:val="0E176739"/>
    <w:rsid w:val="0E1C78AB"/>
    <w:rsid w:val="0E251C99"/>
    <w:rsid w:val="0E2A646C"/>
    <w:rsid w:val="0E2B5D40"/>
    <w:rsid w:val="0E2D3866"/>
    <w:rsid w:val="0E342556"/>
    <w:rsid w:val="0E364E11"/>
    <w:rsid w:val="0E3E4786"/>
    <w:rsid w:val="0E4017EB"/>
    <w:rsid w:val="0E4312DC"/>
    <w:rsid w:val="0E440BB0"/>
    <w:rsid w:val="0E452577"/>
    <w:rsid w:val="0E4532A6"/>
    <w:rsid w:val="0E46496B"/>
    <w:rsid w:val="0E465D21"/>
    <w:rsid w:val="0E497FFD"/>
    <w:rsid w:val="0E4B0190"/>
    <w:rsid w:val="0E4F08EF"/>
    <w:rsid w:val="0E4F1A2E"/>
    <w:rsid w:val="0E5139F9"/>
    <w:rsid w:val="0E5434E9"/>
    <w:rsid w:val="0E54502B"/>
    <w:rsid w:val="0E545297"/>
    <w:rsid w:val="0E550ABC"/>
    <w:rsid w:val="0E552CDA"/>
    <w:rsid w:val="0E553A87"/>
    <w:rsid w:val="0E574D87"/>
    <w:rsid w:val="0E5A44C6"/>
    <w:rsid w:val="0E5B5064"/>
    <w:rsid w:val="0E5C05EF"/>
    <w:rsid w:val="0E601E8E"/>
    <w:rsid w:val="0E666D78"/>
    <w:rsid w:val="0E682AF0"/>
    <w:rsid w:val="0E6B0BD4"/>
    <w:rsid w:val="0E707BF7"/>
    <w:rsid w:val="0E7262FB"/>
    <w:rsid w:val="0E734B51"/>
    <w:rsid w:val="0E736223"/>
    <w:rsid w:val="0E736B7C"/>
    <w:rsid w:val="0E741495"/>
    <w:rsid w:val="0E760C28"/>
    <w:rsid w:val="0E76520D"/>
    <w:rsid w:val="0E7938DE"/>
    <w:rsid w:val="0E7B0A75"/>
    <w:rsid w:val="0E7B2823"/>
    <w:rsid w:val="0E7B6CC7"/>
    <w:rsid w:val="0E7C47EE"/>
    <w:rsid w:val="0E7D2A40"/>
    <w:rsid w:val="0E8076CD"/>
    <w:rsid w:val="0E8116C4"/>
    <w:rsid w:val="0E820056"/>
    <w:rsid w:val="0E8611C8"/>
    <w:rsid w:val="0E8A0CB9"/>
    <w:rsid w:val="0E8D2557"/>
    <w:rsid w:val="0E8E54DA"/>
    <w:rsid w:val="0E8F2773"/>
    <w:rsid w:val="0E9658AF"/>
    <w:rsid w:val="0E990EFC"/>
    <w:rsid w:val="0E9B2EC6"/>
    <w:rsid w:val="0E9C279A"/>
    <w:rsid w:val="0E9D4E90"/>
    <w:rsid w:val="0E9D7796"/>
    <w:rsid w:val="0EA004DC"/>
    <w:rsid w:val="0EA41FF6"/>
    <w:rsid w:val="0EA77ABC"/>
    <w:rsid w:val="0EA855E3"/>
    <w:rsid w:val="0EAA4EB7"/>
    <w:rsid w:val="0EAB2129"/>
    <w:rsid w:val="0EAC16E8"/>
    <w:rsid w:val="0EB126E9"/>
    <w:rsid w:val="0EB70F20"/>
    <w:rsid w:val="0EB9334C"/>
    <w:rsid w:val="0EB977F0"/>
    <w:rsid w:val="0EBC236B"/>
    <w:rsid w:val="0EC00B7E"/>
    <w:rsid w:val="0EC17B97"/>
    <w:rsid w:val="0EC465C7"/>
    <w:rsid w:val="0EC73CBB"/>
    <w:rsid w:val="0EC75E0E"/>
    <w:rsid w:val="0ECA37AB"/>
    <w:rsid w:val="0ECA5559"/>
    <w:rsid w:val="0ECE597B"/>
    <w:rsid w:val="0ECF0DC1"/>
    <w:rsid w:val="0ED03123"/>
    <w:rsid w:val="0ED14B39"/>
    <w:rsid w:val="0ED15CDC"/>
    <w:rsid w:val="0ED67C4C"/>
    <w:rsid w:val="0ED71A24"/>
    <w:rsid w:val="0ED816A6"/>
    <w:rsid w:val="0EDB1AC2"/>
    <w:rsid w:val="0EDB59B8"/>
    <w:rsid w:val="0EDE1004"/>
    <w:rsid w:val="0EE20AF5"/>
    <w:rsid w:val="0EE303C9"/>
    <w:rsid w:val="0EE749C6"/>
    <w:rsid w:val="0EEC3721"/>
    <w:rsid w:val="0EF12AE6"/>
    <w:rsid w:val="0EF54800"/>
    <w:rsid w:val="0EFB3964"/>
    <w:rsid w:val="0EFF5A98"/>
    <w:rsid w:val="0F032819"/>
    <w:rsid w:val="0F052A35"/>
    <w:rsid w:val="0F0A004B"/>
    <w:rsid w:val="0F0E239E"/>
    <w:rsid w:val="0F121B26"/>
    <w:rsid w:val="0F136F00"/>
    <w:rsid w:val="0F144A26"/>
    <w:rsid w:val="0F1467D4"/>
    <w:rsid w:val="0F157CF2"/>
    <w:rsid w:val="0F184516"/>
    <w:rsid w:val="0F1E3C65"/>
    <w:rsid w:val="0F220EF1"/>
    <w:rsid w:val="0F264E85"/>
    <w:rsid w:val="0F2A424A"/>
    <w:rsid w:val="0F334EAC"/>
    <w:rsid w:val="0F3550C8"/>
    <w:rsid w:val="0F36499C"/>
    <w:rsid w:val="0F374C93"/>
    <w:rsid w:val="0F3D3F7D"/>
    <w:rsid w:val="0F423341"/>
    <w:rsid w:val="0F4470B9"/>
    <w:rsid w:val="0F452E31"/>
    <w:rsid w:val="0F4C0664"/>
    <w:rsid w:val="0F4C41C0"/>
    <w:rsid w:val="0F501F02"/>
    <w:rsid w:val="0F5372FC"/>
    <w:rsid w:val="0F563291"/>
    <w:rsid w:val="0F566DED"/>
    <w:rsid w:val="0F5965E2"/>
    <w:rsid w:val="0F5D461F"/>
    <w:rsid w:val="0F601A19"/>
    <w:rsid w:val="0F64150A"/>
    <w:rsid w:val="0F661726"/>
    <w:rsid w:val="0F68089E"/>
    <w:rsid w:val="0F69793C"/>
    <w:rsid w:val="0F76748F"/>
    <w:rsid w:val="0F790C96"/>
    <w:rsid w:val="0F7A2ADB"/>
    <w:rsid w:val="0F7B6853"/>
    <w:rsid w:val="0F7D081D"/>
    <w:rsid w:val="0F7D25CB"/>
    <w:rsid w:val="0F8611CB"/>
    <w:rsid w:val="0F872F52"/>
    <w:rsid w:val="0F87344A"/>
    <w:rsid w:val="0F882BE7"/>
    <w:rsid w:val="0F8A6A96"/>
    <w:rsid w:val="0F8C280E"/>
    <w:rsid w:val="0F8D6B37"/>
    <w:rsid w:val="0F900A8A"/>
    <w:rsid w:val="0F930041"/>
    <w:rsid w:val="0F933B9D"/>
    <w:rsid w:val="0F946F1E"/>
    <w:rsid w:val="0F9555AF"/>
    <w:rsid w:val="0F955B67"/>
    <w:rsid w:val="0F987405"/>
    <w:rsid w:val="0F9A13CF"/>
    <w:rsid w:val="0F9A317D"/>
    <w:rsid w:val="0F9C18C3"/>
    <w:rsid w:val="0F9F0794"/>
    <w:rsid w:val="0FA1275E"/>
    <w:rsid w:val="0FA41D79"/>
    <w:rsid w:val="0FA83AEC"/>
    <w:rsid w:val="0FAB0EE6"/>
    <w:rsid w:val="0FAE692A"/>
    <w:rsid w:val="0FB22C0A"/>
    <w:rsid w:val="0FB81855"/>
    <w:rsid w:val="0FBA21EB"/>
    <w:rsid w:val="0FBD50BE"/>
    <w:rsid w:val="0FBF71DA"/>
    <w:rsid w:val="0FC1070A"/>
    <w:rsid w:val="0FC14530"/>
    <w:rsid w:val="0FC14B5C"/>
    <w:rsid w:val="0FC15232"/>
    <w:rsid w:val="0FC30926"/>
    <w:rsid w:val="0FC816DA"/>
    <w:rsid w:val="0FCF7BC5"/>
    <w:rsid w:val="0FD61CDB"/>
    <w:rsid w:val="0FDE2036"/>
    <w:rsid w:val="0FDF0D69"/>
    <w:rsid w:val="0FDF5034"/>
    <w:rsid w:val="0FE64614"/>
    <w:rsid w:val="0FE92447"/>
    <w:rsid w:val="0FE95EB3"/>
    <w:rsid w:val="0FE967EA"/>
    <w:rsid w:val="0FEB5787"/>
    <w:rsid w:val="0FEC465E"/>
    <w:rsid w:val="0FF02D9D"/>
    <w:rsid w:val="0FF602AE"/>
    <w:rsid w:val="0FF85943"/>
    <w:rsid w:val="0FF92AA0"/>
    <w:rsid w:val="0FF94348"/>
    <w:rsid w:val="0FFA7511"/>
    <w:rsid w:val="0FFC7994"/>
    <w:rsid w:val="100131FC"/>
    <w:rsid w:val="10022AD1"/>
    <w:rsid w:val="10036F74"/>
    <w:rsid w:val="10091618"/>
    <w:rsid w:val="10142F30"/>
    <w:rsid w:val="101747CE"/>
    <w:rsid w:val="101A606C"/>
    <w:rsid w:val="101F1F32"/>
    <w:rsid w:val="10223384"/>
    <w:rsid w:val="1026554E"/>
    <w:rsid w:val="102869DB"/>
    <w:rsid w:val="102B0279"/>
    <w:rsid w:val="102B2962"/>
    <w:rsid w:val="102D2243"/>
    <w:rsid w:val="102E48B5"/>
    <w:rsid w:val="102F7D69"/>
    <w:rsid w:val="10303AE2"/>
    <w:rsid w:val="1030763E"/>
    <w:rsid w:val="1032785A"/>
    <w:rsid w:val="1034712E"/>
    <w:rsid w:val="10367256"/>
    <w:rsid w:val="103A04BC"/>
    <w:rsid w:val="103D79C9"/>
    <w:rsid w:val="103E1D5B"/>
    <w:rsid w:val="103E61FE"/>
    <w:rsid w:val="10401F77"/>
    <w:rsid w:val="1045758D"/>
    <w:rsid w:val="104B26C9"/>
    <w:rsid w:val="104D6442"/>
    <w:rsid w:val="10501A8E"/>
    <w:rsid w:val="10572E1C"/>
    <w:rsid w:val="105842F0"/>
    <w:rsid w:val="105926A7"/>
    <w:rsid w:val="105A290D"/>
    <w:rsid w:val="106043C7"/>
    <w:rsid w:val="10675755"/>
    <w:rsid w:val="106761D0"/>
    <w:rsid w:val="106F1535"/>
    <w:rsid w:val="10703EDE"/>
    <w:rsid w:val="10734185"/>
    <w:rsid w:val="107367AC"/>
    <w:rsid w:val="107439CE"/>
    <w:rsid w:val="1075073F"/>
    <w:rsid w:val="10750A53"/>
    <w:rsid w:val="107C3671"/>
    <w:rsid w:val="107F04D7"/>
    <w:rsid w:val="10801761"/>
    <w:rsid w:val="1081433D"/>
    <w:rsid w:val="10832028"/>
    <w:rsid w:val="10855BDB"/>
    <w:rsid w:val="10861954"/>
    <w:rsid w:val="1089052F"/>
    <w:rsid w:val="108A31F2"/>
    <w:rsid w:val="108A4FA0"/>
    <w:rsid w:val="108C22EC"/>
    <w:rsid w:val="109127D2"/>
    <w:rsid w:val="1092654A"/>
    <w:rsid w:val="10944070"/>
    <w:rsid w:val="10961B97"/>
    <w:rsid w:val="109776BD"/>
    <w:rsid w:val="109B0A34"/>
    <w:rsid w:val="109E6C9D"/>
    <w:rsid w:val="10AA3894"/>
    <w:rsid w:val="10AD5132"/>
    <w:rsid w:val="10B4026F"/>
    <w:rsid w:val="10B71B0D"/>
    <w:rsid w:val="10B95885"/>
    <w:rsid w:val="10BA3678"/>
    <w:rsid w:val="10BF1F18"/>
    <w:rsid w:val="10C06C14"/>
    <w:rsid w:val="10C20BDE"/>
    <w:rsid w:val="10C3255D"/>
    <w:rsid w:val="10C36704"/>
    <w:rsid w:val="10C67A22"/>
    <w:rsid w:val="10C83D1A"/>
    <w:rsid w:val="10CA5CE4"/>
    <w:rsid w:val="10CC55B8"/>
    <w:rsid w:val="10CD1C68"/>
    <w:rsid w:val="10CD24F3"/>
    <w:rsid w:val="10CD7582"/>
    <w:rsid w:val="10CF1E6A"/>
    <w:rsid w:val="10D75D0B"/>
    <w:rsid w:val="10D821AF"/>
    <w:rsid w:val="10DB57FB"/>
    <w:rsid w:val="10DD5A17"/>
    <w:rsid w:val="10DD77C5"/>
    <w:rsid w:val="10E2349A"/>
    <w:rsid w:val="10E438C4"/>
    <w:rsid w:val="10E44E65"/>
    <w:rsid w:val="10E85BA5"/>
    <w:rsid w:val="10EA0134"/>
    <w:rsid w:val="10EB3251"/>
    <w:rsid w:val="10F13271"/>
    <w:rsid w:val="10F36FE9"/>
    <w:rsid w:val="10FE598E"/>
    <w:rsid w:val="10FE773C"/>
    <w:rsid w:val="1100628A"/>
    <w:rsid w:val="1102076E"/>
    <w:rsid w:val="110805BA"/>
    <w:rsid w:val="1109680C"/>
    <w:rsid w:val="110D5F06"/>
    <w:rsid w:val="110D797F"/>
    <w:rsid w:val="110E534D"/>
    <w:rsid w:val="110F1949"/>
    <w:rsid w:val="110F2CF1"/>
    <w:rsid w:val="11114836"/>
    <w:rsid w:val="11131439"/>
    <w:rsid w:val="11164A85"/>
    <w:rsid w:val="111725AC"/>
    <w:rsid w:val="111F404A"/>
    <w:rsid w:val="112278CE"/>
    <w:rsid w:val="112371A2"/>
    <w:rsid w:val="11270A41"/>
    <w:rsid w:val="11274A63"/>
    <w:rsid w:val="11274EE5"/>
    <w:rsid w:val="112A0531"/>
    <w:rsid w:val="112A111A"/>
    <w:rsid w:val="112E1369"/>
    <w:rsid w:val="112F78F5"/>
    <w:rsid w:val="113118BF"/>
    <w:rsid w:val="113349F9"/>
    <w:rsid w:val="11360C84"/>
    <w:rsid w:val="11391A19"/>
    <w:rsid w:val="113A3BA0"/>
    <w:rsid w:val="113D0264"/>
    <w:rsid w:val="11401B02"/>
    <w:rsid w:val="114333A1"/>
    <w:rsid w:val="11444E38"/>
    <w:rsid w:val="1145536B"/>
    <w:rsid w:val="11477335"/>
    <w:rsid w:val="11493EB8"/>
    <w:rsid w:val="114C66F9"/>
    <w:rsid w:val="1154735C"/>
    <w:rsid w:val="115608F7"/>
    <w:rsid w:val="1158632A"/>
    <w:rsid w:val="11586695"/>
    <w:rsid w:val="11586E4C"/>
    <w:rsid w:val="115B2158"/>
    <w:rsid w:val="115E01DA"/>
    <w:rsid w:val="115E04ED"/>
    <w:rsid w:val="116021A5"/>
    <w:rsid w:val="11625F1D"/>
    <w:rsid w:val="116457F1"/>
    <w:rsid w:val="11661393"/>
    <w:rsid w:val="116625B7"/>
    <w:rsid w:val="1167079C"/>
    <w:rsid w:val="11673533"/>
    <w:rsid w:val="11673B0C"/>
    <w:rsid w:val="116A6B7F"/>
    <w:rsid w:val="116D5F1B"/>
    <w:rsid w:val="116E041E"/>
    <w:rsid w:val="117143B2"/>
    <w:rsid w:val="117874EE"/>
    <w:rsid w:val="117A3266"/>
    <w:rsid w:val="117A5014"/>
    <w:rsid w:val="117B2B3A"/>
    <w:rsid w:val="117F6ACF"/>
    <w:rsid w:val="11800151"/>
    <w:rsid w:val="11812847"/>
    <w:rsid w:val="11845E93"/>
    <w:rsid w:val="118C6962"/>
    <w:rsid w:val="118F65E6"/>
    <w:rsid w:val="11916802"/>
    <w:rsid w:val="11934328"/>
    <w:rsid w:val="11951E4E"/>
    <w:rsid w:val="11963E18"/>
    <w:rsid w:val="119A7465"/>
    <w:rsid w:val="119B4F8B"/>
    <w:rsid w:val="119D0D03"/>
    <w:rsid w:val="11A227BD"/>
    <w:rsid w:val="11A4670A"/>
    <w:rsid w:val="11AE5AE4"/>
    <w:rsid w:val="11B00A36"/>
    <w:rsid w:val="11B8179E"/>
    <w:rsid w:val="11B83D8F"/>
    <w:rsid w:val="11B85B3D"/>
    <w:rsid w:val="11B86BB3"/>
    <w:rsid w:val="11BC387F"/>
    <w:rsid w:val="11C40985"/>
    <w:rsid w:val="11C63DA2"/>
    <w:rsid w:val="11C664AC"/>
    <w:rsid w:val="11C73FD2"/>
    <w:rsid w:val="11C75D80"/>
    <w:rsid w:val="11C9531A"/>
    <w:rsid w:val="11CB3AC2"/>
    <w:rsid w:val="11CC15E8"/>
    <w:rsid w:val="11CE35B2"/>
    <w:rsid w:val="11D277EC"/>
    <w:rsid w:val="11D34725"/>
    <w:rsid w:val="11D434DA"/>
    <w:rsid w:val="11D44635"/>
    <w:rsid w:val="11D54941"/>
    <w:rsid w:val="11DA3D05"/>
    <w:rsid w:val="11DC7A7D"/>
    <w:rsid w:val="11E42DD6"/>
    <w:rsid w:val="11E903EC"/>
    <w:rsid w:val="11F0177A"/>
    <w:rsid w:val="11F03528"/>
    <w:rsid w:val="11F27CFE"/>
    <w:rsid w:val="11F70371"/>
    <w:rsid w:val="11F72BD0"/>
    <w:rsid w:val="11F755A9"/>
    <w:rsid w:val="11FD04E5"/>
    <w:rsid w:val="120174E4"/>
    <w:rsid w:val="1205002A"/>
    <w:rsid w:val="120668A8"/>
    <w:rsid w:val="12072620"/>
    <w:rsid w:val="120879A8"/>
    <w:rsid w:val="120B3B89"/>
    <w:rsid w:val="12153449"/>
    <w:rsid w:val="121B783C"/>
    <w:rsid w:val="121D3BF2"/>
    <w:rsid w:val="121D7549"/>
    <w:rsid w:val="121F796A"/>
    <w:rsid w:val="12210E3A"/>
    <w:rsid w:val="122431D2"/>
    <w:rsid w:val="12244F80"/>
    <w:rsid w:val="122A4C8C"/>
    <w:rsid w:val="122B4561"/>
    <w:rsid w:val="122D652B"/>
    <w:rsid w:val="122E4051"/>
    <w:rsid w:val="1232090E"/>
    <w:rsid w:val="1232769D"/>
    <w:rsid w:val="12333E5A"/>
    <w:rsid w:val="12394ECF"/>
    <w:rsid w:val="123A29F6"/>
    <w:rsid w:val="123C1A75"/>
    <w:rsid w:val="12443874"/>
    <w:rsid w:val="12445622"/>
    <w:rsid w:val="124675EC"/>
    <w:rsid w:val="12483364"/>
    <w:rsid w:val="12486EC1"/>
    <w:rsid w:val="124A3908"/>
    <w:rsid w:val="12503FC7"/>
    <w:rsid w:val="12507A4C"/>
    <w:rsid w:val="1254215C"/>
    <w:rsid w:val="12543AB7"/>
    <w:rsid w:val="12545FF0"/>
    <w:rsid w:val="125515DD"/>
    <w:rsid w:val="1256357C"/>
    <w:rsid w:val="12563718"/>
    <w:rsid w:val="125A3098"/>
    <w:rsid w:val="125D11F1"/>
    <w:rsid w:val="126006AE"/>
    <w:rsid w:val="12641821"/>
    <w:rsid w:val="12647A72"/>
    <w:rsid w:val="12655CC4"/>
    <w:rsid w:val="12661A3D"/>
    <w:rsid w:val="126779F9"/>
    <w:rsid w:val="12696E37"/>
    <w:rsid w:val="126B2BAF"/>
    <w:rsid w:val="126F08F1"/>
    <w:rsid w:val="127203E1"/>
    <w:rsid w:val="12723F3D"/>
    <w:rsid w:val="12794C71"/>
    <w:rsid w:val="12796516"/>
    <w:rsid w:val="127F48AC"/>
    <w:rsid w:val="12807CE9"/>
    <w:rsid w:val="128123D2"/>
    <w:rsid w:val="12843C71"/>
    <w:rsid w:val="12855147"/>
    <w:rsid w:val="12865C3B"/>
    <w:rsid w:val="12887C05"/>
    <w:rsid w:val="12897870"/>
    <w:rsid w:val="128B3251"/>
    <w:rsid w:val="128F4185"/>
    <w:rsid w:val="12962A8F"/>
    <w:rsid w:val="12971E98"/>
    <w:rsid w:val="1299771C"/>
    <w:rsid w:val="129A5602"/>
    <w:rsid w:val="129C545E"/>
    <w:rsid w:val="12A165D1"/>
    <w:rsid w:val="12A32349"/>
    <w:rsid w:val="12A367ED"/>
    <w:rsid w:val="12AB56A1"/>
    <w:rsid w:val="12B10F0A"/>
    <w:rsid w:val="12B207DE"/>
    <w:rsid w:val="12B3568E"/>
    <w:rsid w:val="12B969E9"/>
    <w:rsid w:val="12BC7420"/>
    <w:rsid w:val="12BE53D5"/>
    <w:rsid w:val="12C2290A"/>
    <w:rsid w:val="12C24F9C"/>
    <w:rsid w:val="12C3266C"/>
    <w:rsid w:val="12C329EB"/>
    <w:rsid w:val="12CA06CE"/>
    <w:rsid w:val="12CA5B28"/>
    <w:rsid w:val="12CC47B6"/>
    <w:rsid w:val="12CC73A0"/>
    <w:rsid w:val="12CC7AF2"/>
    <w:rsid w:val="12D10888"/>
    <w:rsid w:val="12D13C56"/>
    <w:rsid w:val="12D373EF"/>
    <w:rsid w:val="12D537E4"/>
    <w:rsid w:val="12D70244"/>
    <w:rsid w:val="12D771B5"/>
    <w:rsid w:val="12DB7D35"/>
    <w:rsid w:val="12E1142B"/>
    <w:rsid w:val="12EA441C"/>
    <w:rsid w:val="12ED1816"/>
    <w:rsid w:val="12ED7A68"/>
    <w:rsid w:val="12EF125E"/>
    <w:rsid w:val="12EF558E"/>
    <w:rsid w:val="12EF7CAE"/>
    <w:rsid w:val="12F157AA"/>
    <w:rsid w:val="12F316A6"/>
    <w:rsid w:val="12F96DB1"/>
    <w:rsid w:val="12FB03D7"/>
    <w:rsid w:val="12FD628C"/>
    <w:rsid w:val="12FE1C75"/>
    <w:rsid w:val="12FF0932"/>
    <w:rsid w:val="130152C1"/>
    <w:rsid w:val="13021765"/>
    <w:rsid w:val="13040F8F"/>
    <w:rsid w:val="130B4FD3"/>
    <w:rsid w:val="130F2E27"/>
    <w:rsid w:val="130F3E82"/>
    <w:rsid w:val="13122E5E"/>
    <w:rsid w:val="13157F5C"/>
    <w:rsid w:val="13180F89"/>
    <w:rsid w:val="13182D37"/>
    <w:rsid w:val="13196AAF"/>
    <w:rsid w:val="131C5215"/>
    <w:rsid w:val="131E269C"/>
    <w:rsid w:val="131E5E73"/>
    <w:rsid w:val="13207980"/>
    <w:rsid w:val="13216D07"/>
    <w:rsid w:val="13221A98"/>
    <w:rsid w:val="132316DC"/>
    <w:rsid w:val="13257202"/>
    <w:rsid w:val="132A4818"/>
    <w:rsid w:val="132C0B43"/>
    <w:rsid w:val="132C233E"/>
    <w:rsid w:val="132C25BD"/>
    <w:rsid w:val="13325CA1"/>
    <w:rsid w:val="13370CE3"/>
    <w:rsid w:val="13373808"/>
    <w:rsid w:val="133833D9"/>
    <w:rsid w:val="133B6A25"/>
    <w:rsid w:val="134018F5"/>
    <w:rsid w:val="1343188B"/>
    <w:rsid w:val="13433B2C"/>
    <w:rsid w:val="13441D7E"/>
    <w:rsid w:val="1347361C"/>
    <w:rsid w:val="134A4EBA"/>
    <w:rsid w:val="134C478E"/>
    <w:rsid w:val="13501BA8"/>
    <w:rsid w:val="13525B1D"/>
    <w:rsid w:val="135670F6"/>
    <w:rsid w:val="135D699C"/>
    <w:rsid w:val="1360023A"/>
    <w:rsid w:val="136415FC"/>
    <w:rsid w:val="13650BBA"/>
    <w:rsid w:val="13675747"/>
    <w:rsid w:val="13680AB7"/>
    <w:rsid w:val="1368501B"/>
    <w:rsid w:val="136A0DF3"/>
    <w:rsid w:val="136C14FB"/>
    <w:rsid w:val="13737F6D"/>
    <w:rsid w:val="137C2C19"/>
    <w:rsid w:val="137D2B9A"/>
    <w:rsid w:val="137D5290"/>
    <w:rsid w:val="137F010F"/>
    <w:rsid w:val="1380268A"/>
    <w:rsid w:val="138242EC"/>
    <w:rsid w:val="13825653"/>
    <w:rsid w:val="13855EF2"/>
    <w:rsid w:val="138A175B"/>
    <w:rsid w:val="138A3509"/>
    <w:rsid w:val="138B678C"/>
    <w:rsid w:val="138B7BAA"/>
    <w:rsid w:val="138E124B"/>
    <w:rsid w:val="138E2216"/>
    <w:rsid w:val="138E2FF9"/>
    <w:rsid w:val="13A46379"/>
    <w:rsid w:val="13A65B2F"/>
    <w:rsid w:val="13A740BB"/>
    <w:rsid w:val="13AB3BAB"/>
    <w:rsid w:val="13B0674D"/>
    <w:rsid w:val="13B14F39"/>
    <w:rsid w:val="13B47B12"/>
    <w:rsid w:val="13B567D8"/>
    <w:rsid w:val="13BD38DE"/>
    <w:rsid w:val="13BE3B4C"/>
    <w:rsid w:val="13C133CE"/>
    <w:rsid w:val="13C44C6D"/>
    <w:rsid w:val="13C62745"/>
    <w:rsid w:val="13C62793"/>
    <w:rsid w:val="13C82EBD"/>
    <w:rsid w:val="13CA0DED"/>
    <w:rsid w:val="13CE5AEB"/>
    <w:rsid w:val="13D40D6E"/>
    <w:rsid w:val="13D44D1C"/>
    <w:rsid w:val="13D529D6"/>
    <w:rsid w:val="13D65BBB"/>
    <w:rsid w:val="13D76995"/>
    <w:rsid w:val="13D80718"/>
    <w:rsid w:val="13D84274"/>
    <w:rsid w:val="13D84AA3"/>
    <w:rsid w:val="13DD0546"/>
    <w:rsid w:val="13DE112F"/>
    <w:rsid w:val="13DE3762"/>
    <w:rsid w:val="13E37A82"/>
    <w:rsid w:val="13E46BF1"/>
    <w:rsid w:val="13E75C47"/>
    <w:rsid w:val="13EB04F6"/>
    <w:rsid w:val="13F22D4B"/>
    <w:rsid w:val="13F35552"/>
    <w:rsid w:val="13F82B68"/>
    <w:rsid w:val="13F8636B"/>
    <w:rsid w:val="13FD1F2D"/>
    <w:rsid w:val="14005579"/>
    <w:rsid w:val="14035C2D"/>
    <w:rsid w:val="14055F2A"/>
    <w:rsid w:val="141334FE"/>
    <w:rsid w:val="141352AC"/>
    <w:rsid w:val="141379A2"/>
    <w:rsid w:val="141554C8"/>
    <w:rsid w:val="1417033E"/>
    <w:rsid w:val="14172FEE"/>
    <w:rsid w:val="14180B15"/>
    <w:rsid w:val="14185F29"/>
    <w:rsid w:val="141C6857"/>
    <w:rsid w:val="141F00F5"/>
    <w:rsid w:val="142825B6"/>
    <w:rsid w:val="14290F74"/>
    <w:rsid w:val="142A6EC8"/>
    <w:rsid w:val="142B4CEC"/>
    <w:rsid w:val="142D3EF2"/>
    <w:rsid w:val="142E4660"/>
    <w:rsid w:val="142E658A"/>
    <w:rsid w:val="14301957"/>
    <w:rsid w:val="14363F8E"/>
    <w:rsid w:val="14397409"/>
    <w:rsid w:val="143D1571"/>
    <w:rsid w:val="143D524C"/>
    <w:rsid w:val="143E4A1F"/>
    <w:rsid w:val="143F42F3"/>
    <w:rsid w:val="14432035"/>
    <w:rsid w:val="1449507C"/>
    <w:rsid w:val="144B713C"/>
    <w:rsid w:val="144D5B54"/>
    <w:rsid w:val="1454474B"/>
    <w:rsid w:val="14551D69"/>
    <w:rsid w:val="14587163"/>
    <w:rsid w:val="145A112D"/>
    <w:rsid w:val="145C30F7"/>
    <w:rsid w:val="145D29CB"/>
    <w:rsid w:val="145E6E6F"/>
    <w:rsid w:val="145F3F63"/>
    <w:rsid w:val="146143A3"/>
    <w:rsid w:val="146401FE"/>
    <w:rsid w:val="14641FAC"/>
    <w:rsid w:val="146534B7"/>
    <w:rsid w:val="14684B99"/>
    <w:rsid w:val="146975C2"/>
    <w:rsid w:val="146B50E8"/>
    <w:rsid w:val="146E305C"/>
    <w:rsid w:val="1475249B"/>
    <w:rsid w:val="147815B3"/>
    <w:rsid w:val="147859D2"/>
    <w:rsid w:val="14795A57"/>
    <w:rsid w:val="147A357D"/>
    <w:rsid w:val="147B4BCC"/>
    <w:rsid w:val="14812B5E"/>
    <w:rsid w:val="14861111"/>
    <w:rsid w:val="14863CD0"/>
    <w:rsid w:val="14885C9A"/>
    <w:rsid w:val="148B7538"/>
    <w:rsid w:val="148F527B"/>
    <w:rsid w:val="148F7029"/>
    <w:rsid w:val="149363ED"/>
    <w:rsid w:val="149D63BB"/>
    <w:rsid w:val="149F4D92"/>
    <w:rsid w:val="14A10028"/>
    <w:rsid w:val="14A14FAE"/>
    <w:rsid w:val="14A625C4"/>
    <w:rsid w:val="14AE6E91"/>
    <w:rsid w:val="14AF76CB"/>
    <w:rsid w:val="14B362AC"/>
    <w:rsid w:val="14B46A8F"/>
    <w:rsid w:val="14BE3C2A"/>
    <w:rsid w:val="14C021B2"/>
    <w:rsid w:val="14C34F24"/>
    <w:rsid w:val="14C64662"/>
    <w:rsid w:val="14C842E9"/>
    <w:rsid w:val="14CD7B51"/>
    <w:rsid w:val="14D25167"/>
    <w:rsid w:val="14D902A4"/>
    <w:rsid w:val="14DC5FE6"/>
    <w:rsid w:val="14DF1632"/>
    <w:rsid w:val="14EB6229"/>
    <w:rsid w:val="14ED3166"/>
    <w:rsid w:val="14ED3D4F"/>
    <w:rsid w:val="14F25809"/>
    <w:rsid w:val="14F41582"/>
    <w:rsid w:val="14F450DE"/>
    <w:rsid w:val="14F47F34"/>
    <w:rsid w:val="14F7697C"/>
    <w:rsid w:val="14F83903"/>
    <w:rsid w:val="14FB2910"/>
    <w:rsid w:val="14FB5517"/>
    <w:rsid w:val="14FE0A5F"/>
    <w:rsid w:val="14FF0009"/>
    <w:rsid w:val="15007F26"/>
    <w:rsid w:val="15065976"/>
    <w:rsid w:val="15080B89"/>
    <w:rsid w:val="150842C2"/>
    <w:rsid w:val="15086354"/>
    <w:rsid w:val="150870B3"/>
    <w:rsid w:val="150A66AF"/>
    <w:rsid w:val="15113EE2"/>
    <w:rsid w:val="151417DA"/>
    <w:rsid w:val="151614F8"/>
    <w:rsid w:val="15167FF1"/>
    <w:rsid w:val="1519674C"/>
    <w:rsid w:val="15204125"/>
    <w:rsid w:val="152139F9"/>
    <w:rsid w:val="15227E9D"/>
    <w:rsid w:val="152439DA"/>
    <w:rsid w:val="153100E0"/>
    <w:rsid w:val="153320AA"/>
    <w:rsid w:val="1534372C"/>
    <w:rsid w:val="153634EE"/>
    <w:rsid w:val="153674A4"/>
    <w:rsid w:val="153876C0"/>
    <w:rsid w:val="153927F1"/>
    <w:rsid w:val="153C6A85"/>
    <w:rsid w:val="153D52C5"/>
    <w:rsid w:val="153F5547"/>
    <w:rsid w:val="1540013C"/>
    <w:rsid w:val="1542409B"/>
    <w:rsid w:val="15485429"/>
    <w:rsid w:val="154A11A2"/>
    <w:rsid w:val="154A73F4"/>
    <w:rsid w:val="154F308C"/>
    <w:rsid w:val="15520056"/>
    <w:rsid w:val="155362A8"/>
    <w:rsid w:val="15537AC9"/>
    <w:rsid w:val="155913E5"/>
    <w:rsid w:val="15614461"/>
    <w:rsid w:val="156264EB"/>
    <w:rsid w:val="1563059D"/>
    <w:rsid w:val="15655FDB"/>
    <w:rsid w:val="156A35F2"/>
    <w:rsid w:val="156C55BC"/>
    <w:rsid w:val="156D4C43"/>
    <w:rsid w:val="15714A54"/>
    <w:rsid w:val="1573515B"/>
    <w:rsid w:val="15743BBF"/>
    <w:rsid w:val="157707EC"/>
    <w:rsid w:val="15783F61"/>
    <w:rsid w:val="157A2903"/>
    <w:rsid w:val="157D0C04"/>
    <w:rsid w:val="157F6B8A"/>
    <w:rsid w:val="1580118E"/>
    <w:rsid w:val="158100AB"/>
    <w:rsid w:val="158226E9"/>
    <w:rsid w:val="15853F88"/>
    <w:rsid w:val="158A20C0"/>
    <w:rsid w:val="159468C1"/>
    <w:rsid w:val="15995BBE"/>
    <w:rsid w:val="15995C85"/>
    <w:rsid w:val="15A07A7D"/>
    <w:rsid w:val="15A24B3A"/>
    <w:rsid w:val="15A72150"/>
    <w:rsid w:val="15A801E6"/>
    <w:rsid w:val="15A96D43"/>
    <w:rsid w:val="15AF629E"/>
    <w:rsid w:val="15B17473"/>
    <w:rsid w:val="15B34F99"/>
    <w:rsid w:val="15BA5E1A"/>
    <w:rsid w:val="15BB209F"/>
    <w:rsid w:val="15BB5BFB"/>
    <w:rsid w:val="15C03212"/>
    <w:rsid w:val="15C0597A"/>
    <w:rsid w:val="15C07747"/>
    <w:rsid w:val="15C2342E"/>
    <w:rsid w:val="15C245AC"/>
    <w:rsid w:val="15C40D7D"/>
    <w:rsid w:val="15C63B67"/>
    <w:rsid w:val="15C70A44"/>
    <w:rsid w:val="15C72A4F"/>
    <w:rsid w:val="15C947BC"/>
    <w:rsid w:val="15CA22E2"/>
    <w:rsid w:val="15CC605B"/>
    <w:rsid w:val="15D00040"/>
    <w:rsid w:val="15D13671"/>
    <w:rsid w:val="15D3486C"/>
    <w:rsid w:val="15D65076"/>
    <w:rsid w:val="15D66ED9"/>
    <w:rsid w:val="15D867AD"/>
    <w:rsid w:val="15DB44F0"/>
    <w:rsid w:val="15DD0268"/>
    <w:rsid w:val="15E038B4"/>
    <w:rsid w:val="15E056A4"/>
    <w:rsid w:val="15E474E8"/>
    <w:rsid w:val="15EC2259"/>
    <w:rsid w:val="15EC4007"/>
    <w:rsid w:val="15F65F77"/>
    <w:rsid w:val="15F86E50"/>
    <w:rsid w:val="15FA6724"/>
    <w:rsid w:val="15FB55F2"/>
    <w:rsid w:val="15FD6214"/>
    <w:rsid w:val="15FD7FC2"/>
    <w:rsid w:val="1600515F"/>
    <w:rsid w:val="16082C89"/>
    <w:rsid w:val="160939A2"/>
    <w:rsid w:val="160B0931"/>
    <w:rsid w:val="160D2E3F"/>
    <w:rsid w:val="160D7033"/>
    <w:rsid w:val="16111B25"/>
    <w:rsid w:val="161226C3"/>
    <w:rsid w:val="161257C9"/>
    <w:rsid w:val="161271C4"/>
    <w:rsid w:val="161672D6"/>
    <w:rsid w:val="1618304E"/>
    <w:rsid w:val="161D2412"/>
    <w:rsid w:val="16223BC9"/>
    <w:rsid w:val="16247C45"/>
    <w:rsid w:val="16266269"/>
    <w:rsid w:val="16297009"/>
    <w:rsid w:val="162D4D4B"/>
    <w:rsid w:val="16302145"/>
    <w:rsid w:val="16361726"/>
    <w:rsid w:val="1638549E"/>
    <w:rsid w:val="16387561"/>
    <w:rsid w:val="163C4C29"/>
    <w:rsid w:val="163F3E6B"/>
    <w:rsid w:val="16452C82"/>
    <w:rsid w:val="16453E01"/>
    <w:rsid w:val="16461969"/>
    <w:rsid w:val="16467BBB"/>
    <w:rsid w:val="164976AB"/>
    <w:rsid w:val="1653052A"/>
    <w:rsid w:val="165322D8"/>
    <w:rsid w:val="165C73DE"/>
    <w:rsid w:val="166444E5"/>
    <w:rsid w:val="16685D83"/>
    <w:rsid w:val="16695657"/>
    <w:rsid w:val="16783AEC"/>
    <w:rsid w:val="167D1103"/>
    <w:rsid w:val="16881F81"/>
    <w:rsid w:val="168A2EA6"/>
    <w:rsid w:val="168B336F"/>
    <w:rsid w:val="168B3820"/>
    <w:rsid w:val="168E1562"/>
    <w:rsid w:val="168F6536"/>
    <w:rsid w:val="1690576E"/>
    <w:rsid w:val="16907088"/>
    <w:rsid w:val="16924BAE"/>
    <w:rsid w:val="16946B78"/>
    <w:rsid w:val="16976668"/>
    <w:rsid w:val="169E17A5"/>
    <w:rsid w:val="16A1359E"/>
    <w:rsid w:val="16A14DF1"/>
    <w:rsid w:val="16A83CB4"/>
    <w:rsid w:val="16A86180"/>
    <w:rsid w:val="16A9014A"/>
    <w:rsid w:val="16A905DC"/>
    <w:rsid w:val="16AC4F61"/>
    <w:rsid w:val="16AE1F94"/>
    <w:rsid w:val="16AF0285"/>
    <w:rsid w:val="16B56AEF"/>
    <w:rsid w:val="16B81863"/>
    <w:rsid w:val="16B94831"/>
    <w:rsid w:val="16BB01E4"/>
    <w:rsid w:val="16BD39C5"/>
    <w:rsid w:val="16BF34C9"/>
    <w:rsid w:val="16C34C92"/>
    <w:rsid w:val="16C44536"/>
    <w:rsid w:val="16C44F84"/>
    <w:rsid w:val="16C77949"/>
    <w:rsid w:val="16C81358"/>
    <w:rsid w:val="16CD5BE6"/>
    <w:rsid w:val="16CE4F2C"/>
    <w:rsid w:val="16CF5E02"/>
    <w:rsid w:val="16D01B7A"/>
    <w:rsid w:val="16D5087F"/>
    <w:rsid w:val="16E02158"/>
    <w:rsid w:val="16E42F30"/>
    <w:rsid w:val="16E83311"/>
    <w:rsid w:val="16E923AF"/>
    <w:rsid w:val="16EB0762"/>
    <w:rsid w:val="16EE5208"/>
    <w:rsid w:val="16EF2001"/>
    <w:rsid w:val="16F56F47"/>
    <w:rsid w:val="16F615E1"/>
    <w:rsid w:val="16F74821"/>
    <w:rsid w:val="16F77107"/>
    <w:rsid w:val="16F92E7F"/>
    <w:rsid w:val="16FA5928"/>
    <w:rsid w:val="16FE0BDF"/>
    <w:rsid w:val="17066C93"/>
    <w:rsid w:val="170B2BB3"/>
    <w:rsid w:val="170B670F"/>
    <w:rsid w:val="170D06D9"/>
    <w:rsid w:val="170F6525"/>
    <w:rsid w:val="17143815"/>
    <w:rsid w:val="171831E2"/>
    <w:rsid w:val="17192EBD"/>
    <w:rsid w:val="171C4DC0"/>
    <w:rsid w:val="17224060"/>
    <w:rsid w:val="17226E2D"/>
    <w:rsid w:val="17274944"/>
    <w:rsid w:val="17285A6E"/>
    <w:rsid w:val="172B0B5F"/>
    <w:rsid w:val="172C4C7C"/>
    <w:rsid w:val="172D0F78"/>
    <w:rsid w:val="172D48D7"/>
    <w:rsid w:val="17312619"/>
    <w:rsid w:val="173160BF"/>
    <w:rsid w:val="17351EB0"/>
    <w:rsid w:val="1738335E"/>
    <w:rsid w:val="17485BB5"/>
    <w:rsid w:val="17487963"/>
    <w:rsid w:val="1749510D"/>
    <w:rsid w:val="174B0D9F"/>
    <w:rsid w:val="174C3A8E"/>
    <w:rsid w:val="174C7453"/>
    <w:rsid w:val="175372AA"/>
    <w:rsid w:val="175B310C"/>
    <w:rsid w:val="175D48F4"/>
    <w:rsid w:val="175D5180"/>
    <w:rsid w:val="176302F9"/>
    <w:rsid w:val="17654071"/>
    <w:rsid w:val="176666BC"/>
    <w:rsid w:val="17667DE9"/>
    <w:rsid w:val="17680005"/>
    <w:rsid w:val="176946F7"/>
    <w:rsid w:val="176A5B2B"/>
    <w:rsid w:val="176C18A3"/>
    <w:rsid w:val="176D4508"/>
    <w:rsid w:val="176F3141"/>
    <w:rsid w:val="1773751D"/>
    <w:rsid w:val="17740758"/>
    <w:rsid w:val="1774709D"/>
    <w:rsid w:val="1776627E"/>
    <w:rsid w:val="177B042B"/>
    <w:rsid w:val="177B0796"/>
    <w:rsid w:val="177B3894"/>
    <w:rsid w:val="17842B8C"/>
    <w:rsid w:val="17854713"/>
    <w:rsid w:val="1786681D"/>
    <w:rsid w:val="17877C80"/>
    <w:rsid w:val="178925A0"/>
    <w:rsid w:val="178A3AD7"/>
    <w:rsid w:val="178C3CF3"/>
    <w:rsid w:val="17905E96"/>
    <w:rsid w:val="17914E66"/>
    <w:rsid w:val="17935082"/>
    <w:rsid w:val="1795441F"/>
    <w:rsid w:val="17957055"/>
    <w:rsid w:val="17994EC4"/>
    <w:rsid w:val="179E57D5"/>
    <w:rsid w:val="179F70E4"/>
    <w:rsid w:val="17A032FB"/>
    <w:rsid w:val="17A41FB4"/>
    <w:rsid w:val="17A51045"/>
    <w:rsid w:val="17A513B0"/>
    <w:rsid w:val="17A728DB"/>
    <w:rsid w:val="17AC6144"/>
    <w:rsid w:val="17AD5A18"/>
    <w:rsid w:val="17B22B7E"/>
    <w:rsid w:val="17B5239F"/>
    <w:rsid w:val="17B60D70"/>
    <w:rsid w:val="17B86896"/>
    <w:rsid w:val="17BF5E77"/>
    <w:rsid w:val="17C05240"/>
    <w:rsid w:val="17C23271"/>
    <w:rsid w:val="17C25ADF"/>
    <w:rsid w:val="17C33F38"/>
    <w:rsid w:val="17C36FE9"/>
    <w:rsid w:val="17C74628"/>
    <w:rsid w:val="17C76AD9"/>
    <w:rsid w:val="17CA0378"/>
    <w:rsid w:val="17CB6D2A"/>
    <w:rsid w:val="17CF598E"/>
    <w:rsid w:val="17D2722C"/>
    <w:rsid w:val="17D64F6F"/>
    <w:rsid w:val="17D91CAE"/>
    <w:rsid w:val="17E06786"/>
    <w:rsid w:val="17E07B9B"/>
    <w:rsid w:val="17E256C1"/>
    <w:rsid w:val="17E4768B"/>
    <w:rsid w:val="17E72CD8"/>
    <w:rsid w:val="17E84FCA"/>
    <w:rsid w:val="17EC6540"/>
    <w:rsid w:val="17EE22B8"/>
    <w:rsid w:val="17EE4066"/>
    <w:rsid w:val="17EF4E0B"/>
    <w:rsid w:val="17EF6030"/>
    <w:rsid w:val="17F11DA8"/>
    <w:rsid w:val="17F17FFA"/>
    <w:rsid w:val="17F453F5"/>
    <w:rsid w:val="17F90310"/>
    <w:rsid w:val="17FB6783"/>
    <w:rsid w:val="17FC76E8"/>
    <w:rsid w:val="17FD24FB"/>
    <w:rsid w:val="180216D7"/>
    <w:rsid w:val="18047D2E"/>
    <w:rsid w:val="180513B0"/>
    <w:rsid w:val="180715CC"/>
    <w:rsid w:val="180A2E6A"/>
    <w:rsid w:val="180B10BC"/>
    <w:rsid w:val="180F222F"/>
    <w:rsid w:val="18100480"/>
    <w:rsid w:val="1810194F"/>
    <w:rsid w:val="18136653"/>
    <w:rsid w:val="18147845"/>
    <w:rsid w:val="18155246"/>
    <w:rsid w:val="181810E3"/>
    <w:rsid w:val="181B092C"/>
    <w:rsid w:val="18221F62"/>
    <w:rsid w:val="18277578"/>
    <w:rsid w:val="18286288"/>
    <w:rsid w:val="18294C4F"/>
    <w:rsid w:val="18297794"/>
    <w:rsid w:val="182D6E15"/>
    <w:rsid w:val="18381785"/>
    <w:rsid w:val="18397C4D"/>
    <w:rsid w:val="183B3024"/>
    <w:rsid w:val="183C74C7"/>
    <w:rsid w:val="18441ED8"/>
    <w:rsid w:val="184620F4"/>
    <w:rsid w:val="18477C1A"/>
    <w:rsid w:val="184A536F"/>
    <w:rsid w:val="184B5A18"/>
    <w:rsid w:val="185145F5"/>
    <w:rsid w:val="18583BD5"/>
    <w:rsid w:val="185D2F9A"/>
    <w:rsid w:val="185F5CC0"/>
    <w:rsid w:val="18615571"/>
    <w:rsid w:val="18622CA6"/>
    <w:rsid w:val="186500A0"/>
    <w:rsid w:val="18664544"/>
    <w:rsid w:val="1867206B"/>
    <w:rsid w:val="18673C09"/>
    <w:rsid w:val="186B56B7"/>
    <w:rsid w:val="186C29EA"/>
    <w:rsid w:val="187A7FF0"/>
    <w:rsid w:val="187D188E"/>
    <w:rsid w:val="18805127"/>
    <w:rsid w:val="188304C6"/>
    <w:rsid w:val="188655FD"/>
    <w:rsid w:val="18866995"/>
    <w:rsid w:val="18892CD0"/>
    <w:rsid w:val="188B3FAB"/>
    <w:rsid w:val="188E75F7"/>
    <w:rsid w:val="188F6EFF"/>
    <w:rsid w:val="18954E2A"/>
    <w:rsid w:val="189664AC"/>
    <w:rsid w:val="18980476"/>
    <w:rsid w:val="189B3340"/>
    <w:rsid w:val="189F7A56"/>
    <w:rsid w:val="18A137CE"/>
    <w:rsid w:val="18A84B5D"/>
    <w:rsid w:val="18A961DF"/>
    <w:rsid w:val="18AC2047"/>
    <w:rsid w:val="18AD6BE6"/>
    <w:rsid w:val="18AE7C99"/>
    <w:rsid w:val="18B057C0"/>
    <w:rsid w:val="18B74DA0"/>
    <w:rsid w:val="18B90B18"/>
    <w:rsid w:val="18BA4890"/>
    <w:rsid w:val="18BA6619"/>
    <w:rsid w:val="18BB4F98"/>
    <w:rsid w:val="18BE642A"/>
    <w:rsid w:val="18BF1EA7"/>
    <w:rsid w:val="18C354F3"/>
    <w:rsid w:val="18C474BD"/>
    <w:rsid w:val="18C70119"/>
    <w:rsid w:val="18C748B7"/>
    <w:rsid w:val="18C86120"/>
    <w:rsid w:val="18C87F64"/>
    <w:rsid w:val="18CB097F"/>
    <w:rsid w:val="18CB43A7"/>
    <w:rsid w:val="18D23988"/>
    <w:rsid w:val="18D71629"/>
    <w:rsid w:val="18D92F68"/>
    <w:rsid w:val="18D97FF0"/>
    <w:rsid w:val="18DF42F7"/>
    <w:rsid w:val="18E13BCB"/>
    <w:rsid w:val="18E436BB"/>
    <w:rsid w:val="18E45469"/>
    <w:rsid w:val="18E63C50"/>
    <w:rsid w:val="18E655B1"/>
    <w:rsid w:val="18E65685"/>
    <w:rsid w:val="18E67433"/>
    <w:rsid w:val="18E92A80"/>
    <w:rsid w:val="18ED431E"/>
    <w:rsid w:val="18EE62E8"/>
    <w:rsid w:val="18F20563"/>
    <w:rsid w:val="18F25DD8"/>
    <w:rsid w:val="18F338FE"/>
    <w:rsid w:val="18F5280B"/>
    <w:rsid w:val="18F733EE"/>
    <w:rsid w:val="18F953B8"/>
    <w:rsid w:val="18FA2EDF"/>
    <w:rsid w:val="18FA6A3B"/>
    <w:rsid w:val="19020A55"/>
    <w:rsid w:val="19066D08"/>
    <w:rsid w:val="190A17F9"/>
    <w:rsid w:val="190B0D75"/>
    <w:rsid w:val="191044B0"/>
    <w:rsid w:val="19140901"/>
    <w:rsid w:val="191434AA"/>
    <w:rsid w:val="19155C1B"/>
    <w:rsid w:val="1917583F"/>
    <w:rsid w:val="19193365"/>
    <w:rsid w:val="19194EB3"/>
    <w:rsid w:val="191D5053"/>
    <w:rsid w:val="191E6BCD"/>
    <w:rsid w:val="191F56A4"/>
    <w:rsid w:val="19212219"/>
    <w:rsid w:val="1922541F"/>
    <w:rsid w:val="19232435"/>
    <w:rsid w:val="19236DFD"/>
    <w:rsid w:val="192E0037"/>
    <w:rsid w:val="192F0DDA"/>
    <w:rsid w:val="19301518"/>
    <w:rsid w:val="19306172"/>
    <w:rsid w:val="19353F17"/>
    <w:rsid w:val="193957B5"/>
    <w:rsid w:val="193B062E"/>
    <w:rsid w:val="193C52A5"/>
    <w:rsid w:val="193E2DCB"/>
    <w:rsid w:val="193F06E9"/>
    <w:rsid w:val="19406B43"/>
    <w:rsid w:val="194128BC"/>
    <w:rsid w:val="19434886"/>
    <w:rsid w:val="194505FE"/>
    <w:rsid w:val="194523AC"/>
    <w:rsid w:val="194B54E8"/>
    <w:rsid w:val="194D300E"/>
    <w:rsid w:val="194E3880"/>
    <w:rsid w:val="19573038"/>
    <w:rsid w:val="19595E57"/>
    <w:rsid w:val="195A46A1"/>
    <w:rsid w:val="195A572B"/>
    <w:rsid w:val="19605263"/>
    <w:rsid w:val="19636CD6"/>
    <w:rsid w:val="19643A95"/>
    <w:rsid w:val="19692DD8"/>
    <w:rsid w:val="196A0064"/>
    <w:rsid w:val="196A1E12"/>
    <w:rsid w:val="196F567B"/>
    <w:rsid w:val="19710749"/>
    <w:rsid w:val="19742C91"/>
    <w:rsid w:val="197734BB"/>
    <w:rsid w:val="19793E03"/>
    <w:rsid w:val="197B401F"/>
    <w:rsid w:val="198253AE"/>
    <w:rsid w:val="19834C82"/>
    <w:rsid w:val="19874772"/>
    <w:rsid w:val="19886DAA"/>
    <w:rsid w:val="198C7230"/>
    <w:rsid w:val="198D3D53"/>
    <w:rsid w:val="19921369"/>
    <w:rsid w:val="19940C3D"/>
    <w:rsid w:val="1998697F"/>
    <w:rsid w:val="199B1FCC"/>
    <w:rsid w:val="199D3F96"/>
    <w:rsid w:val="199E2BFC"/>
    <w:rsid w:val="19A213F5"/>
    <w:rsid w:val="19A52E4A"/>
    <w:rsid w:val="19A53061"/>
    <w:rsid w:val="19A96D61"/>
    <w:rsid w:val="19AE23F2"/>
    <w:rsid w:val="19AF1F1B"/>
    <w:rsid w:val="19B0396B"/>
    <w:rsid w:val="19B327BD"/>
    <w:rsid w:val="19B337B9"/>
    <w:rsid w:val="19B36563"/>
    <w:rsid w:val="19B412DF"/>
    <w:rsid w:val="19B46FFB"/>
    <w:rsid w:val="19B72B7E"/>
    <w:rsid w:val="19BB606E"/>
    <w:rsid w:val="19BD0194"/>
    <w:rsid w:val="19BE5CBA"/>
    <w:rsid w:val="19C10B67"/>
    <w:rsid w:val="19C21C4E"/>
    <w:rsid w:val="19C5529B"/>
    <w:rsid w:val="19C57049"/>
    <w:rsid w:val="19C65F4C"/>
    <w:rsid w:val="19C9433C"/>
    <w:rsid w:val="19CA465F"/>
    <w:rsid w:val="19CC0C6C"/>
    <w:rsid w:val="19CC487B"/>
    <w:rsid w:val="19CC6629"/>
    <w:rsid w:val="19CE23A1"/>
    <w:rsid w:val="19E16F3C"/>
    <w:rsid w:val="19E27BFB"/>
    <w:rsid w:val="19E33973"/>
    <w:rsid w:val="19E51499"/>
    <w:rsid w:val="19E576EB"/>
    <w:rsid w:val="19E75211"/>
    <w:rsid w:val="19F138D9"/>
    <w:rsid w:val="19F13A9E"/>
    <w:rsid w:val="19F53DD2"/>
    <w:rsid w:val="19F811CC"/>
    <w:rsid w:val="19FA25FA"/>
    <w:rsid w:val="19FB2187"/>
    <w:rsid w:val="19FD2C86"/>
    <w:rsid w:val="19FD67E3"/>
    <w:rsid w:val="1A020B05"/>
    <w:rsid w:val="1A04207E"/>
    <w:rsid w:val="1A0A0EFF"/>
    <w:rsid w:val="1A0A53A3"/>
    <w:rsid w:val="1A1678A4"/>
    <w:rsid w:val="1A1A6FBE"/>
    <w:rsid w:val="1A206975"/>
    <w:rsid w:val="1A220B7E"/>
    <w:rsid w:val="1A246465"/>
    <w:rsid w:val="1A2B60A0"/>
    <w:rsid w:val="1A2B77F4"/>
    <w:rsid w:val="1A312930"/>
    <w:rsid w:val="1A314152"/>
    <w:rsid w:val="1A324E27"/>
    <w:rsid w:val="1A350442"/>
    <w:rsid w:val="1A393593"/>
    <w:rsid w:val="1A3B7D69"/>
    <w:rsid w:val="1A3E4845"/>
    <w:rsid w:val="1A404921"/>
    <w:rsid w:val="1A40710C"/>
    <w:rsid w:val="1A43313F"/>
    <w:rsid w:val="1A4408B5"/>
    <w:rsid w:val="1A45144E"/>
    <w:rsid w:val="1A46462D"/>
    <w:rsid w:val="1A4E34E2"/>
    <w:rsid w:val="1A512FED"/>
    <w:rsid w:val="1A516B2E"/>
    <w:rsid w:val="1A525246"/>
    <w:rsid w:val="1A530AF8"/>
    <w:rsid w:val="1A53412E"/>
    <w:rsid w:val="1A537489"/>
    <w:rsid w:val="1A5403CD"/>
    <w:rsid w:val="1A55661F"/>
    <w:rsid w:val="1A562397"/>
    <w:rsid w:val="1A587EBD"/>
    <w:rsid w:val="1A5B1D0B"/>
    <w:rsid w:val="1A5F2FF9"/>
    <w:rsid w:val="1A5F56EF"/>
    <w:rsid w:val="1A6026AE"/>
    <w:rsid w:val="1A630051"/>
    <w:rsid w:val="1A642D06"/>
    <w:rsid w:val="1A644FA3"/>
    <w:rsid w:val="1A6745A4"/>
    <w:rsid w:val="1A683AA4"/>
    <w:rsid w:val="1A69031C"/>
    <w:rsid w:val="1A6920CA"/>
    <w:rsid w:val="1A6940BC"/>
    <w:rsid w:val="1A6B5E42"/>
    <w:rsid w:val="1A6D6D72"/>
    <w:rsid w:val="1A6F2F39"/>
    <w:rsid w:val="1A766595"/>
    <w:rsid w:val="1A78230D"/>
    <w:rsid w:val="1A7C541F"/>
    <w:rsid w:val="1A7C578A"/>
    <w:rsid w:val="1A7E7AC4"/>
    <w:rsid w:val="1A854632"/>
    <w:rsid w:val="1A8567D8"/>
    <w:rsid w:val="1A89451A"/>
    <w:rsid w:val="1A8B2040"/>
    <w:rsid w:val="1A8C38FE"/>
    <w:rsid w:val="1A911621"/>
    <w:rsid w:val="1A91181B"/>
    <w:rsid w:val="1A975C0F"/>
    <w:rsid w:val="1A996A5E"/>
    <w:rsid w:val="1A9B06CA"/>
    <w:rsid w:val="1A9D1C3A"/>
    <w:rsid w:val="1A9D1D74"/>
    <w:rsid w:val="1A9D2818"/>
    <w:rsid w:val="1AA11343"/>
    <w:rsid w:val="1AA70EF9"/>
    <w:rsid w:val="1AB66952"/>
    <w:rsid w:val="1AB84FAE"/>
    <w:rsid w:val="1ABA0B77"/>
    <w:rsid w:val="1ABA46D4"/>
    <w:rsid w:val="1AC13CB4"/>
    <w:rsid w:val="1AC60017"/>
    <w:rsid w:val="1AC612CA"/>
    <w:rsid w:val="1AC75042"/>
    <w:rsid w:val="1AD42B5F"/>
    <w:rsid w:val="1AD82690"/>
    <w:rsid w:val="1ADC0AEE"/>
    <w:rsid w:val="1ADC289C"/>
    <w:rsid w:val="1AE36188"/>
    <w:rsid w:val="1AE6371B"/>
    <w:rsid w:val="1AEB2ADF"/>
    <w:rsid w:val="1AF079B3"/>
    <w:rsid w:val="1AF20311"/>
    <w:rsid w:val="1AF23E6D"/>
    <w:rsid w:val="1AF26696"/>
    <w:rsid w:val="1AFA59CB"/>
    <w:rsid w:val="1AFF22F6"/>
    <w:rsid w:val="1B012302"/>
    <w:rsid w:val="1B0921C3"/>
    <w:rsid w:val="1B0A5425"/>
    <w:rsid w:val="1B0D514B"/>
    <w:rsid w:val="1B0F349B"/>
    <w:rsid w:val="1B102383"/>
    <w:rsid w:val="1B102545"/>
    <w:rsid w:val="1B122762"/>
    <w:rsid w:val="1B140288"/>
    <w:rsid w:val="1B177D78"/>
    <w:rsid w:val="1B1D6504"/>
    <w:rsid w:val="1B210BF7"/>
    <w:rsid w:val="1B252495"/>
    <w:rsid w:val="1B256925"/>
    <w:rsid w:val="1B2604E2"/>
    <w:rsid w:val="1B270062"/>
    <w:rsid w:val="1B281F85"/>
    <w:rsid w:val="1B295A57"/>
    <w:rsid w:val="1B2A7AAB"/>
    <w:rsid w:val="1B2D759B"/>
    <w:rsid w:val="1B32187B"/>
    <w:rsid w:val="1B3426D8"/>
    <w:rsid w:val="1B357564"/>
    <w:rsid w:val="1B37398D"/>
    <w:rsid w:val="1B375D24"/>
    <w:rsid w:val="1B387260"/>
    <w:rsid w:val="1B391A9C"/>
    <w:rsid w:val="1B3B1B1A"/>
    <w:rsid w:val="1B3C333B"/>
    <w:rsid w:val="1B3C3BAF"/>
    <w:rsid w:val="1B3C77DE"/>
    <w:rsid w:val="1B3E5305"/>
    <w:rsid w:val="1B3F107D"/>
    <w:rsid w:val="1B410951"/>
    <w:rsid w:val="1B475384"/>
    <w:rsid w:val="1B4B5C73"/>
    <w:rsid w:val="1B506DE6"/>
    <w:rsid w:val="1B5771AB"/>
    <w:rsid w:val="1B5863FE"/>
    <w:rsid w:val="1B595D27"/>
    <w:rsid w:val="1B5B67BF"/>
    <w:rsid w:val="1B5C4BBF"/>
    <w:rsid w:val="1B5F1090"/>
    <w:rsid w:val="1B652214"/>
    <w:rsid w:val="1B682381"/>
    <w:rsid w:val="1B684130"/>
    <w:rsid w:val="1B6A60FA"/>
    <w:rsid w:val="1B742AD4"/>
    <w:rsid w:val="1B751B6D"/>
    <w:rsid w:val="1B7674CB"/>
    <w:rsid w:val="1B776A68"/>
    <w:rsid w:val="1B7900EB"/>
    <w:rsid w:val="1B7A20B5"/>
    <w:rsid w:val="1B7A3E63"/>
    <w:rsid w:val="1B7C7BDB"/>
    <w:rsid w:val="1B8126FA"/>
    <w:rsid w:val="1B826CAD"/>
    <w:rsid w:val="1B830036"/>
    <w:rsid w:val="1B835B95"/>
    <w:rsid w:val="1B851185"/>
    <w:rsid w:val="1B852DAA"/>
    <w:rsid w:val="1B886580"/>
    <w:rsid w:val="1B915731"/>
    <w:rsid w:val="1B917B2A"/>
    <w:rsid w:val="1B9238A2"/>
    <w:rsid w:val="1B950C9D"/>
    <w:rsid w:val="1B965141"/>
    <w:rsid w:val="1B99078D"/>
    <w:rsid w:val="1B9A62B3"/>
    <w:rsid w:val="1B9C027D"/>
    <w:rsid w:val="1B9E5DA3"/>
    <w:rsid w:val="1B9F70A7"/>
    <w:rsid w:val="1BA03070"/>
    <w:rsid w:val="1BA43EF7"/>
    <w:rsid w:val="1BA50EE0"/>
    <w:rsid w:val="1BA548B0"/>
    <w:rsid w:val="1BA84E74"/>
    <w:rsid w:val="1BAB04C0"/>
    <w:rsid w:val="1BAB3772"/>
    <w:rsid w:val="1BB01347"/>
    <w:rsid w:val="1BB235FD"/>
    <w:rsid w:val="1BB9498B"/>
    <w:rsid w:val="1BBC26CD"/>
    <w:rsid w:val="1BBD091F"/>
    <w:rsid w:val="1BBE2DE4"/>
    <w:rsid w:val="1BC670A8"/>
    <w:rsid w:val="1BC82E20"/>
    <w:rsid w:val="1BC9004E"/>
    <w:rsid w:val="1BD061B0"/>
    <w:rsid w:val="1BD16179"/>
    <w:rsid w:val="1BD85A23"/>
    <w:rsid w:val="1BD9502D"/>
    <w:rsid w:val="1BDB32D5"/>
    <w:rsid w:val="1BDD2D6F"/>
    <w:rsid w:val="1BE063BC"/>
    <w:rsid w:val="1BE51C24"/>
    <w:rsid w:val="1BF12C09"/>
    <w:rsid w:val="1BF400B9"/>
    <w:rsid w:val="1BF40BDF"/>
    <w:rsid w:val="1BF730CC"/>
    <w:rsid w:val="1BFB1448"/>
    <w:rsid w:val="1BFF4FCD"/>
    <w:rsid w:val="1C0025BA"/>
    <w:rsid w:val="1C0130EB"/>
    <w:rsid w:val="1C055E22"/>
    <w:rsid w:val="1C06768E"/>
    <w:rsid w:val="1C073948"/>
    <w:rsid w:val="1C0C0F5F"/>
    <w:rsid w:val="1C0C71B1"/>
    <w:rsid w:val="1C123AE8"/>
    <w:rsid w:val="1C161DDD"/>
    <w:rsid w:val="1C166281"/>
    <w:rsid w:val="1C177904"/>
    <w:rsid w:val="1C185B56"/>
    <w:rsid w:val="1C1B73F4"/>
    <w:rsid w:val="1C1D3723"/>
    <w:rsid w:val="1C1E0C92"/>
    <w:rsid w:val="1C1E6EE4"/>
    <w:rsid w:val="1C200EAE"/>
    <w:rsid w:val="1C246AC4"/>
    <w:rsid w:val="1C252021"/>
    <w:rsid w:val="1C2564C4"/>
    <w:rsid w:val="1C2838BF"/>
    <w:rsid w:val="1C295FB5"/>
    <w:rsid w:val="1C2C7063"/>
    <w:rsid w:val="1C2D2A4D"/>
    <w:rsid w:val="1C2E5379"/>
    <w:rsid w:val="1C342D08"/>
    <w:rsid w:val="1C34578A"/>
    <w:rsid w:val="1C3A1F70"/>
    <w:rsid w:val="1C3B7A96"/>
    <w:rsid w:val="1C3E1334"/>
    <w:rsid w:val="1C3E2C90"/>
    <w:rsid w:val="1C412D52"/>
    <w:rsid w:val="1C413713"/>
    <w:rsid w:val="1C47643B"/>
    <w:rsid w:val="1C4A5F2B"/>
    <w:rsid w:val="1C4E71BE"/>
    <w:rsid w:val="1C4F709D"/>
    <w:rsid w:val="1C5446B4"/>
    <w:rsid w:val="1C550B58"/>
    <w:rsid w:val="1C5B1EE6"/>
    <w:rsid w:val="1C5B26D4"/>
    <w:rsid w:val="1C5C1EBC"/>
    <w:rsid w:val="1C620732"/>
    <w:rsid w:val="1C623275"/>
    <w:rsid w:val="1C625023"/>
    <w:rsid w:val="1C631F5D"/>
    <w:rsid w:val="1C632B49"/>
    <w:rsid w:val="1C641C49"/>
    <w:rsid w:val="1C64757C"/>
    <w:rsid w:val="1C6A3ED7"/>
    <w:rsid w:val="1C705992"/>
    <w:rsid w:val="1C744D56"/>
    <w:rsid w:val="1C766D20"/>
    <w:rsid w:val="1C782A98"/>
    <w:rsid w:val="1C7A6810"/>
    <w:rsid w:val="1C7B1658"/>
    <w:rsid w:val="1C7B7E93"/>
    <w:rsid w:val="1C8036FB"/>
    <w:rsid w:val="1C805D1C"/>
    <w:rsid w:val="1C8C02F2"/>
    <w:rsid w:val="1C907DE2"/>
    <w:rsid w:val="1C961170"/>
    <w:rsid w:val="1C9A47BD"/>
    <w:rsid w:val="1CA05B4B"/>
    <w:rsid w:val="1CA27B15"/>
    <w:rsid w:val="1CA55D81"/>
    <w:rsid w:val="1CA732C5"/>
    <w:rsid w:val="1CA90B3C"/>
    <w:rsid w:val="1CAB69CA"/>
    <w:rsid w:val="1CAC629E"/>
    <w:rsid w:val="1CB33AD0"/>
    <w:rsid w:val="1CB4248F"/>
    <w:rsid w:val="1CB47CD2"/>
    <w:rsid w:val="1CB515F6"/>
    <w:rsid w:val="1CB533A4"/>
    <w:rsid w:val="1CB66E24"/>
    <w:rsid w:val="1CBD09C8"/>
    <w:rsid w:val="1CC052B0"/>
    <w:rsid w:val="1CC31152"/>
    <w:rsid w:val="1CC47A8B"/>
    <w:rsid w:val="1CC655B2"/>
    <w:rsid w:val="1CCB706C"/>
    <w:rsid w:val="1CCC06EE"/>
    <w:rsid w:val="1CCC4B92"/>
    <w:rsid w:val="1CD221A8"/>
    <w:rsid w:val="1CD32082"/>
    <w:rsid w:val="1CD32EB7"/>
    <w:rsid w:val="1CDA105D"/>
    <w:rsid w:val="1CDB049A"/>
    <w:rsid w:val="1CDD25B2"/>
    <w:rsid w:val="1CDF48C5"/>
    <w:rsid w:val="1CDF6A28"/>
    <w:rsid w:val="1CE0738D"/>
    <w:rsid w:val="1CE43C8A"/>
    <w:rsid w:val="1CE4737F"/>
    <w:rsid w:val="1CE50760"/>
    <w:rsid w:val="1CE617B0"/>
    <w:rsid w:val="1CEB326A"/>
    <w:rsid w:val="1CEE008E"/>
    <w:rsid w:val="1CEE2D5A"/>
    <w:rsid w:val="1CF3211F"/>
    <w:rsid w:val="1CF814E3"/>
    <w:rsid w:val="1CFB013B"/>
    <w:rsid w:val="1CFB142C"/>
    <w:rsid w:val="1CFC39E2"/>
    <w:rsid w:val="1CFE21F4"/>
    <w:rsid w:val="1CFE272D"/>
    <w:rsid w:val="1CFF0AC4"/>
    <w:rsid w:val="1D057ED5"/>
    <w:rsid w:val="1D097CB2"/>
    <w:rsid w:val="1D0B1216"/>
    <w:rsid w:val="1D0B7468"/>
    <w:rsid w:val="1D0C481B"/>
    <w:rsid w:val="1D0D064B"/>
    <w:rsid w:val="1D0E6F59"/>
    <w:rsid w:val="1D152095"/>
    <w:rsid w:val="1D214EDE"/>
    <w:rsid w:val="1D215737"/>
    <w:rsid w:val="1D22539B"/>
    <w:rsid w:val="1D266050"/>
    <w:rsid w:val="1D282738"/>
    <w:rsid w:val="1D28626C"/>
    <w:rsid w:val="1D293D92"/>
    <w:rsid w:val="1D2B18B9"/>
    <w:rsid w:val="1D303373"/>
    <w:rsid w:val="1D3240BA"/>
    <w:rsid w:val="1D345C02"/>
    <w:rsid w:val="1D346863"/>
    <w:rsid w:val="1D365280"/>
    <w:rsid w:val="1D37483E"/>
    <w:rsid w:val="1D3764AF"/>
    <w:rsid w:val="1D383FD6"/>
    <w:rsid w:val="1D385D84"/>
    <w:rsid w:val="1D39260F"/>
    <w:rsid w:val="1D3D2614"/>
    <w:rsid w:val="1D456E66"/>
    <w:rsid w:val="1D570900"/>
    <w:rsid w:val="1D573933"/>
    <w:rsid w:val="1D5C5F16"/>
    <w:rsid w:val="1D5F77B4"/>
    <w:rsid w:val="1D600920"/>
    <w:rsid w:val="1D616326"/>
    <w:rsid w:val="1D641DA6"/>
    <w:rsid w:val="1D65301C"/>
    <w:rsid w:val="1D6C26E5"/>
    <w:rsid w:val="1D6F18DA"/>
    <w:rsid w:val="1D70376F"/>
    <w:rsid w:val="1D725739"/>
    <w:rsid w:val="1D7274E7"/>
    <w:rsid w:val="1D74500E"/>
    <w:rsid w:val="1D752B34"/>
    <w:rsid w:val="1D792624"/>
    <w:rsid w:val="1D7A639C"/>
    <w:rsid w:val="1D7B2840"/>
    <w:rsid w:val="1D8164D4"/>
    <w:rsid w:val="1D835251"/>
    <w:rsid w:val="1D882867"/>
    <w:rsid w:val="1D8B05A9"/>
    <w:rsid w:val="1D8B2357"/>
    <w:rsid w:val="1D905BC0"/>
    <w:rsid w:val="1D963C5B"/>
    <w:rsid w:val="1D9751A0"/>
    <w:rsid w:val="1D992CC6"/>
    <w:rsid w:val="1D994A74"/>
    <w:rsid w:val="1D9B6A3E"/>
    <w:rsid w:val="1D9D4C7F"/>
    <w:rsid w:val="1DA376A1"/>
    <w:rsid w:val="1DA578BD"/>
    <w:rsid w:val="1DAE415E"/>
    <w:rsid w:val="1DB26975"/>
    <w:rsid w:val="1DB7314C"/>
    <w:rsid w:val="1DB83D72"/>
    <w:rsid w:val="1DB95116"/>
    <w:rsid w:val="1DC00253"/>
    <w:rsid w:val="1DC15D79"/>
    <w:rsid w:val="1DC6338F"/>
    <w:rsid w:val="1DC63AF4"/>
    <w:rsid w:val="1DC8425E"/>
    <w:rsid w:val="1DCF5394"/>
    <w:rsid w:val="1DCF66E8"/>
    <w:rsid w:val="1DD51824"/>
    <w:rsid w:val="1DD97567"/>
    <w:rsid w:val="1DDB32DF"/>
    <w:rsid w:val="1DE0117D"/>
    <w:rsid w:val="1DE06ED2"/>
    <w:rsid w:val="1DEC54EC"/>
    <w:rsid w:val="1DED6B6E"/>
    <w:rsid w:val="1DEF28E6"/>
    <w:rsid w:val="1DF443A0"/>
    <w:rsid w:val="1DF45B86"/>
    <w:rsid w:val="1DF60D59"/>
    <w:rsid w:val="1DF63B94"/>
    <w:rsid w:val="1DF779ED"/>
    <w:rsid w:val="1E000596"/>
    <w:rsid w:val="1E01086B"/>
    <w:rsid w:val="1E026ABD"/>
    <w:rsid w:val="1E042E8B"/>
    <w:rsid w:val="1E0839A8"/>
    <w:rsid w:val="1E0E6229"/>
    <w:rsid w:val="1E122A78"/>
    <w:rsid w:val="1E164317"/>
    <w:rsid w:val="1E193E07"/>
    <w:rsid w:val="1E210712"/>
    <w:rsid w:val="1E220F0E"/>
    <w:rsid w:val="1E253DA2"/>
    <w:rsid w:val="1E28404A"/>
    <w:rsid w:val="1E2A1B70"/>
    <w:rsid w:val="1E2A7DC2"/>
    <w:rsid w:val="1E2C7696"/>
    <w:rsid w:val="1E2D469C"/>
    <w:rsid w:val="1E326C77"/>
    <w:rsid w:val="1E340C41"/>
    <w:rsid w:val="1E3429EF"/>
    <w:rsid w:val="1E3E4FB4"/>
    <w:rsid w:val="1E430E84"/>
    <w:rsid w:val="1E480248"/>
    <w:rsid w:val="1E4946EC"/>
    <w:rsid w:val="1E4C7E68"/>
    <w:rsid w:val="1E535731"/>
    <w:rsid w:val="1E537319"/>
    <w:rsid w:val="1E543091"/>
    <w:rsid w:val="1E560BB7"/>
    <w:rsid w:val="1E57483D"/>
    <w:rsid w:val="1E5F714B"/>
    <w:rsid w:val="1E605592"/>
    <w:rsid w:val="1E644779"/>
    <w:rsid w:val="1E6A37E9"/>
    <w:rsid w:val="1E6A53D2"/>
    <w:rsid w:val="1E6D0F4C"/>
    <w:rsid w:val="1E71779F"/>
    <w:rsid w:val="1E733517"/>
    <w:rsid w:val="1E746936"/>
    <w:rsid w:val="1E767E8B"/>
    <w:rsid w:val="1E7777B5"/>
    <w:rsid w:val="1E795CAA"/>
    <w:rsid w:val="1E7E0DD1"/>
    <w:rsid w:val="1E7E3C6A"/>
    <w:rsid w:val="1E827C5E"/>
    <w:rsid w:val="1E8705EE"/>
    <w:rsid w:val="1E870E3D"/>
    <w:rsid w:val="1E875215"/>
    <w:rsid w:val="1E890F8D"/>
    <w:rsid w:val="1E8C3804"/>
    <w:rsid w:val="1E8E20FF"/>
    <w:rsid w:val="1E935967"/>
    <w:rsid w:val="1E94348E"/>
    <w:rsid w:val="1E9D0594"/>
    <w:rsid w:val="1E9D67E6"/>
    <w:rsid w:val="1EA305EF"/>
    <w:rsid w:val="1EA350E5"/>
    <w:rsid w:val="1EA46497"/>
    <w:rsid w:val="1EAA556C"/>
    <w:rsid w:val="1EAE09F3"/>
    <w:rsid w:val="1EB1097C"/>
    <w:rsid w:val="1EB2393A"/>
    <w:rsid w:val="1EB3718E"/>
    <w:rsid w:val="1EB458DE"/>
    <w:rsid w:val="1EB50544"/>
    <w:rsid w:val="1EC10726"/>
    <w:rsid w:val="1EC21DA9"/>
    <w:rsid w:val="1EC53501"/>
    <w:rsid w:val="1EC703F0"/>
    <w:rsid w:val="1EC8375A"/>
    <w:rsid w:val="1EC93137"/>
    <w:rsid w:val="1EC975DB"/>
    <w:rsid w:val="1ECC2C27"/>
    <w:rsid w:val="1ECC70CB"/>
    <w:rsid w:val="1ED0096A"/>
    <w:rsid w:val="1ED146E2"/>
    <w:rsid w:val="1ED33FB6"/>
    <w:rsid w:val="1ED61CF8"/>
    <w:rsid w:val="1ED8781E"/>
    <w:rsid w:val="1EDA43A3"/>
    <w:rsid w:val="1EDB10BC"/>
    <w:rsid w:val="1EDC0404"/>
    <w:rsid w:val="1EE55D5E"/>
    <w:rsid w:val="1EE91A2B"/>
    <w:rsid w:val="1EEE7042"/>
    <w:rsid w:val="1EF1268E"/>
    <w:rsid w:val="1EF328AA"/>
    <w:rsid w:val="1EF6594F"/>
    <w:rsid w:val="1EF81C6E"/>
    <w:rsid w:val="1EF87512"/>
    <w:rsid w:val="1EF95283"/>
    <w:rsid w:val="1EFD54D7"/>
    <w:rsid w:val="1EFF4DAB"/>
    <w:rsid w:val="1F0044AB"/>
    <w:rsid w:val="1F0827F2"/>
    <w:rsid w:val="1F0829B6"/>
    <w:rsid w:val="1F086948"/>
    <w:rsid w:val="1F095C2A"/>
    <w:rsid w:val="1F0A567B"/>
    <w:rsid w:val="1F0A7BCF"/>
    <w:rsid w:val="1F0B7BF4"/>
    <w:rsid w:val="1F0C13AB"/>
    <w:rsid w:val="1F120F82"/>
    <w:rsid w:val="1F122276"/>
    <w:rsid w:val="1F1545CE"/>
    <w:rsid w:val="1F1619B2"/>
    <w:rsid w:val="1F170346"/>
    <w:rsid w:val="1F197261"/>
    <w:rsid w:val="1F1A7859"/>
    <w:rsid w:val="1F1A7E37"/>
    <w:rsid w:val="1F1C3BAF"/>
    <w:rsid w:val="1F1E3D4E"/>
    <w:rsid w:val="1F212F73"/>
    <w:rsid w:val="1F2328FE"/>
    <w:rsid w:val="1F242A63"/>
    <w:rsid w:val="1F264A2D"/>
    <w:rsid w:val="1F266C0E"/>
    <w:rsid w:val="1F282554"/>
    <w:rsid w:val="1F291E28"/>
    <w:rsid w:val="1F2D2F0F"/>
    <w:rsid w:val="1F3133C1"/>
    <w:rsid w:val="1F33268E"/>
    <w:rsid w:val="1F3507CD"/>
    <w:rsid w:val="1F365E8F"/>
    <w:rsid w:val="1F3709E9"/>
    <w:rsid w:val="1F372797"/>
    <w:rsid w:val="1F3856F9"/>
    <w:rsid w:val="1F3C2ED8"/>
    <w:rsid w:val="1F3C7DAD"/>
    <w:rsid w:val="1F3E1D77"/>
    <w:rsid w:val="1F3F0C31"/>
    <w:rsid w:val="1F3F789D"/>
    <w:rsid w:val="1F42113B"/>
    <w:rsid w:val="1F4629DA"/>
    <w:rsid w:val="1F4924CA"/>
    <w:rsid w:val="1F4A53F6"/>
    <w:rsid w:val="1F4B4494"/>
    <w:rsid w:val="1F502B79"/>
    <w:rsid w:val="1F512138"/>
    <w:rsid w:val="1F550E6F"/>
    <w:rsid w:val="1F552C1D"/>
    <w:rsid w:val="1F5570C1"/>
    <w:rsid w:val="1F5817D8"/>
    <w:rsid w:val="1F585875"/>
    <w:rsid w:val="1F5E41C7"/>
    <w:rsid w:val="1F634DD9"/>
    <w:rsid w:val="1F6B41EE"/>
    <w:rsid w:val="1F721A21"/>
    <w:rsid w:val="1F7312F5"/>
    <w:rsid w:val="1F73636E"/>
    <w:rsid w:val="1F75506D"/>
    <w:rsid w:val="1F7C04E2"/>
    <w:rsid w:val="1F7C289F"/>
    <w:rsid w:val="1F7E6617"/>
    <w:rsid w:val="1F7F25FA"/>
    <w:rsid w:val="1F7F7C9A"/>
    <w:rsid w:val="1F802FD4"/>
    <w:rsid w:val="1F833C2E"/>
    <w:rsid w:val="1F8359DC"/>
    <w:rsid w:val="1F843502"/>
    <w:rsid w:val="1F877DA2"/>
    <w:rsid w:val="1F881244"/>
    <w:rsid w:val="1F891D47"/>
    <w:rsid w:val="1F896D6A"/>
    <w:rsid w:val="1F8B663F"/>
    <w:rsid w:val="1F906E0A"/>
    <w:rsid w:val="1F937B1B"/>
    <w:rsid w:val="1F96543C"/>
    <w:rsid w:val="1F97032E"/>
    <w:rsid w:val="1F995640"/>
    <w:rsid w:val="1F9C6A9E"/>
    <w:rsid w:val="1FA023ED"/>
    <w:rsid w:val="1FA0658E"/>
    <w:rsid w:val="1FA15E62"/>
    <w:rsid w:val="1FA31BDA"/>
    <w:rsid w:val="1FA32A06"/>
    <w:rsid w:val="1FA34505"/>
    <w:rsid w:val="1FA83694"/>
    <w:rsid w:val="1FA85090"/>
    <w:rsid w:val="1FA9750D"/>
    <w:rsid w:val="1FAB61FF"/>
    <w:rsid w:val="1FAC33EA"/>
    <w:rsid w:val="1FB042F7"/>
    <w:rsid w:val="1FB060A5"/>
    <w:rsid w:val="1FB43DE7"/>
    <w:rsid w:val="1FB63935"/>
    <w:rsid w:val="1FB71E9F"/>
    <w:rsid w:val="1FB738D7"/>
    <w:rsid w:val="1FB81CEA"/>
    <w:rsid w:val="1FBA6F24"/>
    <w:rsid w:val="1FBB33C8"/>
    <w:rsid w:val="1FBE4C66"/>
    <w:rsid w:val="1FC359E2"/>
    <w:rsid w:val="1FC61D6D"/>
    <w:rsid w:val="1FC733AF"/>
    <w:rsid w:val="1FC97167"/>
    <w:rsid w:val="1FCD4EA9"/>
    <w:rsid w:val="1FD77AD6"/>
    <w:rsid w:val="1FD9384E"/>
    <w:rsid w:val="1FDA1374"/>
    <w:rsid w:val="1FDC50EC"/>
    <w:rsid w:val="1FDE70B6"/>
    <w:rsid w:val="1FDF698A"/>
    <w:rsid w:val="1FE43DE1"/>
    <w:rsid w:val="1FE83A91"/>
    <w:rsid w:val="1FEA15B7"/>
    <w:rsid w:val="1FEB3581"/>
    <w:rsid w:val="1FED10A7"/>
    <w:rsid w:val="1FF22B62"/>
    <w:rsid w:val="1FF34C2D"/>
    <w:rsid w:val="1FF42436"/>
    <w:rsid w:val="1FF50B01"/>
    <w:rsid w:val="1FF93EF0"/>
    <w:rsid w:val="1FFB7C68"/>
    <w:rsid w:val="20000DDB"/>
    <w:rsid w:val="20005A57"/>
    <w:rsid w:val="20097E44"/>
    <w:rsid w:val="200A1111"/>
    <w:rsid w:val="200C3C23"/>
    <w:rsid w:val="200D799B"/>
    <w:rsid w:val="200F54C2"/>
    <w:rsid w:val="20106F09"/>
    <w:rsid w:val="20115AFA"/>
    <w:rsid w:val="20124FB2"/>
    <w:rsid w:val="20126D60"/>
    <w:rsid w:val="2014753F"/>
    <w:rsid w:val="20196340"/>
    <w:rsid w:val="201B3E66"/>
    <w:rsid w:val="201B519A"/>
    <w:rsid w:val="201C198C"/>
    <w:rsid w:val="201D6FFE"/>
    <w:rsid w:val="201F799D"/>
    <w:rsid w:val="2020147D"/>
    <w:rsid w:val="20210D51"/>
    <w:rsid w:val="20232D1B"/>
    <w:rsid w:val="20280331"/>
    <w:rsid w:val="202A5D88"/>
    <w:rsid w:val="202A5F3D"/>
    <w:rsid w:val="202E2AB2"/>
    <w:rsid w:val="202F7912"/>
    <w:rsid w:val="20315438"/>
    <w:rsid w:val="203171E6"/>
    <w:rsid w:val="203853C3"/>
    <w:rsid w:val="203B74FB"/>
    <w:rsid w:val="203D583D"/>
    <w:rsid w:val="204213F3"/>
    <w:rsid w:val="20427645"/>
    <w:rsid w:val="204374FC"/>
    <w:rsid w:val="20466529"/>
    <w:rsid w:val="20471E3B"/>
    <w:rsid w:val="204C4020"/>
    <w:rsid w:val="204E2A69"/>
    <w:rsid w:val="20541126"/>
    <w:rsid w:val="20560211"/>
    <w:rsid w:val="20582A63"/>
    <w:rsid w:val="2059498F"/>
    <w:rsid w:val="205B0707"/>
    <w:rsid w:val="205E02FC"/>
    <w:rsid w:val="20675088"/>
    <w:rsid w:val="206770AC"/>
    <w:rsid w:val="20686980"/>
    <w:rsid w:val="206D21E8"/>
    <w:rsid w:val="206D3F96"/>
    <w:rsid w:val="207035BF"/>
    <w:rsid w:val="20713A86"/>
    <w:rsid w:val="20757347"/>
    <w:rsid w:val="2079211C"/>
    <w:rsid w:val="207E43F5"/>
    <w:rsid w:val="207E61A3"/>
    <w:rsid w:val="208744AE"/>
    <w:rsid w:val="208A1F3E"/>
    <w:rsid w:val="20905DF5"/>
    <w:rsid w:val="2090637B"/>
    <w:rsid w:val="20971013"/>
    <w:rsid w:val="20A0436C"/>
    <w:rsid w:val="20A1609D"/>
    <w:rsid w:val="20A526F6"/>
    <w:rsid w:val="20A7394C"/>
    <w:rsid w:val="20A83220"/>
    <w:rsid w:val="20A95629"/>
    <w:rsid w:val="20B34C6B"/>
    <w:rsid w:val="20B35E4D"/>
    <w:rsid w:val="20B47E17"/>
    <w:rsid w:val="20BC4D66"/>
    <w:rsid w:val="20BD4F1E"/>
    <w:rsid w:val="20C75A14"/>
    <w:rsid w:val="20CA3197"/>
    <w:rsid w:val="20CD4FA8"/>
    <w:rsid w:val="20CE712B"/>
    <w:rsid w:val="20CF69FF"/>
    <w:rsid w:val="20D02EA3"/>
    <w:rsid w:val="20D52267"/>
    <w:rsid w:val="20D66AA1"/>
    <w:rsid w:val="20D81626"/>
    <w:rsid w:val="20D81D57"/>
    <w:rsid w:val="20DB793B"/>
    <w:rsid w:val="20E3074A"/>
    <w:rsid w:val="20E406FC"/>
    <w:rsid w:val="20E701EC"/>
    <w:rsid w:val="20E71F9A"/>
    <w:rsid w:val="20EA3839"/>
    <w:rsid w:val="20EA5156"/>
    <w:rsid w:val="20EA55E7"/>
    <w:rsid w:val="20F052F3"/>
    <w:rsid w:val="20F3093F"/>
    <w:rsid w:val="20F52909"/>
    <w:rsid w:val="20F75A0D"/>
    <w:rsid w:val="20F75BC2"/>
    <w:rsid w:val="210112AE"/>
    <w:rsid w:val="21022930"/>
    <w:rsid w:val="210466A8"/>
    <w:rsid w:val="21072525"/>
    <w:rsid w:val="21091F11"/>
    <w:rsid w:val="210E39CB"/>
    <w:rsid w:val="210E5779"/>
    <w:rsid w:val="210F504D"/>
    <w:rsid w:val="21112ACF"/>
    <w:rsid w:val="21130FE1"/>
    <w:rsid w:val="21134B3E"/>
    <w:rsid w:val="211518AF"/>
    <w:rsid w:val="21154D5A"/>
    <w:rsid w:val="2116462E"/>
    <w:rsid w:val="211801CB"/>
    <w:rsid w:val="21221225"/>
    <w:rsid w:val="21224FEE"/>
    <w:rsid w:val="212263A4"/>
    <w:rsid w:val="212345AD"/>
    <w:rsid w:val="21244F9D"/>
    <w:rsid w:val="21260D15"/>
    <w:rsid w:val="212925B3"/>
    <w:rsid w:val="21294361"/>
    <w:rsid w:val="212C0C9A"/>
    <w:rsid w:val="212C5C20"/>
    <w:rsid w:val="212C5C64"/>
    <w:rsid w:val="212F1E92"/>
    <w:rsid w:val="213760C2"/>
    <w:rsid w:val="213A47C0"/>
    <w:rsid w:val="213A656E"/>
    <w:rsid w:val="213D605E"/>
    <w:rsid w:val="213F1DD6"/>
    <w:rsid w:val="2144119B"/>
    <w:rsid w:val="21442F49"/>
    <w:rsid w:val="214747E7"/>
    <w:rsid w:val="214C004F"/>
    <w:rsid w:val="214D44F3"/>
    <w:rsid w:val="214F5C4D"/>
    <w:rsid w:val="215238B8"/>
    <w:rsid w:val="21556F04"/>
    <w:rsid w:val="21577120"/>
    <w:rsid w:val="215D5409"/>
    <w:rsid w:val="216058A9"/>
    <w:rsid w:val="2167303D"/>
    <w:rsid w:val="21681D2D"/>
    <w:rsid w:val="21692707"/>
    <w:rsid w:val="216A0EB4"/>
    <w:rsid w:val="216F6582"/>
    <w:rsid w:val="21711C44"/>
    <w:rsid w:val="2177331E"/>
    <w:rsid w:val="217E2260"/>
    <w:rsid w:val="218617B3"/>
    <w:rsid w:val="21863561"/>
    <w:rsid w:val="218755AB"/>
    <w:rsid w:val="218E0668"/>
    <w:rsid w:val="21921F06"/>
    <w:rsid w:val="219914E7"/>
    <w:rsid w:val="219A525F"/>
    <w:rsid w:val="21A47E8B"/>
    <w:rsid w:val="21A67760"/>
    <w:rsid w:val="21A91C9B"/>
    <w:rsid w:val="21AB746C"/>
    <w:rsid w:val="21AE4866"/>
    <w:rsid w:val="21B005DE"/>
    <w:rsid w:val="21B344ED"/>
    <w:rsid w:val="21B43E17"/>
    <w:rsid w:val="21B87493"/>
    <w:rsid w:val="21C1459A"/>
    <w:rsid w:val="21C26289"/>
    <w:rsid w:val="21C64B33"/>
    <w:rsid w:val="21CC3D6A"/>
    <w:rsid w:val="21CD1190"/>
    <w:rsid w:val="21CF315A"/>
    <w:rsid w:val="21CF4F08"/>
    <w:rsid w:val="21D10545"/>
    <w:rsid w:val="21D4025B"/>
    <w:rsid w:val="21D4251F"/>
    <w:rsid w:val="21DC37D4"/>
    <w:rsid w:val="21DF0EC4"/>
    <w:rsid w:val="21E12E8E"/>
    <w:rsid w:val="21E604A4"/>
    <w:rsid w:val="21E60B98"/>
    <w:rsid w:val="21E87D78"/>
    <w:rsid w:val="21EB5ABA"/>
    <w:rsid w:val="21ED1832"/>
    <w:rsid w:val="21F11323"/>
    <w:rsid w:val="21F7620D"/>
    <w:rsid w:val="21F901D7"/>
    <w:rsid w:val="21F93D33"/>
    <w:rsid w:val="21FA7AAB"/>
    <w:rsid w:val="21FD6F30"/>
    <w:rsid w:val="21FF3314"/>
    <w:rsid w:val="220152DE"/>
    <w:rsid w:val="22017739"/>
    <w:rsid w:val="220426D8"/>
    <w:rsid w:val="220628F4"/>
    <w:rsid w:val="22090082"/>
    <w:rsid w:val="220A4192"/>
    <w:rsid w:val="220B1D86"/>
    <w:rsid w:val="220D6E27"/>
    <w:rsid w:val="220F3557"/>
    <w:rsid w:val="22123047"/>
    <w:rsid w:val="22124DF5"/>
    <w:rsid w:val="2214201E"/>
    <w:rsid w:val="22162B37"/>
    <w:rsid w:val="22194EB7"/>
    <w:rsid w:val="221B2546"/>
    <w:rsid w:val="221F7512"/>
    <w:rsid w:val="2221247E"/>
    <w:rsid w:val="22244B28"/>
    <w:rsid w:val="222608A0"/>
    <w:rsid w:val="222774BB"/>
    <w:rsid w:val="22284619"/>
    <w:rsid w:val="222A213F"/>
    <w:rsid w:val="222B4109"/>
    <w:rsid w:val="222D1C2F"/>
    <w:rsid w:val="22314A37"/>
    <w:rsid w:val="22356D36"/>
    <w:rsid w:val="223C1E72"/>
    <w:rsid w:val="223F57F7"/>
    <w:rsid w:val="22421B7E"/>
    <w:rsid w:val="22424D62"/>
    <w:rsid w:val="22431452"/>
    <w:rsid w:val="2245397A"/>
    <w:rsid w:val="22482FE8"/>
    <w:rsid w:val="224913C5"/>
    <w:rsid w:val="224D0523"/>
    <w:rsid w:val="225047E7"/>
    <w:rsid w:val="225263D4"/>
    <w:rsid w:val="2254540E"/>
    <w:rsid w:val="22573150"/>
    <w:rsid w:val="22574EFE"/>
    <w:rsid w:val="22576CAC"/>
    <w:rsid w:val="225B2C40"/>
    <w:rsid w:val="225B49EE"/>
    <w:rsid w:val="22623004"/>
    <w:rsid w:val="2263692C"/>
    <w:rsid w:val="226A4C31"/>
    <w:rsid w:val="226C190D"/>
    <w:rsid w:val="226C6BFB"/>
    <w:rsid w:val="227609CD"/>
    <w:rsid w:val="227E33F8"/>
    <w:rsid w:val="228054F5"/>
    <w:rsid w:val="228201CD"/>
    <w:rsid w:val="22833F45"/>
    <w:rsid w:val="228757E3"/>
    <w:rsid w:val="228850B7"/>
    <w:rsid w:val="228D0920"/>
    <w:rsid w:val="228D26CE"/>
    <w:rsid w:val="22915559"/>
    <w:rsid w:val="22916662"/>
    <w:rsid w:val="22965A26"/>
    <w:rsid w:val="22971FC4"/>
    <w:rsid w:val="229D5007"/>
    <w:rsid w:val="229E5F79"/>
    <w:rsid w:val="22A31EF1"/>
    <w:rsid w:val="22B10AB2"/>
    <w:rsid w:val="22B257B3"/>
    <w:rsid w:val="22B42350"/>
    <w:rsid w:val="22B440FE"/>
    <w:rsid w:val="22B660C8"/>
    <w:rsid w:val="22B66D02"/>
    <w:rsid w:val="22BF62A8"/>
    <w:rsid w:val="22C34341"/>
    <w:rsid w:val="22C63C15"/>
    <w:rsid w:val="22CC31F6"/>
    <w:rsid w:val="22CC58EC"/>
    <w:rsid w:val="22CD6F6E"/>
    <w:rsid w:val="22D231E4"/>
    <w:rsid w:val="22D447A0"/>
    <w:rsid w:val="22D4654E"/>
    <w:rsid w:val="22D622C7"/>
    <w:rsid w:val="22D71F89"/>
    <w:rsid w:val="22D80950"/>
    <w:rsid w:val="22D9209E"/>
    <w:rsid w:val="22D95913"/>
    <w:rsid w:val="22DD1EAF"/>
    <w:rsid w:val="22DF6424"/>
    <w:rsid w:val="22E42C35"/>
    <w:rsid w:val="22E5250A"/>
    <w:rsid w:val="22EE7610"/>
    <w:rsid w:val="22F32E79"/>
    <w:rsid w:val="22F35816"/>
    <w:rsid w:val="22F369D5"/>
    <w:rsid w:val="22F4099F"/>
    <w:rsid w:val="22F56BF1"/>
    <w:rsid w:val="22FB3ADB"/>
    <w:rsid w:val="2303029D"/>
    <w:rsid w:val="23046E34"/>
    <w:rsid w:val="23047D7C"/>
    <w:rsid w:val="23060D4E"/>
    <w:rsid w:val="23072FE5"/>
    <w:rsid w:val="230D11AB"/>
    <w:rsid w:val="230E380E"/>
    <w:rsid w:val="230F38AE"/>
    <w:rsid w:val="23122A7A"/>
    <w:rsid w:val="23160915"/>
    <w:rsid w:val="23166B67"/>
    <w:rsid w:val="231A15C5"/>
    <w:rsid w:val="231F4230"/>
    <w:rsid w:val="232B0864"/>
    <w:rsid w:val="23353491"/>
    <w:rsid w:val="23362D65"/>
    <w:rsid w:val="233A2855"/>
    <w:rsid w:val="233D0598"/>
    <w:rsid w:val="233E12AF"/>
    <w:rsid w:val="2342170A"/>
    <w:rsid w:val="23450E3C"/>
    <w:rsid w:val="23460B1A"/>
    <w:rsid w:val="2346654E"/>
    <w:rsid w:val="234731C4"/>
    <w:rsid w:val="23474F72"/>
    <w:rsid w:val="234A29C5"/>
    <w:rsid w:val="234C2589"/>
    <w:rsid w:val="23531B69"/>
    <w:rsid w:val="235976EC"/>
    <w:rsid w:val="235A0180"/>
    <w:rsid w:val="235A2EF8"/>
    <w:rsid w:val="235A6A54"/>
    <w:rsid w:val="235F050E"/>
    <w:rsid w:val="23600585"/>
    <w:rsid w:val="2367159D"/>
    <w:rsid w:val="23675887"/>
    <w:rsid w:val="2372556B"/>
    <w:rsid w:val="23733FB9"/>
    <w:rsid w:val="23765646"/>
    <w:rsid w:val="23777F4D"/>
    <w:rsid w:val="23782D02"/>
    <w:rsid w:val="2378512C"/>
    <w:rsid w:val="237A5348"/>
    <w:rsid w:val="237B7155"/>
    <w:rsid w:val="237F64BA"/>
    <w:rsid w:val="23814F05"/>
    <w:rsid w:val="23847F75"/>
    <w:rsid w:val="238502A8"/>
    <w:rsid w:val="238565F7"/>
    <w:rsid w:val="23865A9B"/>
    <w:rsid w:val="23871813"/>
    <w:rsid w:val="23893548"/>
    <w:rsid w:val="2389558B"/>
    <w:rsid w:val="238D4FD3"/>
    <w:rsid w:val="238D507B"/>
    <w:rsid w:val="238E6FAB"/>
    <w:rsid w:val="239006C7"/>
    <w:rsid w:val="2395779C"/>
    <w:rsid w:val="23971A56"/>
    <w:rsid w:val="23983A20"/>
    <w:rsid w:val="239D2DE4"/>
    <w:rsid w:val="239F4DAE"/>
    <w:rsid w:val="23A3664D"/>
    <w:rsid w:val="23A45FC8"/>
    <w:rsid w:val="23A54C0D"/>
    <w:rsid w:val="23A6613D"/>
    <w:rsid w:val="23A8353C"/>
    <w:rsid w:val="23A83C63"/>
    <w:rsid w:val="23AF13CC"/>
    <w:rsid w:val="23B24AE2"/>
    <w:rsid w:val="23B32608"/>
    <w:rsid w:val="23BA5744"/>
    <w:rsid w:val="23BD6FE3"/>
    <w:rsid w:val="23BF108E"/>
    <w:rsid w:val="23C3584E"/>
    <w:rsid w:val="23C361CF"/>
    <w:rsid w:val="23C81C42"/>
    <w:rsid w:val="23CB16FF"/>
    <w:rsid w:val="23CB5A1B"/>
    <w:rsid w:val="23CC35A5"/>
    <w:rsid w:val="23CE11F0"/>
    <w:rsid w:val="23CE1A7B"/>
    <w:rsid w:val="23CE2F9E"/>
    <w:rsid w:val="23CE7442"/>
    <w:rsid w:val="23CF0442"/>
    <w:rsid w:val="23CF3D32"/>
    <w:rsid w:val="23D073EA"/>
    <w:rsid w:val="23D902C0"/>
    <w:rsid w:val="23D91F06"/>
    <w:rsid w:val="23DC475D"/>
    <w:rsid w:val="23DD39CC"/>
    <w:rsid w:val="23DE2DD5"/>
    <w:rsid w:val="23DE7685"/>
    <w:rsid w:val="23E12CD1"/>
    <w:rsid w:val="23E24451"/>
    <w:rsid w:val="23E32EED"/>
    <w:rsid w:val="23E6478B"/>
    <w:rsid w:val="23E7405F"/>
    <w:rsid w:val="23F0560A"/>
    <w:rsid w:val="23F073B8"/>
    <w:rsid w:val="23F14BCC"/>
    <w:rsid w:val="23F650D1"/>
    <w:rsid w:val="23F724F4"/>
    <w:rsid w:val="23F8626D"/>
    <w:rsid w:val="23FC5D5D"/>
    <w:rsid w:val="23FE7D27"/>
    <w:rsid w:val="23FF75FB"/>
    <w:rsid w:val="24013373"/>
    <w:rsid w:val="240255DD"/>
    <w:rsid w:val="2403533D"/>
    <w:rsid w:val="240A19EC"/>
    <w:rsid w:val="240D7F6A"/>
    <w:rsid w:val="240F3CE2"/>
    <w:rsid w:val="24101808"/>
    <w:rsid w:val="241035B6"/>
    <w:rsid w:val="241430A6"/>
    <w:rsid w:val="241471CA"/>
    <w:rsid w:val="24194B61"/>
    <w:rsid w:val="241A61E3"/>
    <w:rsid w:val="242117CE"/>
    <w:rsid w:val="2423778D"/>
    <w:rsid w:val="24266E50"/>
    <w:rsid w:val="24286B52"/>
    <w:rsid w:val="242D23BA"/>
    <w:rsid w:val="24303C58"/>
    <w:rsid w:val="2432177F"/>
    <w:rsid w:val="243840DE"/>
    <w:rsid w:val="243948BB"/>
    <w:rsid w:val="244016C1"/>
    <w:rsid w:val="24455956"/>
    <w:rsid w:val="24480FA2"/>
    <w:rsid w:val="244871F4"/>
    <w:rsid w:val="244A6AC8"/>
    <w:rsid w:val="244B2840"/>
    <w:rsid w:val="244F2331"/>
    <w:rsid w:val="24510797"/>
    <w:rsid w:val="245416F5"/>
    <w:rsid w:val="2455546D"/>
    <w:rsid w:val="24572F93"/>
    <w:rsid w:val="245846CE"/>
    <w:rsid w:val="245B6F27"/>
    <w:rsid w:val="246102B6"/>
    <w:rsid w:val="24635DDC"/>
    <w:rsid w:val="246758CC"/>
    <w:rsid w:val="24681EC0"/>
    <w:rsid w:val="246D306C"/>
    <w:rsid w:val="246D7AD7"/>
    <w:rsid w:val="246F4781"/>
    <w:rsid w:val="2471674B"/>
    <w:rsid w:val="247266E0"/>
    <w:rsid w:val="24747E1D"/>
    <w:rsid w:val="24763D61"/>
    <w:rsid w:val="24771887"/>
    <w:rsid w:val="24786628"/>
    <w:rsid w:val="247955FF"/>
    <w:rsid w:val="247B1137"/>
    <w:rsid w:val="247C6E9E"/>
    <w:rsid w:val="248144B4"/>
    <w:rsid w:val="2483647E"/>
    <w:rsid w:val="24853FA4"/>
    <w:rsid w:val="24855D52"/>
    <w:rsid w:val="248A3369"/>
    <w:rsid w:val="248C6D6D"/>
    <w:rsid w:val="249C0C1E"/>
    <w:rsid w:val="249C309C"/>
    <w:rsid w:val="249E6E14"/>
    <w:rsid w:val="24A26904"/>
    <w:rsid w:val="24A563F4"/>
    <w:rsid w:val="24A65CC9"/>
    <w:rsid w:val="24A7216D"/>
    <w:rsid w:val="24AA7567"/>
    <w:rsid w:val="24AF12C8"/>
    <w:rsid w:val="24B108F5"/>
    <w:rsid w:val="24B6092B"/>
    <w:rsid w:val="24BB5C18"/>
    <w:rsid w:val="24BB79C6"/>
    <w:rsid w:val="24C0322E"/>
    <w:rsid w:val="24C06D8A"/>
    <w:rsid w:val="24C0764C"/>
    <w:rsid w:val="24C41F86"/>
    <w:rsid w:val="24C745BD"/>
    <w:rsid w:val="24CA7C09"/>
    <w:rsid w:val="24CC1BD3"/>
    <w:rsid w:val="24CF3471"/>
    <w:rsid w:val="24CF6FCD"/>
    <w:rsid w:val="24D171E9"/>
    <w:rsid w:val="24D33D4B"/>
    <w:rsid w:val="24D40A88"/>
    <w:rsid w:val="24E52C95"/>
    <w:rsid w:val="24E84F70"/>
    <w:rsid w:val="24F20F0E"/>
    <w:rsid w:val="24F350DC"/>
    <w:rsid w:val="24F609FE"/>
    <w:rsid w:val="24FA1965"/>
    <w:rsid w:val="24FB3550"/>
    <w:rsid w:val="24FF28EB"/>
    <w:rsid w:val="24FF3D57"/>
    <w:rsid w:val="24FF3E59"/>
    <w:rsid w:val="2500362B"/>
    <w:rsid w:val="25006BE0"/>
    <w:rsid w:val="250076E0"/>
    <w:rsid w:val="25007ACF"/>
    <w:rsid w:val="250273A3"/>
    <w:rsid w:val="25076767"/>
    <w:rsid w:val="250E25EA"/>
    <w:rsid w:val="250E5D48"/>
    <w:rsid w:val="25145F24"/>
    <w:rsid w:val="25186BC6"/>
    <w:rsid w:val="251C4037"/>
    <w:rsid w:val="251C7A5B"/>
    <w:rsid w:val="251E0098"/>
    <w:rsid w:val="25216B98"/>
    <w:rsid w:val="25217736"/>
    <w:rsid w:val="252217F3"/>
    <w:rsid w:val="252512E3"/>
    <w:rsid w:val="25290DD3"/>
    <w:rsid w:val="252B1ECD"/>
    <w:rsid w:val="252F3F10"/>
    <w:rsid w:val="2533755C"/>
    <w:rsid w:val="25385AF1"/>
    <w:rsid w:val="253B0B07"/>
    <w:rsid w:val="253D204C"/>
    <w:rsid w:val="253F4153"/>
    <w:rsid w:val="253F55D6"/>
    <w:rsid w:val="25406339"/>
    <w:rsid w:val="254554E2"/>
    <w:rsid w:val="25461985"/>
    <w:rsid w:val="25485D6F"/>
    <w:rsid w:val="25493224"/>
    <w:rsid w:val="25494FD2"/>
    <w:rsid w:val="254E4396"/>
    <w:rsid w:val="254F010E"/>
    <w:rsid w:val="2551032A"/>
    <w:rsid w:val="25535E50"/>
    <w:rsid w:val="25554633"/>
    <w:rsid w:val="25570396"/>
    <w:rsid w:val="25592D3B"/>
    <w:rsid w:val="255D282B"/>
    <w:rsid w:val="255D6CCF"/>
    <w:rsid w:val="2561056D"/>
    <w:rsid w:val="25626093"/>
    <w:rsid w:val="25627E42"/>
    <w:rsid w:val="25640244"/>
    <w:rsid w:val="256911D0"/>
    <w:rsid w:val="25697422"/>
    <w:rsid w:val="256A4F48"/>
    <w:rsid w:val="256B13EC"/>
    <w:rsid w:val="256D0180"/>
    <w:rsid w:val="256E7B04"/>
    <w:rsid w:val="25701241"/>
    <w:rsid w:val="257018A9"/>
    <w:rsid w:val="25722260"/>
    <w:rsid w:val="25755DC7"/>
    <w:rsid w:val="25777D91"/>
    <w:rsid w:val="257858B7"/>
    <w:rsid w:val="257F30DB"/>
    <w:rsid w:val="258424AE"/>
    <w:rsid w:val="25893A50"/>
    <w:rsid w:val="25900E53"/>
    <w:rsid w:val="259049AF"/>
    <w:rsid w:val="25920C9E"/>
    <w:rsid w:val="2592441B"/>
    <w:rsid w:val="25946EE5"/>
    <w:rsid w:val="25994EEA"/>
    <w:rsid w:val="259A75DB"/>
    <w:rsid w:val="259B28FC"/>
    <w:rsid w:val="259C77F7"/>
    <w:rsid w:val="25A12702"/>
    <w:rsid w:val="25A55F80"/>
    <w:rsid w:val="25A97C3B"/>
    <w:rsid w:val="25AE3087"/>
    <w:rsid w:val="25AF19A3"/>
    <w:rsid w:val="25B041BF"/>
    <w:rsid w:val="25B05051"/>
    <w:rsid w:val="25B34B41"/>
    <w:rsid w:val="25B82157"/>
    <w:rsid w:val="25BA1A2C"/>
    <w:rsid w:val="25BA7C7E"/>
    <w:rsid w:val="25C24D84"/>
    <w:rsid w:val="25C26302"/>
    <w:rsid w:val="25C26B32"/>
    <w:rsid w:val="25C47954"/>
    <w:rsid w:val="25C603D0"/>
    <w:rsid w:val="25C64874"/>
    <w:rsid w:val="25CA5F5F"/>
    <w:rsid w:val="25CB3C39"/>
    <w:rsid w:val="25CC204F"/>
    <w:rsid w:val="25CE54D7"/>
    <w:rsid w:val="25D12C99"/>
    <w:rsid w:val="25D41490"/>
    <w:rsid w:val="25D7082F"/>
    <w:rsid w:val="25D725DE"/>
    <w:rsid w:val="25E43CC2"/>
    <w:rsid w:val="25E96E54"/>
    <w:rsid w:val="25F34F3E"/>
    <w:rsid w:val="25F50CB6"/>
    <w:rsid w:val="25F52A64"/>
    <w:rsid w:val="25F64996"/>
    <w:rsid w:val="25F717E6"/>
    <w:rsid w:val="25F81E87"/>
    <w:rsid w:val="25F82554"/>
    <w:rsid w:val="25FF38E2"/>
    <w:rsid w:val="26001E77"/>
    <w:rsid w:val="2602329C"/>
    <w:rsid w:val="26093573"/>
    <w:rsid w:val="260D7B7B"/>
    <w:rsid w:val="260E3B25"/>
    <w:rsid w:val="26146435"/>
    <w:rsid w:val="2615531D"/>
    <w:rsid w:val="261B5221"/>
    <w:rsid w:val="261D3E53"/>
    <w:rsid w:val="261F21D6"/>
    <w:rsid w:val="261F5D33"/>
    <w:rsid w:val="262048F9"/>
    <w:rsid w:val="26217CFD"/>
    <w:rsid w:val="2624159B"/>
    <w:rsid w:val="262A71DE"/>
    <w:rsid w:val="262B0B7B"/>
    <w:rsid w:val="262D044F"/>
    <w:rsid w:val="262F5BC1"/>
    <w:rsid w:val="26301CEE"/>
    <w:rsid w:val="26315FB0"/>
    <w:rsid w:val="263F63D5"/>
    <w:rsid w:val="26424CC2"/>
    <w:rsid w:val="26461511"/>
    <w:rsid w:val="26485289"/>
    <w:rsid w:val="26487037"/>
    <w:rsid w:val="264A1001"/>
    <w:rsid w:val="264B6B28"/>
    <w:rsid w:val="264D6D44"/>
    <w:rsid w:val="264E03AA"/>
    <w:rsid w:val="26505C71"/>
    <w:rsid w:val="26541E80"/>
    <w:rsid w:val="2659550E"/>
    <w:rsid w:val="265C2AE3"/>
    <w:rsid w:val="265C2EF2"/>
    <w:rsid w:val="265D2145"/>
    <w:rsid w:val="265E11E3"/>
    <w:rsid w:val="265F409A"/>
    <w:rsid w:val="266100F9"/>
    <w:rsid w:val="26661BB3"/>
    <w:rsid w:val="266A1901"/>
    <w:rsid w:val="266A1AC6"/>
    <w:rsid w:val="266A56CF"/>
    <w:rsid w:val="266B476D"/>
    <w:rsid w:val="266C303E"/>
    <w:rsid w:val="266D4CF0"/>
    <w:rsid w:val="2670658E"/>
    <w:rsid w:val="26712A32"/>
    <w:rsid w:val="26765D8E"/>
    <w:rsid w:val="26781F8E"/>
    <w:rsid w:val="267A740D"/>
    <w:rsid w:val="26826177"/>
    <w:rsid w:val="26834513"/>
    <w:rsid w:val="268362C1"/>
    <w:rsid w:val="268747BE"/>
    <w:rsid w:val="268A58A2"/>
    <w:rsid w:val="268D5392"/>
    <w:rsid w:val="268D7140"/>
    <w:rsid w:val="26906C30"/>
    <w:rsid w:val="26914E82"/>
    <w:rsid w:val="26924756"/>
    <w:rsid w:val="26A10DD2"/>
    <w:rsid w:val="26A20C82"/>
    <w:rsid w:val="26A56238"/>
    <w:rsid w:val="26A61FB0"/>
    <w:rsid w:val="26A64EF3"/>
    <w:rsid w:val="26A76454"/>
    <w:rsid w:val="26AD77E2"/>
    <w:rsid w:val="26B648E9"/>
    <w:rsid w:val="26BB3CAD"/>
    <w:rsid w:val="26C22739"/>
    <w:rsid w:val="26C4386A"/>
    <w:rsid w:val="26C52DB4"/>
    <w:rsid w:val="26C568DA"/>
    <w:rsid w:val="26C64400"/>
    <w:rsid w:val="26C708A4"/>
    <w:rsid w:val="26CD39E1"/>
    <w:rsid w:val="26CF1507"/>
    <w:rsid w:val="26D0586A"/>
    <w:rsid w:val="26D44D6F"/>
    <w:rsid w:val="26D905D7"/>
    <w:rsid w:val="26DE174A"/>
    <w:rsid w:val="26E36D60"/>
    <w:rsid w:val="26E74F5B"/>
    <w:rsid w:val="26E81416"/>
    <w:rsid w:val="26E82119"/>
    <w:rsid w:val="26E864D7"/>
    <w:rsid w:val="26EA7A50"/>
    <w:rsid w:val="26EB1EFE"/>
    <w:rsid w:val="26EF0C02"/>
    <w:rsid w:val="26F07CA0"/>
    <w:rsid w:val="26F1147D"/>
    <w:rsid w:val="26F25034"/>
    <w:rsid w:val="26F61189"/>
    <w:rsid w:val="26FC6074"/>
    <w:rsid w:val="2702368A"/>
    <w:rsid w:val="27046DB7"/>
    <w:rsid w:val="270A253F"/>
    <w:rsid w:val="270B5F28"/>
    <w:rsid w:val="270B7843"/>
    <w:rsid w:val="270C275B"/>
    <w:rsid w:val="270D0281"/>
    <w:rsid w:val="271611CC"/>
    <w:rsid w:val="271635D9"/>
    <w:rsid w:val="27182EAE"/>
    <w:rsid w:val="271B0BF0"/>
    <w:rsid w:val="271C2272"/>
    <w:rsid w:val="271F650B"/>
    <w:rsid w:val="2721032E"/>
    <w:rsid w:val="27225ADA"/>
    <w:rsid w:val="272432CE"/>
    <w:rsid w:val="2726691B"/>
    <w:rsid w:val="27286E69"/>
    <w:rsid w:val="27291F80"/>
    <w:rsid w:val="2729330D"/>
    <w:rsid w:val="272A2BE1"/>
    <w:rsid w:val="27313F6F"/>
    <w:rsid w:val="27377C59"/>
    <w:rsid w:val="273839B0"/>
    <w:rsid w:val="27392E24"/>
    <w:rsid w:val="273B6B9C"/>
    <w:rsid w:val="273E043A"/>
    <w:rsid w:val="27435A51"/>
    <w:rsid w:val="27455F53"/>
    <w:rsid w:val="27457E9C"/>
    <w:rsid w:val="27475541"/>
    <w:rsid w:val="2747719A"/>
    <w:rsid w:val="2749750B"/>
    <w:rsid w:val="274A2CAF"/>
    <w:rsid w:val="274C29DB"/>
    <w:rsid w:val="274E68CF"/>
    <w:rsid w:val="274F43F6"/>
    <w:rsid w:val="27550294"/>
    <w:rsid w:val="275B78FF"/>
    <w:rsid w:val="275D1F11"/>
    <w:rsid w:val="27660073"/>
    <w:rsid w:val="276854B7"/>
    <w:rsid w:val="27702CEA"/>
    <w:rsid w:val="27716A62"/>
    <w:rsid w:val="27725098"/>
    <w:rsid w:val="27734588"/>
    <w:rsid w:val="2779574A"/>
    <w:rsid w:val="277D0F63"/>
    <w:rsid w:val="27807D96"/>
    <w:rsid w:val="27840543"/>
    <w:rsid w:val="27873B8F"/>
    <w:rsid w:val="2789399C"/>
    <w:rsid w:val="2790513A"/>
    <w:rsid w:val="2795626A"/>
    <w:rsid w:val="27982240"/>
    <w:rsid w:val="279C601E"/>
    <w:rsid w:val="27A35566"/>
    <w:rsid w:val="27A41282"/>
    <w:rsid w:val="27AA0AA3"/>
    <w:rsid w:val="27AC64E8"/>
    <w:rsid w:val="27B01338"/>
    <w:rsid w:val="27B506FD"/>
    <w:rsid w:val="27BA21B7"/>
    <w:rsid w:val="27BB7CDD"/>
    <w:rsid w:val="27C04AC9"/>
    <w:rsid w:val="27C313CD"/>
    <w:rsid w:val="27C6290A"/>
    <w:rsid w:val="27C638FE"/>
    <w:rsid w:val="27CD11F0"/>
    <w:rsid w:val="27CE703E"/>
    <w:rsid w:val="27D238B0"/>
    <w:rsid w:val="27D8263D"/>
    <w:rsid w:val="27DA63B5"/>
    <w:rsid w:val="27DC212D"/>
    <w:rsid w:val="27DF5779"/>
    <w:rsid w:val="27E111BA"/>
    <w:rsid w:val="27E17743"/>
    <w:rsid w:val="27E234BC"/>
    <w:rsid w:val="27E608AA"/>
    <w:rsid w:val="27E7612B"/>
    <w:rsid w:val="27EE3C0E"/>
    <w:rsid w:val="27FA4201"/>
    <w:rsid w:val="27FA57AE"/>
    <w:rsid w:val="280478D6"/>
    <w:rsid w:val="28066922"/>
    <w:rsid w:val="28081174"/>
    <w:rsid w:val="28101DD7"/>
    <w:rsid w:val="28107987"/>
    <w:rsid w:val="28137BB2"/>
    <w:rsid w:val="281713B7"/>
    <w:rsid w:val="28173165"/>
    <w:rsid w:val="28201F93"/>
    <w:rsid w:val="28214BB3"/>
    <w:rsid w:val="28235FAE"/>
    <w:rsid w:val="28237D5C"/>
    <w:rsid w:val="28277120"/>
    <w:rsid w:val="282C7B41"/>
    <w:rsid w:val="282E59EC"/>
    <w:rsid w:val="2835183D"/>
    <w:rsid w:val="28355CE1"/>
    <w:rsid w:val="28395F5A"/>
    <w:rsid w:val="283A6824"/>
    <w:rsid w:val="283C0E1E"/>
    <w:rsid w:val="283C7070"/>
    <w:rsid w:val="283E5914"/>
    <w:rsid w:val="28450DB3"/>
    <w:rsid w:val="284952E9"/>
    <w:rsid w:val="284D52AA"/>
    <w:rsid w:val="28553C8E"/>
    <w:rsid w:val="28564FE6"/>
    <w:rsid w:val="285846C4"/>
    <w:rsid w:val="285A77BE"/>
    <w:rsid w:val="285B446E"/>
    <w:rsid w:val="285B53BE"/>
    <w:rsid w:val="285C501C"/>
    <w:rsid w:val="285D08F3"/>
    <w:rsid w:val="285F2D5E"/>
    <w:rsid w:val="285F4B0C"/>
    <w:rsid w:val="28652321"/>
    <w:rsid w:val="286B1703"/>
    <w:rsid w:val="286E70AC"/>
    <w:rsid w:val="28700AC7"/>
    <w:rsid w:val="28754330"/>
    <w:rsid w:val="28773C04"/>
    <w:rsid w:val="28786E47"/>
    <w:rsid w:val="287B7B98"/>
    <w:rsid w:val="287F0D0A"/>
    <w:rsid w:val="287F4EBD"/>
    <w:rsid w:val="288153C1"/>
    <w:rsid w:val="28846321"/>
    <w:rsid w:val="288602EB"/>
    <w:rsid w:val="288822B5"/>
    <w:rsid w:val="28887BBF"/>
    <w:rsid w:val="28893937"/>
    <w:rsid w:val="288D28A0"/>
    <w:rsid w:val="28932156"/>
    <w:rsid w:val="28942A08"/>
    <w:rsid w:val="289447B6"/>
    <w:rsid w:val="28976054"/>
    <w:rsid w:val="289933AC"/>
    <w:rsid w:val="28996270"/>
    <w:rsid w:val="289B1FE8"/>
    <w:rsid w:val="289C22C6"/>
    <w:rsid w:val="289C366A"/>
    <w:rsid w:val="289C7B0E"/>
    <w:rsid w:val="28A15125"/>
    <w:rsid w:val="28A272E0"/>
    <w:rsid w:val="28A32C4B"/>
    <w:rsid w:val="28A375E9"/>
    <w:rsid w:val="28AA222B"/>
    <w:rsid w:val="28AD064C"/>
    <w:rsid w:val="28AF7842"/>
    <w:rsid w:val="28B06661"/>
    <w:rsid w:val="28B07116"/>
    <w:rsid w:val="28B135BA"/>
    <w:rsid w:val="28B44E58"/>
    <w:rsid w:val="28B82511"/>
    <w:rsid w:val="28B906C0"/>
    <w:rsid w:val="28BA1D43"/>
    <w:rsid w:val="28C055AB"/>
    <w:rsid w:val="28C332ED"/>
    <w:rsid w:val="28C3509B"/>
    <w:rsid w:val="28C64B8B"/>
    <w:rsid w:val="28C66939"/>
    <w:rsid w:val="28CA0D49"/>
    <w:rsid w:val="28CB64EB"/>
    <w:rsid w:val="28CD5F1A"/>
    <w:rsid w:val="28D26420"/>
    <w:rsid w:val="28D265E4"/>
    <w:rsid w:val="28D728F5"/>
    <w:rsid w:val="28D9666D"/>
    <w:rsid w:val="28DB5305"/>
    <w:rsid w:val="28DC43AF"/>
    <w:rsid w:val="28DC615D"/>
    <w:rsid w:val="28DE3C83"/>
    <w:rsid w:val="28DE6BAF"/>
    <w:rsid w:val="28E019DE"/>
    <w:rsid w:val="28E07281"/>
    <w:rsid w:val="28E219C5"/>
    <w:rsid w:val="28EB4918"/>
    <w:rsid w:val="28EB63A0"/>
    <w:rsid w:val="28EC138C"/>
    <w:rsid w:val="28ED036A"/>
    <w:rsid w:val="28F14494"/>
    <w:rsid w:val="28F159FD"/>
    <w:rsid w:val="28F214DC"/>
    <w:rsid w:val="28F61252"/>
    <w:rsid w:val="28F65471"/>
    <w:rsid w:val="28F96D0F"/>
    <w:rsid w:val="29003BF9"/>
    <w:rsid w:val="29037B8D"/>
    <w:rsid w:val="290731DA"/>
    <w:rsid w:val="290966B1"/>
    <w:rsid w:val="290A4A78"/>
    <w:rsid w:val="290A5E25"/>
    <w:rsid w:val="290B259E"/>
    <w:rsid w:val="290D6316"/>
    <w:rsid w:val="290F0ED2"/>
    <w:rsid w:val="290F378F"/>
    <w:rsid w:val="29115E06"/>
    <w:rsid w:val="291678C1"/>
    <w:rsid w:val="291718D0"/>
    <w:rsid w:val="29183639"/>
    <w:rsid w:val="291C5DB8"/>
    <w:rsid w:val="292024ED"/>
    <w:rsid w:val="2920429C"/>
    <w:rsid w:val="29221667"/>
    <w:rsid w:val="2927562A"/>
    <w:rsid w:val="292D0766"/>
    <w:rsid w:val="29323FCF"/>
    <w:rsid w:val="2936586D"/>
    <w:rsid w:val="29373393"/>
    <w:rsid w:val="293935AF"/>
    <w:rsid w:val="293E7F0F"/>
    <w:rsid w:val="294220FE"/>
    <w:rsid w:val="29422464"/>
    <w:rsid w:val="29455AB0"/>
    <w:rsid w:val="294855A0"/>
    <w:rsid w:val="29491A44"/>
    <w:rsid w:val="294D2BB7"/>
    <w:rsid w:val="295039D0"/>
    <w:rsid w:val="29512A97"/>
    <w:rsid w:val="29512E02"/>
    <w:rsid w:val="295143AA"/>
    <w:rsid w:val="29514455"/>
    <w:rsid w:val="29567A3B"/>
    <w:rsid w:val="2959155B"/>
    <w:rsid w:val="2959266F"/>
    <w:rsid w:val="295B3526"/>
    <w:rsid w:val="295D104C"/>
    <w:rsid w:val="29630BF6"/>
    <w:rsid w:val="2967011C"/>
    <w:rsid w:val="29693E94"/>
    <w:rsid w:val="296C74E1"/>
    <w:rsid w:val="296E7010"/>
    <w:rsid w:val="297665B1"/>
    <w:rsid w:val="297840D8"/>
    <w:rsid w:val="29842A7C"/>
    <w:rsid w:val="298567F4"/>
    <w:rsid w:val="2987256D"/>
    <w:rsid w:val="2987407F"/>
    <w:rsid w:val="298A3E0B"/>
    <w:rsid w:val="298B46A0"/>
    <w:rsid w:val="298C71B4"/>
    <w:rsid w:val="298C7B83"/>
    <w:rsid w:val="298D2B47"/>
    <w:rsid w:val="29930F11"/>
    <w:rsid w:val="29982084"/>
    <w:rsid w:val="2999663B"/>
    <w:rsid w:val="29A0647A"/>
    <w:rsid w:val="29A30A29"/>
    <w:rsid w:val="29A76DE1"/>
    <w:rsid w:val="29A94BD5"/>
    <w:rsid w:val="29AA70BF"/>
    <w:rsid w:val="29AE5D4B"/>
    <w:rsid w:val="29B175E9"/>
    <w:rsid w:val="29B36EBE"/>
    <w:rsid w:val="29B42C36"/>
    <w:rsid w:val="29BB5D72"/>
    <w:rsid w:val="29BE7D57"/>
    <w:rsid w:val="29BF1D06"/>
    <w:rsid w:val="29C015DB"/>
    <w:rsid w:val="29C25B43"/>
    <w:rsid w:val="29C27101"/>
    <w:rsid w:val="29C73EC4"/>
    <w:rsid w:val="29C76E0D"/>
    <w:rsid w:val="29C80AFB"/>
    <w:rsid w:val="29CF556C"/>
    <w:rsid w:val="29D05CC2"/>
    <w:rsid w:val="29D137E8"/>
    <w:rsid w:val="29D33A72"/>
    <w:rsid w:val="29D65FCB"/>
    <w:rsid w:val="29D76728"/>
    <w:rsid w:val="29D84B76"/>
    <w:rsid w:val="29DA08EE"/>
    <w:rsid w:val="29DC3355"/>
    <w:rsid w:val="29E4043D"/>
    <w:rsid w:val="29EE439A"/>
    <w:rsid w:val="29F130EF"/>
    <w:rsid w:val="29F23E8A"/>
    <w:rsid w:val="29F574D6"/>
    <w:rsid w:val="29FB0865"/>
    <w:rsid w:val="2A005E7B"/>
    <w:rsid w:val="2A027E45"/>
    <w:rsid w:val="2A047719"/>
    <w:rsid w:val="2A087B86"/>
    <w:rsid w:val="2A094D30"/>
    <w:rsid w:val="2A0A42E6"/>
    <w:rsid w:val="2A0B044C"/>
    <w:rsid w:val="2A0E0598"/>
    <w:rsid w:val="2A0F41C8"/>
    <w:rsid w:val="2A13795C"/>
    <w:rsid w:val="2A187669"/>
    <w:rsid w:val="2A1A518F"/>
    <w:rsid w:val="2A1C4276"/>
    <w:rsid w:val="2A1F27A5"/>
    <w:rsid w:val="2A263B34"/>
    <w:rsid w:val="2A281FC1"/>
    <w:rsid w:val="2A2D49F8"/>
    <w:rsid w:val="2A2E29E8"/>
    <w:rsid w:val="2A3049B2"/>
    <w:rsid w:val="2A353D77"/>
    <w:rsid w:val="2A362444"/>
    <w:rsid w:val="2A3A313B"/>
    <w:rsid w:val="2A4470DC"/>
    <w:rsid w:val="2A471763"/>
    <w:rsid w:val="2A522B7B"/>
    <w:rsid w:val="2A5306A1"/>
    <w:rsid w:val="2A53244F"/>
    <w:rsid w:val="2A5646B3"/>
    <w:rsid w:val="2A60320F"/>
    <w:rsid w:val="2A614B6C"/>
    <w:rsid w:val="2A677DE2"/>
    <w:rsid w:val="2A685EFA"/>
    <w:rsid w:val="2A691BB9"/>
    <w:rsid w:val="2A703001"/>
    <w:rsid w:val="2A7228D5"/>
    <w:rsid w:val="2A726D79"/>
    <w:rsid w:val="2A77438F"/>
    <w:rsid w:val="2A77613D"/>
    <w:rsid w:val="2A846AAC"/>
    <w:rsid w:val="2A863BCF"/>
    <w:rsid w:val="2A866380"/>
    <w:rsid w:val="2A88659C"/>
    <w:rsid w:val="2A895E70"/>
    <w:rsid w:val="2A922F77"/>
    <w:rsid w:val="2A950CB9"/>
    <w:rsid w:val="2A9A007E"/>
    <w:rsid w:val="2A9F7442"/>
    <w:rsid w:val="2AA027A4"/>
    <w:rsid w:val="2AA4277F"/>
    <w:rsid w:val="2AAD7DB1"/>
    <w:rsid w:val="2AB0164F"/>
    <w:rsid w:val="2AB033FD"/>
    <w:rsid w:val="2AB253C7"/>
    <w:rsid w:val="2AB63109"/>
    <w:rsid w:val="2AB70C30"/>
    <w:rsid w:val="2ABA427C"/>
    <w:rsid w:val="2ABB0D4C"/>
    <w:rsid w:val="2AC33130"/>
    <w:rsid w:val="2AC45412"/>
    <w:rsid w:val="2AC5334C"/>
    <w:rsid w:val="2AC61C8E"/>
    <w:rsid w:val="2ACB72AC"/>
    <w:rsid w:val="2ACB77CC"/>
    <w:rsid w:val="2ACC4C85"/>
    <w:rsid w:val="2ACD6FC5"/>
    <w:rsid w:val="2AD13E25"/>
    <w:rsid w:val="2AD6555A"/>
    <w:rsid w:val="2AD85903"/>
    <w:rsid w:val="2ADB00E5"/>
    <w:rsid w:val="2ADB4165"/>
    <w:rsid w:val="2ADC2444"/>
    <w:rsid w:val="2AE35581"/>
    <w:rsid w:val="2AE5171C"/>
    <w:rsid w:val="2AE7493C"/>
    <w:rsid w:val="2AE82B97"/>
    <w:rsid w:val="2AEA2557"/>
    <w:rsid w:val="2AEC657A"/>
    <w:rsid w:val="2AEC6B2B"/>
    <w:rsid w:val="2AF04EFB"/>
    <w:rsid w:val="2AF552B4"/>
    <w:rsid w:val="2AF75AE0"/>
    <w:rsid w:val="2AF92FF6"/>
    <w:rsid w:val="2AFA28CA"/>
    <w:rsid w:val="2AFC4894"/>
    <w:rsid w:val="2B004C2A"/>
    <w:rsid w:val="2B0507DE"/>
    <w:rsid w:val="2B0A0BD5"/>
    <w:rsid w:val="2B0A0D5F"/>
    <w:rsid w:val="2B133692"/>
    <w:rsid w:val="2B163BA8"/>
    <w:rsid w:val="2B1716CE"/>
    <w:rsid w:val="2B1A4D1A"/>
    <w:rsid w:val="2B1B11BE"/>
    <w:rsid w:val="2B2112CD"/>
    <w:rsid w:val="2B225CB9"/>
    <w:rsid w:val="2B243569"/>
    <w:rsid w:val="2B25624C"/>
    <w:rsid w:val="2B261911"/>
    <w:rsid w:val="2B2A7FEE"/>
    <w:rsid w:val="2B3758CC"/>
    <w:rsid w:val="2B406E77"/>
    <w:rsid w:val="2B4650C0"/>
    <w:rsid w:val="2B4A1AA4"/>
    <w:rsid w:val="2B4D4BC5"/>
    <w:rsid w:val="2B4F37FA"/>
    <w:rsid w:val="2B514BE0"/>
    <w:rsid w:val="2B522706"/>
    <w:rsid w:val="2B591CE7"/>
    <w:rsid w:val="2B5D5BAC"/>
    <w:rsid w:val="2B5E10AB"/>
    <w:rsid w:val="2B5E146E"/>
    <w:rsid w:val="2B606BD1"/>
    <w:rsid w:val="2B634913"/>
    <w:rsid w:val="2B65068C"/>
    <w:rsid w:val="2B693C1C"/>
    <w:rsid w:val="2B710DDE"/>
    <w:rsid w:val="2B714350"/>
    <w:rsid w:val="2B724EEF"/>
    <w:rsid w:val="2B7803BF"/>
    <w:rsid w:val="2B797C93"/>
    <w:rsid w:val="2B7A22E2"/>
    <w:rsid w:val="2B7A2B6D"/>
    <w:rsid w:val="2B7B3A0B"/>
    <w:rsid w:val="2B7F799F"/>
    <w:rsid w:val="2B8723B0"/>
    <w:rsid w:val="2B874A48"/>
    <w:rsid w:val="2B8F395A"/>
    <w:rsid w:val="2B91392E"/>
    <w:rsid w:val="2B986D7B"/>
    <w:rsid w:val="2BA430B1"/>
    <w:rsid w:val="2BA47406"/>
    <w:rsid w:val="2BA80578"/>
    <w:rsid w:val="2BA9457F"/>
    <w:rsid w:val="2BB13721"/>
    <w:rsid w:val="2BB37649"/>
    <w:rsid w:val="2BB52F88"/>
    <w:rsid w:val="2BB60EE7"/>
    <w:rsid w:val="2BB84C5F"/>
    <w:rsid w:val="2BB9108D"/>
    <w:rsid w:val="2BBE50F8"/>
    <w:rsid w:val="2BBE7D9C"/>
    <w:rsid w:val="2BC91F9E"/>
    <w:rsid w:val="2BCF1FA9"/>
    <w:rsid w:val="2BD355F5"/>
    <w:rsid w:val="2BD870AF"/>
    <w:rsid w:val="2BDF043E"/>
    <w:rsid w:val="2BDF3D58"/>
    <w:rsid w:val="2BE041B6"/>
    <w:rsid w:val="2BE55328"/>
    <w:rsid w:val="2BEC6C4B"/>
    <w:rsid w:val="2BEF61A7"/>
    <w:rsid w:val="2BF0264B"/>
    <w:rsid w:val="2BF11F1F"/>
    <w:rsid w:val="2BF928EA"/>
    <w:rsid w:val="2BFB2D9E"/>
    <w:rsid w:val="2BFC0FF0"/>
    <w:rsid w:val="2BFD32D8"/>
    <w:rsid w:val="2BFE6AE3"/>
    <w:rsid w:val="2C0004FA"/>
    <w:rsid w:val="2C002162"/>
    <w:rsid w:val="2C02237E"/>
    <w:rsid w:val="2C041A4C"/>
    <w:rsid w:val="2C043A01"/>
    <w:rsid w:val="2C057779"/>
    <w:rsid w:val="2C071743"/>
    <w:rsid w:val="2C091017"/>
    <w:rsid w:val="2C0A2FCF"/>
    <w:rsid w:val="2C0C4FAB"/>
    <w:rsid w:val="2C0C6D59"/>
    <w:rsid w:val="2C0E0D23"/>
    <w:rsid w:val="2C0E75DC"/>
    <w:rsid w:val="2C106849"/>
    <w:rsid w:val="2C1300E8"/>
    <w:rsid w:val="2C1764C2"/>
    <w:rsid w:val="2C1B6F9C"/>
    <w:rsid w:val="2C1D0F66"/>
    <w:rsid w:val="2C212804"/>
    <w:rsid w:val="2C2166F1"/>
    <w:rsid w:val="2C295F0F"/>
    <w:rsid w:val="2C2A0200"/>
    <w:rsid w:val="2C2B5641"/>
    <w:rsid w:val="2C2C2F57"/>
    <w:rsid w:val="2C320D68"/>
    <w:rsid w:val="2C33078A"/>
    <w:rsid w:val="2C370912"/>
    <w:rsid w:val="2C3A1B18"/>
    <w:rsid w:val="2C3A5674"/>
    <w:rsid w:val="2C414C55"/>
    <w:rsid w:val="2C444745"/>
    <w:rsid w:val="2C45434C"/>
    <w:rsid w:val="2C4604BD"/>
    <w:rsid w:val="2C4617FF"/>
    <w:rsid w:val="2C4958B7"/>
    <w:rsid w:val="2C4F43D7"/>
    <w:rsid w:val="2C5219A4"/>
    <w:rsid w:val="2C5A5D16"/>
    <w:rsid w:val="2C5E61D3"/>
    <w:rsid w:val="2C602C01"/>
    <w:rsid w:val="2C6D3C9C"/>
    <w:rsid w:val="2C6D44D6"/>
    <w:rsid w:val="2C7112E3"/>
    <w:rsid w:val="2C723060"/>
    <w:rsid w:val="2C764495"/>
    <w:rsid w:val="2C7A1F15"/>
    <w:rsid w:val="2C7A3CC3"/>
    <w:rsid w:val="2C7C3EDF"/>
    <w:rsid w:val="2C7C7A3B"/>
    <w:rsid w:val="2C7F535E"/>
    <w:rsid w:val="2C8763E0"/>
    <w:rsid w:val="2C884632"/>
    <w:rsid w:val="2C892158"/>
    <w:rsid w:val="2C8E6106"/>
    <w:rsid w:val="2C8E776E"/>
    <w:rsid w:val="2C8F634D"/>
    <w:rsid w:val="2C934D84"/>
    <w:rsid w:val="2C974875"/>
    <w:rsid w:val="2C9805ED"/>
    <w:rsid w:val="2C9B2839"/>
    <w:rsid w:val="2C9D7207"/>
    <w:rsid w:val="2CA141DD"/>
    <w:rsid w:val="2CA451E4"/>
    <w:rsid w:val="2CA52A3F"/>
    <w:rsid w:val="2CA64AB8"/>
    <w:rsid w:val="2CA84CD4"/>
    <w:rsid w:val="2CA90A4C"/>
    <w:rsid w:val="2CAB3EFE"/>
    <w:rsid w:val="2CAC2C30"/>
    <w:rsid w:val="2CAD5E46"/>
    <w:rsid w:val="2CB01DDA"/>
    <w:rsid w:val="2CB216AE"/>
    <w:rsid w:val="2CB3436C"/>
    <w:rsid w:val="2CB35427"/>
    <w:rsid w:val="2CB4503B"/>
    <w:rsid w:val="2CB77889"/>
    <w:rsid w:val="2CB847EB"/>
    <w:rsid w:val="2CBA5C99"/>
    <w:rsid w:val="2CBB3255"/>
    <w:rsid w:val="2CBB49CC"/>
    <w:rsid w:val="2CBC252D"/>
    <w:rsid w:val="2CC118F2"/>
    <w:rsid w:val="2CC15D95"/>
    <w:rsid w:val="2CC563A2"/>
    <w:rsid w:val="2CCB451E"/>
    <w:rsid w:val="2CCC6E8D"/>
    <w:rsid w:val="2CD0422B"/>
    <w:rsid w:val="2CD07D87"/>
    <w:rsid w:val="2CD51841"/>
    <w:rsid w:val="2CD535EF"/>
    <w:rsid w:val="2CD73969"/>
    <w:rsid w:val="2CD84C6E"/>
    <w:rsid w:val="2CD930DF"/>
    <w:rsid w:val="2CDA0C05"/>
    <w:rsid w:val="2CDD7F00"/>
    <w:rsid w:val="2CDF7FCA"/>
    <w:rsid w:val="2CE512C3"/>
    <w:rsid w:val="2CE64BA5"/>
    <w:rsid w:val="2CE81574"/>
    <w:rsid w:val="2CE95FCF"/>
    <w:rsid w:val="2CF03F85"/>
    <w:rsid w:val="2CF33A75"/>
    <w:rsid w:val="2CFC5020"/>
    <w:rsid w:val="2CFE05A2"/>
    <w:rsid w:val="2D016192"/>
    <w:rsid w:val="2D0619FA"/>
    <w:rsid w:val="2D080026"/>
    <w:rsid w:val="2D0F08AF"/>
    <w:rsid w:val="2D104627"/>
    <w:rsid w:val="2D122998"/>
    <w:rsid w:val="2D122EB9"/>
    <w:rsid w:val="2D144117"/>
    <w:rsid w:val="2D152395"/>
    <w:rsid w:val="2D1C4D7A"/>
    <w:rsid w:val="2D1E0AF2"/>
    <w:rsid w:val="2D1E4F96"/>
    <w:rsid w:val="2D2105E2"/>
    <w:rsid w:val="2D2377F5"/>
    <w:rsid w:val="2D263E4A"/>
    <w:rsid w:val="2D2C76B3"/>
    <w:rsid w:val="2D2E06FF"/>
    <w:rsid w:val="2D2F2CFF"/>
    <w:rsid w:val="2D300825"/>
    <w:rsid w:val="2D31615F"/>
    <w:rsid w:val="2D39592C"/>
    <w:rsid w:val="2D3E1194"/>
    <w:rsid w:val="2D412A32"/>
    <w:rsid w:val="2D4367AA"/>
    <w:rsid w:val="2D463E79"/>
    <w:rsid w:val="2D464900"/>
    <w:rsid w:val="2D480265"/>
    <w:rsid w:val="2D4A1E95"/>
    <w:rsid w:val="2D4A7B39"/>
    <w:rsid w:val="2D4D260B"/>
    <w:rsid w:val="2D516313"/>
    <w:rsid w:val="2D520A95"/>
    <w:rsid w:val="2D536CB5"/>
    <w:rsid w:val="2D564730"/>
    <w:rsid w:val="2D5B4FFC"/>
    <w:rsid w:val="2D6055AE"/>
    <w:rsid w:val="2D6230D5"/>
    <w:rsid w:val="2D682308"/>
    <w:rsid w:val="2D686211"/>
    <w:rsid w:val="2D6A3D37"/>
    <w:rsid w:val="2D771923"/>
    <w:rsid w:val="2D7921CC"/>
    <w:rsid w:val="2D7D7F0E"/>
    <w:rsid w:val="2D7E3C87"/>
    <w:rsid w:val="2D7F79B5"/>
    <w:rsid w:val="2D811081"/>
    <w:rsid w:val="2D825525"/>
    <w:rsid w:val="2D834DF9"/>
    <w:rsid w:val="2D8377D5"/>
    <w:rsid w:val="2D867915"/>
    <w:rsid w:val="2D870D8D"/>
    <w:rsid w:val="2D886B7B"/>
    <w:rsid w:val="2D8F19F0"/>
    <w:rsid w:val="2D937732"/>
    <w:rsid w:val="2D96405C"/>
    <w:rsid w:val="2D9D235F"/>
    <w:rsid w:val="2D9E60D7"/>
    <w:rsid w:val="2D9E64E4"/>
    <w:rsid w:val="2DA04A84"/>
    <w:rsid w:val="2DA63E50"/>
    <w:rsid w:val="2DAA4A7C"/>
    <w:rsid w:val="2DB06539"/>
    <w:rsid w:val="2DB21EF1"/>
    <w:rsid w:val="2DB87198"/>
    <w:rsid w:val="2DB96A6D"/>
    <w:rsid w:val="2DBA4945"/>
    <w:rsid w:val="2DBB0A37"/>
    <w:rsid w:val="2DBD2AF5"/>
    <w:rsid w:val="2DBF0527"/>
    <w:rsid w:val="2DC07BFE"/>
    <w:rsid w:val="2DC518B5"/>
    <w:rsid w:val="2DC6679F"/>
    <w:rsid w:val="2DC96499"/>
    <w:rsid w:val="2DCB03B2"/>
    <w:rsid w:val="2DCC2C44"/>
    <w:rsid w:val="2DCE2518"/>
    <w:rsid w:val="2DD00A37"/>
    <w:rsid w:val="2DD136C7"/>
    <w:rsid w:val="2DD41AF8"/>
    <w:rsid w:val="2DD92C6B"/>
    <w:rsid w:val="2DD9710F"/>
    <w:rsid w:val="2DDA5F3E"/>
    <w:rsid w:val="2DDE357F"/>
    <w:rsid w:val="2DDE64D3"/>
    <w:rsid w:val="2DE0049D"/>
    <w:rsid w:val="2DE24837"/>
    <w:rsid w:val="2DE547CA"/>
    <w:rsid w:val="2DE81100"/>
    <w:rsid w:val="2DED6716"/>
    <w:rsid w:val="2DF4181D"/>
    <w:rsid w:val="2DF61A6F"/>
    <w:rsid w:val="2DF6381D"/>
    <w:rsid w:val="2DF81343"/>
    <w:rsid w:val="2DFC2F3E"/>
    <w:rsid w:val="2E022F24"/>
    <w:rsid w:val="2E083AC3"/>
    <w:rsid w:val="2E083F3B"/>
    <w:rsid w:val="2E0979F4"/>
    <w:rsid w:val="2E0A72C8"/>
    <w:rsid w:val="2E0E0B66"/>
    <w:rsid w:val="2E0F48DF"/>
    <w:rsid w:val="2E102281"/>
    <w:rsid w:val="2E141EF5"/>
    <w:rsid w:val="2E150147"/>
    <w:rsid w:val="2E1848FC"/>
    <w:rsid w:val="2E187C37"/>
    <w:rsid w:val="2E1A1DF7"/>
    <w:rsid w:val="2E1B7727"/>
    <w:rsid w:val="2E21674A"/>
    <w:rsid w:val="2E24069D"/>
    <w:rsid w:val="2E291E44"/>
    <w:rsid w:val="2E2A5352"/>
    <w:rsid w:val="2E2E1209"/>
    <w:rsid w:val="2E2E745B"/>
    <w:rsid w:val="2E2F7332"/>
    <w:rsid w:val="2E352597"/>
    <w:rsid w:val="2E39655E"/>
    <w:rsid w:val="2E3A7BAD"/>
    <w:rsid w:val="2E3B2871"/>
    <w:rsid w:val="2E3B56D4"/>
    <w:rsid w:val="2E3C1B78"/>
    <w:rsid w:val="2E422F06"/>
    <w:rsid w:val="2E4427DA"/>
    <w:rsid w:val="2E4647A4"/>
    <w:rsid w:val="2E4839E5"/>
    <w:rsid w:val="2E4A5917"/>
    <w:rsid w:val="2E4B67B6"/>
    <w:rsid w:val="2E4C5B33"/>
    <w:rsid w:val="2E4E00D9"/>
    <w:rsid w:val="2E4E2577"/>
    <w:rsid w:val="2E533A0E"/>
    <w:rsid w:val="2E556795"/>
    <w:rsid w:val="2E56075F"/>
    <w:rsid w:val="2E586286"/>
    <w:rsid w:val="2E5C248A"/>
    <w:rsid w:val="2E5F36A1"/>
    <w:rsid w:val="2E60513A"/>
    <w:rsid w:val="2E61338C"/>
    <w:rsid w:val="2E641563"/>
    <w:rsid w:val="2E6507D1"/>
    <w:rsid w:val="2E6B2DF0"/>
    <w:rsid w:val="2E6B420B"/>
    <w:rsid w:val="2E6D6E41"/>
    <w:rsid w:val="2E6F330A"/>
    <w:rsid w:val="2E7035CF"/>
    <w:rsid w:val="2E724C10"/>
    <w:rsid w:val="2E734E6D"/>
    <w:rsid w:val="2E756E38"/>
    <w:rsid w:val="2E7A26A0"/>
    <w:rsid w:val="2E7D5CEC"/>
    <w:rsid w:val="2E81758A"/>
    <w:rsid w:val="2E85043B"/>
    <w:rsid w:val="2E8C4181"/>
    <w:rsid w:val="2E8E614B"/>
    <w:rsid w:val="2E90562D"/>
    <w:rsid w:val="2E90732F"/>
    <w:rsid w:val="2E9A1BC8"/>
    <w:rsid w:val="2E9A7ACB"/>
    <w:rsid w:val="2E9E25BD"/>
    <w:rsid w:val="2E9F2106"/>
    <w:rsid w:val="2EA224E2"/>
    <w:rsid w:val="2EA25753"/>
    <w:rsid w:val="2EA35A7F"/>
    <w:rsid w:val="2EA4771D"/>
    <w:rsid w:val="2EA65243"/>
    <w:rsid w:val="2EA80FBB"/>
    <w:rsid w:val="2EAB4607"/>
    <w:rsid w:val="2EAF4022"/>
    <w:rsid w:val="2EB07E70"/>
    <w:rsid w:val="2EBC05C2"/>
    <w:rsid w:val="2EC13E2B"/>
    <w:rsid w:val="2EC41B6D"/>
    <w:rsid w:val="2EC4391B"/>
    <w:rsid w:val="2EC929D3"/>
    <w:rsid w:val="2ECB2EFB"/>
    <w:rsid w:val="2ED52B51"/>
    <w:rsid w:val="2ED52E31"/>
    <w:rsid w:val="2EDC6EB7"/>
    <w:rsid w:val="2EDE3101"/>
    <w:rsid w:val="2EE15CBF"/>
    <w:rsid w:val="2EE251D7"/>
    <w:rsid w:val="2EE43FBD"/>
    <w:rsid w:val="2EE67D35"/>
    <w:rsid w:val="2EEE77A6"/>
    <w:rsid w:val="2EF02962"/>
    <w:rsid w:val="2EF04710"/>
    <w:rsid w:val="2EF10F8E"/>
    <w:rsid w:val="2EF20488"/>
    <w:rsid w:val="2EF47EA2"/>
    <w:rsid w:val="2EF6324F"/>
    <w:rsid w:val="2EF74361"/>
    <w:rsid w:val="2EFA10EB"/>
    <w:rsid w:val="2EFC1307"/>
    <w:rsid w:val="2EFF4953"/>
    <w:rsid w:val="2F032695"/>
    <w:rsid w:val="2F0401BB"/>
    <w:rsid w:val="2F057348"/>
    <w:rsid w:val="2F0B3EF4"/>
    <w:rsid w:val="2F0B779C"/>
    <w:rsid w:val="2F0E6EA6"/>
    <w:rsid w:val="2F0F2DE8"/>
    <w:rsid w:val="2F104DB2"/>
    <w:rsid w:val="2F1523C9"/>
    <w:rsid w:val="2F155F25"/>
    <w:rsid w:val="2F160966"/>
    <w:rsid w:val="2F176A96"/>
    <w:rsid w:val="2F1A2512"/>
    <w:rsid w:val="2F1C1962"/>
    <w:rsid w:val="2F1C2C77"/>
    <w:rsid w:val="2F1C72B3"/>
    <w:rsid w:val="2F2478A8"/>
    <w:rsid w:val="2F294C3C"/>
    <w:rsid w:val="2F2B1BEC"/>
    <w:rsid w:val="2F2B5748"/>
    <w:rsid w:val="2F2E4BD5"/>
    <w:rsid w:val="2F336E62"/>
    <w:rsid w:val="2F38552A"/>
    <w:rsid w:val="2F3E7229"/>
    <w:rsid w:val="2F454A5C"/>
    <w:rsid w:val="2F4809C0"/>
    <w:rsid w:val="2F5051AF"/>
    <w:rsid w:val="2F5527C5"/>
    <w:rsid w:val="2F566C69"/>
    <w:rsid w:val="2F5A74B3"/>
    <w:rsid w:val="2F5B602D"/>
    <w:rsid w:val="2F5E167A"/>
    <w:rsid w:val="2F6068F4"/>
    <w:rsid w:val="2F6418B4"/>
    <w:rsid w:val="2F672717"/>
    <w:rsid w:val="2F6D7B0F"/>
    <w:rsid w:val="2F6F1AD9"/>
    <w:rsid w:val="2F704980"/>
    <w:rsid w:val="2F7075FF"/>
    <w:rsid w:val="2F7215C9"/>
    <w:rsid w:val="2F73653C"/>
    <w:rsid w:val="2F7377FA"/>
    <w:rsid w:val="2F7C1CF5"/>
    <w:rsid w:val="2F7D2448"/>
    <w:rsid w:val="2F8135BA"/>
    <w:rsid w:val="2F8337D6"/>
    <w:rsid w:val="2F8A06C1"/>
    <w:rsid w:val="2F8A6913"/>
    <w:rsid w:val="2F94153F"/>
    <w:rsid w:val="2F9506C7"/>
    <w:rsid w:val="2F963509"/>
    <w:rsid w:val="2F974B8C"/>
    <w:rsid w:val="2F990904"/>
    <w:rsid w:val="2F9B0B20"/>
    <w:rsid w:val="2F9C03F4"/>
    <w:rsid w:val="2FA21EAE"/>
    <w:rsid w:val="2FA33530"/>
    <w:rsid w:val="2FA501BC"/>
    <w:rsid w:val="2FA572A9"/>
    <w:rsid w:val="2FA57332"/>
    <w:rsid w:val="2FA63021"/>
    <w:rsid w:val="2FA8323D"/>
    <w:rsid w:val="2FA84FEB"/>
    <w:rsid w:val="2FA93C74"/>
    <w:rsid w:val="2FAF45CB"/>
    <w:rsid w:val="2FB120F1"/>
    <w:rsid w:val="2FBE65BC"/>
    <w:rsid w:val="2FC242FE"/>
    <w:rsid w:val="2FC71915"/>
    <w:rsid w:val="2FC82F97"/>
    <w:rsid w:val="2FCB4EEE"/>
    <w:rsid w:val="2FCC0CD9"/>
    <w:rsid w:val="2FCC6F2B"/>
    <w:rsid w:val="2FCD4A51"/>
    <w:rsid w:val="2FD14541"/>
    <w:rsid w:val="2FD22068"/>
    <w:rsid w:val="2FD61B58"/>
    <w:rsid w:val="2FD8767E"/>
    <w:rsid w:val="2FD9697A"/>
    <w:rsid w:val="2FDE6C5E"/>
    <w:rsid w:val="2FE1071D"/>
    <w:rsid w:val="2FE907EA"/>
    <w:rsid w:val="2FE96D72"/>
    <w:rsid w:val="2FEA6CBE"/>
    <w:rsid w:val="2FEE6EA1"/>
    <w:rsid w:val="2FF41FDE"/>
    <w:rsid w:val="2FF43D8C"/>
    <w:rsid w:val="2FF6098B"/>
    <w:rsid w:val="2FF818BA"/>
    <w:rsid w:val="2FF975F4"/>
    <w:rsid w:val="2FFC0D05"/>
    <w:rsid w:val="2FFC44A6"/>
    <w:rsid w:val="2FFD0E93"/>
    <w:rsid w:val="2FFD70E5"/>
    <w:rsid w:val="30004E27"/>
    <w:rsid w:val="300541EB"/>
    <w:rsid w:val="30054923"/>
    <w:rsid w:val="300A1801"/>
    <w:rsid w:val="300D4E4E"/>
    <w:rsid w:val="300F0BC6"/>
    <w:rsid w:val="30112B90"/>
    <w:rsid w:val="30146D95"/>
    <w:rsid w:val="30185CCC"/>
    <w:rsid w:val="301A5EE8"/>
    <w:rsid w:val="301B3A0F"/>
    <w:rsid w:val="301E705B"/>
    <w:rsid w:val="301F34FF"/>
    <w:rsid w:val="30202DD3"/>
    <w:rsid w:val="302100FF"/>
    <w:rsid w:val="302208F9"/>
    <w:rsid w:val="30234671"/>
    <w:rsid w:val="30274161"/>
    <w:rsid w:val="30297EDA"/>
    <w:rsid w:val="302A5A00"/>
    <w:rsid w:val="302C4E11"/>
    <w:rsid w:val="3034687E"/>
    <w:rsid w:val="303A20E7"/>
    <w:rsid w:val="303B7C0D"/>
    <w:rsid w:val="303C45C9"/>
    <w:rsid w:val="30423D3E"/>
    <w:rsid w:val="304545E8"/>
    <w:rsid w:val="304A5411"/>
    <w:rsid w:val="304B1A67"/>
    <w:rsid w:val="304B42F4"/>
    <w:rsid w:val="304E16EE"/>
    <w:rsid w:val="304F36B8"/>
    <w:rsid w:val="3050698A"/>
    <w:rsid w:val="30564A47"/>
    <w:rsid w:val="30586A11"/>
    <w:rsid w:val="30590093"/>
    <w:rsid w:val="305A1716"/>
    <w:rsid w:val="305C34E6"/>
    <w:rsid w:val="305D4027"/>
    <w:rsid w:val="305E56A9"/>
    <w:rsid w:val="305E5E71"/>
    <w:rsid w:val="30601421"/>
    <w:rsid w:val="3062234F"/>
    <w:rsid w:val="3062519A"/>
    <w:rsid w:val="30640F12"/>
    <w:rsid w:val="306C26A5"/>
    <w:rsid w:val="306C416A"/>
    <w:rsid w:val="306E7FE2"/>
    <w:rsid w:val="30703D5A"/>
    <w:rsid w:val="307279A7"/>
    <w:rsid w:val="30755662"/>
    <w:rsid w:val="30785015"/>
    <w:rsid w:val="307C26FF"/>
    <w:rsid w:val="307D0225"/>
    <w:rsid w:val="307F3F9D"/>
    <w:rsid w:val="30802720"/>
    <w:rsid w:val="308415B4"/>
    <w:rsid w:val="3088148F"/>
    <w:rsid w:val="30882996"/>
    <w:rsid w:val="308C1EC2"/>
    <w:rsid w:val="308C66BA"/>
    <w:rsid w:val="30901D07"/>
    <w:rsid w:val="309317F7"/>
    <w:rsid w:val="3095556F"/>
    <w:rsid w:val="309A4933"/>
    <w:rsid w:val="309F1F4A"/>
    <w:rsid w:val="30A21A3A"/>
    <w:rsid w:val="30A532D8"/>
    <w:rsid w:val="30A61108"/>
    <w:rsid w:val="30A6152A"/>
    <w:rsid w:val="30A65BBD"/>
    <w:rsid w:val="30A74E11"/>
    <w:rsid w:val="30A752A2"/>
    <w:rsid w:val="30A93220"/>
    <w:rsid w:val="30AA08EF"/>
    <w:rsid w:val="30AE6631"/>
    <w:rsid w:val="30AF1E72"/>
    <w:rsid w:val="30B3748F"/>
    <w:rsid w:val="30C65728"/>
    <w:rsid w:val="30C714A1"/>
    <w:rsid w:val="30CA222B"/>
    <w:rsid w:val="30D140CD"/>
    <w:rsid w:val="30D342E9"/>
    <w:rsid w:val="30D54010"/>
    <w:rsid w:val="30DB6CFA"/>
    <w:rsid w:val="30DF67EA"/>
    <w:rsid w:val="30E81C16"/>
    <w:rsid w:val="30EC0F07"/>
    <w:rsid w:val="30EC1347"/>
    <w:rsid w:val="30ED53AB"/>
    <w:rsid w:val="30ED7159"/>
    <w:rsid w:val="30F027A5"/>
    <w:rsid w:val="30F1651D"/>
    <w:rsid w:val="30F878AC"/>
    <w:rsid w:val="30FF6E8C"/>
    <w:rsid w:val="310B75DF"/>
    <w:rsid w:val="3112096E"/>
    <w:rsid w:val="311741D6"/>
    <w:rsid w:val="311A1F18"/>
    <w:rsid w:val="31210BB1"/>
    <w:rsid w:val="312468F3"/>
    <w:rsid w:val="31282FB6"/>
    <w:rsid w:val="312D1C4B"/>
    <w:rsid w:val="313034EA"/>
    <w:rsid w:val="31307046"/>
    <w:rsid w:val="31327262"/>
    <w:rsid w:val="313308E4"/>
    <w:rsid w:val="31376626"/>
    <w:rsid w:val="313905F0"/>
    <w:rsid w:val="31391E8F"/>
    <w:rsid w:val="3139239E"/>
    <w:rsid w:val="313F372D"/>
    <w:rsid w:val="313F54DB"/>
    <w:rsid w:val="31424559"/>
    <w:rsid w:val="31427AD7"/>
    <w:rsid w:val="31465E8E"/>
    <w:rsid w:val="314A45AB"/>
    <w:rsid w:val="31542076"/>
    <w:rsid w:val="3154222C"/>
    <w:rsid w:val="31552F50"/>
    <w:rsid w:val="31570A76"/>
    <w:rsid w:val="3159659D"/>
    <w:rsid w:val="316023F9"/>
    <w:rsid w:val="31632D9C"/>
    <w:rsid w:val="31660CB9"/>
    <w:rsid w:val="31662A68"/>
    <w:rsid w:val="31666F0B"/>
    <w:rsid w:val="316A07AA"/>
    <w:rsid w:val="316D029A"/>
    <w:rsid w:val="316F5349"/>
    <w:rsid w:val="31707707"/>
    <w:rsid w:val="31727625"/>
    <w:rsid w:val="317433D6"/>
    <w:rsid w:val="31794E91"/>
    <w:rsid w:val="317A39CD"/>
    <w:rsid w:val="317C228B"/>
    <w:rsid w:val="317E2440"/>
    <w:rsid w:val="31807FCD"/>
    <w:rsid w:val="3183186B"/>
    <w:rsid w:val="31843850"/>
    <w:rsid w:val="318B24CE"/>
    <w:rsid w:val="318D3E35"/>
    <w:rsid w:val="318D6246"/>
    <w:rsid w:val="318E3088"/>
    <w:rsid w:val="318F0210"/>
    <w:rsid w:val="31903F88"/>
    <w:rsid w:val="3192385D"/>
    <w:rsid w:val="31925D9E"/>
    <w:rsid w:val="31926A3D"/>
    <w:rsid w:val="31927D00"/>
    <w:rsid w:val="319475D5"/>
    <w:rsid w:val="319677F1"/>
    <w:rsid w:val="31992E3D"/>
    <w:rsid w:val="31994BEB"/>
    <w:rsid w:val="319A0963"/>
    <w:rsid w:val="319E48F7"/>
    <w:rsid w:val="319F0A95"/>
    <w:rsid w:val="319F4F62"/>
    <w:rsid w:val="319F5F79"/>
    <w:rsid w:val="31A22367"/>
    <w:rsid w:val="31AB0563"/>
    <w:rsid w:val="31AB491E"/>
    <w:rsid w:val="31AD0696"/>
    <w:rsid w:val="31AF08B2"/>
    <w:rsid w:val="31B61C41"/>
    <w:rsid w:val="31BB1005"/>
    <w:rsid w:val="31C51E84"/>
    <w:rsid w:val="31C756D3"/>
    <w:rsid w:val="31C8381C"/>
    <w:rsid w:val="31D60066"/>
    <w:rsid w:val="31D83A75"/>
    <w:rsid w:val="31DB3455"/>
    <w:rsid w:val="31DD71CE"/>
    <w:rsid w:val="31E06CBE"/>
    <w:rsid w:val="31E51575"/>
    <w:rsid w:val="31E7004C"/>
    <w:rsid w:val="31EF0CAF"/>
    <w:rsid w:val="31F42769"/>
    <w:rsid w:val="31F6203D"/>
    <w:rsid w:val="31F744F2"/>
    <w:rsid w:val="31FB410C"/>
    <w:rsid w:val="3202600F"/>
    <w:rsid w:val="320A7220"/>
    <w:rsid w:val="320B54EE"/>
    <w:rsid w:val="320C00BF"/>
    <w:rsid w:val="320F4EAD"/>
    <w:rsid w:val="3210122D"/>
    <w:rsid w:val="32116E77"/>
    <w:rsid w:val="321B5F48"/>
    <w:rsid w:val="321C75CA"/>
    <w:rsid w:val="321D3A6E"/>
    <w:rsid w:val="3220221C"/>
    <w:rsid w:val="32230959"/>
    <w:rsid w:val="32254273"/>
    <w:rsid w:val="322A618B"/>
    <w:rsid w:val="322F6880"/>
    <w:rsid w:val="32317519"/>
    <w:rsid w:val="323D4C19"/>
    <w:rsid w:val="323E5F09"/>
    <w:rsid w:val="324151B9"/>
    <w:rsid w:val="324243AD"/>
    <w:rsid w:val="32496611"/>
    <w:rsid w:val="324C4353"/>
    <w:rsid w:val="324C6101"/>
    <w:rsid w:val="324C7EAF"/>
    <w:rsid w:val="32572665"/>
    <w:rsid w:val="32594190"/>
    <w:rsid w:val="325F576F"/>
    <w:rsid w:val="3260393F"/>
    <w:rsid w:val="326276D3"/>
    <w:rsid w:val="3265253D"/>
    <w:rsid w:val="32672F3B"/>
    <w:rsid w:val="3268280F"/>
    <w:rsid w:val="326922A7"/>
    <w:rsid w:val="32696CB3"/>
    <w:rsid w:val="326A2A2B"/>
    <w:rsid w:val="326A5D92"/>
    <w:rsid w:val="32700042"/>
    <w:rsid w:val="32755658"/>
    <w:rsid w:val="32785148"/>
    <w:rsid w:val="327875F1"/>
    <w:rsid w:val="32794A1C"/>
    <w:rsid w:val="327F64D7"/>
    <w:rsid w:val="3281224F"/>
    <w:rsid w:val="328238D1"/>
    <w:rsid w:val="32861F84"/>
    <w:rsid w:val="32862139"/>
    <w:rsid w:val="32883C32"/>
    <w:rsid w:val="328B4E7C"/>
    <w:rsid w:val="328C4750"/>
    <w:rsid w:val="328E671A"/>
    <w:rsid w:val="32902492"/>
    <w:rsid w:val="32911D66"/>
    <w:rsid w:val="32925305"/>
    <w:rsid w:val="32953D1F"/>
    <w:rsid w:val="32967008"/>
    <w:rsid w:val="32990C1B"/>
    <w:rsid w:val="329A50BF"/>
    <w:rsid w:val="329B2BE5"/>
    <w:rsid w:val="329D070B"/>
    <w:rsid w:val="329F26D5"/>
    <w:rsid w:val="32A366B2"/>
    <w:rsid w:val="32A70990"/>
    <w:rsid w:val="32AA085B"/>
    <w:rsid w:val="32AA5162"/>
    <w:rsid w:val="32B113B0"/>
    <w:rsid w:val="32B5665D"/>
    <w:rsid w:val="32BA56C5"/>
    <w:rsid w:val="32BD4FFD"/>
    <w:rsid w:val="32C24615"/>
    <w:rsid w:val="32C65EB4"/>
    <w:rsid w:val="32C959A4"/>
    <w:rsid w:val="32C96426"/>
    <w:rsid w:val="32CB5278"/>
    <w:rsid w:val="32CC2D9E"/>
    <w:rsid w:val="32CE6BF6"/>
    <w:rsid w:val="32D00AE0"/>
    <w:rsid w:val="32D560F7"/>
    <w:rsid w:val="32D57EA5"/>
    <w:rsid w:val="32D61E6F"/>
    <w:rsid w:val="32D81743"/>
    <w:rsid w:val="32D85BE7"/>
    <w:rsid w:val="32DC56D7"/>
    <w:rsid w:val="32DD31FD"/>
    <w:rsid w:val="32DF0D23"/>
    <w:rsid w:val="32E0684A"/>
    <w:rsid w:val="32E427DE"/>
    <w:rsid w:val="32EA3BB0"/>
    <w:rsid w:val="32EB1476"/>
    <w:rsid w:val="32EB3B6C"/>
    <w:rsid w:val="32F02F60"/>
    <w:rsid w:val="32F347CF"/>
    <w:rsid w:val="32F80037"/>
    <w:rsid w:val="32F95E6C"/>
    <w:rsid w:val="32F96543"/>
    <w:rsid w:val="32FE389F"/>
    <w:rsid w:val="32FF13C6"/>
    <w:rsid w:val="32FF3174"/>
    <w:rsid w:val="33004250"/>
    <w:rsid w:val="330B7D6A"/>
    <w:rsid w:val="330E1609"/>
    <w:rsid w:val="330E785B"/>
    <w:rsid w:val="33114C55"/>
    <w:rsid w:val="33162906"/>
    <w:rsid w:val="331C1F78"/>
    <w:rsid w:val="331F7372"/>
    <w:rsid w:val="3321133C"/>
    <w:rsid w:val="33242BDA"/>
    <w:rsid w:val="33264BA4"/>
    <w:rsid w:val="33272CFD"/>
    <w:rsid w:val="33291F9F"/>
    <w:rsid w:val="332B3F69"/>
    <w:rsid w:val="332F54EC"/>
    <w:rsid w:val="33353039"/>
    <w:rsid w:val="33356B95"/>
    <w:rsid w:val="33370B5F"/>
    <w:rsid w:val="333A0650"/>
    <w:rsid w:val="333A23FE"/>
    <w:rsid w:val="333C3FAE"/>
    <w:rsid w:val="333D5A4A"/>
    <w:rsid w:val="3342113B"/>
    <w:rsid w:val="33462B51"/>
    <w:rsid w:val="334943EF"/>
    <w:rsid w:val="334D0383"/>
    <w:rsid w:val="334D3EDF"/>
    <w:rsid w:val="3350487A"/>
    <w:rsid w:val="335135AD"/>
    <w:rsid w:val="335334BF"/>
    <w:rsid w:val="3355548A"/>
    <w:rsid w:val="33557D62"/>
    <w:rsid w:val="33572FB0"/>
    <w:rsid w:val="33595105"/>
    <w:rsid w:val="33633703"/>
    <w:rsid w:val="336456CD"/>
    <w:rsid w:val="336D632F"/>
    <w:rsid w:val="336F6D78"/>
    <w:rsid w:val="33707BCD"/>
    <w:rsid w:val="3371744F"/>
    <w:rsid w:val="337467D7"/>
    <w:rsid w:val="33775400"/>
    <w:rsid w:val="33791178"/>
    <w:rsid w:val="337B4EF0"/>
    <w:rsid w:val="337B5680"/>
    <w:rsid w:val="337F42B4"/>
    <w:rsid w:val="3381627F"/>
    <w:rsid w:val="33833CB3"/>
    <w:rsid w:val="33833DA5"/>
    <w:rsid w:val="338418CB"/>
    <w:rsid w:val="33857B1D"/>
    <w:rsid w:val="33863895"/>
    <w:rsid w:val="33925D96"/>
    <w:rsid w:val="33953AD8"/>
    <w:rsid w:val="33957634"/>
    <w:rsid w:val="33960CE2"/>
    <w:rsid w:val="339935C8"/>
    <w:rsid w:val="339A6F51"/>
    <w:rsid w:val="33A146B4"/>
    <w:rsid w:val="33A37FA3"/>
    <w:rsid w:val="33A40316"/>
    <w:rsid w:val="33A66073"/>
    <w:rsid w:val="33A855B9"/>
    <w:rsid w:val="33AB50A9"/>
    <w:rsid w:val="33AD4398"/>
    <w:rsid w:val="33B0446E"/>
    <w:rsid w:val="33BB25E5"/>
    <w:rsid w:val="33BE302F"/>
    <w:rsid w:val="33BE4DDD"/>
    <w:rsid w:val="33C56012"/>
    <w:rsid w:val="33C63C91"/>
    <w:rsid w:val="33C65A3F"/>
    <w:rsid w:val="33CA6491"/>
    <w:rsid w:val="33CB1BCD"/>
    <w:rsid w:val="33CD5020"/>
    <w:rsid w:val="33D068BE"/>
    <w:rsid w:val="33D26ADA"/>
    <w:rsid w:val="33D85B78"/>
    <w:rsid w:val="33D97E69"/>
    <w:rsid w:val="33DB773D"/>
    <w:rsid w:val="33E04D53"/>
    <w:rsid w:val="33E247C0"/>
    <w:rsid w:val="33E30779"/>
    <w:rsid w:val="33E34843"/>
    <w:rsid w:val="33E41473"/>
    <w:rsid w:val="33E87093"/>
    <w:rsid w:val="33EA2EAA"/>
    <w:rsid w:val="33EC194A"/>
    <w:rsid w:val="33ED121E"/>
    <w:rsid w:val="33F05233"/>
    <w:rsid w:val="33F14D68"/>
    <w:rsid w:val="33F64577"/>
    <w:rsid w:val="33F95E15"/>
    <w:rsid w:val="33FB7DDF"/>
    <w:rsid w:val="33FC5905"/>
    <w:rsid w:val="33FE013C"/>
    <w:rsid w:val="33FF004F"/>
    <w:rsid w:val="34016277"/>
    <w:rsid w:val="3402116D"/>
    <w:rsid w:val="34050C5E"/>
    <w:rsid w:val="34074D73"/>
    <w:rsid w:val="340842AA"/>
    <w:rsid w:val="340C5B48"/>
    <w:rsid w:val="340D2243"/>
    <w:rsid w:val="340E12E0"/>
    <w:rsid w:val="340E19B7"/>
    <w:rsid w:val="341261C8"/>
    <w:rsid w:val="34180991"/>
    <w:rsid w:val="34181F9A"/>
    <w:rsid w:val="341B2D0B"/>
    <w:rsid w:val="341F0272"/>
    <w:rsid w:val="342015F4"/>
    <w:rsid w:val="34241AF5"/>
    <w:rsid w:val="342509B8"/>
    <w:rsid w:val="34284CF3"/>
    <w:rsid w:val="342E1F62"/>
    <w:rsid w:val="342F7A89"/>
    <w:rsid w:val="3430306C"/>
    <w:rsid w:val="343230D5"/>
    <w:rsid w:val="343432F1"/>
    <w:rsid w:val="343825C5"/>
    <w:rsid w:val="34390907"/>
    <w:rsid w:val="34397338"/>
    <w:rsid w:val="343F3CA4"/>
    <w:rsid w:val="34403A44"/>
    <w:rsid w:val="34425A0E"/>
    <w:rsid w:val="344361A6"/>
    <w:rsid w:val="34441786"/>
    <w:rsid w:val="34452E08"/>
    <w:rsid w:val="344C063B"/>
    <w:rsid w:val="344F7E01"/>
    <w:rsid w:val="345309D9"/>
    <w:rsid w:val="345319C9"/>
    <w:rsid w:val="3454129D"/>
    <w:rsid w:val="34565511"/>
    <w:rsid w:val="3457017F"/>
    <w:rsid w:val="34572B3B"/>
    <w:rsid w:val="3458152F"/>
    <w:rsid w:val="34583D23"/>
    <w:rsid w:val="345C1A8B"/>
    <w:rsid w:val="345C41E5"/>
    <w:rsid w:val="34627E5E"/>
    <w:rsid w:val="346516FC"/>
    <w:rsid w:val="346E55E0"/>
    <w:rsid w:val="346F60D7"/>
    <w:rsid w:val="347100A1"/>
    <w:rsid w:val="34713BFD"/>
    <w:rsid w:val="347164DD"/>
    <w:rsid w:val="34750E92"/>
    <w:rsid w:val="347656B7"/>
    <w:rsid w:val="347831DE"/>
    <w:rsid w:val="347C2161"/>
    <w:rsid w:val="348176BF"/>
    <w:rsid w:val="34832F99"/>
    <w:rsid w:val="348778C5"/>
    <w:rsid w:val="34880BEA"/>
    <w:rsid w:val="3491429F"/>
    <w:rsid w:val="349745FC"/>
    <w:rsid w:val="349D6AEA"/>
    <w:rsid w:val="349F4C0E"/>
    <w:rsid w:val="34A00109"/>
    <w:rsid w:val="34A00986"/>
    <w:rsid w:val="34A57D4B"/>
    <w:rsid w:val="34AB35B3"/>
    <w:rsid w:val="34B1049E"/>
    <w:rsid w:val="34B14942"/>
    <w:rsid w:val="34B61F58"/>
    <w:rsid w:val="34B63D06"/>
    <w:rsid w:val="34B8182C"/>
    <w:rsid w:val="34BB3BE7"/>
    <w:rsid w:val="34BB6546"/>
    <w:rsid w:val="34BD3731"/>
    <w:rsid w:val="34BF0E0C"/>
    <w:rsid w:val="34C12DD7"/>
    <w:rsid w:val="34C5219B"/>
    <w:rsid w:val="34C861EB"/>
    <w:rsid w:val="34CA77B1"/>
    <w:rsid w:val="34CC693E"/>
    <w:rsid w:val="34CE2DFE"/>
    <w:rsid w:val="34CF1DAC"/>
    <w:rsid w:val="34DC2B4A"/>
    <w:rsid w:val="34DF14AF"/>
    <w:rsid w:val="34E00D83"/>
    <w:rsid w:val="34E24AFB"/>
    <w:rsid w:val="34E3087A"/>
    <w:rsid w:val="34E460B6"/>
    <w:rsid w:val="34E75607"/>
    <w:rsid w:val="34E83B47"/>
    <w:rsid w:val="34EA39B0"/>
    <w:rsid w:val="34EB1585"/>
    <w:rsid w:val="34F42C4D"/>
    <w:rsid w:val="34F62354"/>
    <w:rsid w:val="34F87471"/>
    <w:rsid w:val="34FA0097"/>
    <w:rsid w:val="34FC52FB"/>
    <w:rsid w:val="35020CF9"/>
    <w:rsid w:val="3502519D"/>
    <w:rsid w:val="350607E9"/>
    <w:rsid w:val="350B4052"/>
    <w:rsid w:val="350C08BE"/>
    <w:rsid w:val="35131158"/>
    <w:rsid w:val="35133AD1"/>
    <w:rsid w:val="35142EDA"/>
    <w:rsid w:val="3514450C"/>
    <w:rsid w:val="351975ED"/>
    <w:rsid w:val="352073D1"/>
    <w:rsid w:val="35216B3A"/>
    <w:rsid w:val="35234AC0"/>
    <w:rsid w:val="352C5D76"/>
    <w:rsid w:val="352F70DE"/>
    <w:rsid w:val="353335A8"/>
    <w:rsid w:val="35373099"/>
    <w:rsid w:val="35380BBF"/>
    <w:rsid w:val="353D71E6"/>
    <w:rsid w:val="354237EC"/>
    <w:rsid w:val="354258EB"/>
    <w:rsid w:val="35434644"/>
    <w:rsid w:val="354B08F2"/>
    <w:rsid w:val="354B6B44"/>
    <w:rsid w:val="35505FBC"/>
    <w:rsid w:val="35510676"/>
    <w:rsid w:val="35521C81"/>
    <w:rsid w:val="35551771"/>
    <w:rsid w:val="355A28E3"/>
    <w:rsid w:val="355A6D87"/>
    <w:rsid w:val="355B7EB7"/>
    <w:rsid w:val="355D6513"/>
    <w:rsid w:val="355E5C87"/>
    <w:rsid w:val="356356DE"/>
    <w:rsid w:val="35661288"/>
    <w:rsid w:val="3566572C"/>
    <w:rsid w:val="35675000"/>
    <w:rsid w:val="356B0EA6"/>
    <w:rsid w:val="35731BF7"/>
    <w:rsid w:val="357339A5"/>
    <w:rsid w:val="3578720D"/>
    <w:rsid w:val="35814314"/>
    <w:rsid w:val="35815A13"/>
    <w:rsid w:val="35831E3A"/>
    <w:rsid w:val="35847960"/>
    <w:rsid w:val="35867B7C"/>
    <w:rsid w:val="358838F4"/>
    <w:rsid w:val="358955D4"/>
    <w:rsid w:val="359202CF"/>
    <w:rsid w:val="35944047"/>
    <w:rsid w:val="35977F67"/>
    <w:rsid w:val="35987004"/>
    <w:rsid w:val="359B69F8"/>
    <w:rsid w:val="35A5258E"/>
    <w:rsid w:val="35A52C64"/>
    <w:rsid w:val="35A6695C"/>
    <w:rsid w:val="35A7110B"/>
    <w:rsid w:val="35AD335B"/>
    <w:rsid w:val="35AF0E81"/>
    <w:rsid w:val="35B46497"/>
    <w:rsid w:val="35B5357D"/>
    <w:rsid w:val="35BF4E3C"/>
    <w:rsid w:val="35C16E06"/>
    <w:rsid w:val="35C24BC6"/>
    <w:rsid w:val="35C3679B"/>
    <w:rsid w:val="35C44201"/>
    <w:rsid w:val="35C506A4"/>
    <w:rsid w:val="35CB1A33"/>
    <w:rsid w:val="35CD3B0F"/>
    <w:rsid w:val="35CE6E2D"/>
    <w:rsid w:val="35D11918"/>
    <w:rsid w:val="35D206ED"/>
    <w:rsid w:val="35D216B3"/>
    <w:rsid w:val="35D72186"/>
    <w:rsid w:val="35D73F34"/>
    <w:rsid w:val="35D77141"/>
    <w:rsid w:val="35DA3A24"/>
    <w:rsid w:val="35DE1766"/>
    <w:rsid w:val="35E1035F"/>
    <w:rsid w:val="35E812DF"/>
    <w:rsid w:val="35EA1EB9"/>
    <w:rsid w:val="35ED19A9"/>
    <w:rsid w:val="35EF5721"/>
    <w:rsid w:val="35F5085E"/>
    <w:rsid w:val="35F77C51"/>
    <w:rsid w:val="35FA7C22"/>
    <w:rsid w:val="35FC7E3E"/>
    <w:rsid w:val="35FF2E9D"/>
    <w:rsid w:val="36010FB1"/>
    <w:rsid w:val="36034D29"/>
    <w:rsid w:val="360441BF"/>
    <w:rsid w:val="36074868"/>
    <w:rsid w:val="360C62D3"/>
    <w:rsid w:val="36105698"/>
    <w:rsid w:val="3618333E"/>
    <w:rsid w:val="36183B8C"/>
    <w:rsid w:val="36184F4A"/>
    <w:rsid w:val="361C228F"/>
    <w:rsid w:val="361F4A3C"/>
    <w:rsid w:val="361F517C"/>
    <w:rsid w:val="36266C69"/>
    <w:rsid w:val="36270733"/>
    <w:rsid w:val="36287EA7"/>
    <w:rsid w:val="362A675A"/>
    <w:rsid w:val="362C50F3"/>
    <w:rsid w:val="362F5B1E"/>
    <w:rsid w:val="36315D3A"/>
    <w:rsid w:val="363175CD"/>
    <w:rsid w:val="36330CB4"/>
    <w:rsid w:val="36372C24"/>
    <w:rsid w:val="36380CE0"/>
    <w:rsid w:val="36394BEF"/>
    <w:rsid w:val="363D46DF"/>
    <w:rsid w:val="363E0457"/>
    <w:rsid w:val="36453593"/>
    <w:rsid w:val="36462DE7"/>
    <w:rsid w:val="364728C6"/>
    <w:rsid w:val="36486BE0"/>
    <w:rsid w:val="36487EF7"/>
    <w:rsid w:val="36527A5E"/>
    <w:rsid w:val="365B2DB7"/>
    <w:rsid w:val="365C268B"/>
    <w:rsid w:val="36611C66"/>
    <w:rsid w:val="36637A36"/>
    <w:rsid w:val="366559E4"/>
    <w:rsid w:val="36681030"/>
    <w:rsid w:val="366854D4"/>
    <w:rsid w:val="366A124C"/>
    <w:rsid w:val="36716136"/>
    <w:rsid w:val="36754DEF"/>
    <w:rsid w:val="36767BF1"/>
    <w:rsid w:val="367B5207"/>
    <w:rsid w:val="367C2D8B"/>
    <w:rsid w:val="367E0853"/>
    <w:rsid w:val="367E2601"/>
    <w:rsid w:val="367E6AA5"/>
    <w:rsid w:val="36810032"/>
    <w:rsid w:val="368220F2"/>
    <w:rsid w:val="36826596"/>
    <w:rsid w:val="36853887"/>
    <w:rsid w:val="36857E34"/>
    <w:rsid w:val="368E1A09"/>
    <w:rsid w:val="368E76EE"/>
    <w:rsid w:val="368F2A60"/>
    <w:rsid w:val="368F480F"/>
    <w:rsid w:val="368F7018"/>
    <w:rsid w:val="36913CE5"/>
    <w:rsid w:val="369242A1"/>
    <w:rsid w:val="36941E25"/>
    <w:rsid w:val="36957375"/>
    <w:rsid w:val="369938DF"/>
    <w:rsid w:val="3699568D"/>
    <w:rsid w:val="369B7657"/>
    <w:rsid w:val="369D6F2B"/>
    <w:rsid w:val="36A12F32"/>
    <w:rsid w:val="36A44F75"/>
    <w:rsid w:val="36AA529F"/>
    <w:rsid w:val="36AD060C"/>
    <w:rsid w:val="36B64491"/>
    <w:rsid w:val="36B6623F"/>
    <w:rsid w:val="36BB532C"/>
    <w:rsid w:val="36BB66FD"/>
    <w:rsid w:val="36BD312A"/>
    <w:rsid w:val="36C02C1A"/>
    <w:rsid w:val="36C070BE"/>
    <w:rsid w:val="36C30D04"/>
    <w:rsid w:val="36C719CD"/>
    <w:rsid w:val="36CC5A63"/>
    <w:rsid w:val="36CC7A24"/>
    <w:rsid w:val="36D546CB"/>
    <w:rsid w:val="36D8249B"/>
    <w:rsid w:val="36D93CDC"/>
    <w:rsid w:val="36DB3FEB"/>
    <w:rsid w:val="36DF7544"/>
    <w:rsid w:val="36E0150E"/>
    <w:rsid w:val="36E83F1F"/>
    <w:rsid w:val="36EA58C4"/>
    <w:rsid w:val="36EA7C97"/>
    <w:rsid w:val="36EC7EB3"/>
    <w:rsid w:val="36ED3A63"/>
    <w:rsid w:val="36EF6EE9"/>
    <w:rsid w:val="36F154C9"/>
    <w:rsid w:val="36F17277"/>
    <w:rsid w:val="36F31241"/>
    <w:rsid w:val="36F32FEF"/>
    <w:rsid w:val="36F56F35"/>
    <w:rsid w:val="36F823B4"/>
    <w:rsid w:val="36FA25D0"/>
    <w:rsid w:val="36FF3742"/>
    <w:rsid w:val="37020E6A"/>
    <w:rsid w:val="37060F75"/>
    <w:rsid w:val="3709636F"/>
    <w:rsid w:val="370B658B"/>
    <w:rsid w:val="37134D04"/>
    <w:rsid w:val="37160A8C"/>
    <w:rsid w:val="37180CA8"/>
    <w:rsid w:val="371B152F"/>
    <w:rsid w:val="371F3DE4"/>
    <w:rsid w:val="371F72C3"/>
    <w:rsid w:val="3727713D"/>
    <w:rsid w:val="372A68C1"/>
    <w:rsid w:val="372C4753"/>
    <w:rsid w:val="372D2177"/>
    <w:rsid w:val="372E5DD5"/>
    <w:rsid w:val="372F49AE"/>
    <w:rsid w:val="37313B18"/>
    <w:rsid w:val="373158C6"/>
    <w:rsid w:val="3732332F"/>
    <w:rsid w:val="37353608"/>
    <w:rsid w:val="373B04F2"/>
    <w:rsid w:val="373B6744"/>
    <w:rsid w:val="37425D25"/>
    <w:rsid w:val="37446E85"/>
    <w:rsid w:val="37461371"/>
    <w:rsid w:val="37491867"/>
    <w:rsid w:val="374B4BD9"/>
    <w:rsid w:val="374B6384"/>
    <w:rsid w:val="374C2700"/>
    <w:rsid w:val="37511FBA"/>
    <w:rsid w:val="375241BA"/>
    <w:rsid w:val="37537F32"/>
    <w:rsid w:val="37557806"/>
    <w:rsid w:val="37576944"/>
    <w:rsid w:val="3758678B"/>
    <w:rsid w:val="375A6BCB"/>
    <w:rsid w:val="375D490D"/>
    <w:rsid w:val="376143FD"/>
    <w:rsid w:val="37620175"/>
    <w:rsid w:val="37667C65"/>
    <w:rsid w:val="376712E7"/>
    <w:rsid w:val="376B4C00"/>
    <w:rsid w:val="376B527C"/>
    <w:rsid w:val="377203B8"/>
    <w:rsid w:val="37734130"/>
    <w:rsid w:val="37743D82"/>
    <w:rsid w:val="3776777C"/>
    <w:rsid w:val="377C1237"/>
    <w:rsid w:val="3784633D"/>
    <w:rsid w:val="37865C12"/>
    <w:rsid w:val="378A0189"/>
    <w:rsid w:val="37957E64"/>
    <w:rsid w:val="37985945"/>
    <w:rsid w:val="37A20571"/>
    <w:rsid w:val="37A23C7A"/>
    <w:rsid w:val="37A4078E"/>
    <w:rsid w:val="37A43949"/>
    <w:rsid w:val="37A52B4A"/>
    <w:rsid w:val="37A8186B"/>
    <w:rsid w:val="37A83DDA"/>
    <w:rsid w:val="37A95DA4"/>
    <w:rsid w:val="37AB1B1C"/>
    <w:rsid w:val="37B11B66"/>
    <w:rsid w:val="37B15D81"/>
    <w:rsid w:val="37B24C58"/>
    <w:rsid w:val="37B7401D"/>
    <w:rsid w:val="37BA1D5F"/>
    <w:rsid w:val="37BB7471"/>
    <w:rsid w:val="37BC5AD7"/>
    <w:rsid w:val="37BD53AB"/>
    <w:rsid w:val="37C16C4A"/>
    <w:rsid w:val="37C30C14"/>
    <w:rsid w:val="37C36BD9"/>
    <w:rsid w:val="37C36E66"/>
    <w:rsid w:val="37C52C3A"/>
    <w:rsid w:val="37C64260"/>
    <w:rsid w:val="37C867A4"/>
    <w:rsid w:val="37CA23C1"/>
    <w:rsid w:val="37CF580A"/>
    <w:rsid w:val="37D270A9"/>
    <w:rsid w:val="37D50947"/>
    <w:rsid w:val="37D7646D"/>
    <w:rsid w:val="37D96A07"/>
    <w:rsid w:val="37DE3C9F"/>
    <w:rsid w:val="37DF68F0"/>
    <w:rsid w:val="37E1109A"/>
    <w:rsid w:val="37E1553E"/>
    <w:rsid w:val="37E64902"/>
    <w:rsid w:val="37EE37B7"/>
    <w:rsid w:val="37F232A7"/>
    <w:rsid w:val="37F30DCD"/>
    <w:rsid w:val="37F631A9"/>
    <w:rsid w:val="37F92887"/>
    <w:rsid w:val="37FC2378"/>
    <w:rsid w:val="38037262"/>
    <w:rsid w:val="380751D0"/>
    <w:rsid w:val="38075385"/>
    <w:rsid w:val="38076B58"/>
    <w:rsid w:val="38084878"/>
    <w:rsid w:val="3809239F"/>
    <w:rsid w:val="380F20AB"/>
    <w:rsid w:val="38107BD1"/>
    <w:rsid w:val="38116670"/>
    <w:rsid w:val="38167121"/>
    <w:rsid w:val="381A45AC"/>
    <w:rsid w:val="381C0324"/>
    <w:rsid w:val="381C3D8E"/>
    <w:rsid w:val="381C6576"/>
    <w:rsid w:val="381E22EE"/>
    <w:rsid w:val="38207E14"/>
    <w:rsid w:val="3821593A"/>
    <w:rsid w:val="38237904"/>
    <w:rsid w:val="38341B11"/>
    <w:rsid w:val="383843EC"/>
    <w:rsid w:val="38402264"/>
    <w:rsid w:val="38487848"/>
    <w:rsid w:val="384A0187"/>
    <w:rsid w:val="38500133"/>
    <w:rsid w:val="3851621F"/>
    <w:rsid w:val="38523D46"/>
    <w:rsid w:val="38545D10"/>
    <w:rsid w:val="385555E4"/>
    <w:rsid w:val="38561A88"/>
    <w:rsid w:val="385E6B8E"/>
    <w:rsid w:val="38603B83"/>
    <w:rsid w:val="38606463"/>
    <w:rsid w:val="3862667F"/>
    <w:rsid w:val="38653A79"/>
    <w:rsid w:val="38657F1D"/>
    <w:rsid w:val="38673C95"/>
    <w:rsid w:val="38697929"/>
    <w:rsid w:val="386C12AB"/>
    <w:rsid w:val="386F2B4A"/>
    <w:rsid w:val="386F6AD1"/>
    <w:rsid w:val="38747BC2"/>
    <w:rsid w:val="38777FA1"/>
    <w:rsid w:val="38795776"/>
    <w:rsid w:val="387C0200"/>
    <w:rsid w:val="3881462B"/>
    <w:rsid w:val="3882337C"/>
    <w:rsid w:val="38826A27"/>
    <w:rsid w:val="388A1731"/>
    <w:rsid w:val="388D1222"/>
    <w:rsid w:val="3891486E"/>
    <w:rsid w:val="389425B0"/>
    <w:rsid w:val="389C3213"/>
    <w:rsid w:val="389D0C7A"/>
    <w:rsid w:val="389D5322"/>
    <w:rsid w:val="389D76B7"/>
    <w:rsid w:val="389E342F"/>
    <w:rsid w:val="38A420AD"/>
    <w:rsid w:val="38A51017"/>
    <w:rsid w:val="38AA38A9"/>
    <w:rsid w:val="38AA6CF9"/>
    <w:rsid w:val="38AC5B4C"/>
    <w:rsid w:val="38B16CBE"/>
    <w:rsid w:val="38B30C88"/>
    <w:rsid w:val="38BB7B3D"/>
    <w:rsid w:val="38BD7916"/>
    <w:rsid w:val="38C509BB"/>
    <w:rsid w:val="38C764E2"/>
    <w:rsid w:val="38C84008"/>
    <w:rsid w:val="38CE5AC2"/>
    <w:rsid w:val="38CF5396"/>
    <w:rsid w:val="38D97FC3"/>
    <w:rsid w:val="38DF7CCF"/>
    <w:rsid w:val="38E069CE"/>
    <w:rsid w:val="38E075A3"/>
    <w:rsid w:val="38E2156D"/>
    <w:rsid w:val="38E452E6"/>
    <w:rsid w:val="38E5105E"/>
    <w:rsid w:val="38EA0422"/>
    <w:rsid w:val="38EC7CF6"/>
    <w:rsid w:val="38F35529"/>
    <w:rsid w:val="38F60B75"/>
    <w:rsid w:val="38F82AD9"/>
    <w:rsid w:val="38FB262F"/>
    <w:rsid w:val="38FD63A7"/>
    <w:rsid w:val="38FF39F5"/>
    <w:rsid w:val="39002FB3"/>
    <w:rsid w:val="39034C5E"/>
    <w:rsid w:val="390414E4"/>
    <w:rsid w:val="390A4620"/>
    <w:rsid w:val="390A63CE"/>
    <w:rsid w:val="390E5EBF"/>
    <w:rsid w:val="390F7641"/>
    <w:rsid w:val="391060DB"/>
    <w:rsid w:val="39137979"/>
    <w:rsid w:val="39155CC9"/>
    <w:rsid w:val="39161217"/>
    <w:rsid w:val="391666A3"/>
    <w:rsid w:val="391D25A6"/>
    <w:rsid w:val="391E49EA"/>
    <w:rsid w:val="391F00CC"/>
    <w:rsid w:val="391F5588"/>
    <w:rsid w:val="392A4C27"/>
    <w:rsid w:val="392E47B3"/>
    <w:rsid w:val="39316051"/>
    <w:rsid w:val="39317DFF"/>
    <w:rsid w:val="39387D98"/>
    <w:rsid w:val="39396CB4"/>
    <w:rsid w:val="393A44E6"/>
    <w:rsid w:val="393B0C7E"/>
    <w:rsid w:val="393B1EAF"/>
    <w:rsid w:val="393D49F6"/>
    <w:rsid w:val="393E3E02"/>
    <w:rsid w:val="39406294"/>
    <w:rsid w:val="3942200C"/>
    <w:rsid w:val="39472CE8"/>
    <w:rsid w:val="394915ED"/>
    <w:rsid w:val="394A0EC1"/>
    <w:rsid w:val="394A2C6F"/>
    <w:rsid w:val="39534219"/>
    <w:rsid w:val="395562DD"/>
    <w:rsid w:val="39560D4E"/>
    <w:rsid w:val="395D0BF4"/>
    <w:rsid w:val="395D7169"/>
    <w:rsid w:val="39627FB8"/>
    <w:rsid w:val="39642546"/>
    <w:rsid w:val="396509C3"/>
    <w:rsid w:val="39654509"/>
    <w:rsid w:val="39663F4D"/>
    <w:rsid w:val="396C7089"/>
    <w:rsid w:val="396D67F2"/>
    <w:rsid w:val="396E2E01"/>
    <w:rsid w:val="396F26D5"/>
    <w:rsid w:val="397119C0"/>
    <w:rsid w:val="3971644D"/>
    <w:rsid w:val="397207A7"/>
    <w:rsid w:val="397A06E1"/>
    <w:rsid w:val="397A79F8"/>
    <w:rsid w:val="397B107A"/>
    <w:rsid w:val="397B1715"/>
    <w:rsid w:val="397C3770"/>
    <w:rsid w:val="39820C37"/>
    <w:rsid w:val="3986014B"/>
    <w:rsid w:val="3986639D"/>
    <w:rsid w:val="39882115"/>
    <w:rsid w:val="398919E9"/>
    <w:rsid w:val="398E0DAD"/>
    <w:rsid w:val="39900FC9"/>
    <w:rsid w:val="39902D77"/>
    <w:rsid w:val="39904B26"/>
    <w:rsid w:val="39916AF0"/>
    <w:rsid w:val="399B0698"/>
    <w:rsid w:val="399B34CA"/>
    <w:rsid w:val="399C171C"/>
    <w:rsid w:val="399F745E"/>
    <w:rsid w:val="39A71438"/>
    <w:rsid w:val="39AD08EF"/>
    <w:rsid w:val="39AD3929"/>
    <w:rsid w:val="39AE746C"/>
    <w:rsid w:val="39B051C8"/>
    <w:rsid w:val="39B06F76"/>
    <w:rsid w:val="39B20F40"/>
    <w:rsid w:val="39B90520"/>
    <w:rsid w:val="39BC3B6C"/>
    <w:rsid w:val="39C62C3D"/>
    <w:rsid w:val="39C649EB"/>
    <w:rsid w:val="39C72511"/>
    <w:rsid w:val="39C80763"/>
    <w:rsid w:val="39CB2002"/>
    <w:rsid w:val="39CB4303"/>
    <w:rsid w:val="39CE564E"/>
    <w:rsid w:val="39D04EA6"/>
    <w:rsid w:val="39D0586A"/>
    <w:rsid w:val="39D2513E"/>
    <w:rsid w:val="39DA3FF3"/>
    <w:rsid w:val="39DA5CA1"/>
    <w:rsid w:val="39DB7C2D"/>
    <w:rsid w:val="39DC5FBD"/>
    <w:rsid w:val="39DC7D6B"/>
    <w:rsid w:val="39DF785B"/>
    <w:rsid w:val="39E52F7A"/>
    <w:rsid w:val="39E97A3D"/>
    <w:rsid w:val="39F143E7"/>
    <w:rsid w:val="39F5319F"/>
    <w:rsid w:val="39F57E9E"/>
    <w:rsid w:val="39FC040D"/>
    <w:rsid w:val="39FC21BB"/>
    <w:rsid w:val="39FD2415"/>
    <w:rsid w:val="3A03179B"/>
    <w:rsid w:val="3A0568AB"/>
    <w:rsid w:val="3A0E1EEE"/>
    <w:rsid w:val="3A10210A"/>
    <w:rsid w:val="3A137505"/>
    <w:rsid w:val="3A15327D"/>
    <w:rsid w:val="3A192D6D"/>
    <w:rsid w:val="3A1E1BED"/>
    <w:rsid w:val="3A1E4827"/>
    <w:rsid w:val="3A2160C5"/>
    <w:rsid w:val="3A2B2AA0"/>
    <w:rsid w:val="3A2F4EFB"/>
    <w:rsid w:val="3A347BA7"/>
    <w:rsid w:val="3A39340F"/>
    <w:rsid w:val="3A3B7187"/>
    <w:rsid w:val="3A3C7179"/>
    <w:rsid w:val="3A3F02FA"/>
    <w:rsid w:val="3A3F474D"/>
    <w:rsid w:val="3A405A09"/>
    <w:rsid w:val="3A406600"/>
    <w:rsid w:val="3A410516"/>
    <w:rsid w:val="3A4129CE"/>
    <w:rsid w:val="3A427935"/>
    <w:rsid w:val="3A4818A4"/>
    <w:rsid w:val="3A483652"/>
    <w:rsid w:val="3A485400"/>
    <w:rsid w:val="3A490ECA"/>
    <w:rsid w:val="3A4A60C7"/>
    <w:rsid w:val="3A4F2C33"/>
    <w:rsid w:val="3A4F7E7B"/>
    <w:rsid w:val="3A563FC1"/>
    <w:rsid w:val="3A5A2CEB"/>
    <w:rsid w:val="3A5A5133"/>
    <w:rsid w:val="3A607A49"/>
    <w:rsid w:val="3A6366DE"/>
    <w:rsid w:val="3A6626C3"/>
    <w:rsid w:val="3A6B56C1"/>
    <w:rsid w:val="3A6C5593"/>
    <w:rsid w:val="3A6F6951"/>
    <w:rsid w:val="3A6F6E31"/>
    <w:rsid w:val="3A751F6D"/>
    <w:rsid w:val="3A763C53"/>
    <w:rsid w:val="3A7A7584"/>
    <w:rsid w:val="3A7B0497"/>
    <w:rsid w:val="3A7B57D6"/>
    <w:rsid w:val="3A7C5D33"/>
    <w:rsid w:val="3A7E0E22"/>
    <w:rsid w:val="3A804B9A"/>
    <w:rsid w:val="3A856654"/>
    <w:rsid w:val="3A8C4B76"/>
    <w:rsid w:val="3A8D5509"/>
    <w:rsid w:val="3A9643BE"/>
    <w:rsid w:val="3A9669FA"/>
    <w:rsid w:val="3A9C74FA"/>
    <w:rsid w:val="3AA0523C"/>
    <w:rsid w:val="3AA12D62"/>
    <w:rsid w:val="3AA20FB4"/>
    <w:rsid w:val="3AA70967"/>
    <w:rsid w:val="3AA85F85"/>
    <w:rsid w:val="3AAC1E33"/>
    <w:rsid w:val="3AAE2D52"/>
    <w:rsid w:val="3AAF547F"/>
    <w:rsid w:val="3AB111F7"/>
    <w:rsid w:val="3ABE56C2"/>
    <w:rsid w:val="3AC21656"/>
    <w:rsid w:val="3AC23405"/>
    <w:rsid w:val="3AC54CA3"/>
    <w:rsid w:val="3AC60B9D"/>
    <w:rsid w:val="3ACA22B9"/>
    <w:rsid w:val="3ACC6031"/>
    <w:rsid w:val="3ACE7FFB"/>
    <w:rsid w:val="3AD15CB4"/>
    <w:rsid w:val="3AD43138"/>
    <w:rsid w:val="3AD82C28"/>
    <w:rsid w:val="3AD849D6"/>
    <w:rsid w:val="3AE25855"/>
    <w:rsid w:val="3AE710BD"/>
    <w:rsid w:val="3AE71841"/>
    <w:rsid w:val="3AEC222F"/>
    <w:rsid w:val="3AF13CEA"/>
    <w:rsid w:val="3AF235BE"/>
    <w:rsid w:val="3AF31810"/>
    <w:rsid w:val="3AFE373D"/>
    <w:rsid w:val="3AFF6407"/>
    <w:rsid w:val="3AFF67B0"/>
    <w:rsid w:val="3B021A53"/>
    <w:rsid w:val="3B0A04B5"/>
    <w:rsid w:val="3B0A4DAB"/>
    <w:rsid w:val="3B0E1700"/>
    <w:rsid w:val="3B0E664A"/>
    <w:rsid w:val="3B0F23C2"/>
    <w:rsid w:val="3B117EE8"/>
    <w:rsid w:val="3B133C60"/>
    <w:rsid w:val="3B1654FE"/>
    <w:rsid w:val="3B1B1812"/>
    <w:rsid w:val="3B2066A6"/>
    <w:rsid w:val="3B225C51"/>
    <w:rsid w:val="3B286FE0"/>
    <w:rsid w:val="3B375346"/>
    <w:rsid w:val="3B38059C"/>
    <w:rsid w:val="3B394A75"/>
    <w:rsid w:val="3B3F4A55"/>
    <w:rsid w:val="3B424545"/>
    <w:rsid w:val="3B44167C"/>
    <w:rsid w:val="3B47390A"/>
    <w:rsid w:val="3B483EC7"/>
    <w:rsid w:val="3B4A3A57"/>
    <w:rsid w:val="3B4D0803"/>
    <w:rsid w:val="3B5129DA"/>
    <w:rsid w:val="3B52394A"/>
    <w:rsid w:val="3B563B4D"/>
    <w:rsid w:val="3B5B5607"/>
    <w:rsid w:val="3B5B7B12"/>
    <w:rsid w:val="3B5F2509"/>
    <w:rsid w:val="3B634ADD"/>
    <w:rsid w:val="3B6531E1"/>
    <w:rsid w:val="3B6540C9"/>
    <w:rsid w:val="3B6B3439"/>
    <w:rsid w:val="3B6B584A"/>
    <w:rsid w:val="3B732951"/>
    <w:rsid w:val="3B742225"/>
    <w:rsid w:val="3B744E3E"/>
    <w:rsid w:val="3B8E1539"/>
    <w:rsid w:val="3B911029"/>
    <w:rsid w:val="3B984165"/>
    <w:rsid w:val="3B9E54DA"/>
    <w:rsid w:val="3B9F72A2"/>
    <w:rsid w:val="3BA0301A"/>
    <w:rsid w:val="3BA15C6B"/>
    <w:rsid w:val="3BA24FE4"/>
    <w:rsid w:val="3BA94D4D"/>
    <w:rsid w:val="3BAA14D1"/>
    <w:rsid w:val="3BAB3E99"/>
    <w:rsid w:val="3BB014AF"/>
    <w:rsid w:val="3BB16FD5"/>
    <w:rsid w:val="3BB371F1"/>
    <w:rsid w:val="3BB738FF"/>
    <w:rsid w:val="3BB84807"/>
    <w:rsid w:val="3BBA2067"/>
    <w:rsid w:val="3BBA7C64"/>
    <w:rsid w:val="3BBB75D3"/>
    <w:rsid w:val="3BC25DE6"/>
    <w:rsid w:val="3BC8595D"/>
    <w:rsid w:val="3BC907C3"/>
    <w:rsid w:val="3BC96A15"/>
    <w:rsid w:val="3BCB453B"/>
    <w:rsid w:val="3BCE7D05"/>
    <w:rsid w:val="3BD70944"/>
    <w:rsid w:val="3BDC02D0"/>
    <w:rsid w:val="3BDC6748"/>
    <w:rsid w:val="3BDC690B"/>
    <w:rsid w:val="3BDD7DCA"/>
    <w:rsid w:val="3BEE4A2B"/>
    <w:rsid w:val="3BF07952"/>
    <w:rsid w:val="3BF33A92"/>
    <w:rsid w:val="3BF350F4"/>
    <w:rsid w:val="3BF750E1"/>
    <w:rsid w:val="3BF82E56"/>
    <w:rsid w:val="3BFC05AD"/>
    <w:rsid w:val="3BFF1F28"/>
    <w:rsid w:val="3C0147DC"/>
    <w:rsid w:val="3C025A83"/>
    <w:rsid w:val="3C0D06AF"/>
    <w:rsid w:val="3C0D6901"/>
    <w:rsid w:val="3C120CA5"/>
    <w:rsid w:val="3C123F18"/>
    <w:rsid w:val="3C1315AB"/>
    <w:rsid w:val="3C17152E"/>
    <w:rsid w:val="3C1A7270"/>
    <w:rsid w:val="3C1F35BD"/>
    <w:rsid w:val="3C1F6635"/>
    <w:rsid w:val="3C2123AD"/>
    <w:rsid w:val="3C221C81"/>
    <w:rsid w:val="3C237ED3"/>
    <w:rsid w:val="3C241E9D"/>
    <w:rsid w:val="3C2C6CFD"/>
    <w:rsid w:val="3C2D2B00"/>
    <w:rsid w:val="3C2E5C5A"/>
    <w:rsid w:val="3C3025F0"/>
    <w:rsid w:val="3C3136A4"/>
    <w:rsid w:val="3C333E8E"/>
    <w:rsid w:val="3C343766"/>
    <w:rsid w:val="3C357C06"/>
    <w:rsid w:val="3C3A65C9"/>
    <w:rsid w:val="3C43474B"/>
    <w:rsid w:val="3C485B8B"/>
    <w:rsid w:val="3C4B567C"/>
    <w:rsid w:val="3C4C0CDA"/>
    <w:rsid w:val="3C522566"/>
    <w:rsid w:val="3C544530"/>
    <w:rsid w:val="3C58171C"/>
    <w:rsid w:val="3C59537C"/>
    <w:rsid w:val="3C5A2A19"/>
    <w:rsid w:val="3C5A3D43"/>
    <w:rsid w:val="3C5C711F"/>
    <w:rsid w:val="3C5E0698"/>
    <w:rsid w:val="3C641104"/>
    <w:rsid w:val="3C651E5A"/>
    <w:rsid w:val="3C655E40"/>
    <w:rsid w:val="3C683636"/>
    <w:rsid w:val="3C6C6332"/>
    <w:rsid w:val="3C6D114E"/>
    <w:rsid w:val="3C6F3118"/>
    <w:rsid w:val="3C7249B6"/>
    <w:rsid w:val="3C7E77FF"/>
    <w:rsid w:val="3C7F11EE"/>
    <w:rsid w:val="3C834E15"/>
    <w:rsid w:val="3C860462"/>
    <w:rsid w:val="3C8666B4"/>
    <w:rsid w:val="3C885F88"/>
    <w:rsid w:val="3C890094"/>
    <w:rsid w:val="3C8B3CCA"/>
    <w:rsid w:val="3C8D359E"/>
    <w:rsid w:val="3C920BB5"/>
    <w:rsid w:val="3C950D47"/>
    <w:rsid w:val="3C9708C1"/>
    <w:rsid w:val="3C97259C"/>
    <w:rsid w:val="3C97441D"/>
    <w:rsid w:val="3C99397C"/>
    <w:rsid w:val="3C9C5ED7"/>
    <w:rsid w:val="3C9C7C85"/>
    <w:rsid w:val="3CA02767"/>
    <w:rsid w:val="3CA1529C"/>
    <w:rsid w:val="3CA164D5"/>
    <w:rsid w:val="3CA31014"/>
    <w:rsid w:val="3CA37012"/>
    <w:rsid w:val="3CAF1767"/>
    <w:rsid w:val="3CB0617A"/>
    <w:rsid w:val="3CB52AF5"/>
    <w:rsid w:val="3CBE5E4E"/>
    <w:rsid w:val="3CC03974"/>
    <w:rsid w:val="3CC046A2"/>
    <w:rsid w:val="3CC33275"/>
    <w:rsid w:val="3CC33464"/>
    <w:rsid w:val="3CC66AB0"/>
    <w:rsid w:val="3CC87934"/>
    <w:rsid w:val="3CCD42E3"/>
    <w:rsid w:val="3CCD7E3F"/>
    <w:rsid w:val="3CCE2B34"/>
    <w:rsid w:val="3CD823F4"/>
    <w:rsid w:val="3CD94A35"/>
    <w:rsid w:val="3CDD0DD0"/>
    <w:rsid w:val="3CDD2778"/>
    <w:rsid w:val="3CE04016"/>
    <w:rsid w:val="3CE05DC4"/>
    <w:rsid w:val="3CE07B72"/>
    <w:rsid w:val="3CE358B4"/>
    <w:rsid w:val="3CE8111C"/>
    <w:rsid w:val="3CED228F"/>
    <w:rsid w:val="3CED6733"/>
    <w:rsid w:val="3CEF24AB"/>
    <w:rsid w:val="3CF4186F"/>
    <w:rsid w:val="3CF46D1B"/>
    <w:rsid w:val="3CF63839"/>
    <w:rsid w:val="3CF655E7"/>
    <w:rsid w:val="3CF9067F"/>
    <w:rsid w:val="3CF950D8"/>
    <w:rsid w:val="3CFA5A1F"/>
    <w:rsid w:val="3CFA5BD5"/>
    <w:rsid w:val="3CFB2BFE"/>
    <w:rsid w:val="3CFD6976"/>
    <w:rsid w:val="3CFF1411"/>
    <w:rsid w:val="3D001FC2"/>
    <w:rsid w:val="3D05582A"/>
    <w:rsid w:val="3D071835"/>
    <w:rsid w:val="3D072B33"/>
    <w:rsid w:val="3D073351"/>
    <w:rsid w:val="3D073818"/>
    <w:rsid w:val="3D097CDC"/>
    <w:rsid w:val="3D0D04E0"/>
    <w:rsid w:val="3D0D46DF"/>
    <w:rsid w:val="3D0E0B83"/>
    <w:rsid w:val="3D0E757F"/>
    <w:rsid w:val="3D103806"/>
    <w:rsid w:val="3D112421"/>
    <w:rsid w:val="3D125759"/>
    <w:rsid w:val="3D163594"/>
    <w:rsid w:val="3D180513"/>
    <w:rsid w:val="3D1837B0"/>
    <w:rsid w:val="3D18555E"/>
    <w:rsid w:val="3D197A98"/>
    <w:rsid w:val="3D1B6DFC"/>
    <w:rsid w:val="3D263D3A"/>
    <w:rsid w:val="3D27548E"/>
    <w:rsid w:val="3D2C2DB7"/>
    <w:rsid w:val="3D2E1E9E"/>
    <w:rsid w:val="3D302436"/>
    <w:rsid w:val="3D31661F"/>
    <w:rsid w:val="3D324146"/>
    <w:rsid w:val="3D37175C"/>
    <w:rsid w:val="3D393726"/>
    <w:rsid w:val="3D3B23B2"/>
    <w:rsid w:val="3D3D4FC4"/>
    <w:rsid w:val="3D3E7E89"/>
    <w:rsid w:val="3D432D04"/>
    <w:rsid w:val="3D464256"/>
    <w:rsid w:val="3D4867A6"/>
    <w:rsid w:val="3D4B2A6F"/>
    <w:rsid w:val="3D4C3459"/>
    <w:rsid w:val="3D4F4CF8"/>
    <w:rsid w:val="3D513775"/>
    <w:rsid w:val="3D5679B3"/>
    <w:rsid w:val="3D580050"/>
    <w:rsid w:val="3D5818DC"/>
    <w:rsid w:val="3D5D11C3"/>
    <w:rsid w:val="3D5F6A55"/>
    <w:rsid w:val="3D600CB3"/>
    <w:rsid w:val="3D6267D9"/>
    <w:rsid w:val="3D687833"/>
    <w:rsid w:val="3D6B6CE8"/>
    <w:rsid w:val="3D6D1908"/>
    <w:rsid w:val="3D6D4830"/>
    <w:rsid w:val="3D6F0EF6"/>
    <w:rsid w:val="3D6F7148"/>
    <w:rsid w:val="3D711112"/>
    <w:rsid w:val="3D776C74"/>
    <w:rsid w:val="3D7C2FCD"/>
    <w:rsid w:val="3D7F55DD"/>
    <w:rsid w:val="3D8051A6"/>
    <w:rsid w:val="3D820C29"/>
    <w:rsid w:val="3D891FB8"/>
    <w:rsid w:val="3D8B21D4"/>
    <w:rsid w:val="3D8B4BB3"/>
    <w:rsid w:val="3D8B50D4"/>
    <w:rsid w:val="3D8C6916"/>
    <w:rsid w:val="3D9170BE"/>
    <w:rsid w:val="3D954E00"/>
    <w:rsid w:val="3D960B78"/>
    <w:rsid w:val="3D9904A8"/>
    <w:rsid w:val="3DA54918"/>
    <w:rsid w:val="3DA81B6D"/>
    <w:rsid w:val="3DA90DC1"/>
    <w:rsid w:val="3DA9164D"/>
    <w:rsid w:val="3DB64D77"/>
    <w:rsid w:val="3DBC05DF"/>
    <w:rsid w:val="3DBC7CF6"/>
    <w:rsid w:val="3DBD4357"/>
    <w:rsid w:val="3DBD6105"/>
    <w:rsid w:val="3DC254CA"/>
    <w:rsid w:val="3DC47C3F"/>
    <w:rsid w:val="3DC76F84"/>
    <w:rsid w:val="3DCB6A74"/>
    <w:rsid w:val="3DCC00F6"/>
    <w:rsid w:val="3DD1570D"/>
    <w:rsid w:val="3DD577AB"/>
    <w:rsid w:val="3DD671C7"/>
    <w:rsid w:val="3DDC47DD"/>
    <w:rsid w:val="3DDF3C75"/>
    <w:rsid w:val="3DDF4B52"/>
    <w:rsid w:val="3DEC2546"/>
    <w:rsid w:val="3DEC5CC6"/>
    <w:rsid w:val="3DEE2762"/>
    <w:rsid w:val="3DF02037"/>
    <w:rsid w:val="3DF22E67"/>
    <w:rsid w:val="3DFA1107"/>
    <w:rsid w:val="3DFA4C63"/>
    <w:rsid w:val="3DFC6C2D"/>
    <w:rsid w:val="3DFD4754"/>
    <w:rsid w:val="3DFF671E"/>
    <w:rsid w:val="3DFF7CEF"/>
    <w:rsid w:val="3E004607"/>
    <w:rsid w:val="3E0419F9"/>
    <w:rsid w:val="3E0C2BE9"/>
    <w:rsid w:val="3E0D61A2"/>
    <w:rsid w:val="3E151A9D"/>
    <w:rsid w:val="3E18333B"/>
    <w:rsid w:val="3E1877DF"/>
    <w:rsid w:val="3E19718E"/>
    <w:rsid w:val="3E1A6173"/>
    <w:rsid w:val="3E1C72D0"/>
    <w:rsid w:val="3E1F46CA"/>
    <w:rsid w:val="3E20451A"/>
    <w:rsid w:val="3E216694"/>
    <w:rsid w:val="3E2B72D1"/>
    <w:rsid w:val="3E2B7513"/>
    <w:rsid w:val="3E2C5C98"/>
    <w:rsid w:val="3E2D5039"/>
    <w:rsid w:val="3E2E5A79"/>
    <w:rsid w:val="3E391C30"/>
    <w:rsid w:val="3E3C1720"/>
    <w:rsid w:val="3E44668D"/>
    <w:rsid w:val="3E465190"/>
    <w:rsid w:val="3E493DC2"/>
    <w:rsid w:val="3E546A69"/>
    <w:rsid w:val="3E570308"/>
    <w:rsid w:val="3E5755E5"/>
    <w:rsid w:val="3E5A656F"/>
    <w:rsid w:val="3E5D1086"/>
    <w:rsid w:val="3E5E3444"/>
    <w:rsid w:val="3E663D18"/>
    <w:rsid w:val="3E682515"/>
    <w:rsid w:val="3E6914BF"/>
    <w:rsid w:val="3E726EF0"/>
    <w:rsid w:val="3E75253C"/>
    <w:rsid w:val="3E7569E0"/>
    <w:rsid w:val="3E7746A5"/>
    <w:rsid w:val="3E7802D0"/>
    <w:rsid w:val="3E810EE1"/>
    <w:rsid w:val="3E8135D7"/>
    <w:rsid w:val="3E817F1C"/>
    <w:rsid w:val="3E860BED"/>
    <w:rsid w:val="3E8B6203"/>
    <w:rsid w:val="3E8D5AD7"/>
    <w:rsid w:val="3E8F7AA2"/>
    <w:rsid w:val="3E9055C8"/>
    <w:rsid w:val="3E907376"/>
    <w:rsid w:val="3E94330A"/>
    <w:rsid w:val="3E946E66"/>
    <w:rsid w:val="3E9E7CE5"/>
    <w:rsid w:val="3EA36F25"/>
    <w:rsid w:val="3EA846BF"/>
    <w:rsid w:val="3EAA36E4"/>
    <w:rsid w:val="3EAF3CA0"/>
    <w:rsid w:val="3EB219E2"/>
    <w:rsid w:val="3EB23790"/>
    <w:rsid w:val="3EBC63BD"/>
    <w:rsid w:val="3EC139D3"/>
    <w:rsid w:val="3EC5537B"/>
    <w:rsid w:val="3EC62D97"/>
    <w:rsid w:val="3EC94532"/>
    <w:rsid w:val="3ECA0ADA"/>
    <w:rsid w:val="3ECC2AA4"/>
    <w:rsid w:val="3ECC77BE"/>
    <w:rsid w:val="3ECE32F4"/>
    <w:rsid w:val="3ECE3ED7"/>
    <w:rsid w:val="3ED04E79"/>
    <w:rsid w:val="3ED83AF5"/>
    <w:rsid w:val="3EDB73BB"/>
    <w:rsid w:val="3EDC080D"/>
    <w:rsid w:val="3EDC6A5F"/>
    <w:rsid w:val="3EDE6333"/>
    <w:rsid w:val="3EE15E23"/>
    <w:rsid w:val="3EE8492E"/>
    <w:rsid w:val="3EE97E24"/>
    <w:rsid w:val="3EEA4CD8"/>
    <w:rsid w:val="3EED7FD5"/>
    <w:rsid w:val="3EF64C77"/>
    <w:rsid w:val="3EF85E3E"/>
    <w:rsid w:val="3EFA07BA"/>
    <w:rsid w:val="3EFA44E9"/>
    <w:rsid w:val="3EFC4A0B"/>
    <w:rsid w:val="3F033FEC"/>
    <w:rsid w:val="3F051B12"/>
    <w:rsid w:val="3F055FB6"/>
    <w:rsid w:val="3F087854"/>
    <w:rsid w:val="3F0B2EA0"/>
    <w:rsid w:val="3F0C7DF4"/>
    <w:rsid w:val="3F0D6C18"/>
    <w:rsid w:val="3F135889"/>
    <w:rsid w:val="3F171845"/>
    <w:rsid w:val="3F19736B"/>
    <w:rsid w:val="3F1D32FF"/>
    <w:rsid w:val="3F1E4982"/>
    <w:rsid w:val="3F214472"/>
    <w:rsid w:val="3F277CDA"/>
    <w:rsid w:val="3F281CA4"/>
    <w:rsid w:val="3F2A77CA"/>
    <w:rsid w:val="3F2B6768"/>
    <w:rsid w:val="3F2D72BA"/>
    <w:rsid w:val="3F340649"/>
    <w:rsid w:val="3F3441A5"/>
    <w:rsid w:val="3F3643C1"/>
    <w:rsid w:val="3F381EE7"/>
    <w:rsid w:val="3F3B19D7"/>
    <w:rsid w:val="3F3C12AC"/>
    <w:rsid w:val="3F3D2BDA"/>
    <w:rsid w:val="3F421492"/>
    <w:rsid w:val="3F473ED8"/>
    <w:rsid w:val="3F487C50"/>
    <w:rsid w:val="3F490016"/>
    <w:rsid w:val="3F4A7535"/>
    <w:rsid w:val="3F4F4696"/>
    <w:rsid w:val="3F5059F5"/>
    <w:rsid w:val="3F514D57"/>
    <w:rsid w:val="3F520ACF"/>
    <w:rsid w:val="3F5605BF"/>
    <w:rsid w:val="3F591E5E"/>
    <w:rsid w:val="3F5B3E28"/>
    <w:rsid w:val="3F5B5BD6"/>
    <w:rsid w:val="3F5D194E"/>
    <w:rsid w:val="3F5D4F76"/>
    <w:rsid w:val="3F5E1222"/>
    <w:rsid w:val="3F6031EC"/>
    <w:rsid w:val="3F632CDC"/>
    <w:rsid w:val="3F666DF4"/>
    <w:rsid w:val="3F6A406B"/>
    <w:rsid w:val="3F6D08A1"/>
    <w:rsid w:val="3F6D76B7"/>
    <w:rsid w:val="3F6E3B5B"/>
    <w:rsid w:val="3F732F1F"/>
    <w:rsid w:val="3F743FC9"/>
    <w:rsid w:val="3F7942AE"/>
    <w:rsid w:val="3F79605C"/>
    <w:rsid w:val="3F7D3D9E"/>
    <w:rsid w:val="3F7E18C4"/>
    <w:rsid w:val="3F861E85"/>
    <w:rsid w:val="3F895F34"/>
    <w:rsid w:val="3F8E5FAB"/>
    <w:rsid w:val="3F9410E8"/>
    <w:rsid w:val="3F964E60"/>
    <w:rsid w:val="3F970C32"/>
    <w:rsid w:val="3F9872FF"/>
    <w:rsid w:val="3F9B5FD2"/>
    <w:rsid w:val="3F9C396C"/>
    <w:rsid w:val="3FA255B3"/>
    <w:rsid w:val="3FA622F7"/>
    <w:rsid w:val="3FAC6431"/>
    <w:rsid w:val="3FB05F21"/>
    <w:rsid w:val="3FB11C9A"/>
    <w:rsid w:val="3FB84DD6"/>
    <w:rsid w:val="3FB928FC"/>
    <w:rsid w:val="3FB97B2C"/>
    <w:rsid w:val="3FC01EDD"/>
    <w:rsid w:val="3FCA52FB"/>
    <w:rsid w:val="3FD140EA"/>
    <w:rsid w:val="3FD15E98"/>
    <w:rsid w:val="3FD80FD4"/>
    <w:rsid w:val="3FDF6807"/>
    <w:rsid w:val="3FE03B85"/>
    <w:rsid w:val="3FE536F1"/>
    <w:rsid w:val="3FE72BAA"/>
    <w:rsid w:val="3FE91433"/>
    <w:rsid w:val="3FE9653F"/>
    <w:rsid w:val="3FED72D4"/>
    <w:rsid w:val="3FEE7F68"/>
    <w:rsid w:val="3FEF631E"/>
    <w:rsid w:val="3FF81676"/>
    <w:rsid w:val="3FF83425"/>
    <w:rsid w:val="3FFB1FD2"/>
    <w:rsid w:val="3FFF02B2"/>
    <w:rsid w:val="400D3374"/>
    <w:rsid w:val="40133308"/>
    <w:rsid w:val="401A4D5C"/>
    <w:rsid w:val="401D2E8B"/>
    <w:rsid w:val="40200B9E"/>
    <w:rsid w:val="40215B26"/>
    <w:rsid w:val="402266F3"/>
    <w:rsid w:val="402577AD"/>
    <w:rsid w:val="40273D0A"/>
    <w:rsid w:val="402C30CE"/>
    <w:rsid w:val="402E7F0F"/>
    <w:rsid w:val="40307062"/>
    <w:rsid w:val="40322C80"/>
    <w:rsid w:val="403A57EB"/>
    <w:rsid w:val="403D52DB"/>
    <w:rsid w:val="404228F2"/>
    <w:rsid w:val="40425ADD"/>
    <w:rsid w:val="40481D0D"/>
    <w:rsid w:val="40494B17"/>
    <w:rsid w:val="404B17A6"/>
    <w:rsid w:val="404F73B2"/>
    <w:rsid w:val="40503261"/>
    <w:rsid w:val="405352ED"/>
    <w:rsid w:val="40552625"/>
    <w:rsid w:val="40580367"/>
    <w:rsid w:val="405E25C9"/>
    <w:rsid w:val="40664832"/>
    <w:rsid w:val="40671125"/>
    <w:rsid w:val="406867FC"/>
    <w:rsid w:val="406B6A21"/>
    <w:rsid w:val="407231D7"/>
    <w:rsid w:val="40730CFD"/>
    <w:rsid w:val="40786313"/>
    <w:rsid w:val="407C22A8"/>
    <w:rsid w:val="407D1B7C"/>
    <w:rsid w:val="407E7DCE"/>
    <w:rsid w:val="408178BE"/>
    <w:rsid w:val="40827192"/>
    <w:rsid w:val="40833636"/>
    <w:rsid w:val="40860A30"/>
    <w:rsid w:val="40880C4C"/>
    <w:rsid w:val="408829FA"/>
    <w:rsid w:val="408B24EB"/>
    <w:rsid w:val="408B6047"/>
    <w:rsid w:val="408D0011"/>
    <w:rsid w:val="408E5B37"/>
    <w:rsid w:val="4092048B"/>
    <w:rsid w:val="4093139F"/>
    <w:rsid w:val="409475F1"/>
    <w:rsid w:val="40955117"/>
    <w:rsid w:val="40972C3D"/>
    <w:rsid w:val="409749EB"/>
    <w:rsid w:val="409969B6"/>
    <w:rsid w:val="409B43BF"/>
    <w:rsid w:val="409B6EA7"/>
    <w:rsid w:val="409E13A8"/>
    <w:rsid w:val="409E3FCC"/>
    <w:rsid w:val="409F7D44"/>
    <w:rsid w:val="40A435AC"/>
    <w:rsid w:val="40A60A95"/>
    <w:rsid w:val="40A67324"/>
    <w:rsid w:val="40AC381A"/>
    <w:rsid w:val="40AD420F"/>
    <w:rsid w:val="40AD4AAD"/>
    <w:rsid w:val="40AE5D21"/>
    <w:rsid w:val="40AE6023"/>
    <w:rsid w:val="40B05AAD"/>
    <w:rsid w:val="40B94B83"/>
    <w:rsid w:val="40BA6207"/>
    <w:rsid w:val="40C17CBA"/>
    <w:rsid w:val="40C61775"/>
    <w:rsid w:val="40C652D1"/>
    <w:rsid w:val="40C854ED"/>
    <w:rsid w:val="40C94DC1"/>
    <w:rsid w:val="40C96739"/>
    <w:rsid w:val="40CC0990"/>
    <w:rsid w:val="40CC265C"/>
    <w:rsid w:val="40CF0629"/>
    <w:rsid w:val="40DC4AF4"/>
    <w:rsid w:val="40DC68A2"/>
    <w:rsid w:val="40DC6E16"/>
    <w:rsid w:val="40E1035D"/>
    <w:rsid w:val="40E561CF"/>
    <w:rsid w:val="40E85247"/>
    <w:rsid w:val="40EA5463"/>
    <w:rsid w:val="40EE3E7E"/>
    <w:rsid w:val="40F167F2"/>
    <w:rsid w:val="40F24318"/>
    <w:rsid w:val="40F571BE"/>
    <w:rsid w:val="40F63E08"/>
    <w:rsid w:val="40FE4A6B"/>
    <w:rsid w:val="41016060"/>
    <w:rsid w:val="41031D06"/>
    <w:rsid w:val="41036525"/>
    <w:rsid w:val="41055DF9"/>
    <w:rsid w:val="41067DC3"/>
    <w:rsid w:val="41097DCA"/>
    <w:rsid w:val="410A0662"/>
    <w:rsid w:val="410B1343"/>
    <w:rsid w:val="410D73A4"/>
    <w:rsid w:val="410F480F"/>
    <w:rsid w:val="41105E87"/>
    <w:rsid w:val="4111727F"/>
    <w:rsid w:val="411918A4"/>
    <w:rsid w:val="411A73CB"/>
    <w:rsid w:val="411C3143"/>
    <w:rsid w:val="41285F8B"/>
    <w:rsid w:val="412D276B"/>
    <w:rsid w:val="412E1B74"/>
    <w:rsid w:val="41315239"/>
    <w:rsid w:val="41322966"/>
    <w:rsid w:val="41326E0A"/>
    <w:rsid w:val="41362456"/>
    <w:rsid w:val="413628BB"/>
    <w:rsid w:val="413A424B"/>
    <w:rsid w:val="413A64C3"/>
    <w:rsid w:val="413B4F48"/>
    <w:rsid w:val="414063E1"/>
    <w:rsid w:val="41432DC5"/>
    <w:rsid w:val="414803DC"/>
    <w:rsid w:val="414A5F02"/>
    <w:rsid w:val="414D59F2"/>
    <w:rsid w:val="41566655"/>
    <w:rsid w:val="41570ED4"/>
    <w:rsid w:val="4158692D"/>
    <w:rsid w:val="415B010F"/>
    <w:rsid w:val="415D577B"/>
    <w:rsid w:val="41635215"/>
    <w:rsid w:val="416A7152"/>
    <w:rsid w:val="416E7E42"/>
    <w:rsid w:val="4176647B"/>
    <w:rsid w:val="41766631"/>
    <w:rsid w:val="417756CE"/>
    <w:rsid w:val="417C1E33"/>
    <w:rsid w:val="417C63F4"/>
    <w:rsid w:val="417D58F7"/>
    <w:rsid w:val="41820F87"/>
    <w:rsid w:val="41840FC3"/>
    <w:rsid w:val="41841179"/>
    <w:rsid w:val="41850CE8"/>
    <w:rsid w:val="41856F3A"/>
    <w:rsid w:val="418C2076"/>
    <w:rsid w:val="418F1B67"/>
    <w:rsid w:val="418F7DB9"/>
    <w:rsid w:val="41902DB7"/>
    <w:rsid w:val="41946B8D"/>
    <w:rsid w:val="41970AE1"/>
    <w:rsid w:val="419B52F9"/>
    <w:rsid w:val="419D4283"/>
    <w:rsid w:val="419E1DAA"/>
    <w:rsid w:val="419E624E"/>
    <w:rsid w:val="41A01FC6"/>
    <w:rsid w:val="41A03D74"/>
    <w:rsid w:val="41A20564"/>
    <w:rsid w:val="41A3330C"/>
    <w:rsid w:val="41AA69A0"/>
    <w:rsid w:val="41AC44C7"/>
    <w:rsid w:val="41AF045B"/>
    <w:rsid w:val="41BB295C"/>
    <w:rsid w:val="41BD66D4"/>
    <w:rsid w:val="41C007E7"/>
    <w:rsid w:val="41C07F5B"/>
    <w:rsid w:val="41C236CA"/>
    <w:rsid w:val="41C366B1"/>
    <w:rsid w:val="41C45CB4"/>
    <w:rsid w:val="41C71300"/>
    <w:rsid w:val="41C757A4"/>
    <w:rsid w:val="41C77552"/>
    <w:rsid w:val="41C9151C"/>
    <w:rsid w:val="41C95079"/>
    <w:rsid w:val="41D34149"/>
    <w:rsid w:val="41D37CA5"/>
    <w:rsid w:val="41D659E7"/>
    <w:rsid w:val="41D80075"/>
    <w:rsid w:val="41D81760"/>
    <w:rsid w:val="41D8350E"/>
    <w:rsid w:val="41DA7286"/>
    <w:rsid w:val="41E4224E"/>
    <w:rsid w:val="41E719A3"/>
    <w:rsid w:val="41E73B64"/>
    <w:rsid w:val="41EA4FEF"/>
    <w:rsid w:val="41EB7C13"/>
    <w:rsid w:val="41EC6FB9"/>
    <w:rsid w:val="41EF0857"/>
    <w:rsid w:val="41F50D52"/>
    <w:rsid w:val="41F8770C"/>
    <w:rsid w:val="41FB36A0"/>
    <w:rsid w:val="4202058A"/>
    <w:rsid w:val="42072045"/>
    <w:rsid w:val="42097B6B"/>
    <w:rsid w:val="420C765B"/>
    <w:rsid w:val="42124D47"/>
    <w:rsid w:val="42134546"/>
    <w:rsid w:val="4215030D"/>
    <w:rsid w:val="42181B5C"/>
    <w:rsid w:val="42185851"/>
    <w:rsid w:val="42187DAE"/>
    <w:rsid w:val="421A1D78"/>
    <w:rsid w:val="421D53C4"/>
    <w:rsid w:val="42240501"/>
    <w:rsid w:val="4226002E"/>
    <w:rsid w:val="422624CB"/>
    <w:rsid w:val="42291FBB"/>
    <w:rsid w:val="422A188F"/>
    <w:rsid w:val="422B264F"/>
    <w:rsid w:val="422F6EA6"/>
    <w:rsid w:val="42366486"/>
    <w:rsid w:val="423C1CEE"/>
    <w:rsid w:val="423F17DF"/>
    <w:rsid w:val="424010B3"/>
    <w:rsid w:val="42416B41"/>
    <w:rsid w:val="42442951"/>
    <w:rsid w:val="42450B77"/>
    <w:rsid w:val="42492C9C"/>
    <w:rsid w:val="42497357"/>
    <w:rsid w:val="424D3A73"/>
    <w:rsid w:val="42500C48"/>
    <w:rsid w:val="425132C0"/>
    <w:rsid w:val="42521512"/>
    <w:rsid w:val="42554B5E"/>
    <w:rsid w:val="42577202"/>
    <w:rsid w:val="425828A0"/>
    <w:rsid w:val="425863FC"/>
    <w:rsid w:val="425A2175"/>
    <w:rsid w:val="425B7C9B"/>
    <w:rsid w:val="425F778B"/>
    <w:rsid w:val="426052B1"/>
    <w:rsid w:val="4262727B"/>
    <w:rsid w:val="42642FF3"/>
    <w:rsid w:val="426C3C56"/>
    <w:rsid w:val="426E79CE"/>
    <w:rsid w:val="42710A18"/>
    <w:rsid w:val="427B022A"/>
    <w:rsid w:val="427D6A3C"/>
    <w:rsid w:val="427E2307"/>
    <w:rsid w:val="427E262D"/>
    <w:rsid w:val="42817701"/>
    <w:rsid w:val="42825877"/>
    <w:rsid w:val="42927B60"/>
    <w:rsid w:val="429513FF"/>
    <w:rsid w:val="429548C4"/>
    <w:rsid w:val="42984A4B"/>
    <w:rsid w:val="429A3840"/>
    <w:rsid w:val="429D02B3"/>
    <w:rsid w:val="42A142B5"/>
    <w:rsid w:val="42A35911"/>
    <w:rsid w:val="42A6360C"/>
    <w:rsid w:val="42A930FC"/>
    <w:rsid w:val="42A94EAA"/>
    <w:rsid w:val="42A96C58"/>
    <w:rsid w:val="42B03193"/>
    <w:rsid w:val="42B45D29"/>
    <w:rsid w:val="42B51AA1"/>
    <w:rsid w:val="42B73311"/>
    <w:rsid w:val="42B812AE"/>
    <w:rsid w:val="42B9333F"/>
    <w:rsid w:val="42BC698B"/>
    <w:rsid w:val="42BE0955"/>
    <w:rsid w:val="42BF022A"/>
    <w:rsid w:val="42C061A4"/>
    <w:rsid w:val="42C1425F"/>
    <w:rsid w:val="42C235B0"/>
    <w:rsid w:val="42C972FA"/>
    <w:rsid w:val="42CC75AF"/>
    <w:rsid w:val="42CD0B98"/>
    <w:rsid w:val="42CE4911"/>
    <w:rsid w:val="42D251E4"/>
    <w:rsid w:val="42D31F27"/>
    <w:rsid w:val="42D57A4D"/>
    <w:rsid w:val="42D75573"/>
    <w:rsid w:val="42D9753E"/>
    <w:rsid w:val="42DE4B54"/>
    <w:rsid w:val="42E1081D"/>
    <w:rsid w:val="42E14644"/>
    <w:rsid w:val="42E67EAC"/>
    <w:rsid w:val="42E83C24"/>
    <w:rsid w:val="42ED123B"/>
    <w:rsid w:val="42F025B9"/>
    <w:rsid w:val="42F223AD"/>
    <w:rsid w:val="42FA5706"/>
    <w:rsid w:val="43000F6E"/>
    <w:rsid w:val="43081BD1"/>
    <w:rsid w:val="430A3B9B"/>
    <w:rsid w:val="430D5439"/>
    <w:rsid w:val="430D6E9D"/>
    <w:rsid w:val="430D71E7"/>
    <w:rsid w:val="43102379"/>
    <w:rsid w:val="43140869"/>
    <w:rsid w:val="43195B8C"/>
    <w:rsid w:val="431A1904"/>
    <w:rsid w:val="431B24F0"/>
    <w:rsid w:val="431C742A"/>
    <w:rsid w:val="431F6F1A"/>
    <w:rsid w:val="432804C5"/>
    <w:rsid w:val="432A4B97"/>
    <w:rsid w:val="432A7D99"/>
    <w:rsid w:val="432B1D63"/>
    <w:rsid w:val="432C2862"/>
    <w:rsid w:val="43324E9F"/>
    <w:rsid w:val="43346E69"/>
    <w:rsid w:val="43355679"/>
    <w:rsid w:val="433650B7"/>
    <w:rsid w:val="43370708"/>
    <w:rsid w:val="43374264"/>
    <w:rsid w:val="43375DC8"/>
    <w:rsid w:val="4339622E"/>
    <w:rsid w:val="433C618D"/>
    <w:rsid w:val="433F1693"/>
    <w:rsid w:val="434121F7"/>
    <w:rsid w:val="4346094B"/>
    <w:rsid w:val="43470585"/>
    <w:rsid w:val="434A3F97"/>
    <w:rsid w:val="434D7F2B"/>
    <w:rsid w:val="434F15AD"/>
    <w:rsid w:val="4350530C"/>
    <w:rsid w:val="435216C1"/>
    <w:rsid w:val="435B2648"/>
    <w:rsid w:val="435D635D"/>
    <w:rsid w:val="43635059"/>
    <w:rsid w:val="43657023"/>
    <w:rsid w:val="43671FE0"/>
    <w:rsid w:val="43672D9B"/>
    <w:rsid w:val="43675345"/>
    <w:rsid w:val="43697B1B"/>
    <w:rsid w:val="436A63E7"/>
    <w:rsid w:val="436B1094"/>
    <w:rsid w:val="436F3D4A"/>
    <w:rsid w:val="43721740"/>
    <w:rsid w:val="4375476F"/>
    <w:rsid w:val="43754D8C"/>
    <w:rsid w:val="437E1E93"/>
    <w:rsid w:val="437E6337"/>
    <w:rsid w:val="437E699C"/>
    <w:rsid w:val="438249B1"/>
    <w:rsid w:val="4387343D"/>
    <w:rsid w:val="438F40A0"/>
    <w:rsid w:val="4392347B"/>
    <w:rsid w:val="43923B90"/>
    <w:rsid w:val="43947392"/>
    <w:rsid w:val="43993170"/>
    <w:rsid w:val="439A5CC5"/>
    <w:rsid w:val="439D4A0F"/>
    <w:rsid w:val="439D4BFE"/>
    <w:rsid w:val="43A15B81"/>
    <w:rsid w:val="43A37B4B"/>
    <w:rsid w:val="43A43045"/>
    <w:rsid w:val="43A51B15"/>
    <w:rsid w:val="43AA712C"/>
    <w:rsid w:val="43AB7284"/>
    <w:rsid w:val="43AD109A"/>
    <w:rsid w:val="43AF64F0"/>
    <w:rsid w:val="43B21B3C"/>
    <w:rsid w:val="43B23C13"/>
    <w:rsid w:val="43B27D8E"/>
    <w:rsid w:val="43B41D58"/>
    <w:rsid w:val="43B753A5"/>
    <w:rsid w:val="43BC223E"/>
    <w:rsid w:val="43BC25CE"/>
    <w:rsid w:val="43BD6E5F"/>
    <w:rsid w:val="43BE622F"/>
    <w:rsid w:val="43C04259"/>
    <w:rsid w:val="43C05056"/>
    <w:rsid w:val="43C600F6"/>
    <w:rsid w:val="43C62F78"/>
    <w:rsid w:val="43CA157C"/>
    <w:rsid w:val="43CC70A2"/>
    <w:rsid w:val="43CD6976"/>
    <w:rsid w:val="43CF26EE"/>
    <w:rsid w:val="43D441A9"/>
    <w:rsid w:val="43D60064"/>
    <w:rsid w:val="43D61CCF"/>
    <w:rsid w:val="43DA6CD7"/>
    <w:rsid w:val="43DD305D"/>
    <w:rsid w:val="43DE0B83"/>
    <w:rsid w:val="43DE2113"/>
    <w:rsid w:val="43E048FB"/>
    <w:rsid w:val="43E143B1"/>
    <w:rsid w:val="43E268C5"/>
    <w:rsid w:val="43E3619A"/>
    <w:rsid w:val="43E47415"/>
    <w:rsid w:val="43E80DDE"/>
    <w:rsid w:val="43EC504E"/>
    <w:rsid w:val="43EF4B3E"/>
    <w:rsid w:val="43F359F3"/>
    <w:rsid w:val="43F42155"/>
    <w:rsid w:val="43F63E47"/>
    <w:rsid w:val="43F6411F"/>
    <w:rsid w:val="43F6747D"/>
    <w:rsid w:val="43F71D90"/>
    <w:rsid w:val="43F735BB"/>
    <w:rsid w:val="43F81C45"/>
    <w:rsid w:val="43FB1735"/>
    <w:rsid w:val="43FD54AD"/>
    <w:rsid w:val="43FE4D82"/>
    <w:rsid w:val="44000AFA"/>
    <w:rsid w:val="44055064"/>
    <w:rsid w:val="4407632C"/>
    <w:rsid w:val="440920A4"/>
    <w:rsid w:val="440B5E1C"/>
    <w:rsid w:val="441647C1"/>
    <w:rsid w:val="441A605F"/>
    <w:rsid w:val="441D16AC"/>
    <w:rsid w:val="441D403E"/>
    <w:rsid w:val="441D5B50"/>
    <w:rsid w:val="44202F4A"/>
    <w:rsid w:val="44254A04"/>
    <w:rsid w:val="44272F23"/>
    <w:rsid w:val="442B6FD9"/>
    <w:rsid w:val="442F13DF"/>
    <w:rsid w:val="44321ED5"/>
    <w:rsid w:val="4434021B"/>
    <w:rsid w:val="44390B29"/>
    <w:rsid w:val="4439400C"/>
    <w:rsid w:val="443E2EBB"/>
    <w:rsid w:val="443F1622"/>
    <w:rsid w:val="44427364"/>
    <w:rsid w:val="44451010"/>
    <w:rsid w:val="44496945"/>
    <w:rsid w:val="444F0625"/>
    <w:rsid w:val="445175A7"/>
    <w:rsid w:val="44531571"/>
    <w:rsid w:val="4453331F"/>
    <w:rsid w:val="44557097"/>
    <w:rsid w:val="445A2900"/>
    <w:rsid w:val="445B0426"/>
    <w:rsid w:val="445C3BAF"/>
    <w:rsid w:val="445C6678"/>
    <w:rsid w:val="445D35F5"/>
    <w:rsid w:val="44670B79"/>
    <w:rsid w:val="446A2417"/>
    <w:rsid w:val="446B5B75"/>
    <w:rsid w:val="446B68BB"/>
    <w:rsid w:val="446C5429"/>
    <w:rsid w:val="446E1F07"/>
    <w:rsid w:val="44753296"/>
    <w:rsid w:val="447909B3"/>
    <w:rsid w:val="447D41C0"/>
    <w:rsid w:val="44807DD3"/>
    <w:rsid w:val="44823C05"/>
    <w:rsid w:val="44827761"/>
    <w:rsid w:val="44852516"/>
    <w:rsid w:val="44870CF0"/>
    <w:rsid w:val="4487121B"/>
    <w:rsid w:val="44872FC9"/>
    <w:rsid w:val="4488274F"/>
    <w:rsid w:val="448C05DF"/>
    <w:rsid w:val="448C6831"/>
    <w:rsid w:val="449000D0"/>
    <w:rsid w:val="44937BC0"/>
    <w:rsid w:val="44953E46"/>
    <w:rsid w:val="449556E6"/>
    <w:rsid w:val="449776B0"/>
    <w:rsid w:val="44982489"/>
    <w:rsid w:val="449B0822"/>
    <w:rsid w:val="449C4CC6"/>
    <w:rsid w:val="449F1C1A"/>
    <w:rsid w:val="449F3A39"/>
    <w:rsid w:val="44A27E03"/>
    <w:rsid w:val="44A616A1"/>
    <w:rsid w:val="44A67F3D"/>
    <w:rsid w:val="44A70C4F"/>
    <w:rsid w:val="44A771C7"/>
    <w:rsid w:val="44A818BD"/>
    <w:rsid w:val="44A86F22"/>
    <w:rsid w:val="44A92F3F"/>
    <w:rsid w:val="44A973E3"/>
    <w:rsid w:val="44AA6867"/>
    <w:rsid w:val="44AA6D2D"/>
    <w:rsid w:val="44AB315B"/>
    <w:rsid w:val="44AC72C6"/>
    <w:rsid w:val="44B26298"/>
    <w:rsid w:val="44B32010"/>
    <w:rsid w:val="44BA6EFA"/>
    <w:rsid w:val="44BC7116"/>
    <w:rsid w:val="44BF7B33"/>
    <w:rsid w:val="44C1472D"/>
    <w:rsid w:val="44C15D5B"/>
    <w:rsid w:val="44C164DB"/>
    <w:rsid w:val="44C24001"/>
    <w:rsid w:val="44C3308A"/>
    <w:rsid w:val="44C823ED"/>
    <w:rsid w:val="44C935E1"/>
    <w:rsid w:val="44C9538F"/>
    <w:rsid w:val="44CB55AC"/>
    <w:rsid w:val="44CC6C2E"/>
    <w:rsid w:val="44D04970"/>
    <w:rsid w:val="44D426B2"/>
    <w:rsid w:val="44D473C9"/>
    <w:rsid w:val="44D5474C"/>
    <w:rsid w:val="44DA759D"/>
    <w:rsid w:val="44DC3315"/>
    <w:rsid w:val="44DF2E05"/>
    <w:rsid w:val="44E01C7E"/>
    <w:rsid w:val="44E46955"/>
    <w:rsid w:val="44E52F1F"/>
    <w:rsid w:val="44E61C8A"/>
    <w:rsid w:val="44E95A32"/>
    <w:rsid w:val="44E977E0"/>
    <w:rsid w:val="44ED4010"/>
    <w:rsid w:val="44ED5210"/>
    <w:rsid w:val="44ED72D0"/>
    <w:rsid w:val="44F00032"/>
    <w:rsid w:val="44F05012"/>
    <w:rsid w:val="44F05189"/>
    <w:rsid w:val="44F20D8A"/>
    <w:rsid w:val="44F248E6"/>
    <w:rsid w:val="44F43B30"/>
    <w:rsid w:val="44F763A1"/>
    <w:rsid w:val="44FA19ED"/>
    <w:rsid w:val="44FA7C3F"/>
    <w:rsid w:val="44FF0108"/>
    <w:rsid w:val="45012D7B"/>
    <w:rsid w:val="45091C30"/>
    <w:rsid w:val="450C6F50"/>
    <w:rsid w:val="450E7246"/>
    <w:rsid w:val="451900C5"/>
    <w:rsid w:val="451B0EA1"/>
    <w:rsid w:val="451C7BB5"/>
    <w:rsid w:val="45202974"/>
    <w:rsid w:val="45202C09"/>
    <w:rsid w:val="45230F44"/>
    <w:rsid w:val="45270D87"/>
    <w:rsid w:val="45280308"/>
    <w:rsid w:val="45283D54"/>
    <w:rsid w:val="45293B9F"/>
    <w:rsid w:val="452E1696"/>
    <w:rsid w:val="452E5288"/>
    <w:rsid w:val="45344EFF"/>
    <w:rsid w:val="4537221B"/>
    <w:rsid w:val="4539533B"/>
    <w:rsid w:val="453C2005"/>
    <w:rsid w:val="453F2EAB"/>
    <w:rsid w:val="453F3CA3"/>
    <w:rsid w:val="4541547F"/>
    <w:rsid w:val="45441ABB"/>
    <w:rsid w:val="45460483"/>
    <w:rsid w:val="45470B7B"/>
    <w:rsid w:val="45505AB1"/>
    <w:rsid w:val="455247B9"/>
    <w:rsid w:val="455455A1"/>
    <w:rsid w:val="45583F4E"/>
    <w:rsid w:val="455A5594"/>
    <w:rsid w:val="455B6133"/>
    <w:rsid w:val="455B692F"/>
    <w:rsid w:val="455E3D2A"/>
    <w:rsid w:val="45623B99"/>
    <w:rsid w:val="456443B5"/>
    <w:rsid w:val="456652D4"/>
    <w:rsid w:val="45681AF9"/>
    <w:rsid w:val="456D6663"/>
    <w:rsid w:val="456F23DB"/>
    <w:rsid w:val="4577128F"/>
    <w:rsid w:val="4577303D"/>
    <w:rsid w:val="457B0D80"/>
    <w:rsid w:val="457E617A"/>
    <w:rsid w:val="457F1EF2"/>
    <w:rsid w:val="458539AC"/>
    <w:rsid w:val="45857508"/>
    <w:rsid w:val="45863281"/>
    <w:rsid w:val="45886F23"/>
    <w:rsid w:val="458B6AE9"/>
    <w:rsid w:val="459534C4"/>
    <w:rsid w:val="45961498"/>
    <w:rsid w:val="459736E0"/>
    <w:rsid w:val="45975BBB"/>
    <w:rsid w:val="459B5914"/>
    <w:rsid w:val="45A002F6"/>
    <w:rsid w:val="45A1630C"/>
    <w:rsid w:val="45AD4CB1"/>
    <w:rsid w:val="45AD6A5F"/>
    <w:rsid w:val="45B63B66"/>
    <w:rsid w:val="45B93C95"/>
    <w:rsid w:val="45BB73CE"/>
    <w:rsid w:val="45BD7258"/>
    <w:rsid w:val="45C344D5"/>
    <w:rsid w:val="45C641DB"/>
    <w:rsid w:val="45C73FC5"/>
    <w:rsid w:val="45CA5863"/>
    <w:rsid w:val="45CF195C"/>
    <w:rsid w:val="45D466E2"/>
    <w:rsid w:val="45D71243"/>
    <w:rsid w:val="45D73ADC"/>
    <w:rsid w:val="45DE4E6B"/>
    <w:rsid w:val="45E12831"/>
    <w:rsid w:val="45E21865"/>
    <w:rsid w:val="45E5444B"/>
    <w:rsid w:val="45E85CE9"/>
    <w:rsid w:val="45E97A63"/>
    <w:rsid w:val="45F262DF"/>
    <w:rsid w:val="45F35B6A"/>
    <w:rsid w:val="45F4468E"/>
    <w:rsid w:val="45F91D99"/>
    <w:rsid w:val="45FA1932"/>
    <w:rsid w:val="45FD55EE"/>
    <w:rsid w:val="45FF375F"/>
    <w:rsid w:val="46004DE1"/>
    <w:rsid w:val="46026DAD"/>
    <w:rsid w:val="46054AED"/>
    <w:rsid w:val="46061C15"/>
    <w:rsid w:val="46094A05"/>
    <w:rsid w:val="460D0F18"/>
    <w:rsid w:val="460D74FE"/>
    <w:rsid w:val="46111FE3"/>
    <w:rsid w:val="461239E2"/>
    <w:rsid w:val="461D3BE5"/>
    <w:rsid w:val="461E4998"/>
    <w:rsid w:val="461F5F7F"/>
    <w:rsid w:val="461F6A83"/>
    <w:rsid w:val="46202FBB"/>
    <w:rsid w:val="46236D21"/>
    <w:rsid w:val="462431C5"/>
    <w:rsid w:val="462F1B6A"/>
    <w:rsid w:val="46356516"/>
    <w:rsid w:val="46380953"/>
    <w:rsid w:val="46386C71"/>
    <w:rsid w:val="463902F3"/>
    <w:rsid w:val="463D381C"/>
    <w:rsid w:val="463D4287"/>
    <w:rsid w:val="463D6035"/>
    <w:rsid w:val="463F1DAD"/>
    <w:rsid w:val="464078D3"/>
    <w:rsid w:val="46492C2C"/>
    <w:rsid w:val="464A2500"/>
    <w:rsid w:val="464C44CA"/>
    <w:rsid w:val="464E3D9E"/>
    <w:rsid w:val="46511AE0"/>
    <w:rsid w:val="465346DC"/>
    <w:rsid w:val="4654337F"/>
    <w:rsid w:val="46603AD2"/>
    <w:rsid w:val="46623CEE"/>
    <w:rsid w:val="466B6754"/>
    <w:rsid w:val="46702A55"/>
    <w:rsid w:val="46717A8D"/>
    <w:rsid w:val="46731A57"/>
    <w:rsid w:val="4674376B"/>
    <w:rsid w:val="4676209F"/>
    <w:rsid w:val="467D4684"/>
    <w:rsid w:val="467E21A7"/>
    <w:rsid w:val="46805F22"/>
    <w:rsid w:val="46810B28"/>
    <w:rsid w:val="46864485"/>
    <w:rsid w:val="468A0B4E"/>
    <w:rsid w:val="4692647F"/>
    <w:rsid w:val="469320F9"/>
    <w:rsid w:val="469330D2"/>
    <w:rsid w:val="46963997"/>
    <w:rsid w:val="469B0FAE"/>
    <w:rsid w:val="469E47A2"/>
    <w:rsid w:val="46A2058E"/>
    <w:rsid w:val="46A460B4"/>
    <w:rsid w:val="46A81102"/>
    <w:rsid w:val="46A95479"/>
    <w:rsid w:val="46AC4F69"/>
    <w:rsid w:val="46AF0C3C"/>
    <w:rsid w:val="46B1432D"/>
    <w:rsid w:val="46B34549"/>
    <w:rsid w:val="46B662D7"/>
    <w:rsid w:val="46B8390E"/>
    <w:rsid w:val="46BB09F6"/>
    <w:rsid w:val="46BD0F24"/>
    <w:rsid w:val="46C83D1F"/>
    <w:rsid w:val="46C978C9"/>
    <w:rsid w:val="46CD2548"/>
    <w:rsid w:val="46CE0D2A"/>
    <w:rsid w:val="46CE7D00"/>
    <w:rsid w:val="46D00020"/>
    <w:rsid w:val="46D21AC8"/>
    <w:rsid w:val="46D30747"/>
    <w:rsid w:val="46D3282B"/>
    <w:rsid w:val="46D85D5E"/>
    <w:rsid w:val="46DD120F"/>
    <w:rsid w:val="46E464B1"/>
    <w:rsid w:val="46E65A9F"/>
    <w:rsid w:val="46E666CD"/>
    <w:rsid w:val="46E841F3"/>
    <w:rsid w:val="46F012F9"/>
    <w:rsid w:val="46F24544"/>
    <w:rsid w:val="46F51371"/>
    <w:rsid w:val="46F54B62"/>
    <w:rsid w:val="46F55B7C"/>
    <w:rsid w:val="46F72688"/>
    <w:rsid w:val="46FA3F26"/>
    <w:rsid w:val="46FA66EA"/>
    <w:rsid w:val="46FD404E"/>
    <w:rsid w:val="46FE3A16"/>
    <w:rsid w:val="47033864"/>
    <w:rsid w:val="47084895"/>
    <w:rsid w:val="470D188A"/>
    <w:rsid w:val="470D1EAB"/>
    <w:rsid w:val="470E352E"/>
    <w:rsid w:val="4714323A"/>
    <w:rsid w:val="47182221"/>
    <w:rsid w:val="471A45C8"/>
    <w:rsid w:val="471D19C3"/>
    <w:rsid w:val="471E5E67"/>
    <w:rsid w:val="471E7C15"/>
    <w:rsid w:val="47215957"/>
    <w:rsid w:val="4723522B"/>
    <w:rsid w:val="472471F5"/>
    <w:rsid w:val="47272598"/>
    <w:rsid w:val="472745EF"/>
    <w:rsid w:val="47280A93"/>
    <w:rsid w:val="47305B9A"/>
    <w:rsid w:val="4731621B"/>
    <w:rsid w:val="473236C0"/>
    <w:rsid w:val="47337892"/>
    <w:rsid w:val="47356D0C"/>
    <w:rsid w:val="47373BDA"/>
    <w:rsid w:val="47376F28"/>
    <w:rsid w:val="4742208F"/>
    <w:rsid w:val="47436B2C"/>
    <w:rsid w:val="474451A1"/>
    <w:rsid w:val="47462CC7"/>
    <w:rsid w:val="47475C88"/>
    <w:rsid w:val="47484C91"/>
    <w:rsid w:val="474918D0"/>
    <w:rsid w:val="474A2222"/>
    <w:rsid w:val="474B2E49"/>
    <w:rsid w:val="474B3234"/>
    <w:rsid w:val="474D674C"/>
    <w:rsid w:val="474F5AFF"/>
    <w:rsid w:val="4751417E"/>
    <w:rsid w:val="475813C6"/>
    <w:rsid w:val="47596DE2"/>
    <w:rsid w:val="475D7EB0"/>
    <w:rsid w:val="475E66C8"/>
    <w:rsid w:val="47615D53"/>
    <w:rsid w:val="4763634B"/>
    <w:rsid w:val="47665118"/>
    <w:rsid w:val="476C2789"/>
    <w:rsid w:val="476D294A"/>
    <w:rsid w:val="4777542B"/>
    <w:rsid w:val="47794E4B"/>
    <w:rsid w:val="477A6E15"/>
    <w:rsid w:val="477B408F"/>
    <w:rsid w:val="477C0DDF"/>
    <w:rsid w:val="477D2815"/>
    <w:rsid w:val="477F61D9"/>
    <w:rsid w:val="4780701F"/>
    <w:rsid w:val="47811A62"/>
    <w:rsid w:val="47833F1C"/>
    <w:rsid w:val="478C4FF2"/>
    <w:rsid w:val="478F28C0"/>
    <w:rsid w:val="47906638"/>
    <w:rsid w:val="47951367"/>
    <w:rsid w:val="479954ED"/>
    <w:rsid w:val="479E6FA7"/>
    <w:rsid w:val="47A13701"/>
    <w:rsid w:val="47A22AD5"/>
    <w:rsid w:val="47A3011A"/>
    <w:rsid w:val="47A31E36"/>
    <w:rsid w:val="47A424F0"/>
    <w:rsid w:val="47A520E4"/>
    <w:rsid w:val="47A56E76"/>
    <w:rsid w:val="47A619B8"/>
    <w:rsid w:val="47A65E5C"/>
    <w:rsid w:val="47A824CD"/>
    <w:rsid w:val="47AA594C"/>
    <w:rsid w:val="47AB6FCE"/>
    <w:rsid w:val="47B265AF"/>
    <w:rsid w:val="47B525AF"/>
    <w:rsid w:val="47B642F1"/>
    <w:rsid w:val="47BB36B5"/>
    <w:rsid w:val="47C00B3A"/>
    <w:rsid w:val="47C2406F"/>
    <w:rsid w:val="47C307BC"/>
    <w:rsid w:val="47CC19D1"/>
    <w:rsid w:val="47CF7161"/>
    <w:rsid w:val="47D44777"/>
    <w:rsid w:val="47D76015"/>
    <w:rsid w:val="47D97FDF"/>
    <w:rsid w:val="47E64B5C"/>
    <w:rsid w:val="47E66258"/>
    <w:rsid w:val="47EE0AE2"/>
    <w:rsid w:val="47EE3A8D"/>
    <w:rsid w:val="47EF74AA"/>
    <w:rsid w:val="47F22E4F"/>
    <w:rsid w:val="47F24F0F"/>
    <w:rsid w:val="47F711E9"/>
    <w:rsid w:val="47F92430"/>
    <w:rsid w:val="47FB61A8"/>
    <w:rsid w:val="47FC782A"/>
    <w:rsid w:val="48021483"/>
    <w:rsid w:val="48054931"/>
    <w:rsid w:val="480706A9"/>
    <w:rsid w:val="480A1F47"/>
    <w:rsid w:val="480D3D8E"/>
    <w:rsid w:val="480E5EDB"/>
    <w:rsid w:val="480F1C53"/>
    <w:rsid w:val="48115913"/>
    <w:rsid w:val="481366AF"/>
    <w:rsid w:val="48141018"/>
    <w:rsid w:val="48147269"/>
    <w:rsid w:val="481608EC"/>
    <w:rsid w:val="48194880"/>
    <w:rsid w:val="481B5E95"/>
    <w:rsid w:val="481F5625"/>
    <w:rsid w:val="482254E2"/>
    <w:rsid w:val="48256D81"/>
    <w:rsid w:val="482C04E4"/>
    <w:rsid w:val="482D3E87"/>
    <w:rsid w:val="4839282C"/>
    <w:rsid w:val="483E7E42"/>
    <w:rsid w:val="4840038A"/>
    <w:rsid w:val="48457423"/>
    <w:rsid w:val="48464B79"/>
    <w:rsid w:val="48482A6F"/>
    <w:rsid w:val="484A67E7"/>
    <w:rsid w:val="484D103A"/>
    <w:rsid w:val="484D14FE"/>
    <w:rsid w:val="484D62D8"/>
    <w:rsid w:val="48500DF2"/>
    <w:rsid w:val="485633DE"/>
    <w:rsid w:val="485A1120"/>
    <w:rsid w:val="4860425D"/>
    <w:rsid w:val="4865056C"/>
    <w:rsid w:val="48650FAE"/>
    <w:rsid w:val="48653621"/>
    <w:rsid w:val="4866384A"/>
    <w:rsid w:val="487023A6"/>
    <w:rsid w:val="48733E61"/>
    <w:rsid w:val="48777D12"/>
    <w:rsid w:val="48784CD8"/>
    <w:rsid w:val="48831CF9"/>
    <w:rsid w:val="48855A71"/>
    <w:rsid w:val="4888623B"/>
    <w:rsid w:val="48894BB5"/>
    <w:rsid w:val="488B2744"/>
    <w:rsid w:val="488F069E"/>
    <w:rsid w:val="48914416"/>
    <w:rsid w:val="48926515"/>
    <w:rsid w:val="48931F3C"/>
    <w:rsid w:val="48932803"/>
    <w:rsid w:val="48945CB4"/>
    <w:rsid w:val="48967C7F"/>
    <w:rsid w:val="48A11644"/>
    <w:rsid w:val="48A560A8"/>
    <w:rsid w:val="48A57EC2"/>
    <w:rsid w:val="48A71E8C"/>
    <w:rsid w:val="48A86E4A"/>
    <w:rsid w:val="48AB372A"/>
    <w:rsid w:val="48AF3164"/>
    <w:rsid w:val="48B01AFF"/>
    <w:rsid w:val="48B06F92"/>
    <w:rsid w:val="48B45360"/>
    <w:rsid w:val="48B74900"/>
    <w:rsid w:val="48BF5427"/>
    <w:rsid w:val="48C04CFB"/>
    <w:rsid w:val="48C34407"/>
    <w:rsid w:val="48C621DA"/>
    <w:rsid w:val="48C94F74"/>
    <w:rsid w:val="48CA1FE3"/>
    <w:rsid w:val="48CA7928"/>
    <w:rsid w:val="48D10CB7"/>
    <w:rsid w:val="48D118F2"/>
    <w:rsid w:val="48D12A65"/>
    <w:rsid w:val="48D16F09"/>
    <w:rsid w:val="48D52555"/>
    <w:rsid w:val="48DA2590"/>
    <w:rsid w:val="48DA5301"/>
    <w:rsid w:val="48DA54AA"/>
    <w:rsid w:val="48DA7B6B"/>
    <w:rsid w:val="48E24C72"/>
    <w:rsid w:val="48E76DE7"/>
    <w:rsid w:val="48EE1869"/>
    <w:rsid w:val="48F86243"/>
    <w:rsid w:val="48F93B52"/>
    <w:rsid w:val="48FD6371"/>
    <w:rsid w:val="48FF3281"/>
    <w:rsid w:val="49033566"/>
    <w:rsid w:val="49044BE8"/>
    <w:rsid w:val="490746D8"/>
    <w:rsid w:val="49083F2E"/>
    <w:rsid w:val="490E5A67"/>
    <w:rsid w:val="49121A25"/>
    <w:rsid w:val="49125B3D"/>
    <w:rsid w:val="49125CF3"/>
    <w:rsid w:val="4913307D"/>
    <w:rsid w:val="49153758"/>
    <w:rsid w:val="49170DBF"/>
    <w:rsid w:val="49177011"/>
    <w:rsid w:val="491868E5"/>
    <w:rsid w:val="491D5CAA"/>
    <w:rsid w:val="491E5A9F"/>
    <w:rsid w:val="49235EEE"/>
    <w:rsid w:val="49287C70"/>
    <w:rsid w:val="492D05E3"/>
    <w:rsid w:val="493059DD"/>
    <w:rsid w:val="493279A7"/>
    <w:rsid w:val="4933371F"/>
    <w:rsid w:val="493354CD"/>
    <w:rsid w:val="493511EB"/>
    <w:rsid w:val="49370211"/>
    <w:rsid w:val="493C6A78"/>
    <w:rsid w:val="493D634C"/>
    <w:rsid w:val="4941408E"/>
    <w:rsid w:val="4944592C"/>
    <w:rsid w:val="494476DB"/>
    <w:rsid w:val="49463453"/>
    <w:rsid w:val="49470F79"/>
    <w:rsid w:val="49495AEB"/>
    <w:rsid w:val="494D4F4F"/>
    <w:rsid w:val="494D658F"/>
    <w:rsid w:val="49524866"/>
    <w:rsid w:val="495C0AA0"/>
    <w:rsid w:val="495C2C76"/>
    <w:rsid w:val="496140CE"/>
    <w:rsid w:val="49627B61"/>
    <w:rsid w:val="49670CFC"/>
    <w:rsid w:val="4968161B"/>
    <w:rsid w:val="496833C9"/>
    <w:rsid w:val="496A35E8"/>
    <w:rsid w:val="4970227E"/>
    <w:rsid w:val="49706721"/>
    <w:rsid w:val="4977360C"/>
    <w:rsid w:val="49795019"/>
    <w:rsid w:val="497951A0"/>
    <w:rsid w:val="497A426C"/>
    <w:rsid w:val="497B35B5"/>
    <w:rsid w:val="497C50C6"/>
    <w:rsid w:val="49824086"/>
    <w:rsid w:val="498455FF"/>
    <w:rsid w:val="49851138"/>
    <w:rsid w:val="49865F45"/>
    <w:rsid w:val="49877552"/>
    <w:rsid w:val="49880C8F"/>
    <w:rsid w:val="49883A6B"/>
    <w:rsid w:val="4988711F"/>
    <w:rsid w:val="498B70B7"/>
    <w:rsid w:val="498D1081"/>
    <w:rsid w:val="499219E2"/>
    <w:rsid w:val="49961FD3"/>
    <w:rsid w:val="49973BDF"/>
    <w:rsid w:val="499917D4"/>
    <w:rsid w:val="499A72FA"/>
    <w:rsid w:val="499E1AA3"/>
    <w:rsid w:val="499F0DB5"/>
    <w:rsid w:val="49A5358C"/>
    <w:rsid w:val="49A62FC2"/>
    <w:rsid w:val="49A95790"/>
    <w:rsid w:val="49AB775A"/>
    <w:rsid w:val="49AE243A"/>
    <w:rsid w:val="49B02FC2"/>
    <w:rsid w:val="49B26D3A"/>
    <w:rsid w:val="49B605D8"/>
    <w:rsid w:val="49B77EAC"/>
    <w:rsid w:val="49C2049D"/>
    <w:rsid w:val="49C64593"/>
    <w:rsid w:val="49CA7BE0"/>
    <w:rsid w:val="49CC7DFC"/>
    <w:rsid w:val="49D071C0"/>
    <w:rsid w:val="49D15412"/>
    <w:rsid w:val="49D24CE6"/>
    <w:rsid w:val="49D767A1"/>
    <w:rsid w:val="49DB1DED"/>
    <w:rsid w:val="49DE18DD"/>
    <w:rsid w:val="49DE7B2F"/>
    <w:rsid w:val="49DF52A1"/>
    <w:rsid w:val="49E35145"/>
    <w:rsid w:val="49E36E72"/>
    <w:rsid w:val="49E60792"/>
    <w:rsid w:val="49F44C5D"/>
    <w:rsid w:val="49F45FCB"/>
    <w:rsid w:val="49F7299F"/>
    <w:rsid w:val="49FD5A8D"/>
    <w:rsid w:val="49FF2520"/>
    <w:rsid w:val="4A050C18"/>
    <w:rsid w:val="4A0611D2"/>
    <w:rsid w:val="4A080708"/>
    <w:rsid w:val="4A0C170B"/>
    <w:rsid w:val="4A0C644A"/>
    <w:rsid w:val="4A123335"/>
    <w:rsid w:val="4A1452FF"/>
    <w:rsid w:val="4A192915"/>
    <w:rsid w:val="4A1B4023"/>
    <w:rsid w:val="4A1E7F2C"/>
    <w:rsid w:val="4A225C6E"/>
    <w:rsid w:val="4A253068"/>
    <w:rsid w:val="4A275032"/>
    <w:rsid w:val="4A317C5F"/>
    <w:rsid w:val="4A35453B"/>
    <w:rsid w:val="4A361719"/>
    <w:rsid w:val="4A3634C7"/>
    <w:rsid w:val="4A396B13"/>
    <w:rsid w:val="4A3B0ADD"/>
    <w:rsid w:val="4A3F5E22"/>
    <w:rsid w:val="4A404346"/>
    <w:rsid w:val="4A407EA2"/>
    <w:rsid w:val="4A4200BE"/>
    <w:rsid w:val="4A45370A"/>
    <w:rsid w:val="4A49144C"/>
    <w:rsid w:val="4A4C2CEB"/>
    <w:rsid w:val="4A4D0811"/>
    <w:rsid w:val="4A510301"/>
    <w:rsid w:val="4A5120AF"/>
    <w:rsid w:val="4A520FD4"/>
    <w:rsid w:val="4A5B2F2E"/>
    <w:rsid w:val="4A5D0A54"/>
    <w:rsid w:val="4A5D4EF8"/>
    <w:rsid w:val="4A5E2A1E"/>
    <w:rsid w:val="4A5E657A"/>
    <w:rsid w:val="4A5F328E"/>
    <w:rsid w:val="4A630034"/>
    <w:rsid w:val="4A635E29"/>
    <w:rsid w:val="4A653DAC"/>
    <w:rsid w:val="4A69564B"/>
    <w:rsid w:val="4A6C0C97"/>
    <w:rsid w:val="4A6D183E"/>
    <w:rsid w:val="4A6E0EB3"/>
    <w:rsid w:val="4A6F5702"/>
    <w:rsid w:val="4A722025"/>
    <w:rsid w:val="4A7364C9"/>
    <w:rsid w:val="4A76198B"/>
    <w:rsid w:val="4A7638C4"/>
    <w:rsid w:val="4A767B3D"/>
    <w:rsid w:val="4A7F0B0F"/>
    <w:rsid w:val="4A807238"/>
    <w:rsid w:val="4A82324B"/>
    <w:rsid w:val="4A835FE1"/>
    <w:rsid w:val="4A8A3813"/>
    <w:rsid w:val="4A8C30E7"/>
    <w:rsid w:val="4A8E3303"/>
    <w:rsid w:val="4A902F53"/>
    <w:rsid w:val="4A960C62"/>
    <w:rsid w:val="4A987CDE"/>
    <w:rsid w:val="4A9B157C"/>
    <w:rsid w:val="4A9B4724"/>
    <w:rsid w:val="4A9B77CE"/>
    <w:rsid w:val="4A9C318A"/>
    <w:rsid w:val="4A9D52F4"/>
    <w:rsid w:val="4AA20B5D"/>
    <w:rsid w:val="4AA2290B"/>
    <w:rsid w:val="4AA30431"/>
    <w:rsid w:val="4AA46683"/>
    <w:rsid w:val="4AA5064D"/>
    <w:rsid w:val="4AA541A9"/>
    <w:rsid w:val="4AA93C99"/>
    <w:rsid w:val="4AAC5537"/>
    <w:rsid w:val="4AAD01EC"/>
    <w:rsid w:val="4AAF5028"/>
    <w:rsid w:val="4AB16FF2"/>
    <w:rsid w:val="4AB23519"/>
    <w:rsid w:val="4AB60164"/>
    <w:rsid w:val="4AB64608"/>
    <w:rsid w:val="4AB902FA"/>
    <w:rsid w:val="4ABA1DF4"/>
    <w:rsid w:val="4ABA40F8"/>
    <w:rsid w:val="4ABF170F"/>
    <w:rsid w:val="4AC46D25"/>
    <w:rsid w:val="4AC97E97"/>
    <w:rsid w:val="4ACA3C0F"/>
    <w:rsid w:val="4ACB00B3"/>
    <w:rsid w:val="4ACC5BD9"/>
    <w:rsid w:val="4ACE1952"/>
    <w:rsid w:val="4AD14F9E"/>
    <w:rsid w:val="4AD42C36"/>
    <w:rsid w:val="4AD833F0"/>
    <w:rsid w:val="4AD8457E"/>
    <w:rsid w:val="4ADA676F"/>
    <w:rsid w:val="4ADE67A9"/>
    <w:rsid w:val="4ADF3B5F"/>
    <w:rsid w:val="4ADF53D0"/>
    <w:rsid w:val="4AE253FD"/>
    <w:rsid w:val="4AE25A4B"/>
    <w:rsid w:val="4AE271AB"/>
    <w:rsid w:val="4AE747C1"/>
    <w:rsid w:val="4AE90539"/>
    <w:rsid w:val="4AEC002A"/>
    <w:rsid w:val="4AF31F03"/>
    <w:rsid w:val="4AF34F14"/>
    <w:rsid w:val="4AF57E89"/>
    <w:rsid w:val="4AFB026D"/>
    <w:rsid w:val="4AFD2237"/>
    <w:rsid w:val="4B014896"/>
    <w:rsid w:val="4B02784D"/>
    <w:rsid w:val="4B0435C5"/>
    <w:rsid w:val="4B054C48"/>
    <w:rsid w:val="4B0B57E5"/>
    <w:rsid w:val="4B100CB1"/>
    <w:rsid w:val="4B1355B6"/>
    <w:rsid w:val="4B15079E"/>
    <w:rsid w:val="4B17661E"/>
    <w:rsid w:val="4B197B96"/>
    <w:rsid w:val="4B1B059D"/>
    <w:rsid w:val="4B217CD3"/>
    <w:rsid w:val="4B223A4B"/>
    <w:rsid w:val="4B237456"/>
    <w:rsid w:val="4B241572"/>
    <w:rsid w:val="4B245A16"/>
    <w:rsid w:val="4B2477C4"/>
    <w:rsid w:val="4B257D5F"/>
    <w:rsid w:val="4B2772B4"/>
    <w:rsid w:val="4B2B6DA4"/>
    <w:rsid w:val="4B2D37A1"/>
    <w:rsid w:val="4B2E23F0"/>
    <w:rsid w:val="4B315A3D"/>
    <w:rsid w:val="4B38501D"/>
    <w:rsid w:val="4B397B99"/>
    <w:rsid w:val="4B3A0F27"/>
    <w:rsid w:val="4B3A2B43"/>
    <w:rsid w:val="4B3B58A8"/>
    <w:rsid w:val="4B3B68BB"/>
    <w:rsid w:val="4B3D40BA"/>
    <w:rsid w:val="4B497F7A"/>
    <w:rsid w:val="4B4A77F9"/>
    <w:rsid w:val="4B4E2A92"/>
    <w:rsid w:val="4B5005B9"/>
    <w:rsid w:val="4B5300A9"/>
    <w:rsid w:val="4B5C0D0B"/>
    <w:rsid w:val="4B644064"/>
    <w:rsid w:val="4B6B71A0"/>
    <w:rsid w:val="4B6E4EE3"/>
    <w:rsid w:val="4B7668BA"/>
    <w:rsid w:val="4B790FD9"/>
    <w:rsid w:val="4B7F0E9E"/>
    <w:rsid w:val="4B8464B4"/>
    <w:rsid w:val="4B8B7843"/>
    <w:rsid w:val="4B8C5D00"/>
    <w:rsid w:val="4B8E10E1"/>
    <w:rsid w:val="4B8F1D09"/>
    <w:rsid w:val="4B904E59"/>
    <w:rsid w:val="4B906C07"/>
    <w:rsid w:val="4B914CC4"/>
    <w:rsid w:val="4B940112"/>
    <w:rsid w:val="4B9506C1"/>
    <w:rsid w:val="4B971D44"/>
    <w:rsid w:val="4B983D0E"/>
    <w:rsid w:val="4B9F2EF6"/>
    <w:rsid w:val="4BA426B2"/>
    <w:rsid w:val="4BA601D9"/>
    <w:rsid w:val="4BA6467C"/>
    <w:rsid w:val="4BA70097"/>
    <w:rsid w:val="4BA97CC9"/>
    <w:rsid w:val="4BAD5A0B"/>
    <w:rsid w:val="4BB01057"/>
    <w:rsid w:val="4BB26B7D"/>
    <w:rsid w:val="4BB3717B"/>
    <w:rsid w:val="4BB46D99"/>
    <w:rsid w:val="4BB5041C"/>
    <w:rsid w:val="4BB723E6"/>
    <w:rsid w:val="4BBA1ED6"/>
    <w:rsid w:val="4BBE2CA0"/>
    <w:rsid w:val="4BBF1667"/>
    <w:rsid w:val="4BBF39CB"/>
    <w:rsid w:val="4BC13264"/>
    <w:rsid w:val="4BC845F3"/>
    <w:rsid w:val="4BC915C7"/>
    <w:rsid w:val="4BCE3924"/>
    <w:rsid w:val="4BD034A7"/>
    <w:rsid w:val="4BD05255"/>
    <w:rsid w:val="4BD503F2"/>
    <w:rsid w:val="4BD56D10"/>
    <w:rsid w:val="4BD84517"/>
    <w:rsid w:val="4BD9235C"/>
    <w:rsid w:val="4BD95797"/>
    <w:rsid w:val="4BDC009E"/>
    <w:rsid w:val="4BE85FBF"/>
    <w:rsid w:val="4BE86A43"/>
    <w:rsid w:val="4BEA1840"/>
    <w:rsid w:val="4BEA27BB"/>
    <w:rsid w:val="4BEB0C49"/>
    <w:rsid w:val="4BF03B4A"/>
    <w:rsid w:val="4BF453E8"/>
    <w:rsid w:val="4BF74ED8"/>
    <w:rsid w:val="4BF93947"/>
    <w:rsid w:val="4BFE6267"/>
    <w:rsid w:val="4BFE6408"/>
    <w:rsid w:val="4C003D8D"/>
    <w:rsid w:val="4C075F6E"/>
    <w:rsid w:val="4C08552D"/>
    <w:rsid w:val="4C09031F"/>
    <w:rsid w:val="4C0F30D2"/>
    <w:rsid w:val="4C0F3FD0"/>
    <w:rsid w:val="4C0F5D7E"/>
    <w:rsid w:val="4C141988"/>
    <w:rsid w:val="4C143394"/>
    <w:rsid w:val="4C150AB7"/>
    <w:rsid w:val="4C1E06B7"/>
    <w:rsid w:val="4C252331"/>
    <w:rsid w:val="4C276BC0"/>
    <w:rsid w:val="4C2D4456"/>
    <w:rsid w:val="4C312198"/>
    <w:rsid w:val="4C324162"/>
    <w:rsid w:val="4C3B3017"/>
    <w:rsid w:val="4C417136"/>
    <w:rsid w:val="4C4579F1"/>
    <w:rsid w:val="4C4A14AC"/>
    <w:rsid w:val="4C4C6FD2"/>
    <w:rsid w:val="4C4F261E"/>
    <w:rsid w:val="4C5116E5"/>
    <w:rsid w:val="4C520360"/>
    <w:rsid w:val="4C545E87"/>
    <w:rsid w:val="4C547C35"/>
    <w:rsid w:val="4C575977"/>
    <w:rsid w:val="4C5824A2"/>
    <w:rsid w:val="4C59524B"/>
    <w:rsid w:val="4C5B20FA"/>
    <w:rsid w:val="4C5F2FD8"/>
    <w:rsid w:val="4C602A7D"/>
    <w:rsid w:val="4C616E9C"/>
    <w:rsid w:val="4C632FE9"/>
    <w:rsid w:val="4C6451CF"/>
    <w:rsid w:val="4C653BF0"/>
    <w:rsid w:val="4C6C17E5"/>
    <w:rsid w:val="4C6F2CC0"/>
    <w:rsid w:val="4C72455F"/>
    <w:rsid w:val="4C72630D"/>
    <w:rsid w:val="4C742085"/>
    <w:rsid w:val="4C756154"/>
    <w:rsid w:val="4C7D362F"/>
    <w:rsid w:val="4C7D74B7"/>
    <w:rsid w:val="4C7E48AA"/>
    <w:rsid w:val="4C7E695A"/>
    <w:rsid w:val="4C806C7C"/>
    <w:rsid w:val="4C820C46"/>
    <w:rsid w:val="4C87000A"/>
    <w:rsid w:val="4C883D82"/>
    <w:rsid w:val="4C8A2ADB"/>
    <w:rsid w:val="4C8A5D4C"/>
    <w:rsid w:val="4C8A7AFA"/>
    <w:rsid w:val="4C940979"/>
    <w:rsid w:val="4C995F8F"/>
    <w:rsid w:val="4C9B5863"/>
    <w:rsid w:val="4C9D5A7F"/>
    <w:rsid w:val="4CA566E2"/>
    <w:rsid w:val="4CA74208"/>
    <w:rsid w:val="4CAA5AA7"/>
    <w:rsid w:val="4CAE37E9"/>
    <w:rsid w:val="4CB22A0C"/>
    <w:rsid w:val="4CB9218D"/>
    <w:rsid w:val="4CBB7CB4"/>
    <w:rsid w:val="4CC01E3B"/>
    <w:rsid w:val="4CC50B32"/>
    <w:rsid w:val="4CC72AFC"/>
    <w:rsid w:val="4CCB5BFD"/>
    <w:rsid w:val="4CCC0113"/>
    <w:rsid w:val="4CCF19B1"/>
    <w:rsid w:val="4CD20516"/>
    <w:rsid w:val="4CD45A3E"/>
    <w:rsid w:val="4CD60F91"/>
    <w:rsid w:val="4CD6689C"/>
    <w:rsid w:val="4CD82614"/>
    <w:rsid w:val="4CD90FCB"/>
    <w:rsid w:val="4CD929E2"/>
    <w:rsid w:val="4CD945DE"/>
    <w:rsid w:val="4CD9638C"/>
    <w:rsid w:val="4CDB0356"/>
    <w:rsid w:val="4CDB65A8"/>
    <w:rsid w:val="4CDD40CE"/>
    <w:rsid w:val="4CDD5E7C"/>
    <w:rsid w:val="4CDF3688"/>
    <w:rsid w:val="4CDF7E46"/>
    <w:rsid w:val="4CE0596C"/>
    <w:rsid w:val="4CE4545C"/>
    <w:rsid w:val="4CE66DBB"/>
    <w:rsid w:val="4CE70AA9"/>
    <w:rsid w:val="4CE92A73"/>
    <w:rsid w:val="4CF31E83"/>
    <w:rsid w:val="4CF60CEC"/>
    <w:rsid w:val="4CF84A64"/>
    <w:rsid w:val="4CFA6A2E"/>
    <w:rsid w:val="4CFD5E87"/>
    <w:rsid w:val="4D061805"/>
    <w:rsid w:val="4D063625"/>
    <w:rsid w:val="4D094EC3"/>
    <w:rsid w:val="4D0F5CA3"/>
    <w:rsid w:val="4D137AF0"/>
    <w:rsid w:val="4D16138E"/>
    <w:rsid w:val="4D16665C"/>
    <w:rsid w:val="4D185106"/>
    <w:rsid w:val="4D1D44CA"/>
    <w:rsid w:val="4D1F2033"/>
    <w:rsid w:val="4D21045F"/>
    <w:rsid w:val="4D217BF1"/>
    <w:rsid w:val="4D292E6F"/>
    <w:rsid w:val="4D315C38"/>
    <w:rsid w:val="4D330192"/>
    <w:rsid w:val="4D36558C"/>
    <w:rsid w:val="4D3857A8"/>
    <w:rsid w:val="4D3961E7"/>
    <w:rsid w:val="4D3D4B6D"/>
    <w:rsid w:val="4D4001B9"/>
    <w:rsid w:val="4D422183"/>
    <w:rsid w:val="4D423F31"/>
    <w:rsid w:val="4D497A62"/>
    <w:rsid w:val="4D4B7289"/>
    <w:rsid w:val="4D4E28D6"/>
    <w:rsid w:val="4D52234C"/>
    <w:rsid w:val="4D550108"/>
    <w:rsid w:val="4D5679DC"/>
    <w:rsid w:val="4D5C723C"/>
    <w:rsid w:val="4D61085B"/>
    <w:rsid w:val="4D654866"/>
    <w:rsid w:val="4D662315"/>
    <w:rsid w:val="4D6D5452"/>
    <w:rsid w:val="4D7F0CE1"/>
    <w:rsid w:val="4D7F33D7"/>
    <w:rsid w:val="4D84279B"/>
    <w:rsid w:val="4D881E5D"/>
    <w:rsid w:val="4D896004"/>
    <w:rsid w:val="4D8F6A66"/>
    <w:rsid w:val="4D926AF0"/>
    <w:rsid w:val="4D9407DD"/>
    <w:rsid w:val="4D97427D"/>
    <w:rsid w:val="4D9A6EC4"/>
    <w:rsid w:val="4D9A7089"/>
    <w:rsid w:val="4D9D560B"/>
    <w:rsid w:val="4D9F75D5"/>
    <w:rsid w:val="4DA16EA9"/>
    <w:rsid w:val="4DAA6046"/>
    <w:rsid w:val="4DAD3AA0"/>
    <w:rsid w:val="4DB21EB1"/>
    <w:rsid w:val="4DB50BA7"/>
    <w:rsid w:val="4DBA6E7C"/>
    <w:rsid w:val="4DBC1F35"/>
    <w:rsid w:val="4DBC3274"/>
    <w:rsid w:val="4DBC3795"/>
    <w:rsid w:val="4DBD7A5B"/>
    <w:rsid w:val="4DBF5582"/>
    <w:rsid w:val="4DC1579E"/>
    <w:rsid w:val="4DC1659E"/>
    <w:rsid w:val="4DC572DA"/>
    <w:rsid w:val="4DC82688"/>
    <w:rsid w:val="4DC86B2C"/>
    <w:rsid w:val="4DC969B3"/>
    <w:rsid w:val="4DCA566A"/>
    <w:rsid w:val="4DD76D6F"/>
    <w:rsid w:val="4DDA685F"/>
    <w:rsid w:val="4DDE00FE"/>
    <w:rsid w:val="4DE00BD8"/>
    <w:rsid w:val="4DE17BEE"/>
    <w:rsid w:val="4DE90850"/>
    <w:rsid w:val="4DEA6AA2"/>
    <w:rsid w:val="4DEE55D8"/>
    <w:rsid w:val="4DF0398D"/>
    <w:rsid w:val="4DF531E7"/>
    <w:rsid w:val="4DF62D80"/>
    <w:rsid w:val="4DFA0CB0"/>
    <w:rsid w:val="4DFA2A5E"/>
    <w:rsid w:val="4DFF0074"/>
    <w:rsid w:val="4E013DEC"/>
    <w:rsid w:val="4E037B64"/>
    <w:rsid w:val="4E047438"/>
    <w:rsid w:val="4E0538DC"/>
    <w:rsid w:val="4E090986"/>
    <w:rsid w:val="4E090B8D"/>
    <w:rsid w:val="4E0B447F"/>
    <w:rsid w:val="4E0B6A19"/>
    <w:rsid w:val="4E0D2791"/>
    <w:rsid w:val="4E0F02B7"/>
    <w:rsid w:val="4E0F6509"/>
    <w:rsid w:val="4E125FF9"/>
    <w:rsid w:val="4E127DA7"/>
    <w:rsid w:val="4E15789C"/>
    <w:rsid w:val="4E165AE9"/>
    <w:rsid w:val="4E191136"/>
    <w:rsid w:val="4E1E04FA"/>
    <w:rsid w:val="4E1E499E"/>
    <w:rsid w:val="4E21623C"/>
    <w:rsid w:val="4E261AA5"/>
    <w:rsid w:val="4E266826"/>
    <w:rsid w:val="4E2A3343"/>
    <w:rsid w:val="4E2B0E69"/>
    <w:rsid w:val="4E2D4BE1"/>
    <w:rsid w:val="4E2D698F"/>
    <w:rsid w:val="4E2F6BAB"/>
    <w:rsid w:val="4E305B24"/>
    <w:rsid w:val="4E30647F"/>
    <w:rsid w:val="4E345F70"/>
    <w:rsid w:val="4E361CE8"/>
    <w:rsid w:val="4E372CEF"/>
    <w:rsid w:val="4E3B5B83"/>
    <w:rsid w:val="4E3C3076"/>
    <w:rsid w:val="4E3C6BD2"/>
    <w:rsid w:val="4E3E0822"/>
    <w:rsid w:val="4E3F0301"/>
    <w:rsid w:val="4E404914"/>
    <w:rsid w:val="4E40695D"/>
    <w:rsid w:val="4E406DDB"/>
    <w:rsid w:val="4E457329"/>
    <w:rsid w:val="4E465CA3"/>
    <w:rsid w:val="4E4A7541"/>
    <w:rsid w:val="4E4B7C38"/>
    <w:rsid w:val="4E4D2176"/>
    <w:rsid w:val="4E4D2A0C"/>
    <w:rsid w:val="4E4D2BD1"/>
    <w:rsid w:val="4E4D7031"/>
    <w:rsid w:val="4E540379"/>
    <w:rsid w:val="4E597784"/>
    <w:rsid w:val="4E5B174E"/>
    <w:rsid w:val="4E5D3762"/>
    <w:rsid w:val="4E636EDB"/>
    <w:rsid w:val="4E65437B"/>
    <w:rsid w:val="4E656129"/>
    <w:rsid w:val="4E661EA1"/>
    <w:rsid w:val="4E6653E0"/>
    <w:rsid w:val="4E6B4C95"/>
    <w:rsid w:val="4E6B74B7"/>
    <w:rsid w:val="4E6C5BD4"/>
    <w:rsid w:val="4E6F66F2"/>
    <w:rsid w:val="4E6F6FA8"/>
    <w:rsid w:val="4E726A98"/>
    <w:rsid w:val="4E7520E4"/>
    <w:rsid w:val="4E7740AE"/>
    <w:rsid w:val="4E782275"/>
    <w:rsid w:val="4E7A08D1"/>
    <w:rsid w:val="4E7E71EB"/>
    <w:rsid w:val="4E801980"/>
    <w:rsid w:val="4E830CA5"/>
    <w:rsid w:val="4E834801"/>
    <w:rsid w:val="4E8808D8"/>
    <w:rsid w:val="4E8C5DAC"/>
    <w:rsid w:val="4E8C7B5A"/>
    <w:rsid w:val="4E936D6F"/>
    <w:rsid w:val="4E952F6D"/>
    <w:rsid w:val="4E9538C3"/>
    <w:rsid w:val="4E9667EE"/>
    <w:rsid w:val="4E9E5ADF"/>
    <w:rsid w:val="4EA01857"/>
    <w:rsid w:val="4EA57C4F"/>
    <w:rsid w:val="4EA824BA"/>
    <w:rsid w:val="4EA97622"/>
    <w:rsid w:val="4EAA4484"/>
    <w:rsid w:val="4EAA6232"/>
    <w:rsid w:val="4EAA7FE0"/>
    <w:rsid w:val="4EB3158A"/>
    <w:rsid w:val="4EB329FB"/>
    <w:rsid w:val="4EB41C4F"/>
    <w:rsid w:val="4EB64BD7"/>
    <w:rsid w:val="4EB726FD"/>
    <w:rsid w:val="4EB86E4F"/>
    <w:rsid w:val="4EBD41B7"/>
    <w:rsid w:val="4EC251D8"/>
    <w:rsid w:val="4EC310A1"/>
    <w:rsid w:val="4EC33834"/>
    <w:rsid w:val="4EC94BF8"/>
    <w:rsid w:val="4ECD3CCE"/>
    <w:rsid w:val="4ECE3734"/>
    <w:rsid w:val="4ECF5C98"/>
    <w:rsid w:val="4ED17C62"/>
    <w:rsid w:val="4ED33865"/>
    <w:rsid w:val="4ED4613F"/>
    <w:rsid w:val="4ED929EA"/>
    <w:rsid w:val="4EDD03B5"/>
    <w:rsid w:val="4EDF237F"/>
    <w:rsid w:val="4EE03A01"/>
    <w:rsid w:val="4EE40568"/>
    <w:rsid w:val="4EE44B79"/>
    <w:rsid w:val="4EE554BC"/>
    <w:rsid w:val="4EE864BD"/>
    <w:rsid w:val="4EEB73D6"/>
    <w:rsid w:val="4EED611E"/>
    <w:rsid w:val="4EF13E61"/>
    <w:rsid w:val="4EF23735"/>
    <w:rsid w:val="4EF474AD"/>
    <w:rsid w:val="4EFA24EA"/>
    <w:rsid w:val="4F036D0E"/>
    <w:rsid w:val="4F043B94"/>
    <w:rsid w:val="4F0A0B7D"/>
    <w:rsid w:val="4F0A2BF8"/>
    <w:rsid w:val="4F0A5FD9"/>
    <w:rsid w:val="4F0E4A13"/>
    <w:rsid w:val="4F0E67C1"/>
    <w:rsid w:val="4F0F42E7"/>
    <w:rsid w:val="4F1321D7"/>
    <w:rsid w:val="4F134B35"/>
    <w:rsid w:val="4F165675"/>
    <w:rsid w:val="4F1B2C8C"/>
    <w:rsid w:val="4F1D2EA8"/>
    <w:rsid w:val="4F2064F4"/>
    <w:rsid w:val="4F22401A"/>
    <w:rsid w:val="4F227A85"/>
    <w:rsid w:val="4F2A2ECF"/>
    <w:rsid w:val="4F2A7373"/>
    <w:rsid w:val="4F2E0C11"/>
    <w:rsid w:val="4F3501F1"/>
    <w:rsid w:val="4F350835"/>
    <w:rsid w:val="4F381A8F"/>
    <w:rsid w:val="4F3B332E"/>
    <w:rsid w:val="4F3D0E54"/>
    <w:rsid w:val="4F3E0BF1"/>
    <w:rsid w:val="4F4246BC"/>
    <w:rsid w:val="4F443ED7"/>
    <w:rsid w:val="4F45133E"/>
    <w:rsid w:val="4F4641AC"/>
    <w:rsid w:val="4F473A81"/>
    <w:rsid w:val="4F4B17C3"/>
    <w:rsid w:val="4F4B3B01"/>
    <w:rsid w:val="4F512B51"/>
    <w:rsid w:val="4F530677"/>
    <w:rsid w:val="4F542EE9"/>
    <w:rsid w:val="4F5529C9"/>
    <w:rsid w:val="4F652159"/>
    <w:rsid w:val="4F6A4B23"/>
    <w:rsid w:val="4F6B3C13"/>
    <w:rsid w:val="4F6B41B9"/>
    <w:rsid w:val="4F6C34E7"/>
    <w:rsid w:val="4F702FD7"/>
    <w:rsid w:val="4F740CAC"/>
    <w:rsid w:val="4F7725B8"/>
    <w:rsid w:val="4F7978D6"/>
    <w:rsid w:val="4F7B197C"/>
    <w:rsid w:val="4F7C5E20"/>
    <w:rsid w:val="4F7D56F4"/>
    <w:rsid w:val="4F7F321A"/>
    <w:rsid w:val="4F813436"/>
    <w:rsid w:val="4F8151E4"/>
    <w:rsid w:val="4F860A4D"/>
    <w:rsid w:val="4F8627FB"/>
    <w:rsid w:val="4F8847C5"/>
    <w:rsid w:val="4F895E47"/>
    <w:rsid w:val="4F8A3D9F"/>
    <w:rsid w:val="4F8B6063"/>
    <w:rsid w:val="4F8E16AF"/>
    <w:rsid w:val="4F9071D6"/>
    <w:rsid w:val="4F9667B6"/>
    <w:rsid w:val="4F9A0054"/>
    <w:rsid w:val="4F9A44F8"/>
    <w:rsid w:val="4F9B5B7A"/>
    <w:rsid w:val="4F9D5D96"/>
    <w:rsid w:val="4F9F1B0F"/>
    <w:rsid w:val="4F9F566B"/>
    <w:rsid w:val="4FA2515B"/>
    <w:rsid w:val="4FA26F09"/>
    <w:rsid w:val="4FA62E9D"/>
    <w:rsid w:val="4FA90297"/>
    <w:rsid w:val="4FA964E9"/>
    <w:rsid w:val="4FAC0994"/>
    <w:rsid w:val="4FAE58AE"/>
    <w:rsid w:val="4FAF4286"/>
    <w:rsid w:val="4FB07878"/>
    <w:rsid w:val="4FB21842"/>
    <w:rsid w:val="4FB235F0"/>
    <w:rsid w:val="4FB24857"/>
    <w:rsid w:val="4FB355BA"/>
    <w:rsid w:val="4FB85557"/>
    <w:rsid w:val="4FB8672C"/>
    <w:rsid w:val="4FBB7FCB"/>
    <w:rsid w:val="4FBF3D7B"/>
    <w:rsid w:val="4FC11A85"/>
    <w:rsid w:val="4FC151B1"/>
    <w:rsid w:val="4FC41575"/>
    <w:rsid w:val="4FC450D1"/>
    <w:rsid w:val="4FC652ED"/>
    <w:rsid w:val="4FC7696F"/>
    <w:rsid w:val="4FC9542E"/>
    <w:rsid w:val="4FCD7475"/>
    <w:rsid w:val="4FD526DD"/>
    <w:rsid w:val="4FD55530"/>
    <w:rsid w:val="4FD712A8"/>
    <w:rsid w:val="4FD74E04"/>
    <w:rsid w:val="4FD80B7D"/>
    <w:rsid w:val="4FD86DCF"/>
    <w:rsid w:val="4FDC46D6"/>
    <w:rsid w:val="4FDD6193"/>
    <w:rsid w:val="4FE15C83"/>
    <w:rsid w:val="4FE87012"/>
    <w:rsid w:val="4FEB7FA3"/>
    <w:rsid w:val="4FED6DF9"/>
    <w:rsid w:val="4FF0236A"/>
    <w:rsid w:val="4FF318CA"/>
    <w:rsid w:val="4FF37560"/>
    <w:rsid w:val="4FF9623B"/>
    <w:rsid w:val="4FFA0AF3"/>
    <w:rsid w:val="4FFA6D45"/>
    <w:rsid w:val="4FFE6835"/>
    <w:rsid w:val="4FFF25AD"/>
    <w:rsid w:val="50033E4B"/>
    <w:rsid w:val="50036CCC"/>
    <w:rsid w:val="50083210"/>
    <w:rsid w:val="500931EC"/>
    <w:rsid w:val="501047BA"/>
    <w:rsid w:val="5019366F"/>
    <w:rsid w:val="501A2F43"/>
    <w:rsid w:val="501C315F"/>
    <w:rsid w:val="502344EE"/>
    <w:rsid w:val="50265D8C"/>
    <w:rsid w:val="50277D8E"/>
    <w:rsid w:val="502913D8"/>
    <w:rsid w:val="502D0EC8"/>
    <w:rsid w:val="502D2C76"/>
    <w:rsid w:val="502D7730"/>
    <w:rsid w:val="502F15EA"/>
    <w:rsid w:val="503B2799"/>
    <w:rsid w:val="503C735D"/>
    <w:rsid w:val="503E1327"/>
    <w:rsid w:val="504306EC"/>
    <w:rsid w:val="5043693E"/>
    <w:rsid w:val="50485D02"/>
    <w:rsid w:val="504A4535"/>
    <w:rsid w:val="504A7CCC"/>
    <w:rsid w:val="504B1C98"/>
    <w:rsid w:val="504F52E3"/>
    <w:rsid w:val="5052092F"/>
    <w:rsid w:val="5055171C"/>
    <w:rsid w:val="5056627C"/>
    <w:rsid w:val="50595DB0"/>
    <w:rsid w:val="505A56D9"/>
    <w:rsid w:val="505B3C87"/>
    <w:rsid w:val="505F0FDC"/>
    <w:rsid w:val="50615016"/>
    <w:rsid w:val="506A211C"/>
    <w:rsid w:val="506D3551"/>
    <w:rsid w:val="50722D7F"/>
    <w:rsid w:val="507624DE"/>
    <w:rsid w:val="507B7E86"/>
    <w:rsid w:val="507E1724"/>
    <w:rsid w:val="50811214"/>
    <w:rsid w:val="50836D3A"/>
    <w:rsid w:val="508825A3"/>
    <w:rsid w:val="50884351"/>
    <w:rsid w:val="508B3E41"/>
    <w:rsid w:val="508C2093"/>
    <w:rsid w:val="508D5E0B"/>
    <w:rsid w:val="508F3931"/>
    <w:rsid w:val="508F56DF"/>
    <w:rsid w:val="509727E6"/>
    <w:rsid w:val="50982DC8"/>
    <w:rsid w:val="509C7395"/>
    <w:rsid w:val="509E6E33"/>
    <w:rsid w:val="50A05B3E"/>
    <w:rsid w:val="50A12501"/>
    <w:rsid w:val="50A213E9"/>
    <w:rsid w:val="50A30B5D"/>
    <w:rsid w:val="50A53155"/>
    <w:rsid w:val="50A54F03"/>
    <w:rsid w:val="50A62A29"/>
    <w:rsid w:val="50AB1A18"/>
    <w:rsid w:val="50AE34C0"/>
    <w:rsid w:val="50AF6900"/>
    <w:rsid w:val="50B11AF9"/>
    <w:rsid w:val="50B25872"/>
    <w:rsid w:val="50B60EBE"/>
    <w:rsid w:val="50B909AE"/>
    <w:rsid w:val="50BA49D8"/>
    <w:rsid w:val="50BE5FC4"/>
    <w:rsid w:val="50BE7D72"/>
    <w:rsid w:val="50C3182D"/>
    <w:rsid w:val="50C555A5"/>
    <w:rsid w:val="50CB07C1"/>
    <w:rsid w:val="50CD6207"/>
    <w:rsid w:val="50D41344"/>
    <w:rsid w:val="50D70021"/>
    <w:rsid w:val="50DC0EA7"/>
    <w:rsid w:val="50DE21C3"/>
    <w:rsid w:val="50DE63C8"/>
    <w:rsid w:val="50DE6667"/>
    <w:rsid w:val="50E7376D"/>
    <w:rsid w:val="50EA500B"/>
    <w:rsid w:val="50EC0D83"/>
    <w:rsid w:val="50ED1473"/>
    <w:rsid w:val="50EE1CF2"/>
    <w:rsid w:val="50F804CD"/>
    <w:rsid w:val="50F9512D"/>
    <w:rsid w:val="50F97720"/>
    <w:rsid w:val="50FB0FC7"/>
    <w:rsid w:val="50FB2D75"/>
    <w:rsid w:val="50FC089B"/>
    <w:rsid w:val="50FC2845"/>
    <w:rsid w:val="50FD12C7"/>
    <w:rsid w:val="50FF6FCD"/>
    <w:rsid w:val="5100482F"/>
    <w:rsid w:val="5103143F"/>
    <w:rsid w:val="51081B92"/>
    <w:rsid w:val="510C31D4"/>
    <w:rsid w:val="510C4F82"/>
    <w:rsid w:val="510E1E6E"/>
    <w:rsid w:val="510F4A72"/>
    <w:rsid w:val="510F6820"/>
    <w:rsid w:val="51143E36"/>
    <w:rsid w:val="5115067F"/>
    <w:rsid w:val="511922CC"/>
    <w:rsid w:val="511E4CB5"/>
    <w:rsid w:val="511F2F07"/>
    <w:rsid w:val="51226553"/>
    <w:rsid w:val="51246348"/>
    <w:rsid w:val="51295B34"/>
    <w:rsid w:val="512A32DA"/>
    <w:rsid w:val="512C1180"/>
    <w:rsid w:val="512C2F2E"/>
    <w:rsid w:val="512D6CA6"/>
    <w:rsid w:val="512F2A1E"/>
    <w:rsid w:val="51346287"/>
    <w:rsid w:val="5139389D"/>
    <w:rsid w:val="513A747A"/>
    <w:rsid w:val="513B0D30"/>
    <w:rsid w:val="513D15DF"/>
    <w:rsid w:val="51414027"/>
    <w:rsid w:val="51417051"/>
    <w:rsid w:val="5145344C"/>
    <w:rsid w:val="51454B8D"/>
    <w:rsid w:val="514847F9"/>
    <w:rsid w:val="514B3CFC"/>
    <w:rsid w:val="514E559A"/>
    <w:rsid w:val="515145D5"/>
    <w:rsid w:val="51532BB1"/>
    <w:rsid w:val="515406D7"/>
    <w:rsid w:val="51541AB1"/>
    <w:rsid w:val="51575C4E"/>
    <w:rsid w:val="51597A9B"/>
    <w:rsid w:val="515D57DD"/>
    <w:rsid w:val="515E4EF1"/>
    <w:rsid w:val="516528E4"/>
    <w:rsid w:val="51683C12"/>
    <w:rsid w:val="516A3A56"/>
    <w:rsid w:val="516B614C"/>
    <w:rsid w:val="516E1C65"/>
    <w:rsid w:val="51713037"/>
    <w:rsid w:val="51713BAA"/>
    <w:rsid w:val="51733EAB"/>
    <w:rsid w:val="51764AF1"/>
    <w:rsid w:val="51782617"/>
    <w:rsid w:val="517C3D6C"/>
    <w:rsid w:val="517D2E0A"/>
    <w:rsid w:val="5180327A"/>
    <w:rsid w:val="518432EA"/>
    <w:rsid w:val="51852EDF"/>
    <w:rsid w:val="51890380"/>
    <w:rsid w:val="518965D2"/>
    <w:rsid w:val="518B234A"/>
    <w:rsid w:val="51937451"/>
    <w:rsid w:val="51961864"/>
    <w:rsid w:val="51981C88"/>
    <w:rsid w:val="51983B52"/>
    <w:rsid w:val="51984A67"/>
    <w:rsid w:val="51990B70"/>
    <w:rsid w:val="519A07DF"/>
    <w:rsid w:val="519B00B4"/>
    <w:rsid w:val="519D1737"/>
    <w:rsid w:val="519F1952"/>
    <w:rsid w:val="51A60F32"/>
    <w:rsid w:val="51A753BA"/>
    <w:rsid w:val="51A90A23"/>
    <w:rsid w:val="51AC406F"/>
    <w:rsid w:val="51B22A66"/>
    <w:rsid w:val="51B55619"/>
    <w:rsid w:val="51BA020E"/>
    <w:rsid w:val="51BB2C62"/>
    <w:rsid w:val="51BC69A8"/>
    <w:rsid w:val="51C13FBE"/>
    <w:rsid w:val="51C21AE4"/>
    <w:rsid w:val="51C40673"/>
    <w:rsid w:val="51C608D7"/>
    <w:rsid w:val="51CA0754"/>
    <w:rsid w:val="51CB2747"/>
    <w:rsid w:val="51CF7228"/>
    <w:rsid w:val="51D32AE5"/>
    <w:rsid w:val="51D756D4"/>
    <w:rsid w:val="51D81308"/>
    <w:rsid w:val="51DE2CB7"/>
    <w:rsid w:val="51E15998"/>
    <w:rsid w:val="51E1640E"/>
    <w:rsid w:val="51E63A25"/>
    <w:rsid w:val="51E671B6"/>
    <w:rsid w:val="51E732F9"/>
    <w:rsid w:val="51EB4B97"/>
    <w:rsid w:val="51EC090F"/>
    <w:rsid w:val="51ED4DB3"/>
    <w:rsid w:val="51EF032B"/>
    <w:rsid w:val="51F53C68"/>
    <w:rsid w:val="51F577C4"/>
    <w:rsid w:val="51F83758"/>
    <w:rsid w:val="51FD2B1C"/>
    <w:rsid w:val="5204499F"/>
    <w:rsid w:val="520619D1"/>
    <w:rsid w:val="52067C23"/>
    <w:rsid w:val="52075749"/>
    <w:rsid w:val="520774F7"/>
    <w:rsid w:val="52084F42"/>
    <w:rsid w:val="520C2D5F"/>
    <w:rsid w:val="520C4A59"/>
    <w:rsid w:val="520D3AF7"/>
    <w:rsid w:val="520E5CB0"/>
    <w:rsid w:val="52157E66"/>
    <w:rsid w:val="521839E1"/>
    <w:rsid w:val="521C5892"/>
    <w:rsid w:val="521D5527"/>
    <w:rsid w:val="52257019"/>
    <w:rsid w:val="52291B63"/>
    <w:rsid w:val="522A0EBE"/>
    <w:rsid w:val="522B6794"/>
    <w:rsid w:val="522E067D"/>
    <w:rsid w:val="522E2CD6"/>
    <w:rsid w:val="52320A18"/>
    <w:rsid w:val="523429E2"/>
    <w:rsid w:val="523E560F"/>
    <w:rsid w:val="52416EAD"/>
    <w:rsid w:val="52491AC3"/>
    <w:rsid w:val="524D0C86"/>
    <w:rsid w:val="524D5852"/>
    <w:rsid w:val="5253273C"/>
    <w:rsid w:val="52546BE0"/>
    <w:rsid w:val="52550769"/>
    <w:rsid w:val="525768A4"/>
    <w:rsid w:val="525C5A95"/>
    <w:rsid w:val="525C7843"/>
    <w:rsid w:val="526112FD"/>
    <w:rsid w:val="52636E23"/>
    <w:rsid w:val="52642504"/>
    <w:rsid w:val="526B217C"/>
    <w:rsid w:val="526C4F83"/>
    <w:rsid w:val="52742DDF"/>
    <w:rsid w:val="52773616"/>
    <w:rsid w:val="52794D53"/>
    <w:rsid w:val="52797587"/>
    <w:rsid w:val="527E3C5D"/>
    <w:rsid w:val="527F195C"/>
    <w:rsid w:val="528261F1"/>
    <w:rsid w:val="5282655C"/>
    <w:rsid w:val="5283320A"/>
    <w:rsid w:val="528400A3"/>
    <w:rsid w:val="528B15B9"/>
    <w:rsid w:val="528B1DBA"/>
    <w:rsid w:val="528B1ED6"/>
    <w:rsid w:val="528D5C4E"/>
    <w:rsid w:val="528F1410"/>
    <w:rsid w:val="529009CE"/>
    <w:rsid w:val="52923265"/>
    <w:rsid w:val="52972F71"/>
    <w:rsid w:val="52976ACD"/>
    <w:rsid w:val="5299285F"/>
    <w:rsid w:val="529A036B"/>
    <w:rsid w:val="529C6C5D"/>
    <w:rsid w:val="529E7E5B"/>
    <w:rsid w:val="529F5982"/>
    <w:rsid w:val="52A116FA"/>
    <w:rsid w:val="52A35472"/>
    <w:rsid w:val="52A42F98"/>
    <w:rsid w:val="52A631B4"/>
    <w:rsid w:val="52AD62F0"/>
    <w:rsid w:val="52B11F76"/>
    <w:rsid w:val="52B15DDC"/>
    <w:rsid w:val="52B15DE1"/>
    <w:rsid w:val="52B256B5"/>
    <w:rsid w:val="52B50A93"/>
    <w:rsid w:val="52B87278"/>
    <w:rsid w:val="52BB0BA7"/>
    <w:rsid w:val="52BC7203"/>
    <w:rsid w:val="52C04276"/>
    <w:rsid w:val="52C13B4A"/>
    <w:rsid w:val="52C23008"/>
    <w:rsid w:val="52CA50F4"/>
    <w:rsid w:val="52CD0741"/>
    <w:rsid w:val="52CF44B9"/>
    <w:rsid w:val="52D715BF"/>
    <w:rsid w:val="52D970E6"/>
    <w:rsid w:val="52E07522"/>
    <w:rsid w:val="52E33AC0"/>
    <w:rsid w:val="52E55A8A"/>
    <w:rsid w:val="52E57838"/>
    <w:rsid w:val="52E71802"/>
    <w:rsid w:val="52E75AB2"/>
    <w:rsid w:val="52E85DA3"/>
    <w:rsid w:val="52EC506B"/>
    <w:rsid w:val="52ED0DE3"/>
    <w:rsid w:val="52EF6909"/>
    <w:rsid w:val="52F201A7"/>
    <w:rsid w:val="52F42171"/>
    <w:rsid w:val="52F43F1F"/>
    <w:rsid w:val="52F47489"/>
    <w:rsid w:val="52F67C97"/>
    <w:rsid w:val="52F715A0"/>
    <w:rsid w:val="52F7756C"/>
    <w:rsid w:val="52F83A10"/>
    <w:rsid w:val="52F972DC"/>
    <w:rsid w:val="52F97788"/>
    <w:rsid w:val="52FE0B78"/>
    <w:rsid w:val="5304379F"/>
    <w:rsid w:val="53065A01"/>
    <w:rsid w:val="5307019F"/>
    <w:rsid w:val="53073C53"/>
    <w:rsid w:val="53095C1D"/>
    <w:rsid w:val="530A11F2"/>
    <w:rsid w:val="530A729F"/>
    <w:rsid w:val="530F1502"/>
    <w:rsid w:val="53103DB0"/>
    <w:rsid w:val="531243A6"/>
    <w:rsid w:val="53142C7E"/>
    <w:rsid w:val="5314478E"/>
    <w:rsid w:val="5320789E"/>
    <w:rsid w:val="53234805"/>
    <w:rsid w:val="532365B3"/>
    <w:rsid w:val="532644A8"/>
    <w:rsid w:val="532C36B9"/>
    <w:rsid w:val="532C41AD"/>
    <w:rsid w:val="532F73AB"/>
    <w:rsid w:val="533407C0"/>
    <w:rsid w:val="5334431C"/>
    <w:rsid w:val="53355DEE"/>
    <w:rsid w:val="533575BC"/>
    <w:rsid w:val="533D5A7E"/>
    <w:rsid w:val="533D7674"/>
    <w:rsid w:val="53426A39"/>
    <w:rsid w:val="5345477B"/>
    <w:rsid w:val="53484FFE"/>
    <w:rsid w:val="53487DC7"/>
    <w:rsid w:val="534C3D5B"/>
    <w:rsid w:val="534E1882"/>
    <w:rsid w:val="534F1156"/>
    <w:rsid w:val="535624E4"/>
    <w:rsid w:val="535A51E8"/>
    <w:rsid w:val="535B1E41"/>
    <w:rsid w:val="535D1AC5"/>
    <w:rsid w:val="535D7A5C"/>
    <w:rsid w:val="5367649F"/>
    <w:rsid w:val="536855E4"/>
    <w:rsid w:val="53697203"/>
    <w:rsid w:val="536A2433"/>
    <w:rsid w:val="536B290F"/>
    <w:rsid w:val="536C5EBC"/>
    <w:rsid w:val="536E4AEE"/>
    <w:rsid w:val="536F17F8"/>
    <w:rsid w:val="53735A43"/>
    <w:rsid w:val="53735D8F"/>
    <w:rsid w:val="53740C7D"/>
    <w:rsid w:val="537F7C8D"/>
    <w:rsid w:val="538057B3"/>
    <w:rsid w:val="53841AA0"/>
    <w:rsid w:val="538708F0"/>
    <w:rsid w:val="53874D93"/>
    <w:rsid w:val="53887DEA"/>
    <w:rsid w:val="538C23AA"/>
    <w:rsid w:val="538C4158"/>
    <w:rsid w:val="538F3C48"/>
    <w:rsid w:val="538F59F6"/>
    <w:rsid w:val="5391655A"/>
    <w:rsid w:val="539354E6"/>
    <w:rsid w:val="53942341"/>
    <w:rsid w:val="53962360"/>
    <w:rsid w:val="53964FD7"/>
    <w:rsid w:val="539B25ED"/>
    <w:rsid w:val="539F032F"/>
    <w:rsid w:val="53A10E0D"/>
    <w:rsid w:val="53A616BE"/>
    <w:rsid w:val="53A94D0A"/>
    <w:rsid w:val="53A96B4F"/>
    <w:rsid w:val="53AA2830"/>
    <w:rsid w:val="53AC65A8"/>
    <w:rsid w:val="53AE0779"/>
    <w:rsid w:val="53B37937"/>
    <w:rsid w:val="53B65F21"/>
    <w:rsid w:val="53C02053"/>
    <w:rsid w:val="53C51418"/>
    <w:rsid w:val="53CE4770"/>
    <w:rsid w:val="53D224B3"/>
    <w:rsid w:val="53D61877"/>
    <w:rsid w:val="53D8114B"/>
    <w:rsid w:val="53D87451"/>
    <w:rsid w:val="53DF5375"/>
    <w:rsid w:val="53E373F2"/>
    <w:rsid w:val="53E61ABA"/>
    <w:rsid w:val="53E67D0C"/>
    <w:rsid w:val="53F02939"/>
    <w:rsid w:val="53F266B1"/>
    <w:rsid w:val="53F277FB"/>
    <w:rsid w:val="53F561A1"/>
    <w:rsid w:val="53F65A75"/>
    <w:rsid w:val="53F8359B"/>
    <w:rsid w:val="540168F4"/>
    <w:rsid w:val="5406215C"/>
    <w:rsid w:val="54063F0A"/>
    <w:rsid w:val="54094C1E"/>
    <w:rsid w:val="54095F8F"/>
    <w:rsid w:val="541008E5"/>
    <w:rsid w:val="54106B37"/>
    <w:rsid w:val="5411465D"/>
    <w:rsid w:val="541A601C"/>
    <w:rsid w:val="541A79B6"/>
    <w:rsid w:val="541B6964"/>
    <w:rsid w:val="541C372E"/>
    <w:rsid w:val="541D74A6"/>
    <w:rsid w:val="541E6E78"/>
    <w:rsid w:val="54233482"/>
    <w:rsid w:val="54244390"/>
    <w:rsid w:val="54262A29"/>
    <w:rsid w:val="542809AE"/>
    <w:rsid w:val="542B3971"/>
    <w:rsid w:val="542E3461"/>
    <w:rsid w:val="54305BD3"/>
    <w:rsid w:val="54352A41"/>
    <w:rsid w:val="543547EF"/>
    <w:rsid w:val="54354E9B"/>
    <w:rsid w:val="54355968"/>
    <w:rsid w:val="543640C4"/>
    <w:rsid w:val="543C5B7E"/>
    <w:rsid w:val="543E21F2"/>
    <w:rsid w:val="544037FB"/>
    <w:rsid w:val="54414F42"/>
    <w:rsid w:val="544A11FE"/>
    <w:rsid w:val="544D38E7"/>
    <w:rsid w:val="544E58B1"/>
    <w:rsid w:val="54547DDA"/>
    <w:rsid w:val="54556C40"/>
    <w:rsid w:val="54591640"/>
    <w:rsid w:val="54596730"/>
    <w:rsid w:val="545A1DB5"/>
    <w:rsid w:val="545C7FCE"/>
    <w:rsid w:val="54613836"/>
    <w:rsid w:val="54613BF0"/>
    <w:rsid w:val="546261C4"/>
    <w:rsid w:val="54627485"/>
    <w:rsid w:val="54636F79"/>
    <w:rsid w:val="546F6583"/>
    <w:rsid w:val="54704D95"/>
    <w:rsid w:val="54714BDF"/>
    <w:rsid w:val="547249FC"/>
    <w:rsid w:val="547A5773"/>
    <w:rsid w:val="547B76E8"/>
    <w:rsid w:val="547E55F9"/>
    <w:rsid w:val="54805F39"/>
    <w:rsid w:val="54807C04"/>
    <w:rsid w:val="54813591"/>
    <w:rsid w:val="54843081"/>
    <w:rsid w:val="5484657D"/>
    <w:rsid w:val="5486504B"/>
    <w:rsid w:val="548968E9"/>
    <w:rsid w:val="548E3F00"/>
    <w:rsid w:val="5492579E"/>
    <w:rsid w:val="54931516"/>
    <w:rsid w:val="54942B4B"/>
    <w:rsid w:val="549537A4"/>
    <w:rsid w:val="549E4143"/>
    <w:rsid w:val="549F7EBB"/>
    <w:rsid w:val="54A159E1"/>
    <w:rsid w:val="54A454D1"/>
    <w:rsid w:val="54A656ED"/>
    <w:rsid w:val="54AA0D3A"/>
    <w:rsid w:val="54AA6D09"/>
    <w:rsid w:val="54AD082A"/>
    <w:rsid w:val="54B0031A"/>
    <w:rsid w:val="54B03E76"/>
    <w:rsid w:val="54B27BEE"/>
    <w:rsid w:val="54B5148C"/>
    <w:rsid w:val="54B81330"/>
    <w:rsid w:val="54BB5F37"/>
    <w:rsid w:val="54C341E7"/>
    <w:rsid w:val="54C6369A"/>
    <w:rsid w:val="54C905DB"/>
    <w:rsid w:val="54C97B86"/>
    <w:rsid w:val="54CB4E56"/>
    <w:rsid w:val="54CF07A0"/>
    <w:rsid w:val="54CF16A6"/>
    <w:rsid w:val="54D20290"/>
    <w:rsid w:val="54D264E2"/>
    <w:rsid w:val="54D45DB6"/>
    <w:rsid w:val="54D61AFE"/>
    <w:rsid w:val="54D620C6"/>
    <w:rsid w:val="54D83F05"/>
    <w:rsid w:val="54DC2EBD"/>
    <w:rsid w:val="54DC4C6B"/>
    <w:rsid w:val="54DE0134"/>
    <w:rsid w:val="54E43BBA"/>
    <w:rsid w:val="54E51D72"/>
    <w:rsid w:val="54E57124"/>
    <w:rsid w:val="54E579B0"/>
    <w:rsid w:val="54EB4EAE"/>
    <w:rsid w:val="54ED50CA"/>
    <w:rsid w:val="54F77CF7"/>
    <w:rsid w:val="54F827B1"/>
    <w:rsid w:val="5500587B"/>
    <w:rsid w:val="55015561"/>
    <w:rsid w:val="55032DA2"/>
    <w:rsid w:val="5503479E"/>
    <w:rsid w:val="55043FA3"/>
    <w:rsid w:val="55065A58"/>
    <w:rsid w:val="551E6CEE"/>
    <w:rsid w:val="55222FC6"/>
    <w:rsid w:val="55230AEC"/>
    <w:rsid w:val="55236D3E"/>
    <w:rsid w:val="55275A0F"/>
    <w:rsid w:val="55284354"/>
    <w:rsid w:val="552C79A0"/>
    <w:rsid w:val="552D36BF"/>
    <w:rsid w:val="552E2619"/>
    <w:rsid w:val="55322ADD"/>
    <w:rsid w:val="55342CF9"/>
    <w:rsid w:val="5536081F"/>
    <w:rsid w:val="553B5E36"/>
    <w:rsid w:val="553C57C6"/>
    <w:rsid w:val="553D7E00"/>
    <w:rsid w:val="553E1482"/>
    <w:rsid w:val="553E6AE1"/>
    <w:rsid w:val="55425416"/>
    <w:rsid w:val="55480552"/>
    <w:rsid w:val="55490D50"/>
    <w:rsid w:val="55494FB9"/>
    <w:rsid w:val="554A6F5A"/>
    <w:rsid w:val="554B5825"/>
    <w:rsid w:val="554C1DF1"/>
    <w:rsid w:val="55540CA5"/>
    <w:rsid w:val="555869E7"/>
    <w:rsid w:val="555B2034"/>
    <w:rsid w:val="555F460E"/>
    <w:rsid w:val="55613240"/>
    <w:rsid w:val="556846D1"/>
    <w:rsid w:val="556C5FEF"/>
    <w:rsid w:val="55742446"/>
    <w:rsid w:val="5575773B"/>
    <w:rsid w:val="55766EAF"/>
    <w:rsid w:val="55770087"/>
    <w:rsid w:val="55780E38"/>
    <w:rsid w:val="55782BE6"/>
    <w:rsid w:val="557E5D22"/>
    <w:rsid w:val="55801A9A"/>
    <w:rsid w:val="55805F3E"/>
    <w:rsid w:val="55833339"/>
    <w:rsid w:val="55847C3B"/>
    <w:rsid w:val="55855303"/>
    <w:rsid w:val="558772CD"/>
    <w:rsid w:val="55894DF3"/>
    <w:rsid w:val="558A6B48"/>
    <w:rsid w:val="558E065B"/>
    <w:rsid w:val="55911EF9"/>
    <w:rsid w:val="559519EA"/>
    <w:rsid w:val="55980885"/>
    <w:rsid w:val="55A27C63"/>
    <w:rsid w:val="55A57753"/>
    <w:rsid w:val="55A77D51"/>
    <w:rsid w:val="55AF05D2"/>
    <w:rsid w:val="55AF1B1C"/>
    <w:rsid w:val="55AF2380"/>
    <w:rsid w:val="55AF412E"/>
    <w:rsid w:val="55B203E5"/>
    <w:rsid w:val="55B22505"/>
    <w:rsid w:val="55B300C2"/>
    <w:rsid w:val="55B31E70"/>
    <w:rsid w:val="55B32AE8"/>
    <w:rsid w:val="55B47996"/>
    <w:rsid w:val="55B87486"/>
    <w:rsid w:val="55BB2AD2"/>
    <w:rsid w:val="55C0458D"/>
    <w:rsid w:val="55C4407D"/>
    <w:rsid w:val="55CC5C27"/>
    <w:rsid w:val="55CD5030"/>
    <w:rsid w:val="55D87B28"/>
    <w:rsid w:val="55DA38A0"/>
    <w:rsid w:val="55DB20F6"/>
    <w:rsid w:val="55DB3175"/>
    <w:rsid w:val="55DB4F23"/>
    <w:rsid w:val="55DD5E69"/>
    <w:rsid w:val="55DF0304"/>
    <w:rsid w:val="55DF0EB7"/>
    <w:rsid w:val="55E944A7"/>
    <w:rsid w:val="55EE10FA"/>
    <w:rsid w:val="55EE2EA8"/>
    <w:rsid w:val="55F128AE"/>
    <w:rsid w:val="55F934FA"/>
    <w:rsid w:val="55FF50B5"/>
    <w:rsid w:val="560020EC"/>
    <w:rsid w:val="56050E69"/>
    <w:rsid w:val="560721BC"/>
    <w:rsid w:val="56076DEF"/>
    <w:rsid w:val="56091A90"/>
    <w:rsid w:val="560A4E39"/>
    <w:rsid w:val="56170651"/>
    <w:rsid w:val="56177DDE"/>
    <w:rsid w:val="56187F25"/>
    <w:rsid w:val="561A1EEF"/>
    <w:rsid w:val="561D378D"/>
    <w:rsid w:val="56206DD9"/>
    <w:rsid w:val="56247648"/>
    <w:rsid w:val="562B40FC"/>
    <w:rsid w:val="56352885"/>
    <w:rsid w:val="563C00B7"/>
    <w:rsid w:val="563D5BDD"/>
    <w:rsid w:val="563F3703"/>
    <w:rsid w:val="56417C4B"/>
    <w:rsid w:val="56436DEA"/>
    <w:rsid w:val="56460CB2"/>
    <w:rsid w:val="56464A92"/>
    <w:rsid w:val="564C5E20"/>
    <w:rsid w:val="56505911"/>
    <w:rsid w:val="565151E5"/>
    <w:rsid w:val="56541F69"/>
    <w:rsid w:val="56552F27"/>
    <w:rsid w:val="56570A4D"/>
    <w:rsid w:val="56575639"/>
    <w:rsid w:val="565C42B5"/>
    <w:rsid w:val="565E4F71"/>
    <w:rsid w:val="566413BC"/>
    <w:rsid w:val="5664316A"/>
    <w:rsid w:val="56694C24"/>
    <w:rsid w:val="566F51B3"/>
    <w:rsid w:val="56772E9D"/>
    <w:rsid w:val="567968FB"/>
    <w:rsid w:val="567B1855"/>
    <w:rsid w:val="567C6706"/>
    <w:rsid w:val="567D6CEC"/>
    <w:rsid w:val="5684637F"/>
    <w:rsid w:val="56867584"/>
    <w:rsid w:val="56894552"/>
    <w:rsid w:val="568B3B27"/>
    <w:rsid w:val="568E5A7A"/>
    <w:rsid w:val="5697709C"/>
    <w:rsid w:val="569854FE"/>
    <w:rsid w:val="56990FA9"/>
    <w:rsid w:val="569E48CE"/>
    <w:rsid w:val="56A25A40"/>
    <w:rsid w:val="56A47A0A"/>
    <w:rsid w:val="56A77D1E"/>
    <w:rsid w:val="56AD4B11"/>
    <w:rsid w:val="56AE2637"/>
    <w:rsid w:val="56B0015D"/>
    <w:rsid w:val="56B20379"/>
    <w:rsid w:val="56B539C6"/>
    <w:rsid w:val="56B73888"/>
    <w:rsid w:val="56B807EC"/>
    <w:rsid w:val="56B9759F"/>
    <w:rsid w:val="56BD4D29"/>
    <w:rsid w:val="56BF4844"/>
    <w:rsid w:val="56C31981"/>
    <w:rsid w:val="56C87B9D"/>
    <w:rsid w:val="56CD51B3"/>
    <w:rsid w:val="56D24546"/>
    <w:rsid w:val="56D26737"/>
    <w:rsid w:val="56D45CC7"/>
    <w:rsid w:val="56E147BB"/>
    <w:rsid w:val="56E16569"/>
    <w:rsid w:val="56E878F7"/>
    <w:rsid w:val="56F216C1"/>
    <w:rsid w:val="56F25084"/>
    <w:rsid w:val="56F95FA8"/>
    <w:rsid w:val="56FC15F5"/>
    <w:rsid w:val="57004346"/>
    <w:rsid w:val="57030BD5"/>
    <w:rsid w:val="5708799A"/>
    <w:rsid w:val="57087F99"/>
    <w:rsid w:val="570C0F09"/>
    <w:rsid w:val="5714693E"/>
    <w:rsid w:val="57151371"/>
    <w:rsid w:val="57193C9E"/>
    <w:rsid w:val="57197B1A"/>
    <w:rsid w:val="571E156B"/>
    <w:rsid w:val="572648C3"/>
    <w:rsid w:val="572959A2"/>
    <w:rsid w:val="5729778D"/>
    <w:rsid w:val="572B1A69"/>
    <w:rsid w:val="572C2786"/>
    <w:rsid w:val="57352570"/>
    <w:rsid w:val="57356CF3"/>
    <w:rsid w:val="5738327B"/>
    <w:rsid w:val="573945F7"/>
    <w:rsid w:val="573963A5"/>
    <w:rsid w:val="57460AC2"/>
    <w:rsid w:val="57462870"/>
    <w:rsid w:val="57476D14"/>
    <w:rsid w:val="57480C4D"/>
    <w:rsid w:val="57480E03"/>
    <w:rsid w:val="5748483A"/>
    <w:rsid w:val="574A6804"/>
    <w:rsid w:val="574F3E1A"/>
    <w:rsid w:val="575256B8"/>
    <w:rsid w:val="57527466"/>
    <w:rsid w:val="57572CCF"/>
    <w:rsid w:val="57574A7D"/>
    <w:rsid w:val="575B4970"/>
    <w:rsid w:val="57672F12"/>
    <w:rsid w:val="57680A38"/>
    <w:rsid w:val="57725C07"/>
    <w:rsid w:val="577B69BD"/>
    <w:rsid w:val="577E64AD"/>
    <w:rsid w:val="57822857"/>
    <w:rsid w:val="57835872"/>
    <w:rsid w:val="578810DA"/>
    <w:rsid w:val="578E03E2"/>
    <w:rsid w:val="578F58C0"/>
    <w:rsid w:val="57902EB6"/>
    <w:rsid w:val="57961A49"/>
    <w:rsid w:val="57996C36"/>
    <w:rsid w:val="579F6C1A"/>
    <w:rsid w:val="57A04676"/>
    <w:rsid w:val="57A35F14"/>
    <w:rsid w:val="57A51C8C"/>
    <w:rsid w:val="57A75A04"/>
    <w:rsid w:val="57A777B2"/>
    <w:rsid w:val="57AA72A2"/>
    <w:rsid w:val="57B03084"/>
    <w:rsid w:val="57B40121"/>
    <w:rsid w:val="57B63E99"/>
    <w:rsid w:val="57B817CB"/>
    <w:rsid w:val="57B819BF"/>
    <w:rsid w:val="57B974E6"/>
    <w:rsid w:val="57BC2B32"/>
    <w:rsid w:val="57BE5435"/>
    <w:rsid w:val="57C21C58"/>
    <w:rsid w:val="57C2283E"/>
    <w:rsid w:val="57C4203E"/>
    <w:rsid w:val="57C71C02"/>
    <w:rsid w:val="57C865C8"/>
    <w:rsid w:val="57CC546B"/>
    <w:rsid w:val="57CE11E3"/>
    <w:rsid w:val="57D367F9"/>
    <w:rsid w:val="57D4431F"/>
    <w:rsid w:val="57D92987"/>
    <w:rsid w:val="57DB0657"/>
    <w:rsid w:val="57DB745C"/>
    <w:rsid w:val="57DD4F82"/>
    <w:rsid w:val="57E04A72"/>
    <w:rsid w:val="57E0554A"/>
    <w:rsid w:val="57E12D2B"/>
    <w:rsid w:val="57E15EB6"/>
    <w:rsid w:val="57E52089"/>
    <w:rsid w:val="57E74053"/>
    <w:rsid w:val="57E91811"/>
    <w:rsid w:val="57E94E70"/>
    <w:rsid w:val="57EA63E9"/>
    <w:rsid w:val="57EC78BB"/>
    <w:rsid w:val="57EE718F"/>
    <w:rsid w:val="57EF4CB5"/>
    <w:rsid w:val="57F137DF"/>
    <w:rsid w:val="57F30C49"/>
    <w:rsid w:val="57F64A80"/>
    <w:rsid w:val="57F86260"/>
    <w:rsid w:val="57F9079B"/>
    <w:rsid w:val="57FA1FD8"/>
    <w:rsid w:val="57FA3D86"/>
    <w:rsid w:val="57FD73D2"/>
    <w:rsid w:val="57FE314A"/>
    <w:rsid w:val="57FF139C"/>
    <w:rsid w:val="58003366"/>
    <w:rsid w:val="580544D9"/>
    <w:rsid w:val="580764A3"/>
    <w:rsid w:val="580B27EF"/>
    <w:rsid w:val="580E24FF"/>
    <w:rsid w:val="581175BB"/>
    <w:rsid w:val="58131F0B"/>
    <w:rsid w:val="5815093C"/>
    <w:rsid w:val="58155C60"/>
    <w:rsid w:val="5816406A"/>
    <w:rsid w:val="581B032E"/>
    <w:rsid w:val="581C7EDC"/>
    <w:rsid w:val="581E27FC"/>
    <w:rsid w:val="582146E8"/>
    <w:rsid w:val="582232DD"/>
    <w:rsid w:val="5824516B"/>
    <w:rsid w:val="58247055"/>
    <w:rsid w:val="582708F3"/>
    <w:rsid w:val="582B03E3"/>
    <w:rsid w:val="582F035F"/>
    <w:rsid w:val="582F707B"/>
    <w:rsid w:val="58306D10"/>
    <w:rsid w:val="583077A8"/>
    <w:rsid w:val="58311772"/>
    <w:rsid w:val="58354DBE"/>
    <w:rsid w:val="5836256F"/>
    <w:rsid w:val="583C439E"/>
    <w:rsid w:val="583C5816"/>
    <w:rsid w:val="583D0117"/>
    <w:rsid w:val="583D1EC5"/>
    <w:rsid w:val="583F5C3D"/>
    <w:rsid w:val="58450D79"/>
    <w:rsid w:val="58466FCB"/>
    <w:rsid w:val="584B45E2"/>
    <w:rsid w:val="584D2D67"/>
    <w:rsid w:val="584D65AC"/>
    <w:rsid w:val="58533496"/>
    <w:rsid w:val="585711D8"/>
    <w:rsid w:val="585A2A77"/>
    <w:rsid w:val="585B3172"/>
    <w:rsid w:val="5862192B"/>
    <w:rsid w:val="58643B01"/>
    <w:rsid w:val="58686145"/>
    <w:rsid w:val="586B6DBF"/>
    <w:rsid w:val="586F4E52"/>
    <w:rsid w:val="58716FE3"/>
    <w:rsid w:val="58726012"/>
    <w:rsid w:val="58727DC0"/>
    <w:rsid w:val="587647D5"/>
    <w:rsid w:val="5878114F"/>
    <w:rsid w:val="58782BD5"/>
    <w:rsid w:val="58782EFD"/>
    <w:rsid w:val="587D2E7F"/>
    <w:rsid w:val="587F6039"/>
    <w:rsid w:val="58816255"/>
    <w:rsid w:val="58823D7B"/>
    <w:rsid w:val="588533CE"/>
    <w:rsid w:val="58873140"/>
    <w:rsid w:val="58877483"/>
    <w:rsid w:val="588834ED"/>
    <w:rsid w:val="5888429A"/>
    <w:rsid w:val="588E44CE"/>
    <w:rsid w:val="589046EA"/>
    <w:rsid w:val="589324AE"/>
    <w:rsid w:val="58937D37"/>
    <w:rsid w:val="58947D5E"/>
    <w:rsid w:val="58951D01"/>
    <w:rsid w:val="589755F4"/>
    <w:rsid w:val="5898359F"/>
    <w:rsid w:val="589F492D"/>
    <w:rsid w:val="58A91308"/>
    <w:rsid w:val="58B008E9"/>
    <w:rsid w:val="58B13598"/>
    <w:rsid w:val="58B71C77"/>
    <w:rsid w:val="58B77EC9"/>
    <w:rsid w:val="58B91D2A"/>
    <w:rsid w:val="58BA4E22"/>
    <w:rsid w:val="58BF0B2C"/>
    <w:rsid w:val="58C40C20"/>
    <w:rsid w:val="58C779E0"/>
    <w:rsid w:val="58CD6118"/>
    <w:rsid w:val="58D04AE7"/>
    <w:rsid w:val="58D345D7"/>
    <w:rsid w:val="58D42829"/>
    <w:rsid w:val="58D520FD"/>
    <w:rsid w:val="58D7596E"/>
    <w:rsid w:val="58DE3534"/>
    <w:rsid w:val="58DF11CE"/>
    <w:rsid w:val="58DF20B1"/>
    <w:rsid w:val="58E00F99"/>
    <w:rsid w:val="58E014BA"/>
    <w:rsid w:val="58E14F46"/>
    <w:rsid w:val="58E405DD"/>
    <w:rsid w:val="58E467E4"/>
    <w:rsid w:val="58E721D7"/>
    <w:rsid w:val="58EB36CF"/>
    <w:rsid w:val="58F24A5D"/>
    <w:rsid w:val="58F72073"/>
    <w:rsid w:val="58FA531D"/>
    <w:rsid w:val="58FA6008"/>
    <w:rsid w:val="58FA7DB6"/>
    <w:rsid w:val="58FB6BAD"/>
    <w:rsid w:val="58FF717A"/>
    <w:rsid w:val="590429E2"/>
    <w:rsid w:val="5906675A"/>
    <w:rsid w:val="590777C4"/>
    <w:rsid w:val="59091DA7"/>
    <w:rsid w:val="590A1172"/>
    <w:rsid w:val="590B5B1F"/>
    <w:rsid w:val="590E560F"/>
    <w:rsid w:val="590F3861"/>
    <w:rsid w:val="59103135"/>
    <w:rsid w:val="59136180"/>
    <w:rsid w:val="59140E77"/>
    <w:rsid w:val="591946E0"/>
    <w:rsid w:val="591C41D0"/>
    <w:rsid w:val="59205ADF"/>
    <w:rsid w:val="592117E6"/>
    <w:rsid w:val="59284923"/>
    <w:rsid w:val="592B08F1"/>
    <w:rsid w:val="592F0C88"/>
    <w:rsid w:val="593212FE"/>
    <w:rsid w:val="59367040"/>
    <w:rsid w:val="59367EC7"/>
    <w:rsid w:val="5937326A"/>
    <w:rsid w:val="593A22DB"/>
    <w:rsid w:val="593C68FB"/>
    <w:rsid w:val="593F3A1A"/>
    <w:rsid w:val="59407EBE"/>
    <w:rsid w:val="59442F30"/>
    <w:rsid w:val="59460037"/>
    <w:rsid w:val="59462FFB"/>
    <w:rsid w:val="59465FF6"/>
    <w:rsid w:val="59486D73"/>
    <w:rsid w:val="5949010D"/>
    <w:rsid w:val="594B23BF"/>
    <w:rsid w:val="594C2225"/>
    <w:rsid w:val="594C6EED"/>
    <w:rsid w:val="59505C28"/>
    <w:rsid w:val="59525A79"/>
    <w:rsid w:val="595E7E2B"/>
    <w:rsid w:val="596341AB"/>
    <w:rsid w:val="59636026"/>
    <w:rsid w:val="596543DF"/>
    <w:rsid w:val="596A6CE9"/>
    <w:rsid w:val="596F21A7"/>
    <w:rsid w:val="5971064D"/>
    <w:rsid w:val="5972012C"/>
    <w:rsid w:val="5975743C"/>
    <w:rsid w:val="597731B4"/>
    <w:rsid w:val="59850085"/>
    <w:rsid w:val="598633F7"/>
    <w:rsid w:val="598853C1"/>
    <w:rsid w:val="598946F9"/>
    <w:rsid w:val="598F7BFC"/>
    <w:rsid w:val="59926240"/>
    <w:rsid w:val="5996188C"/>
    <w:rsid w:val="59967ADE"/>
    <w:rsid w:val="59986A24"/>
    <w:rsid w:val="599947F9"/>
    <w:rsid w:val="59A26483"/>
    <w:rsid w:val="59A815C0"/>
    <w:rsid w:val="59A93DB0"/>
    <w:rsid w:val="59AC10B0"/>
    <w:rsid w:val="59B241EC"/>
    <w:rsid w:val="59B368E2"/>
    <w:rsid w:val="59B470DD"/>
    <w:rsid w:val="59B57C7C"/>
    <w:rsid w:val="59B91A1F"/>
    <w:rsid w:val="59BF5379"/>
    <w:rsid w:val="59C02DAD"/>
    <w:rsid w:val="59C06909"/>
    <w:rsid w:val="59C26B25"/>
    <w:rsid w:val="59C3464B"/>
    <w:rsid w:val="59C43F01"/>
    <w:rsid w:val="59C7413C"/>
    <w:rsid w:val="59C83A10"/>
    <w:rsid w:val="59CA6C37"/>
    <w:rsid w:val="59CF65CA"/>
    <w:rsid w:val="59D10B16"/>
    <w:rsid w:val="59D64D5C"/>
    <w:rsid w:val="59E20AC1"/>
    <w:rsid w:val="59E22D24"/>
    <w:rsid w:val="59E36A9C"/>
    <w:rsid w:val="59E44380"/>
    <w:rsid w:val="59E52814"/>
    <w:rsid w:val="59EF5441"/>
    <w:rsid w:val="59F02E8D"/>
    <w:rsid w:val="59F14D15"/>
    <w:rsid w:val="59F27234"/>
    <w:rsid w:val="59F34F31"/>
    <w:rsid w:val="59F6057D"/>
    <w:rsid w:val="59F86D18"/>
    <w:rsid w:val="59FA62BF"/>
    <w:rsid w:val="59FB2037"/>
    <w:rsid w:val="59FD0D52"/>
    <w:rsid w:val="59FF11D8"/>
    <w:rsid w:val="5A01185B"/>
    <w:rsid w:val="5A040EEC"/>
    <w:rsid w:val="5A0709DC"/>
    <w:rsid w:val="5A0802B0"/>
    <w:rsid w:val="5A0909B6"/>
    <w:rsid w:val="5A094754"/>
    <w:rsid w:val="5A0D113D"/>
    <w:rsid w:val="5A0E0CBD"/>
    <w:rsid w:val="5A107ABE"/>
    <w:rsid w:val="5A146C55"/>
    <w:rsid w:val="5A156B40"/>
    <w:rsid w:val="5A1804F3"/>
    <w:rsid w:val="5A184997"/>
    <w:rsid w:val="5A1A070F"/>
    <w:rsid w:val="5A1D0200"/>
    <w:rsid w:val="5A1E2996"/>
    <w:rsid w:val="5A1F4CBC"/>
    <w:rsid w:val="5A1F5548"/>
    <w:rsid w:val="5A2045E6"/>
    <w:rsid w:val="5A24333C"/>
    <w:rsid w:val="5A252C10"/>
    <w:rsid w:val="5A272E2C"/>
    <w:rsid w:val="5A2C55AD"/>
    <w:rsid w:val="5A3317D1"/>
    <w:rsid w:val="5A3410A5"/>
    <w:rsid w:val="5A34275A"/>
    <w:rsid w:val="5A352EC8"/>
    <w:rsid w:val="5A364E1D"/>
    <w:rsid w:val="5A3B68D8"/>
    <w:rsid w:val="5A3D1234"/>
    <w:rsid w:val="5A3D7F5A"/>
    <w:rsid w:val="5A3E01AA"/>
    <w:rsid w:val="5A3E17F8"/>
    <w:rsid w:val="5A3E3CD2"/>
    <w:rsid w:val="5A3F0176"/>
    <w:rsid w:val="5A403EEE"/>
    <w:rsid w:val="5A421A14"/>
    <w:rsid w:val="5A440B56"/>
    <w:rsid w:val="5A4412E8"/>
    <w:rsid w:val="5A461F0B"/>
    <w:rsid w:val="5A4B333B"/>
    <w:rsid w:val="5A504131"/>
    <w:rsid w:val="5A5359CF"/>
    <w:rsid w:val="5A56101C"/>
    <w:rsid w:val="5A56726E"/>
    <w:rsid w:val="5A5F25C6"/>
    <w:rsid w:val="5A5F4374"/>
    <w:rsid w:val="5A663955"/>
    <w:rsid w:val="5A666BC8"/>
    <w:rsid w:val="5A67147B"/>
    <w:rsid w:val="5A672C25"/>
    <w:rsid w:val="5A696FA1"/>
    <w:rsid w:val="5A6A4AC7"/>
    <w:rsid w:val="5A6A4B79"/>
    <w:rsid w:val="5A6B5EF0"/>
    <w:rsid w:val="5A6E45B7"/>
    <w:rsid w:val="5A6F0479"/>
    <w:rsid w:val="5A771EDB"/>
    <w:rsid w:val="5A8042EB"/>
    <w:rsid w:val="5A81078E"/>
    <w:rsid w:val="5A8262B5"/>
    <w:rsid w:val="5A836E09"/>
    <w:rsid w:val="5A8446F4"/>
    <w:rsid w:val="5A8B1B59"/>
    <w:rsid w:val="5A8C4A05"/>
    <w:rsid w:val="5A8E2EAB"/>
    <w:rsid w:val="5A8E4EF3"/>
    <w:rsid w:val="5A902780"/>
    <w:rsid w:val="5A93401E"/>
    <w:rsid w:val="5A9B2ED2"/>
    <w:rsid w:val="5AA12BDF"/>
    <w:rsid w:val="5AA320D9"/>
    <w:rsid w:val="5AA4447D"/>
    <w:rsid w:val="5AA500A3"/>
    <w:rsid w:val="5AA601F5"/>
    <w:rsid w:val="5AA93841"/>
    <w:rsid w:val="5AAE23D5"/>
    <w:rsid w:val="5AB346C0"/>
    <w:rsid w:val="5AB478D4"/>
    <w:rsid w:val="5AB50438"/>
    <w:rsid w:val="5AB729BD"/>
    <w:rsid w:val="5ABA7BFC"/>
    <w:rsid w:val="5ABB05D6"/>
    <w:rsid w:val="5ABF4E13"/>
    <w:rsid w:val="5AC051B0"/>
    <w:rsid w:val="5AC47178"/>
    <w:rsid w:val="5ACB37B8"/>
    <w:rsid w:val="5ACE0213"/>
    <w:rsid w:val="5AD42FAA"/>
    <w:rsid w:val="5AD52888"/>
    <w:rsid w:val="5ADA39FB"/>
    <w:rsid w:val="5ADA71D9"/>
    <w:rsid w:val="5ADF31C8"/>
    <w:rsid w:val="5ADF330A"/>
    <w:rsid w:val="5AE42ACB"/>
    <w:rsid w:val="5AE60011"/>
    <w:rsid w:val="5AE64A95"/>
    <w:rsid w:val="5AE96334"/>
    <w:rsid w:val="5AEB56EE"/>
    <w:rsid w:val="5AEB5C08"/>
    <w:rsid w:val="5AEC372E"/>
    <w:rsid w:val="5AED1980"/>
    <w:rsid w:val="5AED7BD2"/>
    <w:rsid w:val="5AEE74A6"/>
    <w:rsid w:val="5AF32D0E"/>
    <w:rsid w:val="5AF70A51"/>
    <w:rsid w:val="5AF8134E"/>
    <w:rsid w:val="5AF90080"/>
    <w:rsid w:val="5AFC08CE"/>
    <w:rsid w:val="5AFC7E15"/>
    <w:rsid w:val="5AFF4993"/>
    <w:rsid w:val="5B022F52"/>
    <w:rsid w:val="5B081E1C"/>
    <w:rsid w:val="5B0A0784"/>
    <w:rsid w:val="5B0D3DD0"/>
    <w:rsid w:val="5B1213E7"/>
    <w:rsid w:val="5B136F0D"/>
    <w:rsid w:val="5B164CCF"/>
    <w:rsid w:val="5B182775"/>
    <w:rsid w:val="5B24736C"/>
    <w:rsid w:val="5B2675A6"/>
    <w:rsid w:val="5B345801"/>
    <w:rsid w:val="5B351579"/>
    <w:rsid w:val="5B370E4D"/>
    <w:rsid w:val="5B386973"/>
    <w:rsid w:val="5B4672E2"/>
    <w:rsid w:val="5B494E07"/>
    <w:rsid w:val="5B4B2B4A"/>
    <w:rsid w:val="5B4B77BA"/>
    <w:rsid w:val="5B4D0671"/>
    <w:rsid w:val="5B4D241F"/>
    <w:rsid w:val="5B4F52E4"/>
    <w:rsid w:val="5B503CBD"/>
    <w:rsid w:val="5B50604C"/>
    <w:rsid w:val="5B5279BC"/>
    <w:rsid w:val="5B540F34"/>
    <w:rsid w:val="5B547C51"/>
    <w:rsid w:val="5B5A4B3C"/>
    <w:rsid w:val="5B5F0829"/>
    <w:rsid w:val="5B5F2152"/>
    <w:rsid w:val="5B6065F6"/>
    <w:rsid w:val="5B61411C"/>
    <w:rsid w:val="5B645576"/>
    <w:rsid w:val="5B6836FC"/>
    <w:rsid w:val="5B6B6D49"/>
    <w:rsid w:val="5B6F05E7"/>
    <w:rsid w:val="5B7114D5"/>
    <w:rsid w:val="5B730397"/>
    <w:rsid w:val="5B791466"/>
    <w:rsid w:val="5B795F5B"/>
    <w:rsid w:val="5B7A6F8C"/>
    <w:rsid w:val="5B7C71A8"/>
    <w:rsid w:val="5B7D3AD4"/>
    <w:rsid w:val="5B8027F4"/>
    <w:rsid w:val="5B8163F9"/>
    <w:rsid w:val="5B835E40"/>
    <w:rsid w:val="5B8C36DA"/>
    <w:rsid w:val="5B8D2FF8"/>
    <w:rsid w:val="5B8E36FB"/>
    <w:rsid w:val="5B8F0C89"/>
    <w:rsid w:val="5B8F2A37"/>
    <w:rsid w:val="5B8F63C8"/>
    <w:rsid w:val="5B9141A4"/>
    <w:rsid w:val="5B9261ED"/>
    <w:rsid w:val="5B927793"/>
    <w:rsid w:val="5B9444F1"/>
    <w:rsid w:val="5B9C6F02"/>
    <w:rsid w:val="5BA109BC"/>
    <w:rsid w:val="5BA1276A"/>
    <w:rsid w:val="5BA30291"/>
    <w:rsid w:val="5BA61D7C"/>
    <w:rsid w:val="5BA81D4B"/>
    <w:rsid w:val="5BA854A0"/>
    <w:rsid w:val="5BA858A7"/>
    <w:rsid w:val="5BAA161F"/>
    <w:rsid w:val="5BAA5AC3"/>
    <w:rsid w:val="5BAB5397"/>
    <w:rsid w:val="5BB71F8E"/>
    <w:rsid w:val="5BB75893"/>
    <w:rsid w:val="5BBD57F6"/>
    <w:rsid w:val="5BBE7ADC"/>
    <w:rsid w:val="5BBF4DBB"/>
    <w:rsid w:val="5BC326E1"/>
    <w:rsid w:val="5BC41188"/>
    <w:rsid w:val="5BC64B2D"/>
    <w:rsid w:val="5BC677E4"/>
    <w:rsid w:val="5BC8419B"/>
    <w:rsid w:val="5BCB77E7"/>
    <w:rsid w:val="5BCC3C8B"/>
    <w:rsid w:val="5BD13050"/>
    <w:rsid w:val="5BD40D92"/>
    <w:rsid w:val="5BD41AA1"/>
    <w:rsid w:val="5BD4669C"/>
    <w:rsid w:val="5BD90156"/>
    <w:rsid w:val="5BDB0397"/>
    <w:rsid w:val="5BDB3ECE"/>
    <w:rsid w:val="5BDC5041"/>
    <w:rsid w:val="5BDE39BF"/>
    <w:rsid w:val="5BDF6E15"/>
    <w:rsid w:val="5BE272B4"/>
    <w:rsid w:val="5BE32D83"/>
    <w:rsid w:val="5BEA2363"/>
    <w:rsid w:val="5BEA5EBF"/>
    <w:rsid w:val="5BEC1C38"/>
    <w:rsid w:val="5BEC7E8A"/>
    <w:rsid w:val="5BF14385"/>
    <w:rsid w:val="5BF210F2"/>
    <w:rsid w:val="5BF31218"/>
    <w:rsid w:val="5BF907F8"/>
    <w:rsid w:val="5BFE196B"/>
    <w:rsid w:val="5C003935"/>
    <w:rsid w:val="5C013209"/>
    <w:rsid w:val="5C0351D3"/>
    <w:rsid w:val="5C052CF9"/>
    <w:rsid w:val="5C05719D"/>
    <w:rsid w:val="5C074CC3"/>
    <w:rsid w:val="5C0C620E"/>
    <w:rsid w:val="5C0C7573"/>
    <w:rsid w:val="5C125416"/>
    <w:rsid w:val="5C180C7F"/>
    <w:rsid w:val="5C1C479A"/>
    <w:rsid w:val="5C1C624B"/>
    <w:rsid w:val="5C1E200D"/>
    <w:rsid w:val="5C1F025F"/>
    <w:rsid w:val="5C221AFD"/>
    <w:rsid w:val="5C25339C"/>
    <w:rsid w:val="5C263F17"/>
    <w:rsid w:val="5C277114"/>
    <w:rsid w:val="5C295359"/>
    <w:rsid w:val="5C296171"/>
    <w:rsid w:val="5C2D3FFE"/>
    <w:rsid w:val="5C2E2250"/>
    <w:rsid w:val="5C367357"/>
    <w:rsid w:val="5C3B2BBF"/>
    <w:rsid w:val="5C3F445D"/>
    <w:rsid w:val="5C4001D5"/>
    <w:rsid w:val="5C427AAA"/>
    <w:rsid w:val="5C427DE2"/>
    <w:rsid w:val="5C475CF4"/>
    <w:rsid w:val="5C502358"/>
    <w:rsid w:val="5C512D32"/>
    <w:rsid w:val="5C553C81"/>
    <w:rsid w:val="5C563555"/>
    <w:rsid w:val="5C58107B"/>
    <w:rsid w:val="5C58551F"/>
    <w:rsid w:val="5C591079"/>
    <w:rsid w:val="5C602626"/>
    <w:rsid w:val="5C6043D4"/>
    <w:rsid w:val="5C606182"/>
    <w:rsid w:val="5C621EFA"/>
    <w:rsid w:val="5C633385"/>
    <w:rsid w:val="5C6A0DAE"/>
    <w:rsid w:val="5C6C4B26"/>
    <w:rsid w:val="5C6E089F"/>
    <w:rsid w:val="5C71213D"/>
    <w:rsid w:val="5C72548C"/>
    <w:rsid w:val="5C725B62"/>
    <w:rsid w:val="5C757E7F"/>
    <w:rsid w:val="5C764DF0"/>
    <w:rsid w:val="5C7F3485"/>
    <w:rsid w:val="5C8005D2"/>
    <w:rsid w:val="5C814A76"/>
    <w:rsid w:val="5C825682"/>
    <w:rsid w:val="5C875D75"/>
    <w:rsid w:val="5C877BB2"/>
    <w:rsid w:val="5C930305"/>
    <w:rsid w:val="5C99060D"/>
    <w:rsid w:val="5C9E454D"/>
    <w:rsid w:val="5C9F4EFC"/>
    <w:rsid w:val="5C9F6CAA"/>
    <w:rsid w:val="5CA16EC6"/>
    <w:rsid w:val="5CA50DB1"/>
    <w:rsid w:val="5CA70254"/>
    <w:rsid w:val="5CA73DB1"/>
    <w:rsid w:val="5CA95D7B"/>
    <w:rsid w:val="5CAC0DF2"/>
    <w:rsid w:val="5CB14C2F"/>
    <w:rsid w:val="5CB360BA"/>
    <w:rsid w:val="5CB52971"/>
    <w:rsid w:val="5CB762E9"/>
    <w:rsid w:val="5CBB119C"/>
    <w:rsid w:val="5CBB6C27"/>
    <w:rsid w:val="5CBC3D00"/>
    <w:rsid w:val="5CBC7D18"/>
    <w:rsid w:val="5CBD35D4"/>
    <w:rsid w:val="5CBF10FA"/>
    <w:rsid w:val="5CBF3C55"/>
    <w:rsid w:val="5CC11316"/>
    <w:rsid w:val="5CC52489"/>
    <w:rsid w:val="5CC91F79"/>
    <w:rsid w:val="5CCA2340"/>
    <w:rsid w:val="5CCA2D81"/>
    <w:rsid w:val="5CCC3817"/>
    <w:rsid w:val="5CD10E2D"/>
    <w:rsid w:val="5CD151B9"/>
    <w:rsid w:val="5CD77696"/>
    <w:rsid w:val="5CD90C6B"/>
    <w:rsid w:val="5CDB3A5A"/>
    <w:rsid w:val="5CDC6150"/>
    <w:rsid w:val="5CDE7FFF"/>
    <w:rsid w:val="5CDF179C"/>
    <w:rsid w:val="5CE15514"/>
    <w:rsid w:val="5CE24DE9"/>
    <w:rsid w:val="5CE768A3"/>
    <w:rsid w:val="5CEC7EF0"/>
    <w:rsid w:val="5CED210B"/>
    <w:rsid w:val="5CF138A4"/>
    <w:rsid w:val="5CFD1C22"/>
    <w:rsid w:val="5CFE60C6"/>
    <w:rsid w:val="5D066D29"/>
    <w:rsid w:val="5D086F45"/>
    <w:rsid w:val="5D0905C7"/>
    <w:rsid w:val="5D0D6309"/>
    <w:rsid w:val="5D121B72"/>
    <w:rsid w:val="5D1B3EEE"/>
    <w:rsid w:val="5D221689"/>
    <w:rsid w:val="5D227DEB"/>
    <w:rsid w:val="5D295176"/>
    <w:rsid w:val="5D2B49E2"/>
    <w:rsid w:val="5D2D69AC"/>
    <w:rsid w:val="5D2F6417"/>
    <w:rsid w:val="5D30024A"/>
    <w:rsid w:val="5D311402"/>
    <w:rsid w:val="5D3120A8"/>
    <w:rsid w:val="5D331AE8"/>
    <w:rsid w:val="5D350B48"/>
    <w:rsid w:val="5D3970FE"/>
    <w:rsid w:val="5D3D64C3"/>
    <w:rsid w:val="5D3E2967"/>
    <w:rsid w:val="5D4C0510"/>
    <w:rsid w:val="5D4D6706"/>
    <w:rsid w:val="5D4D7062"/>
    <w:rsid w:val="5D4E7A2B"/>
    <w:rsid w:val="5D526412"/>
    <w:rsid w:val="5D5671E4"/>
    <w:rsid w:val="5D59154F"/>
    <w:rsid w:val="5D595B2D"/>
    <w:rsid w:val="5D5A2CC2"/>
    <w:rsid w:val="5D5D0571"/>
    <w:rsid w:val="5D6677C8"/>
    <w:rsid w:val="5D681792"/>
    <w:rsid w:val="5D6E2E4A"/>
    <w:rsid w:val="5D700646"/>
    <w:rsid w:val="5D720862"/>
    <w:rsid w:val="5D740137"/>
    <w:rsid w:val="5D752454"/>
    <w:rsid w:val="5D75771C"/>
    <w:rsid w:val="5D7874FB"/>
    <w:rsid w:val="5D793204"/>
    <w:rsid w:val="5D7F3D2C"/>
    <w:rsid w:val="5D83037A"/>
    <w:rsid w:val="5D834805"/>
    <w:rsid w:val="5D844640"/>
    <w:rsid w:val="5D881E34"/>
    <w:rsid w:val="5D8906A8"/>
    <w:rsid w:val="5D8B36D2"/>
    <w:rsid w:val="5D8E1BE0"/>
    <w:rsid w:val="5D902A97"/>
    <w:rsid w:val="5D950196"/>
    <w:rsid w:val="5D9630DD"/>
    <w:rsid w:val="5D99194B"/>
    <w:rsid w:val="5DA62A8C"/>
    <w:rsid w:val="5DA7517A"/>
    <w:rsid w:val="5DAA0F2B"/>
    <w:rsid w:val="5DAB167E"/>
    <w:rsid w:val="5DAD189A"/>
    <w:rsid w:val="5DAF5E3F"/>
    <w:rsid w:val="5DB76275"/>
    <w:rsid w:val="5DB91FED"/>
    <w:rsid w:val="5DBB1EB0"/>
    <w:rsid w:val="5DBB3FB7"/>
    <w:rsid w:val="5DBC7D30"/>
    <w:rsid w:val="5DBE7604"/>
    <w:rsid w:val="5DC00F00"/>
    <w:rsid w:val="5DC015CE"/>
    <w:rsid w:val="5DC03100"/>
    <w:rsid w:val="5DC0337C"/>
    <w:rsid w:val="5DC15346"/>
    <w:rsid w:val="5DC170F4"/>
    <w:rsid w:val="5DC32E6C"/>
    <w:rsid w:val="5DC54774"/>
    <w:rsid w:val="5DCA41FA"/>
    <w:rsid w:val="5DD777F3"/>
    <w:rsid w:val="5DDE7CA6"/>
    <w:rsid w:val="5DE057CC"/>
    <w:rsid w:val="5DE11D30"/>
    <w:rsid w:val="5DE74DAC"/>
    <w:rsid w:val="5DE84681"/>
    <w:rsid w:val="5DEE7C26"/>
    <w:rsid w:val="5DF64FF0"/>
    <w:rsid w:val="5DF9063C"/>
    <w:rsid w:val="5DFF3E12"/>
    <w:rsid w:val="5E005E6E"/>
    <w:rsid w:val="5E012B6E"/>
    <w:rsid w:val="5E021BE6"/>
    <w:rsid w:val="5E023994"/>
    <w:rsid w:val="5E031047"/>
    <w:rsid w:val="5E062D59"/>
    <w:rsid w:val="5E0A7F37"/>
    <w:rsid w:val="5E0F1C0D"/>
    <w:rsid w:val="5E0F60B1"/>
    <w:rsid w:val="5E1355CA"/>
    <w:rsid w:val="5E145476"/>
    <w:rsid w:val="5E16533C"/>
    <w:rsid w:val="5E167440"/>
    <w:rsid w:val="5E18068B"/>
    <w:rsid w:val="5E1B2CA8"/>
    <w:rsid w:val="5E1D7B0C"/>
    <w:rsid w:val="5E1E62F4"/>
    <w:rsid w:val="5E224037"/>
    <w:rsid w:val="5E231B5D"/>
    <w:rsid w:val="5E23390B"/>
    <w:rsid w:val="5E2558D5"/>
    <w:rsid w:val="5E280F21"/>
    <w:rsid w:val="5E2A2EEB"/>
    <w:rsid w:val="5E2B7730"/>
    <w:rsid w:val="5E2F405E"/>
    <w:rsid w:val="5E317DD6"/>
    <w:rsid w:val="5E336236"/>
    <w:rsid w:val="5E341674"/>
    <w:rsid w:val="5E3646E2"/>
    <w:rsid w:val="5E375863"/>
    <w:rsid w:val="5E3E0745"/>
    <w:rsid w:val="5E4775F9"/>
    <w:rsid w:val="5E4D0A45"/>
    <w:rsid w:val="5E4E007B"/>
    <w:rsid w:val="5E5B11EF"/>
    <w:rsid w:val="5E5B4E53"/>
    <w:rsid w:val="5E602469"/>
    <w:rsid w:val="5E604706"/>
    <w:rsid w:val="5E631301"/>
    <w:rsid w:val="5E6463FD"/>
    <w:rsid w:val="5E655CD1"/>
    <w:rsid w:val="5E685A7A"/>
    <w:rsid w:val="5E6C3504"/>
    <w:rsid w:val="5E6C6E8B"/>
    <w:rsid w:val="5E6C7BC2"/>
    <w:rsid w:val="5E6E102A"/>
    <w:rsid w:val="5E6E2DD8"/>
    <w:rsid w:val="5E6F4DA2"/>
    <w:rsid w:val="5E766130"/>
    <w:rsid w:val="5E7D301B"/>
    <w:rsid w:val="5E805BF1"/>
    <w:rsid w:val="5E834960"/>
    <w:rsid w:val="5E8C75FF"/>
    <w:rsid w:val="5E8F3DCD"/>
    <w:rsid w:val="5E980438"/>
    <w:rsid w:val="5E9842F9"/>
    <w:rsid w:val="5E9B5041"/>
    <w:rsid w:val="5E9B5B97"/>
    <w:rsid w:val="5E9D546B"/>
    <w:rsid w:val="5EA92062"/>
    <w:rsid w:val="5EAA5DDA"/>
    <w:rsid w:val="5EAE7678"/>
    <w:rsid w:val="5EB52F2E"/>
    <w:rsid w:val="5EB5464C"/>
    <w:rsid w:val="5EB97DCB"/>
    <w:rsid w:val="5EC21376"/>
    <w:rsid w:val="5EC23124"/>
    <w:rsid w:val="5EC40C6B"/>
    <w:rsid w:val="5EC96260"/>
    <w:rsid w:val="5ECA3D86"/>
    <w:rsid w:val="5ECC1DF0"/>
    <w:rsid w:val="5ECC7AFE"/>
    <w:rsid w:val="5ECD49AA"/>
    <w:rsid w:val="5ECE7D1A"/>
    <w:rsid w:val="5ED03A93"/>
    <w:rsid w:val="5ED1105D"/>
    <w:rsid w:val="5ED15115"/>
    <w:rsid w:val="5ED30E8D"/>
    <w:rsid w:val="5ED370DF"/>
    <w:rsid w:val="5ED55DD2"/>
    <w:rsid w:val="5ED74D86"/>
    <w:rsid w:val="5EDA221B"/>
    <w:rsid w:val="5EDC2437"/>
    <w:rsid w:val="5EDF7832"/>
    <w:rsid w:val="5EE44E48"/>
    <w:rsid w:val="5EE66E12"/>
    <w:rsid w:val="5EE70DDC"/>
    <w:rsid w:val="5EEF227D"/>
    <w:rsid w:val="5EF07C91"/>
    <w:rsid w:val="5EF163C6"/>
    <w:rsid w:val="5EF62DCD"/>
    <w:rsid w:val="5EF77271"/>
    <w:rsid w:val="5EFA7A69"/>
    <w:rsid w:val="5EFF7ED4"/>
    <w:rsid w:val="5F011E9E"/>
    <w:rsid w:val="5F0415E0"/>
    <w:rsid w:val="5F04373C"/>
    <w:rsid w:val="5F061196"/>
    <w:rsid w:val="5F0B4ACB"/>
    <w:rsid w:val="5F0E45BB"/>
    <w:rsid w:val="5F0F1702"/>
    <w:rsid w:val="5F0F7FC7"/>
    <w:rsid w:val="5F100333"/>
    <w:rsid w:val="5F10505F"/>
    <w:rsid w:val="5F10721B"/>
    <w:rsid w:val="5F115F4D"/>
    <w:rsid w:val="5F13572D"/>
    <w:rsid w:val="5F155949"/>
    <w:rsid w:val="5F17346F"/>
    <w:rsid w:val="5F182D44"/>
    <w:rsid w:val="5F1A6ABC"/>
    <w:rsid w:val="5F1C0A86"/>
    <w:rsid w:val="5F1D47FE"/>
    <w:rsid w:val="5F1F0576"/>
    <w:rsid w:val="5F2142EE"/>
    <w:rsid w:val="5F217E4A"/>
    <w:rsid w:val="5F223BC2"/>
    <w:rsid w:val="5F230066"/>
    <w:rsid w:val="5F245B8C"/>
    <w:rsid w:val="5F2700A6"/>
    <w:rsid w:val="5F2D48AB"/>
    <w:rsid w:val="5F322F1C"/>
    <w:rsid w:val="5F3833E6"/>
    <w:rsid w:val="5F3A715E"/>
    <w:rsid w:val="5F3A7914"/>
    <w:rsid w:val="5F3C5C05"/>
    <w:rsid w:val="5F3D09FC"/>
    <w:rsid w:val="5F441D8B"/>
    <w:rsid w:val="5F463D55"/>
    <w:rsid w:val="5F4678B1"/>
    <w:rsid w:val="5F473629"/>
    <w:rsid w:val="5F50072F"/>
    <w:rsid w:val="5F50393F"/>
    <w:rsid w:val="5F5226F9"/>
    <w:rsid w:val="5F5244A8"/>
    <w:rsid w:val="5F525FBA"/>
    <w:rsid w:val="5F544E26"/>
    <w:rsid w:val="5F553F98"/>
    <w:rsid w:val="5F561F23"/>
    <w:rsid w:val="5F610B8F"/>
    <w:rsid w:val="5F61293D"/>
    <w:rsid w:val="5F6244B3"/>
    <w:rsid w:val="5F633A13"/>
    <w:rsid w:val="5F645F89"/>
    <w:rsid w:val="5F661D01"/>
    <w:rsid w:val="5F6661A5"/>
    <w:rsid w:val="5F675A73"/>
    <w:rsid w:val="5F69359F"/>
    <w:rsid w:val="5F6948BC"/>
    <w:rsid w:val="5F6B7317"/>
    <w:rsid w:val="5F702B80"/>
    <w:rsid w:val="5F7206A6"/>
    <w:rsid w:val="5F750C91"/>
    <w:rsid w:val="5F7563E8"/>
    <w:rsid w:val="5F763632"/>
    <w:rsid w:val="5F7F7267"/>
    <w:rsid w:val="5F830B05"/>
    <w:rsid w:val="5F8605F5"/>
    <w:rsid w:val="5F88611B"/>
    <w:rsid w:val="5F887EC9"/>
    <w:rsid w:val="5F8A1E93"/>
    <w:rsid w:val="5F8B25FF"/>
    <w:rsid w:val="5F8F4324"/>
    <w:rsid w:val="5F9021EB"/>
    <w:rsid w:val="5F906D7E"/>
    <w:rsid w:val="5F9525E6"/>
    <w:rsid w:val="5F954394"/>
    <w:rsid w:val="5F97010C"/>
    <w:rsid w:val="5F9E149B"/>
    <w:rsid w:val="5FA326A0"/>
    <w:rsid w:val="5FA56CCD"/>
    <w:rsid w:val="5FA6034F"/>
    <w:rsid w:val="5FA666FE"/>
    <w:rsid w:val="5FA6729D"/>
    <w:rsid w:val="5FAF18FA"/>
    <w:rsid w:val="5FAF200F"/>
    <w:rsid w:val="5FB53D08"/>
    <w:rsid w:val="5FB92779"/>
    <w:rsid w:val="5FC01D30"/>
    <w:rsid w:val="5FC66C44"/>
    <w:rsid w:val="5FC86518"/>
    <w:rsid w:val="5FCA04E2"/>
    <w:rsid w:val="5FCE46C2"/>
    <w:rsid w:val="5FCF3D4A"/>
    <w:rsid w:val="5FD01870"/>
    <w:rsid w:val="5FD44EBD"/>
    <w:rsid w:val="5FD749AD"/>
    <w:rsid w:val="5FD84FC4"/>
    <w:rsid w:val="5FDC0215"/>
    <w:rsid w:val="5FDE21DF"/>
    <w:rsid w:val="5FE34FB9"/>
    <w:rsid w:val="5FE570CA"/>
    <w:rsid w:val="5FEA0B84"/>
    <w:rsid w:val="5FEA294A"/>
    <w:rsid w:val="5FEB0458"/>
    <w:rsid w:val="5FF27A39"/>
    <w:rsid w:val="5FF4730D"/>
    <w:rsid w:val="5FF90DC7"/>
    <w:rsid w:val="5FF94923"/>
    <w:rsid w:val="5FFC08B7"/>
    <w:rsid w:val="5FFE00B7"/>
    <w:rsid w:val="5FFE7AC8"/>
    <w:rsid w:val="600057E9"/>
    <w:rsid w:val="60031C46"/>
    <w:rsid w:val="60076EC3"/>
    <w:rsid w:val="601479AF"/>
    <w:rsid w:val="60160FC9"/>
    <w:rsid w:val="6016117F"/>
    <w:rsid w:val="601654D5"/>
    <w:rsid w:val="601C5968"/>
    <w:rsid w:val="601E25DC"/>
    <w:rsid w:val="60200102"/>
    <w:rsid w:val="6022031E"/>
    <w:rsid w:val="6022469F"/>
    <w:rsid w:val="602A71D2"/>
    <w:rsid w:val="602A7D19"/>
    <w:rsid w:val="602F2A3B"/>
    <w:rsid w:val="60340051"/>
    <w:rsid w:val="60341DFF"/>
    <w:rsid w:val="60363DC9"/>
    <w:rsid w:val="603C7B0D"/>
    <w:rsid w:val="6045400C"/>
    <w:rsid w:val="604A517F"/>
    <w:rsid w:val="604D2EC1"/>
    <w:rsid w:val="604E1113"/>
    <w:rsid w:val="604E1976"/>
    <w:rsid w:val="60535E22"/>
    <w:rsid w:val="605424A1"/>
    <w:rsid w:val="60563B24"/>
    <w:rsid w:val="60566219"/>
    <w:rsid w:val="60583D40"/>
    <w:rsid w:val="605E50CE"/>
    <w:rsid w:val="6062696C"/>
    <w:rsid w:val="60651FB9"/>
    <w:rsid w:val="60655BC8"/>
    <w:rsid w:val="60695F4D"/>
    <w:rsid w:val="606A72AE"/>
    <w:rsid w:val="606D5311"/>
    <w:rsid w:val="606D70BF"/>
    <w:rsid w:val="606F1089"/>
    <w:rsid w:val="606F72DB"/>
    <w:rsid w:val="60730B79"/>
    <w:rsid w:val="60732927"/>
    <w:rsid w:val="607448F1"/>
    <w:rsid w:val="607545D5"/>
    <w:rsid w:val="60765F74"/>
    <w:rsid w:val="60771CEC"/>
    <w:rsid w:val="60787F3E"/>
    <w:rsid w:val="60803296"/>
    <w:rsid w:val="60820DBC"/>
    <w:rsid w:val="608508AD"/>
    <w:rsid w:val="60870181"/>
    <w:rsid w:val="60894991"/>
    <w:rsid w:val="608A53D5"/>
    <w:rsid w:val="608C39E9"/>
    <w:rsid w:val="60913D05"/>
    <w:rsid w:val="60951BD9"/>
    <w:rsid w:val="6096437F"/>
    <w:rsid w:val="60970262"/>
    <w:rsid w:val="609B00D0"/>
    <w:rsid w:val="609D79A4"/>
    <w:rsid w:val="60A2320D"/>
    <w:rsid w:val="60A725D1"/>
    <w:rsid w:val="60A72AF7"/>
    <w:rsid w:val="60AA20C1"/>
    <w:rsid w:val="60AD570E"/>
    <w:rsid w:val="60AF1486"/>
    <w:rsid w:val="60B06CDD"/>
    <w:rsid w:val="60B3541A"/>
    <w:rsid w:val="60B8658C"/>
    <w:rsid w:val="60BE7A0B"/>
    <w:rsid w:val="60C56EFB"/>
    <w:rsid w:val="60CC2038"/>
    <w:rsid w:val="60CE3ED1"/>
    <w:rsid w:val="60D31618"/>
    <w:rsid w:val="60DA0809"/>
    <w:rsid w:val="60DD4245"/>
    <w:rsid w:val="60DF2CBD"/>
    <w:rsid w:val="60E02CC9"/>
    <w:rsid w:val="60E127A8"/>
    <w:rsid w:val="60E76E71"/>
    <w:rsid w:val="60F01468"/>
    <w:rsid w:val="60F021CA"/>
    <w:rsid w:val="60F31CBA"/>
    <w:rsid w:val="60F8107F"/>
    <w:rsid w:val="60F82E2D"/>
    <w:rsid w:val="60FB0B6F"/>
    <w:rsid w:val="60FB291D"/>
    <w:rsid w:val="60FB46CB"/>
    <w:rsid w:val="61001CE1"/>
    <w:rsid w:val="61021EFD"/>
    <w:rsid w:val="610712C2"/>
    <w:rsid w:val="6109503A"/>
    <w:rsid w:val="610D0FDD"/>
    <w:rsid w:val="610E08A2"/>
    <w:rsid w:val="610E7B5A"/>
    <w:rsid w:val="610F7501"/>
    <w:rsid w:val="61112140"/>
    <w:rsid w:val="61120392"/>
    <w:rsid w:val="61131A15"/>
    <w:rsid w:val="61144A0A"/>
    <w:rsid w:val="61150C9D"/>
    <w:rsid w:val="61161505"/>
    <w:rsid w:val="611759A9"/>
    <w:rsid w:val="611761ED"/>
    <w:rsid w:val="611A2DA3"/>
    <w:rsid w:val="611F2AAF"/>
    <w:rsid w:val="611F485D"/>
    <w:rsid w:val="612260FC"/>
    <w:rsid w:val="61273712"/>
    <w:rsid w:val="612B3202"/>
    <w:rsid w:val="612B4FB0"/>
    <w:rsid w:val="612E72BF"/>
    <w:rsid w:val="613519D0"/>
    <w:rsid w:val="613A3445"/>
    <w:rsid w:val="613C540F"/>
    <w:rsid w:val="614147D4"/>
    <w:rsid w:val="61446072"/>
    <w:rsid w:val="614640B7"/>
    <w:rsid w:val="61472304"/>
    <w:rsid w:val="614C5323"/>
    <w:rsid w:val="61565DA5"/>
    <w:rsid w:val="61587D6F"/>
    <w:rsid w:val="615A3AE7"/>
    <w:rsid w:val="615D0EE2"/>
    <w:rsid w:val="615F3474"/>
    <w:rsid w:val="61615041"/>
    <w:rsid w:val="61616C24"/>
    <w:rsid w:val="616379EA"/>
    <w:rsid w:val="61665FE8"/>
    <w:rsid w:val="616E701B"/>
    <w:rsid w:val="616E7593"/>
    <w:rsid w:val="61700C15"/>
    <w:rsid w:val="6171498D"/>
    <w:rsid w:val="61721CA7"/>
    <w:rsid w:val="617B022B"/>
    <w:rsid w:val="617D4D88"/>
    <w:rsid w:val="617E77D6"/>
    <w:rsid w:val="617E7959"/>
    <w:rsid w:val="617F52FC"/>
    <w:rsid w:val="618038BB"/>
    <w:rsid w:val="618172C6"/>
    <w:rsid w:val="61826B9A"/>
    <w:rsid w:val="6182776A"/>
    <w:rsid w:val="61860438"/>
    <w:rsid w:val="61886E4C"/>
    <w:rsid w:val="61897F29"/>
    <w:rsid w:val="618A333F"/>
    <w:rsid w:val="618B5A4F"/>
    <w:rsid w:val="618D7A19"/>
    <w:rsid w:val="618F19E3"/>
    <w:rsid w:val="618F658B"/>
    <w:rsid w:val="61926DDD"/>
    <w:rsid w:val="619314C1"/>
    <w:rsid w:val="61972646"/>
    <w:rsid w:val="619743F4"/>
    <w:rsid w:val="619979A9"/>
    <w:rsid w:val="619A0388"/>
    <w:rsid w:val="619C1A0A"/>
    <w:rsid w:val="61A04FE2"/>
    <w:rsid w:val="61A06982"/>
    <w:rsid w:val="61A60ADB"/>
    <w:rsid w:val="61A82C5E"/>
    <w:rsid w:val="61AD1E69"/>
    <w:rsid w:val="61AE524A"/>
    <w:rsid w:val="61B027E8"/>
    <w:rsid w:val="61B336CF"/>
    <w:rsid w:val="61B96A60"/>
    <w:rsid w:val="61BA6334"/>
    <w:rsid w:val="61BC3AF2"/>
    <w:rsid w:val="61BC3E5D"/>
    <w:rsid w:val="61C176C2"/>
    <w:rsid w:val="61C3168D"/>
    <w:rsid w:val="61C379F2"/>
    <w:rsid w:val="61C40F61"/>
    <w:rsid w:val="61C62F2B"/>
    <w:rsid w:val="61C80A51"/>
    <w:rsid w:val="61C84EF5"/>
    <w:rsid w:val="61CC5522"/>
    <w:rsid w:val="61CE1DDF"/>
    <w:rsid w:val="61CF0031"/>
    <w:rsid w:val="61D218D0"/>
    <w:rsid w:val="61D75138"/>
    <w:rsid w:val="61D7583F"/>
    <w:rsid w:val="61D8132E"/>
    <w:rsid w:val="61D95824"/>
    <w:rsid w:val="61DA0784"/>
    <w:rsid w:val="61DE2022"/>
    <w:rsid w:val="61DF4169"/>
    <w:rsid w:val="61E33ADD"/>
    <w:rsid w:val="61E82EA1"/>
    <w:rsid w:val="61E84C4F"/>
    <w:rsid w:val="61EA4E6B"/>
    <w:rsid w:val="61EC23D1"/>
    <w:rsid w:val="61F07923"/>
    <w:rsid w:val="61F335F4"/>
    <w:rsid w:val="61F53810"/>
    <w:rsid w:val="61F555BE"/>
    <w:rsid w:val="61F5613D"/>
    <w:rsid w:val="61FC4B9F"/>
    <w:rsid w:val="61FE4473"/>
    <w:rsid w:val="61FF01EB"/>
    <w:rsid w:val="620121B5"/>
    <w:rsid w:val="6203465B"/>
    <w:rsid w:val="62045801"/>
    <w:rsid w:val="62051CA5"/>
    <w:rsid w:val="6205712B"/>
    <w:rsid w:val="6208709F"/>
    <w:rsid w:val="620F042E"/>
    <w:rsid w:val="621041A6"/>
    <w:rsid w:val="621243C2"/>
    <w:rsid w:val="62126170"/>
    <w:rsid w:val="62127610"/>
    <w:rsid w:val="621719D8"/>
    <w:rsid w:val="621B4377"/>
    <w:rsid w:val="621C0D9D"/>
    <w:rsid w:val="621F0284"/>
    <w:rsid w:val="6220263B"/>
    <w:rsid w:val="62233ED9"/>
    <w:rsid w:val="62255EA3"/>
    <w:rsid w:val="6228609C"/>
    <w:rsid w:val="62287742"/>
    <w:rsid w:val="622B10BD"/>
    <w:rsid w:val="622F0AD0"/>
    <w:rsid w:val="62371FEA"/>
    <w:rsid w:val="62373E29"/>
    <w:rsid w:val="623A1223"/>
    <w:rsid w:val="62400DDA"/>
    <w:rsid w:val="624A76B8"/>
    <w:rsid w:val="624D10F7"/>
    <w:rsid w:val="624E19F8"/>
    <w:rsid w:val="62562501"/>
    <w:rsid w:val="625642AF"/>
    <w:rsid w:val="6256605D"/>
    <w:rsid w:val="62582A4B"/>
    <w:rsid w:val="625978FB"/>
    <w:rsid w:val="625C5701"/>
    <w:rsid w:val="625F161B"/>
    <w:rsid w:val="62682234"/>
    <w:rsid w:val="626D784A"/>
    <w:rsid w:val="627110E9"/>
    <w:rsid w:val="62724E61"/>
    <w:rsid w:val="62724EC0"/>
    <w:rsid w:val="62754690"/>
    <w:rsid w:val="62782477"/>
    <w:rsid w:val="62791D4B"/>
    <w:rsid w:val="627B1402"/>
    <w:rsid w:val="627D5CDF"/>
    <w:rsid w:val="627E55B4"/>
    <w:rsid w:val="62865D12"/>
    <w:rsid w:val="62891CB7"/>
    <w:rsid w:val="62894684"/>
    <w:rsid w:val="628C7CD0"/>
    <w:rsid w:val="628D28EC"/>
    <w:rsid w:val="62902566"/>
    <w:rsid w:val="629152E7"/>
    <w:rsid w:val="6292559B"/>
    <w:rsid w:val="62943029"/>
    <w:rsid w:val="629628FD"/>
    <w:rsid w:val="629E63D3"/>
    <w:rsid w:val="62A274F4"/>
    <w:rsid w:val="62A3326C"/>
    <w:rsid w:val="62A50D92"/>
    <w:rsid w:val="62A768B8"/>
    <w:rsid w:val="62B15989"/>
    <w:rsid w:val="62B31701"/>
    <w:rsid w:val="62B42D58"/>
    <w:rsid w:val="62B815BD"/>
    <w:rsid w:val="62B90F9B"/>
    <w:rsid w:val="62BD60DC"/>
    <w:rsid w:val="62C03E1E"/>
    <w:rsid w:val="62C21944"/>
    <w:rsid w:val="62C34E5F"/>
    <w:rsid w:val="62C751AC"/>
    <w:rsid w:val="62C77012"/>
    <w:rsid w:val="62D84CC4"/>
    <w:rsid w:val="62DA4EE0"/>
    <w:rsid w:val="62DB2A06"/>
    <w:rsid w:val="62DF26A5"/>
    <w:rsid w:val="62E278F0"/>
    <w:rsid w:val="62EC6305"/>
    <w:rsid w:val="62EE098B"/>
    <w:rsid w:val="62F13FD7"/>
    <w:rsid w:val="62F23A49"/>
    <w:rsid w:val="62F31AFE"/>
    <w:rsid w:val="62F56060"/>
    <w:rsid w:val="62F92E8C"/>
    <w:rsid w:val="62FB4E56"/>
    <w:rsid w:val="62FB6C04"/>
    <w:rsid w:val="62FC3469"/>
    <w:rsid w:val="63010987"/>
    <w:rsid w:val="630261E5"/>
    <w:rsid w:val="63055C5C"/>
    <w:rsid w:val="630755A9"/>
    <w:rsid w:val="630E6937"/>
    <w:rsid w:val="63133F4E"/>
    <w:rsid w:val="631D301E"/>
    <w:rsid w:val="631D3129"/>
    <w:rsid w:val="631F4D38"/>
    <w:rsid w:val="6320666B"/>
    <w:rsid w:val="63260125"/>
    <w:rsid w:val="632674CD"/>
    <w:rsid w:val="63273E9D"/>
    <w:rsid w:val="63291612"/>
    <w:rsid w:val="632E6FDA"/>
    <w:rsid w:val="63320525"/>
    <w:rsid w:val="6332509C"/>
    <w:rsid w:val="6333639E"/>
    <w:rsid w:val="633839B4"/>
    <w:rsid w:val="633B5253"/>
    <w:rsid w:val="633D2BD8"/>
    <w:rsid w:val="633F4EB4"/>
    <w:rsid w:val="63400ABB"/>
    <w:rsid w:val="63424833"/>
    <w:rsid w:val="6344336F"/>
    <w:rsid w:val="634560D1"/>
    <w:rsid w:val="63471E49"/>
    <w:rsid w:val="6349424A"/>
    <w:rsid w:val="634C2B4E"/>
    <w:rsid w:val="634E142A"/>
    <w:rsid w:val="63536A40"/>
    <w:rsid w:val="63570B7C"/>
    <w:rsid w:val="635976C3"/>
    <w:rsid w:val="635A7DCF"/>
    <w:rsid w:val="635D78BF"/>
    <w:rsid w:val="635F53E5"/>
    <w:rsid w:val="63604CB9"/>
    <w:rsid w:val="63627211"/>
    <w:rsid w:val="63632D7F"/>
    <w:rsid w:val="636B1FDC"/>
    <w:rsid w:val="63707C0E"/>
    <w:rsid w:val="63715118"/>
    <w:rsid w:val="63734311"/>
    <w:rsid w:val="637349EC"/>
    <w:rsid w:val="63753FEA"/>
    <w:rsid w:val="637569B7"/>
    <w:rsid w:val="637D586B"/>
    <w:rsid w:val="638210D3"/>
    <w:rsid w:val="63827325"/>
    <w:rsid w:val="63847915"/>
    <w:rsid w:val="638906B4"/>
    <w:rsid w:val="638C3D00"/>
    <w:rsid w:val="639037F0"/>
    <w:rsid w:val="63913F53"/>
    <w:rsid w:val="63936E3D"/>
    <w:rsid w:val="6397692D"/>
    <w:rsid w:val="639B16A7"/>
    <w:rsid w:val="639C03D9"/>
    <w:rsid w:val="639C0E1B"/>
    <w:rsid w:val="639D5F0D"/>
    <w:rsid w:val="639E1D46"/>
    <w:rsid w:val="639F1C85"/>
    <w:rsid w:val="63A177AC"/>
    <w:rsid w:val="63AD5C13"/>
    <w:rsid w:val="63B05C41"/>
    <w:rsid w:val="63B079EF"/>
    <w:rsid w:val="63B35731"/>
    <w:rsid w:val="63BC2837"/>
    <w:rsid w:val="63BF2C7A"/>
    <w:rsid w:val="63C139AA"/>
    <w:rsid w:val="63C4349A"/>
    <w:rsid w:val="63CB2A7A"/>
    <w:rsid w:val="63CF6AC6"/>
    <w:rsid w:val="63D336DD"/>
    <w:rsid w:val="63D35447"/>
    <w:rsid w:val="63D368D7"/>
    <w:rsid w:val="63D52D8F"/>
    <w:rsid w:val="63D52F45"/>
    <w:rsid w:val="63D556A7"/>
    <w:rsid w:val="63D61C77"/>
    <w:rsid w:val="63D7141F"/>
    <w:rsid w:val="63DA0F0F"/>
    <w:rsid w:val="63DD630A"/>
    <w:rsid w:val="63DF2082"/>
    <w:rsid w:val="63E47698"/>
    <w:rsid w:val="63EA0151"/>
    <w:rsid w:val="63EA73A4"/>
    <w:rsid w:val="63EC7FBA"/>
    <w:rsid w:val="63F35B2D"/>
    <w:rsid w:val="63F4655B"/>
    <w:rsid w:val="63F7561D"/>
    <w:rsid w:val="63F77FE5"/>
    <w:rsid w:val="63FF0976"/>
    <w:rsid w:val="63FF44D2"/>
    <w:rsid w:val="6401394C"/>
    <w:rsid w:val="64020D38"/>
    <w:rsid w:val="64025D70"/>
    <w:rsid w:val="64090F30"/>
    <w:rsid w:val="640B731B"/>
    <w:rsid w:val="640F47E2"/>
    <w:rsid w:val="6410048D"/>
    <w:rsid w:val="641036CB"/>
    <w:rsid w:val="64103A36"/>
    <w:rsid w:val="641937E6"/>
    <w:rsid w:val="641E0DFC"/>
    <w:rsid w:val="641E657E"/>
    <w:rsid w:val="641E6734"/>
    <w:rsid w:val="641E68E9"/>
    <w:rsid w:val="64243F39"/>
    <w:rsid w:val="642503DD"/>
    <w:rsid w:val="64264155"/>
    <w:rsid w:val="64267CB1"/>
    <w:rsid w:val="642B3B36"/>
    <w:rsid w:val="642C15E7"/>
    <w:rsid w:val="642E65D8"/>
    <w:rsid w:val="64317D60"/>
    <w:rsid w:val="643A375C"/>
    <w:rsid w:val="643B07CE"/>
    <w:rsid w:val="643E4FFA"/>
    <w:rsid w:val="643F0D73"/>
    <w:rsid w:val="64410F8F"/>
    <w:rsid w:val="64436A84"/>
    <w:rsid w:val="64441A7E"/>
    <w:rsid w:val="64446389"/>
    <w:rsid w:val="64485E79"/>
    <w:rsid w:val="6449399F"/>
    <w:rsid w:val="644B3E51"/>
    <w:rsid w:val="64522996"/>
    <w:rsid w:val="64540CC2"/>
    <w:rsid w:val="645667E8"/>
    <w:rsid w:val="64591E34"/>
    <w:rsid w:val="645C60CA"/>
    <w:rsid w:val="645E744B"/>
    <w:rsid w:val="645F01E2"/>
    <w:rsid w:val="6460084F"/>
    <w:rsid w:val="6460191F"/>
    <w:rsid w:val="64630534"/>
    <w:rsid w:val="6468651B"/>
    <w:rsid w:val="6469057F"/>
    <w:rsid w:val="64715DE8"/>
    <w:rsid w:val="64764029"/>
    <w:rsid w:val="6477050C"/>
    <w:rsid w:val="647725EA"/>
    <w:rsid w:val="64794284"/>
    <w:rsid w:val="647B5BE7"/>
    <w:rsid w:val="647C1FC7"/>
    <w:rsid w:val="647C54E3"/>
    <w:rsid w:val="647C5B23"/>
    <w:rsid w:val="647C6CC8"/>
    <w:rsid w:val="647D0A34"/>
    <w:rsid w:val="647E5D3F"/>
    <w:rsid w:val="6481592A"/>
    <w:rsid w:val="6482113D"/>
    <w:rsid w:val="648275DD"/>
    <w:rsid w:val="6483791E"/>
    <w:rsid w:val="648C220A"/>
    <w:rsid w:val="648E565A"/>
    <w:rsid w:val="64915A72"/>
    <w:rsid w:val="64923598"/>
    <w:rsid w:val="6493712A"/>
    <w:rsid w:val="64961430"/>
    <w:rsid w:val="649C0DA2"/>
    <w:rsid w:val="64A137DB"/>
    <w:rsid w:val="64A15589"/>
    <w:rsid w:val="64A532CB"/>
    <w:rsid w:val="64A64D5A"/>
    <w:rsid w:val="64A77044"/>
    <w:rsid w:val="64A97036"/>
    <w:rsid w:val="64AA08E2"/>
    <w:rsid w:val="64AC28AC"/>
    <w:rsid w:val="64AC6408"/>
    <w:rsid w:val="64B058C7"/>
    <w:rsid w:val="64B147AF"/>
    <w:rsid w:val="64B507C5"/>
    <w:rsid w:val="64B61035"/>
    <w:rsid w:val="64B654D9"/>
    <w:rsid w:val="64B81251"/>
    <w:rsid w:val="64B90B25"/>
    <w:rsid w:val="64BC401C"/>
    <w:rsid w:val="64BC60D9"/>
    <w:rsid w:val="64BE00A4"/>
    <w:rsid w:val="64C0654B"/>
    <w:rsid w:val="64C64FF0"/>
    <w:rsid w:val="64C71494"/>
    <w:rsid w:val="64CB7B8C"/>
    <w:rsid w:val="64CF1141"/>
    <w:rsid w:val="64D37E39"/>
    <w:rsid w:val="64D836A1"/>
    <w:rsid w:val="64DA367B"/>
    <w:rsid w:val="64DB5214"/>
    <w:rsid w:val="64DB5263"/>
    <w:rsid w:val="64DF4A2F"/>
    <w:rsid w:val="64E33DF4"/>
    <w:rsid w:val="64E57B6C"/>
    <w:rsid w:val="64E77440"/>
    <w:rsid w:val="64ED07CF"/>
    <w:rsid w:val="64F14BF5"/>
    <w:rsid w:val="64F46001"/>
    <w:rsid w:val="64F61D79"/>
    <w:rsid w:val="64F9082A"/>
    <w:rsid w:val="64F97173"/>
    <w:rsid w:val="64FB346E"/>
    <w:rsid w:val="64FD7FCA"/>
    <w:rsid w:val="650224CC"/>
    <w:rsid w:val="65031DA0"/>
    <w:rsid w:val="65071890"/>
    <w:rsid w:val="65082410"/>
    <w:rsid w:val="650A5824"/>
    <w:rsid w:val="651026AD"/>
    <w:rsid w:val="65110961"/>
    <w:rsid w:val="65150451"/>
    <w:rsid w:val="65164090"/>
    <w:rsid w:val="65177936"/>
    <w:rsid w:val="651915C4"/>
    <w:rsid w:val="651A5A67"/>
    <w:rsid w:val="651B358E"/>
    <w:rsid w:val="651C6006"/>
    <w:rsid w:val="651D10B4"/>
    <w:rsid w:val="651E5E61"/>
    <w:rsid w:val="651E6BDA"/>
    <w:rsid w:val="652A1A23"/>
    <w:rsid w:val="652C1D25"/>
    <w:rsid w:val="652D0651"/>
    <w:rsid w:val="653C01C1"/>
    <w:rsid w:val="65416891"/>
    <w:rsid w:val="65420B1A"/>
    <w:rsid w:val="65440F0D"/>
    <w:rsid w:val="654C7BEB"/>
    <w:rsid w:val="654E1AA4"/>
    <w:rsid w:val="654F3237"/>
    <w:rsid w:val="654F4FE5"/>
    <w:rsid w:val="65534AD5"/>
    <w:rsid w:val="655A40B6"/>
    <w:rsid w:val="65662B9B"/>
    <w:rsid w:val="656A1E1F"/>
    <w:rsid w:val="656B62C3"/>
    <w:rsid w:val="656F7435"/>
    <w:rsid w:val="6570115F"/>
    <w:rsid w:val="657131AE"/>
    <w:rsid w:val="65750EF0"/>
    <w:rsid w:val="657809E0"/>
    <w:rsid w:val="657A4758"/>
    <w:rsid w:val="65811B4F"/>
    <w:rsid w:val="65827169"/>
    <w:rsid w:val="65847385"/>
    <w:rsid w:val="65866172"/>
    <w:rsid w:val="65876E75"/>
    <w:rsid w:val="658911AC"/>
    <w:rsid w:val="658C6239"/>
    <w:rsid w:val="65962C14"/>
    <w:rsid w:val="659770B8"/>
    <w:rsid w:val="6598698C"/>
    <w:rsid w:val="65992351"/>
    <w:rsid w:val="659C46CE"/>
    <w:rsid w:val="65A11CE5"/>
    <w:rsid w:val="65A73073"/>
    <w:rsid w:val="65AB4911"/>
    <w:rsid w:val="65AB4E9E"/>
    <w:rsid w:val="65AC5A3D"/>
    <w:rsid w:val="65AF6DA2"/>
    <w:rsid w:val="65B01973"/>
    <w:rsid w:val="65B110CD"/>
    <w:rsid w:val="65B5782C"/>
    <w:rsid w:val="65B85280"/>
    <w:rsid w:val="65BC7646"/>
    <w:rsid w:val="65BD1F06"/>
    <w:rsid w:val="65BD63F3"/>
    <w:rsid w:val="65C15EE3"/>
    <w:rsid w:val="65C374ED"/>
    <w:rsid w:val="65C6799D"/>
    <w:rsid w:val="65C9123C"/>
    <w:rsid w:val="65CE23AE"/>
    <w:rsid w:val="65D06AFD"/>
    <w:rsid w:val="65D11E9E"/>
    <w:rsid w:val="65D2447B"/>
    <w:rsid w:val="65D24D0D"/>
    <w:rsid w:val="65D379C4"/>
    <w:rsid w:val="65D5198E"/>
    <w:rsid w:val="65D57BE0"/>
    <w:rsid w:val="65D8147F"/>
    <w:rsid w:val="65DD0843"/>
    <w:rsid w:val="65DE2082"/>
    <w:rsid w:val="65DF6369"/>
    <w:rsid w:val="65E1100C"/>
    <w:rsid w:val="65E46075"/>
    <w:rsid w:val="65E541B8"/>
    <w:rsid w:val="65E63B9C"/>
    <w:rsid w:val="65E971E8"/>
    <w:rsid w:val="65EB2F60"/>
    <w:rsid w:val="65EB7404"/>
    <w:rsid w:val="65EE0CA2"/>
    <w:rsid w:val="65F362B8"/>
    <w:rsid w:val="65F52031"/>
    <w:rsid w:val="65F57932"/>
    <w:rsid w:val="65F660A6"/>
    <w:rsid w:val="65FB0902"/>
    <w:rsid w:val="65FF6B1E"/>
    <w:rsid w:val="660B715E"/>
    <w:rsid w:val="660D2ED6"/>
    <w:rsid w:val="66100C18"/>
    <w:rsid w:val="66134265"/>
    <w:rsid w:val="66140709"/>
    <w:rsid w:val="66155AA3"/>
    <w:rsid w:val="66173CAA"/>
    <w:rsid w:val="66195F86"/>
    <w:rsid w:val="661A1A97"/>
    <w:rsid w:val="661C75BD"/>
    <w:rsid w:val="661F0E5C"/>
    <w:rsid w:val="66236B9E"/>
    <w:rsid w:val="66252916"/>
    <w:rsid w:val="662A1A05"/>
    <w:rsid w:val="662D3578"/>
    <w:rsid w:val="662F5543"/>
    <w:rsid w:val="663366B5"/>
    <w:rsid w:val="66344907"/>
    <w:rsid w:val="6635242D"/>
    <w:rsid w:val="663A29F4"/>
    <w:rsid w:val="663A3EE7"/>
    <w:rsid w:val="663C10FB"/>
    <w:rsid w:val="663D12E2"/>
    <w:rsid w:val="663F14FE"/>
    <w:rsid w:val="66417024"/>
    <w:rsid w:val="66485A5D"/>
    <w:rsid w:val="664A237C"/>
    <w:rsid w:val="664D3C1B"/>
    <w:rsid w:val="664D59C9"/>
    <w:rsid w:val="664F1741"/>
    <w:rsid w:val="66513968"/>
    <w:rsid w:val="66524D8D"/>
    <w:rsid w:val="66552ACF"/>
    <w:rsid w:val="665E3732"/>
    <w:rsid w:val="6661469B"/>
    <w:rsid w:val="666176C6"/>
    <w:rsid w:val="6663343E"/>
    <w:rsid w:val="6663397A"/>
    <w:rsid w:val="66666A8A"/>
    <w:rsid w:val="666920D7"/>
    <w:rsid w:val="666D7E19"/>
    <w:rsid w:val="66734E89"/>
    <w:rsid w:val="66800C9F"/>
    <w:rsid w:val="6681025D"/>
    <w:rsid w:val="6682026B"/>
    <w:rsid w:val="668441F3"/>
    <w:rsid w:val="66882EA5"/>
    <w:rsid w:val="668A1765"/>
    <w:rsid w:val="668B029F"/>
    <w:rsid w:val="668F1B3D"/>
    <w:rsid w:val="668F2DA6"/>
    <w:rsid w:val="668F5FE1"/>
    <w:rsid w:val="66926769"/>
    <w:rsid w:val="66993F11"/>
    <w:rsid w:val="66A355E9"/>
    <w:rsid w:val="66AE7F8C"/>
    <w:rsid w:val="66B07D06"/>
    <w:rsid w:val="66B8278B"/>
    <w:rsid w:val="66BB15DA"/>
    <w:rsid w:val="66BB6DD6"/>
    <w:rsid w:val="66BC7FA2"/>
    <w:rsid w:val="66C0263F"/>
    <w:rsid w:val="66C244CC"/>
    <w:rsid w:val="66C64EC5"/>
    <w:rsid w:val="66C8504F"/>
    <w:rsid w:val="66CC1B88"/>
    <w:rsid w:val="66D6776C"/>
    <w:rsid w:val="66D87988"/>
    <w:rsid w:val="66DE0D17"/>
    <w:rsid w:val="66DF6B16"/>
    <w:rsid w:val="66E04A8F"/>
    <w:rsid w:val="66E159EC"/>
    <w:rsid w:val="66E71979"/>
    <w:rsid w:val="66EC6F90"/>
    <w:rsid w:val="66ED4AB6"/>
    <w:rsid w:val="66F127F8"/>
    <w:rsid w:val="66F35CB5"/>
    <w:rsid w:val="66F52B0D"/>
    <w:rsid w:val="66F56971"/>
    <w:rsid w:val="66F66060"/>
    <w:rsid w:val="66F73715"/>
    <w:rsid w:val="67006EDF"/>
    <w:rsid w:val="67010561"/>
    <w:rsid w:val="670267B3"/>
    <w:rsid w:val="67034855"/>
    <w:rsid w:val="670818F0"/>
    <w:rsid w:val="670C13E0"/>
    <w:rsid w:val="67143451"/>
    <w:rsid w:val="6716225F"/>
    <w:rsid w:val="67177D85"/>
    <w:rsid w:val="67185FD7"/>
    <w:rsid w:val="67204E8B"/>
    <w:rsid w:val="67242135"/>
    <w:rsid w:val="672E57FA"/>
    <w:rsid w:val="6731269C"/>
    <w:rsid w:val="67362901"/>
    <w:rsid w:val="67366B73"/>
    <w:rsid w:val="673B3590"/>
    <w:rsid w:val="673D5A3D"/>
    <w:rsid w:val="67401089"/>
    <w:rsid w:val="6743638C"/>
    <w:rsid w:val="674548F2"/>
    <w:rsid w:val="674566A0"/>
    <w:rsid w:val="67472418"/>
    <w:rsid w:val="674943E2"/>
    <w:rsid w:val="674A1F08"/>
    <w:rsid w:val="674B49AB"/>
    <w:rsid w:val="67515045"/>
    <w:rsid w:val="6752056C"/>
    <w:rsid w:val="67535261"/>
    <w:rsid w:val="67582439"/>
    <w:rsid w:val="675A37D7"/>
    <w:rsid w:val="675B26BF"/>
    <w:rsid w:val="675B5EC3"/>
    <w:rsid w:val="675C1E33"/>
    <w:rsid w:val="675F3C06"/>
    <w:rsid w:val="676217A2"/>
    <w:rsid w:val="676236F6"/>
    <w:rsid w:val="676254A4"/>
    <w:rsid w:val="676560F9"/>
    <w:rsid w:val="67656D42"/>
    <w:rsid w:val="676C00D0"/>
    <w:rsid w:val="676C6322"/>
    <w:rsid w:val="6773320D"/>
    <w:rsid w:val="677403E2"/>
    <w:rsid w:val="67755B92"/>
    <w:rsid w:val="677B1DC1"/>
    <w:rsid w:val="677E1BB2"/>
    <w:rsid w:val="6784366C"/>
    <w:rsid w:val="67851192"/>
    <w:rsid w:val="67851845"/>
    <w:rsid w:val="67852F40"/>
    <w:rsid w:val="67871936"/>
    <w:rsid w:val="678858F8"/>
    <w:rsid w:val="678E1DA1"/>
    <w:rsid w:val="67915D89"/>
    <w:rsid w:val="67957627"/>
    <w:rsid w:val="67994442"/>
    <w:rsid w:val="67A463CF"/>
    <w:rsid w:val="67A63FE5"/>
    <w:rsid w:val="67AC1177"/>
    <w:rsid w:val="67AE797F"/>
    <w:rsid w:val="67B3016B"/>
    <w:rsid w:val="67B33F51"/>
    <w:rsid w:val="67B37B5B"/>
    <w:rsid w:val="67B46E9D"/>
    <w:rsid w:val="67B473BE"/>
    <w:rsid w:val="67B657F0"/>
    <w:rsid w:val="67B81568"/>
    <w:rsid w:val="67B850C4"/>
    <w:rsid w:val="67B92388"/>
    <w:rsid w:val="67BB4BB4"/>
    <w:rsid w:val="67BD26DA"/>
    <w:rsid w:val="67C03DCB"/>
    <w:rsid w:val="67C1041C"/>
    <w:rsid w:val="67C21830"/>
    <w:rsid w:val="67C3130F"/>
    <w:rsid w:val="67C43A69"/>
    <w:rsid w:val="67C9107F"/>
    <w:rsid w:val="67CC23BC"/>
    <w:rsid w:val="67D30150"/>
    <w:rsid w:val="67D363A2"/>
    <w:rsid w:val="67D77C40"/>
    <w:rsid w:val="67D96E37"/>
    <w:rsid w:val="67DC5256"/>
    <w:rsid w:val="67DF6AF4"/>
    <w:rsid w:val="67E4410B"/>
    <w:rsid w:val="67E820DB"/>
    <w:rsid w:val="67ED4C55"/>
    <w:rsid w:val="67F00D02"/>
    <w:rsid w:val="67F105D6"/>
    <w:rsid w:val="67F325A0"/>
    <w:rsid w:val="67F85E08"/>
    <w:rsid w:val="67FA1B80"/>
    <w:rsid w:val="67FC76A6"/>
    <w:rsid w:val="67FF2CF3"/>
    <w:rsid w:val="68027953"/>
    <w:rsid w:val="68103152"/>
    <w:rsid w:val="68115D23"/>
    <w:rsid w:val="68126ECA"/>
    <w:rsid w:val="68152516"/>
    <w:rsid w:val="6817003C"/>
    <w:rsid w:val="681724DB"/>
    <w:rsid w:val="68197B67"/>
    <w:rsid w:val="681D761D"/>
    <w:rsid w:val="6821710D"/>
    <w:rsid w:val="68273FF7"/>
    <w:rsid w:val="68281C6E"/>
    <w:rsid w:val="682D0A8C"/>
    <w:rsid w:val="682D47A3"/>
    <w:rsid w:val="682D4F2F"/>
    <w:rsid w:val="68307350"/>
    <w:rsid w:val="68317CD4"/>
    <w:rsid w:val="68352BB8"/>
    <w:rsid w:val="68376930"/>
    <w:rsid w:val="683A60A0"/>
    <w:rsid w:val="68417CF4"/>
    <w:rsid w:val="68476448"/>
    <w:rsid w:val="6848469A"/>
    <w:rsid w:val="68490412"/>
    <w:rsid w:val="684E3DC9"/>
    <w:rsid w:val="685002C6"/>
    <w:rsid w:val="68525518"/>
    <w:rsid w:val="68530E2E"/>
    <w:rsid w:val="68531FFC"/>
    <w:rsid w:val="6854495A"/>
    <w:rsid w:val="68572713"/>
    <w:rsid w:val="68572B2F"/>
    <w:rsid w:val="685968A7"/>
    <w:rsid w:val="685A43CD"/>
    <w:rsid w:val="685D09D5"/>
    <w:rsid w:val="685F19E3"/>
    <w:rsid w:val="685F7C35"/>
    <w:rsid w:val="68604EB0"/>
    <w:rsid w:val="68623356"/>
    <w:rsid w:val="68627445"/>
    <w:rsid w:val="68636109"/>
    <w:rsid w:val="6864524C"/>
    <w:rsid w:val="686457A3"/>
    <w:rsid w:val="68692862"/>
    <w:rsid w:val="686B482C"/>
    <w:rsid w:val="687157C8"/>
    <w:rsid w:val="68725BBA"/>
    <w:rsid w:val="6873723D"/>
    <w:rsid w:val="687574A1"/>
    <w:rsid w:val="68774A35"/>
    <w:rsid w:val="68790CF7"/>
    <w:rsid w:val="687A4A6F"/>
    <w:rsid w:val="6882401D"/>
    <w:rsid w:val="68826993"/>
    <w:rsid w:val="688431F8"/>
    <w:rsid w:val="68852EFA"/>
    <w:rsid w:val="688558EE"/>
    <w:rsid w:val="6888718C"/>
    <w:rsid w:val="688B47FD"/>
    <w:rsid w:val="688D6550"/>
    <w:rsid w:val="688F051A"/>
    <w:rsid w:val="688F42C9"/>
    <w:rsid w:val="68923B67"/>
    <w:rsid w:val="689478DF"/>
    <w:rsid w:val="689B5EC2"/>
    <w:rsid w:val="689C682D"/>
    <w:rsid w:val="68A11FFC"/>
    <w:rsid w:val="68A13DAA"/>
    <w:rsid w:val="68A530AA"/>
    <w:rsid w:val="68A613C0"/>
    <w:rsid w:val="68A90D75"/>
    <w:rsid w:val="68AA773C"/>
    <w:rsid w:val="68AC3590"/>
    <w:rsid w:val="68AD6BF3"/>
    <w:rsid w:val="68B43ADD"/>
    <w:rsid w:val="68B47F81"/>
    <w:rsid w:val="68B7537B"/>
    <w:rsid w:val="68B910F3"/>
    <w:rsid w:val="68BE7D5D"/>
    <w:rsid w:val="68C1269E"/>
    <w:rsid w:val="68C201F7"/>
    <w:rsid w:val="68C35103"/>
    <w:rsid w:val="68C53F3C"/>
    <w:rsid w:val="68C83A2C"/>
    <w:rsid w:val="68CA1553"/>
    <w:rsid w:val="68CB7079"/>
    <w:rsid w:val="68CE3A10"/>
    <w:rsid w:val="68CF0917"/>
    <w:rsid w:val="68D20407"/>
    <w:rsid w:val="68D370A0"/>
    <w:rsid w:val="68D46EA8"/>
    <w:rsid w:val="68D47FEC"/>
    <w:rsid w:val="68D5723F"/>
    <w:rsid w:val="68D66492"/>
    <w:rsid w:val="68D77575"/>
    <w:rsid w:val="68DB72BC"/>
    <w:rsid w:val="68E26375"/>
    <w:rsid w:val="68E34454"/>
    <w:rsid w:val="68E5189C"/>
    <w:rsid w:val="68E5638C"/>
    <w:rsid w:val="68E67574"/>
    <w:rsid w:val="68E72104"/>
    <w:rsid w:val="68E87C2B"/>
    <w:rsid w:val="68ED3493"/>
    <w:rsid w:val="68EF395E"/>
    <w:rsid w:val="68EF720B"/>
    <w:rsid w:val="68F0088D"/>
    <w:rsid w:val="68F72239"/>
    <w:rsid w:val="68F95994"/>
    <w:rsid w:val="69006D41"/>
    <w:rsid w:val="69024E7D"/>
    <w:rsid w:val="69076303"/>
    <w:rsid w:val="6908207B"/>
    <w:rsid w:val="69085BD7"/>
    <w:rsid w:val="690D2406"/>
    <w:rsid w:val="691314C2"/>
    <w:rsid w:val="69150E9E"/>
    <w:rsid w:val="691555D7"/>
    <w:rsid w:val="6916074D"/>
    <w:rsid w:val="69173E83"/>
    <w:rsid w:val="69177F52"/>
    <w:rsid w:val="69180510"/>
    <w:rsid w:val="691E189E"/>
    <w:rsid w:val="69224EEB"/>
    <w:rsid w:val="692313ED"/>
    <w:rsid w:val="69252C2D"/>
    <w:rsid w:val="692778FF"/>
    <w:rsid w:val="692844CB"/>
    <w:rsid w:val="692C520B"/>
    <w:rsid w:val="692C5D69"/>
    <w:rsid w:val="692F0123"/>
    <w:rsid w:val="69335C12"/>
    <w:rsid w:val="69342E70"/>
    <w:rsid w:val="6934465C"/>
    <w:rsid w:val="69361A8E"/>
    <w:rsid w:val="69362744"/>
    <w:rsid w:val="693C68D0"/>
    <w:rsid w:val="693E1EF2"/>
    <w:rsid w:val="694035C3"/>
    <w:rsid w:val="694A4441"/>
    <w:rsid w:val="6951757E"/>
    <w:rsid w:val="69531548"/>
    <w:rsid w:val="696077C1"/>
    <w:rsid w:val="696574CD"/>
    <w:rsid w:val="6966360B"/>
    <w:rsid w:val="69690D6B"/>
    <w:rsid w:val="696A1368"/>
    <w:rsid w:val="696A62C2"/>
    <w:rsid w:val="696C35A9"/>
    <w:rsid w:val="696F232C"/>
    <w:rsid w:val="696F5C56"/>
    <w:rsid w:val="697119CE"/>
    <w:rsid w:val="69733998"/>
    <w:rsid w:val="69777AD4"/>
    <w:rsid w:val="69790883"/>
    <w:rsid w:val="697B0A9F"/>
    <w:rsid w:val="697E40EB"/>
    <w:rsid w:val="69847953"/>
    <w:rsid w:val="698C6808"/>
    <w:rsid w:val="698D01CC"/>
    <w:rsid w:val="699639AD"/>
    <w:rsid w:val="699650D5"/>
    <w:rsid w:val="699B4AA9"/>
    <w:rsid w:val="699B4C9D"/>
    <w:rsid w:val="699E4A1E"/>
    <w:rsid w:val="699F478D"/>
    <w:rsid w:val="69A022B3"/>
    <w:rsid w:val="69A94C8C"/>
    <w:rsid w:val="69A9560C"/>
    <w:rsid w:val="69A973BA"/>
    <w:rsid w:val="69AF24F6"/>
    <w:rsid w:val="69B018C1"/>
    <w:rsid w:val="69B31FE7"/>
    <w:rsid w:val="69B82004"/>
    <w:rsid w:val="69BF2D66"/>
    <w:rsid w:val="69C029FB"/>
    <w:rsid w:val="69C2222A"/>
    <w:rsid w:val="69C40C04"/>
    <w:rsid w:val="69C45FA2"/>
    <w:rsid w:val="69C72B58"/>
    <w:rsid w:val="69C916A5"/>
    <w:rsid w:val="69C97A5C"/>
    <w:rsid w:val="69D544F2"/>
    <w:rsid w:val="69DB1359"/>
    <w:rsid w:val="69DD324F"/>
    <w:rsid w:val="69E14DA6"/>
    <w:rsid w:val="69E27581"/>
    <w:rsid w:val="69E5416A"/>
    <w:rsid w:val="69E55F18"/>
    <w:rsid w:val="69EA352F"/>
    <w:rsid w:val="69EE1271"/>
    <w:rsid w:val="69F06D97"/>
    <w:rsid w:val="69F75461"/>
    <w:rsid w:val="69F83E9D"/>
    <w:rsid w:val="69F85FA8"/>
    <w:rsid w:val="69F9313F"/>
    <w:rsid w:val="69F97AAE"/>
    <w:rsid w:val="69FA7C16"/>
    <w:rsid w:val="6A061712"/>
    <w:rsid w:val="6A0C16F7"/>
    <w:rsid w:val="6A152CA1"/>
    <w:rsid w:val="6A164324"/>
    <w:rsid w:val="6A1862EE"/>
    <w:rsid w:val="6A1D56B2"/>
    <w:rsid w:val="6A225E74"/>
    <w:rsid w:val="6A2353BE"/>
    <w:rsid w:val="6A2511B5"/>
    <w:rsid w:val="6A2531A4"/>
    <w:rsid w:val="6A2A37E1"/>
    <w:rsid w:val="6A31115D"/>
    <w:rsid w:val="6A342EDC"/>
    <w:rsid w:val="6A350C4E"/>
    <w:rsid w:val="6A366774"/>
    <w:rsid w:val="6A3F7D1E"/>
    <w:rsid w:val="6A4175F2"/>
    <w:rsid w:val="6A445335"/>
    <w:rsid w:val="6A4B66C3"/>
    <w:rsid w:val="6A4E0110"/>
    <w:rsid w:val="6A4E628A"/>
    <w:rsid w:val="6A510566"/>
    <w:rsid w:val="6A55309E"/>
    <w:rsid w:val="6A575068"/>
    <w:rsid w:val="6A5A4B58"/>
    <w:rsid w:val="6A5F4A42"/>
    <w:rsid w:val="6A5F4DAD"/>
    <w:rsid w:val="6A6136E2"/>
    <w:rsid w:val="6A6432E1"/>
    <w:rsid w:val="6A681023"/>
    <w:rsid w:val="6A687780"/>
    <w:rsid w:val="6A6D6639"/>
    <w:rsid w:val="6A6E23B2"/>
    <w:rsid w:val="6A6E2FA4"/>
    <w:rsid w:val="6A736823"/>
    <w:rsid w:val="6A742635"/>
    <w:rsid w:val="6A7C062B"/>
    <w:rsid w:val="6A7E25F5"/>
    <w:rsid w:val="6A7F636D"/>
    <w:rsid w:val="6A8100F2"/>
    <w:rsid w:val="6A835E5D"/>
    <w:rsid w:val="6A855EE0"/>
    <w:rsid w:val="6A876FCF"/>
    <w:rsid w:val="6A890F99"/>
    <w:rsid w:val="6A8A71EB"/>
    <w:rsid w:val="6A927E4E"/>
    <w:rsid w:val="6A94006A"/>
    <w:rsid w:val="6A9408C5"/>
    <w:rsid w:val="6A941E18"/>
    <w:rsid w:val="6A9737B1"/>
    <w:rsid w:val="6A9E130D"/>
    <w:rsid w:val="6A9E4A45"/>
    <w:rsid w:val="6AA162E3"/>
    <w:rsid w:val="6AA656A7"/>
    <w:rsid w:val="6AA7414C"/>
    <w:rsid w:val="6AA85E77"/>
    <w:rsid w:val="6AAD2EDA"/>
    <w:rsid w:val="6AAD6A36"/>
    <w:rsid w:val="6AAF0A00"/>
    <w:rsid w:val="6AB230F0"/>
    <w:rsid w:val="6AB57FE0"/>
    <w:rsid w:val="6ABA1153"/>
    <w:rsid w:val="6ABE50E7"/>
    <w:rsid w:val="6AC50223"/>
    <w:rsid w:val="6AC975E8"/>
    <w:rsid w:val="6AC97979"/>
    <w:rsid w:val="6AD14E1A"/>
    <w:rsid w:val="6AD541DF"/>
    <w:rsid w:val="6ADA35A3"/>
    <w:rsid w:val="6ADE7537"/>
    <w:rsid w:val="6ADE7F06"/>
    <w:rsid w:val="6AE037DE"/>
    <w:rsid w:val="6AE27E2E"/>
    <w:rsid w:val="6AE6604A"/>
    <w:rsid w:val="6AE81BC8"/>
    <w:rsid w:val="6AE83F12"/>
    <w:rsid w:val="6AEA1A38"/>
    <w:rsid w:val="6AEA5EDC"/>
    <w:rsid w:val="6AEC1C54"/>
    <w:rsid w:val="6AF208ED"/>
    <w:rsid w:val="6AF418AC"/>
    <w:rsid w:val="6AF9611F"/>
    <w:rsid w:val="6AFA2377"/>
    <w:rsid w:val="6AFA41F9"/>
    <w:rsid w:val="6AFB1E97"/>
    <w:rsid w:val="6AFB5D68"/>
    <w:rsid w:val="6AFD409F"/>
    <w:rsid w:val="6AFE1987"/>
    <w:rsid w:val="6B001234"/>
    <w:rsid w:val="6B030D4C"/>
    <w:rsid w:val="6B056872"/>
    <w:rsid w:val="6B064067"/>
    <w:rsid w:val="6B0869DC"/>
    <w:rsid w:val="6B0A032C"/>
    <w:rsid w:val="6B0B66A3"/>
    <w:rsid w:val="6B0B7C00"/>
    <w:rsid w:val="6B0C5E52"/>
    <w:rsid w:val="6B0E7DE3"/>
    <w:rsid w:val="6B112104"/>
    <w:rsid w:val="6B113469"/>
    <w:rsid w:val="6B122D3D"/>
    <w:rsid w:val="6B1271E1"/>
    <w:rsid w:val="6B1362C5"/>
    <w:rsid w:val="6B19231D"/>
    <w:rsid w:val="6B1B5180"/>
    <w:rsid w:val="6B1B6095"/>
    <w:rsid w:val="6B1E16E2"/>
    <w:rsid w:val="6B22102F"/>
    <w:rsid w:val="6B2313EE"/>
    <w:rsid w:val="6B264A3A"/>
    <w:rsid w:val="6B2667E8"/>
    <w:rsid w:val="6B267C25"/>
    <w:rsid w:val="6B272C8C"/>
    <w:rsid w:val="6B286B57"/>
    <w:rsid w:val="6B2B3DFF"/>
    <w:rsid w:val="6B301415"/>
    <w:rsid w:val="6B32518D"/>
    <w:rsid w:val="6B390171"/>
    <w:rsid w:val="6B403D4E"/>
    <w:rsid w:val="6B43739A"/>
    <w:rsid w:val="6B486645"/>
    <w:rsid w:val="6B491A01"/>
    <w:rsid w:val="6B4A24D7"/>
    <w:rsid w:val="6B4C44A1"/>
    <w:rsid w:val="6B4D0219"/>
    <w:rsid w:val="6B511AB7"/>
    <w:rsid w:val="6B516267"/>
    <w:rsid w:val="6B575B36"/>
    <w:rsid w:val="6B594E10"/>
    <w:rsid w:val="6B5A3D3B"/>
    <w:rsid w:val="6B5D66AE"/>
    <w:rsid w:val="6B601CFA"/>
    <w:rsid w:val="6B625A72"/>
    <w:rsid w:val="6B65611A"/>
    <w:rsid w:val="6B680BAF"/>
    <w:rsid w:val="6B6C069F"/>
    <w:rsid w:val="6B6C4B43"/>
    <w:rsid w:val="6B6C63F9"/>
    <w:rsid w:val="6B6F4633"/>
    <w:rsid w:val="6B7439F8"/>
    <w:rsid w:val="6B755662"/>
    <w:rsid w:val="6B767770"/>
    <w:rsid w:val="6B7E2366"/>
    <w:rsid w:val="6B81470D"/>
    <w:rsid w:val="6B8237AB"/>
    <w:rsid w:val="6B826114"/>
    <w:rsid w:val="6B8312D6"/>
    <w:rsid w:val="6B87197D"/>
    <w:rsid w:val="6B896C51"/>
    <w:rsid w:val="6B8C2AEF"/>
    <w:rsid w:val="6B8F438D"/>
    <w:rsid w:val="6B921D30"/>
    <w:rsid w:val="6B923E7E"/>
    <w:rsid w:val="6B9D33DE"/>
    <w:rsid w:val="6B9E3B3E"/>
    <w:rsid w:val="6BA1550F"/>
    <w:rsid w:val="6BA53BB1"/>
    <w:rsid w:val="6BAD26B6"/>
    <w:rsid w:val="6BAE6F0A"/>
    <w:rsid w:val="6BB362CE"/>
    <w:rsid w:val="6BB40298"/>
    <w:rsid w:val="6BB43DF4"/>
    <w:rsid w:val="6BB81B36"/>
    <w:rsid w:val="6BBB571F"/>
    <w:rsid w:val="6BBD3F31"/>
    <w:rsid w:val="6BC02799"/>
    <w:rsid w:val="6BCB6A79"/>
    <w:rsid w:val="6BCB7ABB"/>
    <w:rsid w:val="6BCC55E2"/>
    <w:rsid w:val="6BCE4EB6"/>
    <w:rsid w:val="6BD03EBE"/>
    <w:rsid w:val="6BD149A6"/>
    <w:rsid w:val="6BD3071E"/>
    <w:rsid w:val="6BD36970"/>
    <w:rsid w:val="6BD6020E"/>
    <w:rsid w:val="6BD779E9"/>
    <w:rsid w:val="6BD82A45"/>
    <w:rsid w:val="6BD9385B"/>
    <w:rsid w:val="6BDB75D3"/>
    <w:rsid w:val="6BDD159D"/>
    <w:rsid w:val="6BE02E3B"/>
    <w:rsid w:val="6BE10682"/>
    <w:rsid w:val="6BE50F24"/>
    <w:rsid w:val="6BE566A3"/>
    <w:rsid w:val="6BE90F13"/>
    <w:rsid w:val="6BEC7A32"/>
    <w:rsid w:val="6BEE37AA"/>
    <w:rsid w:val="6BF07522"/>
    <w:rsid w:val="6BF123BD"/>
    <w:rsid w:val="6BF520B7"/>
    <w:rsid w:val="6BF568E6"/>
    <w:rsid w:val="6BF608B1"/>
    <w:rsid w:val="6C044D7B"/>
    <w:rsid w:val="6C0905E4"/>
    <w:rsid w:val="6C1148DF"/>
    <w:rsid w:val="6C141D47"/>
    <w:rsid w:val="6C175878"/>
    <w:rsid w:val="6C215EC8"/>
    <w:rsid w:val="6C2E004A"/>
    <w:rsid w:val="6C2E3BA6"/>
    <w:rsid w:val="6C300DB3"/>
    <w:rsid w:val="6C315445"/>
    <w:rsid w:val="6C3171FA"/>
    <w:rsid w:val="6C3F1BB5"/>
    <w:rsid w:val="6C417D7E"/>
    <w:rsid w:val="6C44161C"/>
    <w:rsid w:val="6C4433CA"/>
    <w:rsid w:val="6C467142"/>
    <w:rsid w:val="6C472EBA"/>
    <w:rsid w:val="6C482A24"/>
    <w:rsid w:val="6C4D6722"/>
    <w:rsid w:val="6C517895"/>
    <w:rsid w:val="6C546E14"/>
    <w:rsid w:val="6C554D42"/>
    <w:rsid w:val="6C596D7E"/>
    <w:rsid w:val="6C5C0714"/>
    <w:rsid w:val="6C5D623A"/>
    <w:rsid w:val="6C5E257D"/>
    <w:rsid w:val="6C6067E2"/>
    <w:rsid w:val="6C621AA2"/>
    <w:rsid w:val="6C635F46"/>
    <w:rsid w:val="6C6677E4"/>
    <w:rsid w:val="6C6C46CF"/>
    <w:rsid w:val="6C6F2BDD"/>
    <w:rsid w:val="6C731F01"/>
    <w:rsid w:val="6C735A5D"/>
    <w:rsid w:val="6C80411E"/>
    <w:rsid w:val="6C8251EB"/>
    <w:rsid w:val="6C830396"/>
    <w:rsid w:val="6C846341"/>
    <w:rsid w:val="6C847C6A"/>
    <w:rsid w:val="6C871509"/>
    <w:rsid w:val="6C8859AD"/>
    <w:rsid w:val="6C8934D3"/>
    <w:rsid w:val="6C8E0AE9"/>
    <w:rsid w:val="6C8E0D45"/>
    <w:rsid w:val="6C8E12E9"/>
    <w:rsid w:val="6C9D2ADA"/>
    <w:rsid w:val="6C9F26B1"/>
    <w:rsid w:val="6C9F4AA4"/>
    <w:rsid w:val="6CA05869"/>
    <w:rsid w:val="6CA33B4D"/>
    <w:rsid w:val="6CA64085"/>
    <w:rsid w:val="6CA65E33"/>
    <w:rsid w:val="6CAB169B"/>
    <w:rsid w:val="6CAE6A95"/>
    <w:rsid w:val="6CB5251A"/>
    <w:rsid w:val="6CB54B0E"/>
    <w:rsid w:val="6CB71DEE"/>
    <w:rsid w:val="6CB87914"/>
    <w:rsid w:val="6CB94F80"/>
    <w:rsid w:val="6CBF6EF4"/>
    <w:rsid w:val="6CC04E53"/>
    <w:rsid w:val="6CC25E95"/>
    <w:rsid w:val="6CC462B9"/>
    <w:rsid w:val="6CC87B57"/>
    <w:rsid w:val="6CCB3AEB"/>
    <w:rsid w:val="6CCB7647"/>
    <w:rsid w:val="6CCF1CAB"/>
    <w:rsid w:val="6CD0141F"/>
    <w:rsid w:val="6CD15DD8"/>
    <w:rsid w:val="6CD24E7A"/>
    <w:rsid w:val="6CD419AC"/>
    <w:rsid w:val="6CDA3D2E"/>
    <w:rsid w:val="6CDC3AFC"/>
    <w:rsid w:val="6CDF1345"/>
    <w:rsid w:val="6CDF30F3"/>
    <w:rsid w:val="6CE150BD"/>
    <w:rsid w:val="6CE801F9"/>
    <w:rsid w:val="6CE95D1F"/>
    <w:rsid w:val="6CED41BB"/>
    <w:rsid w:val="6CEE4F56"/>
    <w:rsid w:val="6CEF2A2C"/>
    <w:rsid w:val="6CF21078"/>
    <w:rsid w:val="6CF31062"/>
    <w:rsid w:val="6CF7668E"/>
    <w:rsid w:val="6CFA1442"/>
    <w:rsid w:val="6CFA5B92"/>
    <w:rsid w:val="6CFB04E0"/>
    <w:rsid w:val="6CFB4D33"/>
    <w:rsid w:val="6CFC0175"/>
    <w:rsid w:val="6CFD6CF2"/>
    <w:rsid w:val="6CFD7212"/>
    <w:rsid w:val="6CFE7A1D"/>
    <w:rsid w:val="6D064A17"/>
    <w:rsid w:val="6D064B23"/>
    <w:rsid w:val="6D08089B"/>
    <w:rsid w:val="6D0E5786"/>
    <w:rsid w:val="6D0F1C2A"/>
    <w:rsid w:val="6D11628A"/>
    <w:rsid w:val="6D132616"/>
    <w:rsid w:val="6D170ADE"/>
    <w:rsid w:val="6D19632A"/>
    <w:rsid w:val="6D196605"/>
    <w:rsid w:val="6D1E363F"/>
    <w:rsid w:val="6D2154B9"/>
    <w:rsid w:val="6D275C66"/>
    <w:rsid w:val="6D2A25C0"/>
    <w:rsid w:val="6D2A6A64"/>
    <w:rsid w:val="6D317DF2"/>
    <w:rsid w:val="6D3678A7"/>
    <w:rsid w:val="6D390A55"/>
    <w:rsid w:val="6D3B47CD"/>
    <w:rsid w:val="6D3C753D"/>
    <w:rsid w:val="6D422099"/>
    <w:rsid w:val="6D4318D3"/>
    <w:rsid w:val="6D443B19"/>
    <w:rsid w:val="6D45284C"/>
    <w:rsid w:val="6D48513C"/>
    <w:rsid w:val="6D4B15EF"/>
    <w:rsid w:val="6D4C69DA"/>
    <w:rsid w:val="6D4F2820"/>
    <w:rsid w:val="6D505D9E"/>
    <w:rsid w:val="6D527259"/>
    <w:rsid w:val="6D527D69"/>
    <w:rsid w:val="6D543AE1"/>
    <w:rsid w:val="6D54588F"/>
    <w:rsid w:val="6D561A4E"/>
    <w:rsid w:val="6D5B6C1D"/>
    <w:rsid w:val="6D5E2269"/>
    <w:rsid w:val="6D5F7BD0"/>
    <w:rsid w:val="6D631F76"/>
    <w:rsid w:val="6D657A9C"/>
    <w:rsid w:val="6D673814"/>
    <w:rsid w:val="6D6B4986"/>
    <w:rsid w:val="6D6C2BD8"/>
    <w:rsid w:val="6D6E405D"/>
    <w:rsid w:val="6D6F4477"/>
    <w:rsid w:val="6D785A21"/>
    <w:rsid w:val="6D793547"/>
    <w:rsid w:val="6D7B7659"/>
    <w:rsid w:val="6D7C6B93"/>
    <w:rsid w:val="6D7D1F79"/>
    <w:rsid w:val="6D7D6164"/>
    <w:rsid w:val="6D7E0B5E"/>
    <w:rsid w:val="6D7E660E"/>
    <w:rsid w:val="6D807B87"/>
    <w:rsid w:val="6D82064E"/>
    <w:rsid w:val="6D832679"/>
    <w:rsid w:val="6D852005"/>
    <w:rsid w:val="6D8A305E"/>
    <w:rsid w:val="6D8A7502"/>
    <w:rsid w:val="6D91263F"/>
    <w:rsid w:val="6D9739CD"/>
    <w:rsid w:val="6DA00AD4"/>
    <w:rsid w:val="6DAF51BB"/>
    <w:rsid w:val="6DB065C4"/>
    <w:rsid w:val="6DB1683D"/>
    <w:rsid w:val="6DB24BA6"/>
    <w:rsid w:val="6DB4632D"/>
    <w:rsid w:val="6DB606E6"/>
    <w:rsid w:val="6DB66549"/>
    <w:rsid w:val="6DBC4466"/>
    <w:rsid w:val="6DC46A1E"/>
    <w:rsid w:val="6DC704D0"/>
    <w:rsid w:val="6DC742B3"/>
    <w:rsid w:val="6DC77E4F"/>
    <w:rsid w:val="6DC9002B"/>
    <w:rsid w:val="6DC9627D"/>
    <w:rsid w:val="6DCA3DA3"/>
    <w:rsid w:val="6DCC7B1B"/>
    <w:rsid w:val="6DCF4F15"/>
    <w:rsid w:val="6DD135E5"/>
    <w:rsid w:val="6DD442E6"/>
    <w:rsid w:val="6DD53C0F"/>
    <w:rsid w:val="6DD662A4"/>
    <w:rsid w:val="6DD76259"/>
    <w:rsid w:val="6DD864C0"/>
    <w:rsid w:val="6DDC6986"/>
    <w:rsid w:val="6DDC75D1"/>
    <w:rsid w:val="6DDF5682"/>
    <w:rsid w:val="6DE25953"/>
    <w:rsid w:val="6DE76703"/>
    <w:rsid w:val="6DE83416"/>
    <w:rsid w:val="6DEA61F3"/>
    <w:rsid w:val="6DEB6312"/>
    <w:rsid w:val="6DEE7A91"/>
    <w:rsid w:val="6DEF3809"/>
    <w:rsid w:val="6DF45878"/>
    <w:rsid w:val="6DF901E4"/>
    <w:rsid w:val="6DFB21AE"/>
    <w:rsid w:val="6DFE3E4C"/>
    <w:rsid w:val="6DFE57FA"/>
    <w:rsid w:val="6E0077C5"/>
    <w:rsid w:val="6E011BB8"/>
    <w:rsid w:val="6E041063"/>
    <w:rsid w:val="6E067CC8"/>
    <w:rsid w:val="6E070B53"/>
    <w:rsid w:val="6E0B45CF"/>
    <w:rsid w:val="6E0E5A3E"/>
    <w:rsid w:val="6E0F7A08"/>
    <w:rsid w:val="6E103E75"/>
    <w:rsid w:val="6E1135E9"/>
    <w:rsid w:val="6E113780"/>
    <w:rsid w:val="6E117C17"/>
    <w:rsid w:val="6E13574A"/>
    <w:rsid w:val="6E14501E"/>
    <w:rsid w:val="6E153270"/>
    <w:rsid w:val="6E160D96"/>
    <w:rsid w:val="6E194DA7"/>
    <w:rsid w:val="6E1B015A"/>
    <w:rsid w:val="6E1F40EF"/>
    <w:rsid w:val="6E26667B"/>
    <w:rsid w:val="6E290AC9"/>
    <w:rsid w:val="6E292877"/>
    <w:rsid w:val="6E2A36C5"/>
    <w:rsid w:val="6E315BD0"/>
    <w:rsid w:val="6E34121C"/>
    <w:rsid w:val="6E396833"/>
    <w:rsid w:val="6E4173DF"/>
    <w:rsid w:val="6E444A22"/>
    <w:rsid w:val="6E4476B1"/>
    <w:rsid w:val="6E494CC8"/>
    <w:rsid w:val="6E4C47B8"/>
    <w:rsid w:val="6E573888"/>
    <w:rsid w:val="6E5B2C4D"/>
    <w:rsid w:val="6E612A2C"/>
    <w:rsid w:val="6E623CFD"/>
    <w:rsid w:val="6E657628"/>
    <w:rsid w:val="6E6935BC"/>
    <w:rsid w:val="6E6B7334"/>
    <w:rsid w:val="6E6C4E5A"/>
    <w:rsid w:val="6E6D3425"/>
    <w:rsid w:val="6E70494A"/>
    <w:rsid w:val="6E712470"/>
    <w:rsid w:val="6E731D44"/>
    <w:rsid w:val="6E755736"/>
    <w:rsid w:val="6E7C2925"/>
    <w:rsid w:val="6E7C509D"/>
    <w:rsid w:val="6E7F693B"/>
    <w:rsid w:val="6E8126B3"/>
    <w:rsid w:val="6E82467D"/>
    <w:rsid w:val="6E84731C"/>
    <w:rsid w:val="6E850527"/>
    <w:rsid w:val="6E9028F6"/>
    <w:rsid w:val="6E970129"/>
    <w:rsid w:val="6E9817AB"/>
    <w:rsid w:val="6EA03C18"/>
    <w:rsid w:val="6EA168B2"/>
    <w:rsid w:val="6EA6211A"/>
    <w:rsid w:val="6EAF6748"/>
    <w:rsid w:val="6EB14973"/>
    <w:rsid w:val="6EB26D77"/>
    <w:rsid w:val="6EB74327"/>
    <w:rsid w:val="6EBA3E17"/>
    <w:rsid w:val="6EBC7B8F"/>
    <w:rsid w:val="6EBD10DA"/>
    <w:rsid w:val="6EBE06B8"/>
    <w:rsid w:val="6EBF7ACE"/>
    <w:rsid w:val="6EC82E4D"/>
    <w:rsid w:val="6EC8494C"/>
    <w:rsid w:val="6EC922AC"/>
    <w:rsid w:val="6ECB00EB"/>
    <w:rsid w:val="6ECB1B80"/>
    <w:rsid w:val="6ECB7DD2"/>
    <w:rsid w:val="6ECE14D2"/>
    <w:rsid w:val="6ECE1671"/>
    <w:rsid w:val="6ECE1688"/>
    <w:rsid w:val="6ECE341F"/>
    <w:rsid w:val="6ECE58E9"/>
    <w:rsid w:val="6ED331B0"/>
    <w:rsid w:val="6ED4144E"/>
    <w:rsid w:val="6ED70525"/>
    <w:rsid w:val="6ED8604B"/>
    <w:rsid w:val="6EDA6400"/>
    <w:rsid w:val="6EDC0332"/>
    <w:rsid w:val="6EE1045C"/>
    <w:rsid w:val="6EE13B87"/>
    <w:rsid w:val="6EE36ECA"/>
    <w:rsid w:val="6EEA46FD"/>
    <w:rsid w:val="6EED1237"/>
    <w:rsid w:val="6EEF5F38"/>
    <w:rsid w:val="6EF64E65"/>
    <w:rsid w:val="6EF74724"/>
    <w:rsid w:val="6EF820EC"/>
    <w:rsid w:val="6EFA06B8"/>
    <w:rsid w:val="6EFA2466"/>
    <w:rsid w:val="6F06705D"/>
    <w:rsid w:val="6F095D9E"/>
    <w:rsid w:val="6F0B6421"/>
    <w:rsid w:val="6F103A37"/>
    <w:rsid w:val="6F106A13"/>
    <w:rsid w:val="6F1277AF"/>
    <w:rsid w:val="6F161201"/>
    <w:rsid w:val="6F1A48B6"/>
    <w:rsid w:val="6F1B2B08"/>
    <w:rsid w:val="6F21311C"/>
    <w:rsid w:val="6F223CBA"/>
    <w:rsid w:val="6F235519"/>
    <w:rsid w:val="6F26325B"/>
    <w:rsid w:val="6F2868E4"/>
    <w:rsid w:val="6F2A6A6D"/>
    <w:rsid w:val="6F2A7471"/>
    <w:rsid w:val="6F300450"/>
    <w:rsid w:val="6F3516F0"/>
    <w:rsid w:val="6F375468"/>
    <w:rsid w:val="6F3E584F"/>
    <w:rsid w:val="6F40256E"/>
    <w:rsid w:val="6F4153BB"/>
    <w:rsid w:val="6F4162E7"/>
    <w:rsid w:val="6F4230D3"/>
    <w:rsid w:val="6F435BBB"/>
    <w:rsid w:val="6F481423"/>
    <w:rsid w:val="6F4D07E7"/>
    <w:rsid w:val="6F4D4C8B"/>
    <w:rsid w:val="6F5107CD"/>
    <w:rsid w:val="6F547DC8"/>
    <w:rsid w:val="6F5953DE"/>
    <w:rsid w:val="6F5C6481"/>
    <w:rsid w:val="6F5E26E0"/>
    <w:rsid w:val="6F6124E5"/>
    <w:rsid w:val="6F636F89"/>
    <w:rsid w:val="6F655B31"/>
    <w:rsid w:val="6F67111E"/>
    <w:rsid w:val="6F673597"/>
    <w:rsid w:val="6F6D70DC"/>
    <w:rsid w:val="6F71097A"/>
    <w:rsid w:val="6F765F90"/>
    <w:rsid w:val="6F793783"/>
    <w:rsid w:val="6F7C731F"/>
    <w:rsid w:val="6F7D6FD7"/>
    <w:rsid w:val="6F7E3097"/>
    <w:rsid w:val="6F7E4E45"/>
    <w:rsid w:val="6F83245B"/>
    <w:rsid w:val="6F834209"/>
    <w:rsid w:val="6F846D12"/>
    <w:rsid w:val="6F891CC2"/>
    <w:rsid w:val="6F8A190C"/>
    <w:rsid w:val="6F8B0168"/>
    <w:rsid w:val="6F8B7571"/>
    <w:rsid w:val="6F8C57B4"/>
    <w:rsid w:val="6F912DCA"/>
    <w:rsid w:val="6F914B78"/>
    <w:rsid w:val="6F963F3C"/>
    <w:rsid w:val="6F9666F7"/>
    <w:rsid w:val="6F9C52CB"/>
    <w:rsid w:val="6F9D176F"/>
    <w:rsid w:val="6F9E4E89"/>
    <w:rsid w:val="6F9F1ECB"/>
    <w:rsid w:val="6FA53D5D"/>
    <w:rsid w:val="6FA56875"/>
    <w:rsid w:val="6FA752D8"/>
    <w:rsid w:val="6FA75E74"/>
    <w:rsid w:val="6FA9645A"/>
    <w:rsid w:val="6FAC3760"/>
    <w:rsid w:val="6FAF4FFE"/>
    <w:rsid w:val="6FB25734"/>
    <w:rsid w:val="6FB3610E"/>
    <w:rsid w:val="6FB46AB9"/>
    <w:rsid w:val="6FB62831"/>
    <w:rsid w:val="6FB645DF"/>
    <w:rsid w:val="6FB72E5F"/>
    <w:rsid w:val="6FB7647C"/>
    <w:rsid w:val="6FC34F4E"/>
    <w:rsid w:val="6FC82564"/>
    <w:rsid w:val="6FCB6D1A"/>
    <w:rsid w:val="6FCF56A0"/>
    <w:rsid w:val="6FD131C7"/>
    <w:rsid w:val="6FD1766A"/>
    <w:rsid w:val="6FD26F3F"/>
    <w:rsid w:val="6FD430CB"/>
    <w:rsid w:val="6FD44A65"/>
    <w:rsid w:val="6FD76303"/>
    <w:rsid w:val="6FD9207B"/>
    <w:rsid w:val="6FD9651F"/>
    <w:rsid w:val="6FDE0FA7"/>
    <w:rsid w:val="6FE27182"/>
    <w:rsid w:val="6FF13016"/>
    <w:rsid w:val="6FF17ED0"/>
    <w:rsid w:val="6FF4607D"/>
    <w:rsid w:val="6FF46241"/>
    <w:rsid w:val="6FFD3FBC"/>
    <w:rsid w:val="6FFE7D34"/>
    <w:rsid w:val="7000585A"/>
    <w:rsid w:val="70027824"/>
    <w:rsid w:val="70042B46"/>
    <w:rsid w:val="70045F7C"/>
    <w:rsid w:val="70095D9A"/>
    <w:rsid w:val="700A66D9"/>
    <w:rsid w:val="700A6939"/>
    <w:rsid w:val="700F0193"/>
    <w:rsid w:val="700F277E"/>
    <w:rsid w:val="70144E63"/>
    <w:rsid w:val="701C6F91"/>
    <w:rsid w:val="7027728A"/>
    <w:rsid w:val="70292A3B"/>
    <w:rsid w:val="70293003"/>
    <w:rsid w:val="702C72CB"/>
    <w:rsid w:val="70333E81"/>
    <w:rsid w:val="70355FEC"/>
    <w:rsid w:val="7036127C"/>
    <w:rsid w:val="703D085C"/>
    <w:rsid w:val="7040034C"/>
    <w:rsid w:val="70455963"/>
    <w:rsid w:val="704C4F43"/>
    <w:rsid w:val="704F058F"/>
    <w:rsid w:val="70512559"/>
    <w:rsid w:val="705443C5"/>
    <w:rsid w:val="705B0CE2"/>
    <w:rsid w:val="705C1183"/>
    <w:rsid w:val="705C33D8"/>
    <w:rsid w:val="705F07D2"/>
    <w:rsid w:val="705F423E"/>
    <w:rsid w:val="706109EE"/>
    <w:rsid w:val="706933FF"/>
    <w:rsid w:val="706C2EEF"/>
    <w:rsid w:val="70733469"/>
    <w:rsid w:val="70735EBF"/>
    <w:rsid w:val="7075449A"/>
    <w:rsid w:val="70787AE6"/>
    <w:rsid w:val="707A1AB0"/>
    <w:rsid w:val="707A385E"/>
    <w:rsid w:val="707B3132"/>
    <w:rsid w:val="707D6A8A"/>
    <w:rsid w:val="707E401E"/>
    <w:rsid w:val="70822713"/>
    <w:rsid w:val="70827584"/>
    <w:rsid w:val="70891CF3"/>
    <w:rsid w:val="70893D25"/>
    <w:rsid w:val="708A15C7"/>
    <w:rsid w:val="70901563"/>
    <w:rsid w:val="70934920"/>
    <w:rsid w:val="70944183"/>
    <w:rsid w:val="70A26911"/>
    <w:rsid w:val="70A321D7"/>
    <w:rsid w:val="70A42689"/>
    <w:rsid w:val="70A703CB"/>
    <w:rsid w:val="70A97C9F"/>
    <w:rsid w:val="70AB3A18"/>
    <w:rsid w:val="70AD6ED1"/>
    <w:rsid w:val="70AE3508"/>
    <w:rsid w:val="70AE52B6"/>
    <w:rsid w:val="70B12FF8"/>
    <w:rsid w:val="70B1597A"/>
    <w:rsid w:val="70B328CC"/>
    <w:rsid w:val="70B52AE8"/>
    <w:rsid w:val="70B97A34"/>
    <w:rsid w:val="70BC2A8C"/>
    <w:rsid w:val="70BC3E77"/>
    <w:rsid w:val="70BC644D"/>
    <w:rsid w:val="70BD7BEF"/>
    <w:rsid w:val="70BF74C3"/>
    <w:rsid w:val="70C0289D"/>
    <w:rsid w:val="70C25205"/>
    <w:rsid w:val="70C42D2B"/>
    <w:rsid w:val="70C60851"/>
    <w:rsid w:val="70C90342"/>
    <w:rsid w:val="70C932BA"/>
    <w:rsid w:val="70CB40BA"/>
    <w:rsid w:val="70CE3BAA"/>
    <w:rsid w:val="70CE7706"/>
    <w:rsid w:val="70D016D0"/>
    <w:rsid w:val="70D6480D"/>
    <w:rsid w:val="70D70CB1"/>
    <w:rsid w:val="70D721ED"/>
    <w:rsid w:val="70D770AA"/>
    <w:rsid w:val="70D864B3"/>
    <w:rsid w:val="70D867D7"/>
    <w:rsid w:val="70D958BC"/>
    <w:rsid w:val="70E64A50"/>
    <w:rsid w:val="70EC3F3B"/>
    <w:rsid w:val="70ED2282"/>
    <w:rsid w:val="70F01D72"/>
    <w:rsid w:val="70F02CDF"/>
    <w:rsid w:val="70F03B20"/>
    <w:rsid w:val="70F21646"/>
    <w:rsid w:val="70F43EAF"/>
    <w:rsid w:val="70F51137"/>
    <w:rsid w:val="70FE623D"/>
    <w:rsid w:val="70FF3D63"/>
    <w:rsid w:val="7101188A"/>
    <w:rsid w:val="71017ADB"/>
    <w:rsid w:val="7104058D"/>
    <w:rsid w:val="71051E53"/>
    <w:rsid w:val="71072C18"/>
    <w:rsid w:val="71092E34"/>
    <w:rsid w:val="710B2708"/>
    <w:rsid w:val="710B44B6"/>
    <w:rsid w:val="710D46D2"/>
    <w:rsid w:val="71136DEE"/>
    <w:rsid w:val="711463AD"/>
    <w:rsid w:val="711517D9"/>
    <w:rsid w:val="711A6DEF"/>
    <w:rsid w:val="711E5CBC"/>
    <w:rsid w:val="712026E3"/>
    <w:rsid w:val="71257ACF"/>
    <w:rsid w:val="71267542"/>
    <w:rsid w:val="712B2CEC"/>
    <w:rsid w:val="712B2DAA"/>
    <w:rsid w:val="712F4635"/>
    <w:rsid w:val="712F47EA"/>
    <w:rsid w:val="71300C75"/>
    <w:rsid w:val="713175D4"/>
    <w:rsid w:val="71327C95"/>
    <w:rsid w:val="71333A0D"/>
    <w:rsid w:val="71347EB1"/>
    <w:rsid w:val="713734FD"/>
    <w:rsid w:val="713D74E8"/>
    <w:rsid w:val="713E63D0"/>
    <w:rsid w:val="713F0604"/>
    <w:rsid w:val="713F52B8"/>
    <w:rsid w:val="713F5CFA"/>
    <w:rsid w:val="714300F4"/>
    <w:rsid w:val="71434477"/>
    <w:rsid w:val="71453E6C"/>
    <w:rsid w:val="7145465B"/>
    <w:rsid w:val="71494FDF"/>
    <w:rsid w:val="714B0D57"/>
    <w:rsid w:val="714E0847"/>
    <w:rsid w:val="71500A63"/>
    <w:rsid w:val="715045BF"/>
    <w:rsid w:val="71520337"/>
    <w:rsid w:val="7153093F"/>
    <w:rsid w:val="71542301"/>
    <w:rsid w:val="71594B6E"/>
    <w:rsid w:val="71594D33"/>
    <w:rsid w:val="715C25DD"/>
    <w:rsid w:val="715D1B9C"/>
    <w:rsid w:val="715E0A8A"/>
    <w:rsid w:val="715F33B6"/>
    <w:rsid w:val="716024DB"/>
    <w:rsid w:val="71630796"/>
    <w:rsid w:val="716562BC"/>
    <w:rsid w:val="716606EA"/>
    <w:rsid w:val="71687B5B"/>
    <w:rsid w:val="716B764B"/>
    <w:rsid w:val="716F0EE9"/>
    <w:rsid w:val="716F6741"/>
    <w:rsid w:val="71724535"/>
    <w:rsid w:val="71773FF0"/>
    <w:rsid w:val="71797903"/>
    <w:rsid w:val="717C6C3D"/>
    <w:rsid w:val="718030F6"/>
    <w:rsid w:val="71804EA4"/>
    <w:rsid w:val="71810C1C"/>
    <w:rsid w:val="71834D48"/>
    <w:rsid w:val="7185070D"/>
    <w:rsid w:val="71863563"/>
    <w:rsid w:val="71877958"/>
    <w:rsid w:val="718D75C1"/>
    <w:rsid w:val="7190214B"/>
    <w:rsid w:val="719170B1"/>
    <w:rsid w:val="71950224"/>
    <w:rsid w:val="71970440"/>
    <w:rsid w:val="71997D14"/>
    <w:rsid w:val="719C15B2"/>
    <w:rsid w:val="719D6674"/>
    <w:rsid w:val="71A14E1B"/>
    <w:rsid w:val="71A16BC9"/>
    <w:rsid w:val="71A20079"/>
    <w:rsid w:val="71A342A0"/>
    <w:rsid w:val="71A55281"/>
    <w:rsid w:val="71A803D2"/>
    <w:rsid w:val="71A87F57"/>
    <w:rsid w:val="71AB7A47"/>
    <w:rsid w:val="71B12103"/>
    <w:rsid w:val="71B132B0"/>
    <w:rsid w:val="71B20DD6"/>
    <w:rsid w:val="71B21D98"/>
    <w:rsid w:val="71B3710A"/>
    <w:rsid w:val="71B763EC"/>
    <w:rsid w:val="71B82B42"/>
    <w:rsid w:val="71BB2420"/>
    <w:rsid w:val="71BC5C48"/>
    <w:rsid w:val="71BE59CD"/>
    <w:rsid w:val="71C32FE3"/>
    <w:rsid w:val="71C823A7"/>
    <w:rsid w:val="71CD094B"/>
    <w:rsid w:val="71D75CB2"/>
    <w:rsid w:val="71DC4440"/>
    <w:rsid w:val="71DE1BCB"/>
    <w:rsid w:val="71E33685"/>
    <w:rsid w:val="71E35433"/>
    <w:rsid w:val="71ED1FFD"/>
    <w:rsid w:val="71ED5B79"/>
    <w:rsid w:val="71ED62B2"/>
    <w:rsid w:val="71F118FE"/>
    <w:rsid w:val="71F238C8"/>
    <w:rsid w:val="71F80EDE"/>
    <w:rsid w:val="71FC3A2D"/>
    <w:rsid w:val="72005FE5"/>
    <w:rsid w:val="7201041D"/>
    <w:rsid w:val="72046C38"/>
    <w:rsid w:val="7205184D"/>
    <w:rsid w:val="720979F9"/>
    <w:rsid w:val="720A713E"/>
    <w:rsid w:val="720B0D3B"/>
    <w:rsid w:val="720B5E9F"/>
    <w:rsid w:val="720E0702"/>
    <w:rsid w:val="720F447A"/>
    <w:rsid w:val="72101FFE"/>
    <w:rsid w:val="7210336D"/>
    <w:rsid w:val="72114AAA"/>
    <w:rsid w:val="72127391"/>
    <w:rsid w:val="721750DD"/>
    <w:rsid w:val="7218332F"/>
    <w:rsid w:val="72203F91"/>
    <w:rsid w:val="72282939"/>
    <w:rsid w:val="722F294A"/>
    <w:rsid w:val="72346FDB"/>
    <w:rsid w:val="723767E7"/>
    <w:rsid w:val="724203AC"/>
    <w:rsid w:val="72451C4A"/>
    <w:rsid w:val="724F2AC9"/>
    <w:rsid w:val="7252339E"/>
    <w:rsid w:val="72534367"/>
    <w:rsid w:val="725455B8"/>
    <w:rsid w:val="7258281D"/>
    <w:rsid w:val="7258372B"/>
    <w:rsid w:val="725B321B"/>
    <w:rsid w:val="725D27DC"/>
    <w:rsid w:val="725E4ABA"/>
    <w:rsid w:val="72617707"/>
    <w:rsid w:val="72620A4E"/>
    <w:rsid w:val="726447C6"/>
    <w:rsid w:val="726A7902"/>
    <w:rsid w:val="726B52F0"/>
    <w:rsid w:val="72713D28"/>
    <w:rsid w:val="72780225"/>
    <w:rsid w:val="727E1867"/>
    <w:rsid w:val="727E6F0A"/>
    <w:rsid w:val="727F03E4"/>
    <w:rsid w:val="727F3840"/>
    <w:rsid w:val="7280022E"/>
    <w:rsid w:val="72800ED4"/>
    <w:rsid w:val="72834520"/>
    <w:rsid w:val="72850298"/>
    <w:rsid w:val="7285473C"/>
    <w:rsid w:val="7289422C"/>
    <w:rsid w:val="728C1627"/>
    <w:rsid w:val="728E2856"/>
    <w:rsid w:val="72914E8F"/>
    <w:rsid w:val="729606F7"/>
    <w:rsid w:val="729612F1"/>
    <w:rsid w:val="72966949"/>
    <w:rsid w:val="729A1F96"/>
    <w:rsid w:val="72A11576"/>
    <w:rsid w:val="72A87727"/>
    <w:rsid w:val="72AA05BD"/>
    <w:rsid w:val="72AC3A77"/>
    <w:rsid w:val="72AC7F1B"/>
    <w:rsid w:val="72AD735C"/>
    <w:rsid w:val="72AE3C93"/>
    <w:rsid w:val="72B151C8"/>
    <w:rsid w:val="72B360E6"/>
    <w:rsid w:val="72B708BB"/>
    <w:rsid w:val="72B8066E"/>
    <w:rsid w:val="72B91FED"/>
    <w:rsid w:val="72BF7C4E"/>
    <w:rsid w:val="72C15774"/>
    <w:rsid w:val="72C40DC1"/>
    <w:rsid w:val="72C45265"/>
    <w:rsid w:val="72C5483A"/>
    <w:rsid w:val="72C60FDD"/>
    <w:rsid w:val="72C708B1"/>
    <w:rsid w:val="72C74D55"/>
    <w:rsid w:val="72C75056"/>
    <w:rsid w:val="72CA214F"/>
    <w:rsid w:val="72CC4119"/>
    <w:rsid w:val="72CE4493"/>
    <w:rsid w:val="72CE4E38"/>
    <w:rsid w:val="72D80D10"/>
    <w:rsid w:val="72D8486C"/>
    <w:rsid w:val="72DF5BFA"/>
    <w:rsid w:val="72E225EB"/>
    <w:rsid w:val="72E339C7"/>
    <w:rsid w:val="72E43211"/>
    <w:rsid w:val="72E87BDE"/>
    <w:rsid w:val="72EB0A43"/>
    <w:rsid w:val="72EC5FCA"/>
    <w:rsid w:val="72EE22E1"/>
    <w:rsid w:val="72F35B4A"/>
    <w:rsid w:val="72FD1FF6"/>
    <w:rsid w:val="72FF44EF"/>
    <w:rsid w:val="73027B3B"/>
    <w:rsid w:val="73061550"/>
    <w:rsid w:val="7306587D"/>
    <w:rsid w:val="73091DE9"/>
    <w:rsid w:val="730E028E"/>
    <w:rsid w:val="730E64E0"/>
    <w:rsid w:val="731004AA"/>
    <w:rsid w:val="73104006"/>
    <w:rsid w:val="73124222"/>
    <w:rsid w:val="731358A4"/>
    <w:rsid w:val="73165394"/>
    <w:rsid w:val="731955B0"/>
    <w:rsid w:val="731F20C0"/>
    <w:rsid w:val="73216213"/>
    <w:rsid w:val="732301DD"/>
    <w:rsid w:val="7327134F"/>
    <w:rsid w:val="732B0E40"/>
    <w:rsid w:val="732C5ED6"/>
    <w:rsid w:val="732D2E0A"/>
    <w:rsid w:val="732D4BB8"/>
    <w:rsid w:val="732D52DF"/>
    <w:rsid w:val="732D57FF"/>
    <w:rsid w:val="732E66F5"/>
    <w:rsid w:val="733A1083"/>
    <w:rsid w:val="733B7751"/>
    <w:rsid w:val="733E5927"/>
    <w:rsid w:val="733F2189"/>
    <w:rsid w:val="733F48EB"/>
    <w:rsid w:val="733F6699"/>
    <w:rsid w:val="734737A0"/>
    <w:rsid w:val="734927BA"/>
    <w:rsid w:val="734939BC"/>
    <w:rsid w:val="734A20E3"/>
    <w:rsid w:val="734A3958"/>
    <w:rsid w:val="734D525A"/>
    <w:rsid w:val="7355410F"/>
    <w:rsid w:val="73565C82"/>
    <w:rsid w:val="73567F3F"/>
    <w:rsid w:val="73571C35"/>
    <w:rsid w:val="73575823"/>
    <w:rsid w:val="735B493E"/>
    <w:rsid w:val="735B79F1"/>
    <w:rsid w:val="735E1215"/>
    <w:rsid w:val="735F4F8D"/>
    <w:rsid w:val="736507F6"/>
    <w:rsid w:val="73656534"/>
    <w:rsid w:val="73683E42"/>
    <w:rsid w:val="736B7A45"/>
    <w:rsid w:val="736E6F7E"/>
    <w:rsid w:val="73724A27"/>
    <w:rsid w:val="73742537"/>
    <w:rsid w:val="7375527B"/>
    <w:rsid w:val="737C5B3F"/>
    <w:rsid w:val="737C78ED"/>
    <w:rsid w:val="737F2F3A"/>
    <w:rsid w:val="73814F04"/>
    <w:rsid w:val="73830C7C"/>
    <w:rsid w:val="73840550"/>
    <w:rsid w:val="73860A71"/>
    <w:rsid w:val="738A200A"/>
    <w:rsid w:val="738B5D82"/>
    <w:rsid w:val="73905147"/>
    <w:rsid w:val="73922C6D"/>
    <w:rsid w:val="739840F2"/>
    <w:rsid w:val="739F538A"/>
    <w:rsid w:val="73A17B8F"/>
    <w:rsid w:val="73A82490"/>
    <w:rsid w:val="73AB1F81"/>
    <w:rsid w:val="73AB3D2F"/>
    <w:rsid w:val="73AD3F4B"/>
    <w:rsid w:val="73B06178"/>
    <w:rsid w:val="73B07597"/>
    <w:rsid w:val="73B21561"/>
    <w:rsid w:val="73B2330F"/>
    <w:rsid w:val="73B452D9"/>
    <w:rsid w:val="73B61051"/>
    <w:rsid w:val="73B617D6"/>
    <w:rsid w:val="73B72B30"/>
    <w:rsid w:val="73BA21C4"/>
    <w:rsid w:val="73BC5E5C"/>
    <w:rsid w:val="73BC5F3C"/>
    <w:rsid w:val="73C179F6"/>
    <w:rsid w:val="73C82B32"/>
    <w:rsid w:val="73C96A08"/>
    <w:rsid w:val="73CA68AB"/>
    <w:rsid w:val="73D03795"/>
    <w:rsid w:val="73D1598E"/>
    <w:rsid w:val="73D2750D"/>
    <w:rsid w:val="73D634A1"/>
    <w:rsid w:val="73DB1E6E"/>
    <w:rsid w:val="73DB2875"/>
    <w:rsid w:val="73DC3D05"/>
    <w:rsid w:val="73DC65DE"/>
    <w:rsid w:val="73E94496"/>
    <w:rsid w:val="73E94B6C"/>
    <w:rsid w:val="73F434EC"/>
    <w:rsid w:val="73F43927"/>
    <w:rsid w:val="73F47DE9"/>
    <w:rsid w:val="73F5452F"/>
    <w:rsid w:val="73F74191"/>
    <w:rsid w:val="73FC27DC"/>
    <w:rsid w:val="73FE0302"/>
    <w:rsid w:val="74017DF2"/>
    <w:rsid w:val="74051691"/>
    <w:rsid w:val="74060A0E"/>
    <w:rsid w:val="74075CB4"/>
    <w:rsid w:val="74082F2F"/>
    <w:rsid w:val="74085625"/>
    <w:rsid w:val="74091E2E"/>
    <w:rsid w:val="740D03D8"/>
    <w:rsid w:val="74130252"/>
    <w:rsid w:val="74161AF0"/>
    <w:rsid w:val="741C69DA"/>
    <w:rsid w:val="7420471D"/>
    <w:rsid w:val="74236254"/>
    <w:rsid w:val="74237D69"/>
    <w:rsid w:val="742F4960"/>
    <w:rsid w:val="7431692A"/>
    <w:rsid w:val="743406EB"/>
    <w:rsid w:val="74365CEE"/>
    <w:rsid w:val="74393A30"/>
    <w:rsid w:val="743E4BA3"/>
    <w:rsid w:val="744964FD"/>
    <w:rsid w:val="744C72C0"/>
    <w:rsid w:val="744F6DB0"/>
    <w:rsid w:val="745054B7"/>
    <w:rsid w:val="74546A09"/>
    <w:rsid w:val="74583EB6"/>
    <w:rsid w:val="745D14CD"/>
    <w:rsid w:val="745D771F"/>
    <w:rsid w:val="745F5036"/>
    <w:rsid w:val="745F53A2"/>
    <w:rsid w:val="74604B19"/>
    <w:rsid w:val="7461732C"/>
    <w:rsid w:val="74655943"/>
    <w:rsid w:val="746D7236"/>
    <w:rsid w:val="746E765E"/>
    <w:rsid w:val="746F2FAE"/>
    <w:rsid w:val="74745D74"/>
    <w:rsid w:val="747F7695"/>
    <w:rsid w:val="74820F33"/>
    <w:rsid w:val="74822CE1"/>
    <w:rsid w:val="74827185"/>
    <w:rsid w:val="74836A59"/>
    <w:rsid w:val="748527D2"/>
    <w:rsid w:val="74856C75"/>
    <w:rsid w:val="7487334F"/>
    <w:rsid w:val="74884070"/>
    <w:rsid w:val="74890514"/>
    <w:rsid w:val="748A603A"/>
    <w:rsid w:val="74934EEE"/>
    <w:rsid w:val="74972AE5"/>
    <w:rsid w:val="74980757"/>
    <w:rsid w:val="749C0F3B"/>
    <w:rsid w:val="749D3FBF"/>
    <w:rsid w:val="74A0760B"/>
    <w:rsid w:val="74A569D0"/>
    <w:rsid w:val="74A9506F"/>
    <w:rsid w:val="74AE1D28"/>
    <w:rsid w:val="74B03CF2"/>
    <w:rsid w:val="74B17A6A"/>
    <w:rsid w:val="74B83297"/>
    <w:rsid w:val="74B86703"/>
    <w:rsid w:val="74BA06CD"/>
    <w:rsid w:val="74BE7536"/>
    <w:rsid w:val="74C23A26"/>
    <w:rsid w:val="74D11CCC"/>
    <w:rsid w:val="74D15A17"/>
    <w:rsid w:val="74D472B5"/>
    <w:rsid w:val="74DF4D44"/>
    <w:rsid w:val="74DF6386"/>
    <w:rsid w:val="74E120FE"/>
    <w:rsid w:val="74E4574A"/>
    <w:rsid w:val="74E72942"/>
    <w:rsid w:val="74E7348C"/>
    <w:rsid w:val="74EE6765"/>
    <w:rsid w:val="74F11BE7"/>
    <w:rsid w:val="74F160B9"/>
    <w:rsid w:val="74F33BDF"/>
    <w:rsid w:val="74F3598D"/>
    <w:rsid w:val="74F43EC3"/>
    <w:rsid w:val="74F71921"/>
    <w:rsid w:val="74F811F5"/>
    <w:rsid w:val="74FA4F6E"/>
    <w:rsid w:val="74FD4A5E"/>
    <w:rsid w:val="7500352E"/>
    <w:rsid w:val="75022074"/>
    <w:rsid w:val="7503781E"/>
    <w:rsid w:val="75067CA5"/>
    <w:rsid w:val="75091655"/>
    <w:rsid w:val="750951B1"/>
    <w:rsid w:val="75096F5F"/>
    <w:rsid w:val="750B31FF"/>
    <w:rsid w:val="750B33B4"/>
    <w:rsid w:val="750C2452"/>
    <w:rsid w:val="750C2B28"/>
    <w:rsid w:val="750C4CA1"/>
    <w:rsid w:val="750D6E6A"/>
    <w:rsid w:val="751002ED"/>
    <w:rsid w:val="75111B8B"/>
    <w:rsid w:val="7512722D"/>
    <w:rsid w:val="75137DDD"/>
    <w:rsid w:val="75180B6C"/>
    <w:rsid w:val="751B4EE4"/>
    <w:rsid w:val="751F75A2"/>
    <w:rsid w:val="7521699E"/>
    <w:rsid w:val="7523477C"/>
    <w:rsid w:val="75241FEA"/>
    <w:rsid w:val="75295853"/>
    <w:rsid w:val="75297601"/>
    <w:rsid w:val="752A6B80"/>
    <w:rsid w:val="752B5A68"/>
    <w:rsid w:val="752F0359"/>
    <w:rsid w:val="7530273D"/>
    <w:rsid w:val="75330480"/>
    <w:rsid w:val="7533222E"/>
    <w:rsid w:val="753541F8"/>
    <w:rsid w:val="75363ACC"/>
    <w:rsid w:val="7538447B"/>
    <w:rsid w:val="75385D85"/>
    <w:rsid w:val="75397EDA"/>
    <w:rsid w:val="753A7A60"/>
    <w:rsid w:val="753B10E2"/>
    <w:rsid w:val="753C0BDC"/>
    <w:rsid w:val="753D4E5A"/>
    <w:rsid w:val="753E1321"/>
    <w:rsid w:val="753E4062"/>
    <w:rsid w:val="753F0BD2"/>
    <w:rsid w:val="753F5076"/>
    <w:rsid w:val="7544268D"/>
    <w:rsid w:val="75466405"/>
    <w:rsid w:val="754923DC"/>
    <w:rsid w:val="75492FB1"/>
    <w:rsid w:val="754B3A1B"/>
    <w:rsid w:val="754C32EF"/>
    <w:rsid w:val="754C63E8"/>
    <w:rsid w:val="75517FCB"/>
    <w:rsid w:val="75587EE6"/>
    <w:rsid w:val="755A3C5E"/>
    <w:rsid w:val="755C1784"/>
    <w:rsid w:val="755C23E6"/>
    <w:rsid w:val="755C79D6"/>
    <w:rsid w:val="755E29BC"/>
    <w:rsid w:val="755F1275"/>
    <w:rsid w:val="75614FED"/>
    <w:rsid w:val="75630D65"/>
    <w:rsid w:val="75660855"/>
    <w:rsid w:val="75680129"/>
    <w:rsid w:val="75703482"/>
    <w:rsid w:val="75706FDE"/>
    <w:rsid w:val="75713487"/>
    <w:rsid w:val="75722D56"/>
    <w:rsid w:val="75736ACE"/>
    <w:rsid w:val="75752F8D"/>
    <w:rsid w:val="75767964"/>
    <w:rsid w:val="757E5B9F"/>
    <w:rsid w:val="75807866"/>
    <w:rsid w:val="7581743D"/>
    <w:rsid w:val="75834F63"/>
    <w:rsid w:val="75840CDB"/>
    <w:rsid w:val="7584598B"/>
    <w:rsid w:val="75862CA5"/>
    <w:rsid w:val="75864A53"/>
    <w:rsid w:val="758D4034"/>
    <w:rsid w:val="758E1885"/>
    <w:rsid w:val="759407D5"/>
    <w:rsid w:val="759408DA"/>
    <w:rsid w:val="75976C60"/>
    <w:rsid w:val="75984ABB"/>
    <w:rsid w:val="759C4277"/>
    <w:rsid w:val="759E7FEF"/>
    <w:rsid w:val="759F04CE"/>
    <w:rsid w:val="75A31161"/>
    <w:rsid w:val="75A61DBB"/>
    <w:rsid w:val="75A9197F"/>
    <w:rsid w:val="75AB270C"/>
    <w:rsid w:val="75B1555D"/>
    <w:rsid w:val="75B23A9A"/>
    <w:rsid w:val="75B710B1"/>
    <w:rsid w:val="75BA1D62"/>
    <w:rsid w:val="75BC4A46"/>
    <w:rsid w:val="75BD7F3E"/>
    <w:rsid w:val="75BF3AC1"/>
    <w:rsid w:val="75C15A8B"/>
    <w:rsid w:val="75C335B1"/>
    <w:rsid w:val="75C4732A"/>
    <w:rsid w:val="75C56285"/>
    <w:rsid w:val="75C630A2"/>
    <w:rsid w:val="75CA78FA"/>
    <w:rsid w:val="75CD61DE"/>
    <w:rsid w:val="75CD66A7"/>
    <w:rsid w:val="75D25EEA"/>
    <w:rsid w:val="75D270BD"/>
    <w:rsid w:val="75D307FB"/>
    <w:rsid w:val="75D532E5"/>
    <w:rsid w:val="75D91027"/>
    <w:rsid w:val="75DF5F11"/>
    <w:rsid w:val="75E31EA6"/>
    <w:rsid w:val="75E8126A"/>
    <w:rsid w:val="75F02ED1"/>
    <w:rsid w:val="75F45E61"/>
    <w:rsid w:val="75F64FDE"/>
    <w:rsid w:val="75F776FF"/>
    <w:rsid w:val="75FE6CDF"/>
    <w:rsid w:val="75FF1ADB"/>
    <w:rsid w:val="76004806"/>
    <w:rsid w:val="760B6D06"/>
    <w:rsid w:val="760F2C9B"/>
    <w:rsid w:val="760F4A49"/>
    <w:rsid w:val="76120095"/>
    <w:rsid w:val="76164029"/>
    <w:rsid w:val="7618341C"/>
    <w:rsid w:val="761E6A3A"/>
    <w:rsid w:val="761F284D"/>
    <w:rsid w:val="76215A7B"/>
    <w:rsid w:val="7624387E"/>
    <w:rsid w:val="762A53DF"/>
    <w:rsid w:val="762F6E99"/>
    <w:rsid w:val="76312C11"/>
    <w:rsid w:val="76342701"/>
    <w:rsid w:val="763444AF"/>
    <w:rsid w:val="76373F9F"/>
    <w:rsid w:val="76380237"/>
    <w:rsid w:val="76386AF6"/>
    <w:rsid w:val="763B1390"/>
    <w:rsid w:val="763C3364"/>
    <w:rsid w:val="763E0E8A"/>
    <w:rsid w:val="763E6A68"/>
    <w:rsid w:val="76406C80"/>
    <w:rsid w:val="764375AD"/>
    <w:rsid w:val="764741E2"/>
    <w:rsid w:val="764861AD"/>
    <w:rsid w:val="764A782F"/>
    <w:rsid w:val="764C17F9"/>
    <w:rsid w:val="76544B51"/>
    <w:rsid w:val="765468FF"/>
    <w:rsid w:val="7656342E"/>
    <w:rsid w:val="765661D4"/>
    <w:rsid w:val="76592168"/>
    <w:rsid w:val="76593F16"/>
    <w:rsid w:val="76654669"/>
    <w:rsid w:val="766A7ED1"/>
    <w:rsid w:val="766E5C13"/>
    <w:rsid w:val="766F54E7"/>
    <w:rsid w:val="76733229"/>
    <w:rsid w:val="76742457"/>
    <w:rsid w:val="76746FA2"/>
    <w:rsid w:val="767B20DE"/>
    <w:rsid w:val="767C27B0"/>
    <w:rsid w:val="767E1BCE"/>
    <w:rsid w:val="76805946"/>
    <w:rsid w:val="768865A9"/>
    <w:rsid w:val="768F5B89"/>
    <w:rsid w:val="768F7938"/>
    <w:rsid w:val="76916862"/>
    <w:rsid w:val="76960CC6"/>
    <w:rsid w:val="76984A3E"/>
    <w:rsid w:val="769B452E"/>
    <w:rsid w:val="769B62DC"/>
    <w:rsid w:val="769C1CFD"/>
    <w:rsid w:val="76A038F3"/>
    <w:rsid w:val="76A24662"/>
    <w:rsid w:val="76A333E3"/>
    <w:rsid w:val="76A33F8C"/>
    <w:rsid w:val="76AA29C3"/>
    <w:rsid w:val="76AA4117"/>
    <w:rsid w:val="76AC673B"/>
    <w:rsid w:val="76AE4262"/>
    <w:rsid w:val="76B15B00"/>
    <w:rsid w:val="76B35EA2"/>
    <w:rsid w:val="76B566AC"/>
    <w:rsid w:val="76BA0E58"/>
    <w:rsid w:val="76BF671D"/>
    <w:rsid w:val="76C515AB"/>
    <w:rsid w:val="76C84BF7"/>
    <w:rsid w:val="76CC7B07"/>
    <w:rsid w:val="76CE0460"/>
    <w:rsid w:val="76D87530"/>
    <w:rsid w:val="76DD5309"/>
    <w:rsid w:val="76E01F41"/>
    <w:rsid w:val="76E063E5"/>
    <w:rsid w:val="76E25CB9"/>
    <w:rsid w:val="76E934EC"/>
    <w:rsid w:val="76EC264E"/>
    <w:rsid w:val="76EC2FDC"/>
    <w:rsid w:val="76EE28B0"/>
    <w:rsid w:val="76F2314F"/>
    <w:rsid w:val="76F679B7"/>
    <w:rsid w:val="76F8372F"/>
    <w:rsid w:val="76FF3148"/>
    <w:rsid w:val="77073972"/>
    <w:rsid w:val="77091498"/>
    <w:rsid w:val="770B16B4"/>
    <w:rsid w:val="770E2F52"/>
    <w:rsid w:val="771147F0"/>
    <w:rsid w:val="771542E1"/>
    <w:rsid w:val="771A18F7"/>
    <w:rsid w:val="771C566F"/>
    <w:rsid w:val="771D13E7"/>
    <w:rsid w:val="771E4103"/>
    <w:rsid w:val="772067E2"/>
    <w:rsid w:val="772207AC"/>
    <w:rsid w:val="7726029C"/>
    <w:rsid w:val="772C33D8"/>
    <w:rsid w:val="772C64B4"/>
    <w:rsid w:val="772E0EFE"/>
    <w:rsid w:val="772E53A2"/>
    <w:rsid w:val="772E7150"/>
    <w:rsid w:val="772F3C2D"/>
    <w:rsid w:val="7732251F"/>
    <w:rsid w:val="773728B1"/>
    <w:rsid w:val="773931A2"/>
    <w:rsid w:val="77393B6E"/>
    <w:rsid w:val="77495D38"/>
    <w:rsid w:val="774A385E"/>
    <w:rsid w:val="774E15A1"/>
    <w:rsid w:val="774E5038"/>
    <w:rsid w:val="7750356B"/>
    <w:rsid w:val="77527BB9"/>
    <w:rsid w:val="77530965"/>
    <w:rsid w:val="775A0114"/>
    <w:rsid w:val="775C1F10"/>
    <w:rsid w:val="775D7A36"/>
    <w:rsid w:val="775F555C"/>
    <w:rsid w:val="77610BA7"/>
    <w:rsid w:val="776110C8"/>
    <w:rsid w:val="77612F4D"/>
    <w:rsid w:val="776E49BD"/>
    <w:rsid w:val="777349AF"/>
    <w:rsid w:val="77784870"/>
    <w:rsid w:val="777F5BFE"/>
    <w:rsid w:val="77811976"/>
    <w:rsid w:val="77813724"/>
    <w:rsid w:val="77822FF8"/>
    <w:rsid w:val="7785706B"/>
    <w:rsid w:val="77884AB3"/>
    <w:rsid w:val="778C085F"/>
    <w:rsid w:val="77900F16"/>
    <w:rsid w:val="77901BB9"/>
    <w:rsid w:val="77980A6E"/>
    <w:rsid w:val="779C1F25"/>
    <w:rsid w:val="779D14EF"/>
    <w:rsid w:val="77A6318B"/>
    <w:rsid w:val="77A72F8F"/>
    <w:rsid w:val="77A860A6"/>
    <w:rsid w:val="77A86B72"/>
    <w:rsid w:val="77AD62C7"/>
    <w:rsid w:val="77AE0291"/>
    <w:rsid w:val="77B227F5"/>
    <w:rsid w:val="77B347F9"/>
    <w:rsid w:val="77B37147"/>
    <w:rsid w:val="77B379F2"/>
    <w:rsid w:val="77BA4E88"/>
    <w:rsid w:val="77BF424C"/>
    <w:rsid w:val="77C41863"/>
    <w:rsid w:val="77C60C6B"/>
    <w:rsid w:val="77C6382D"/>
    <w:rsid w:val="77C677ED"/>
    <w:rsid w:val="77CA50CB"/>
    <w:rsid w:val="77CB0E43"/>
    <w:rsid w:val="77CD0717"/>
    <w:rsid w:val="77CF22CF"/>
    <w:rsid w:val="77D00208"/>
    <w:rsid w:val="77D47CF8"/>
    <w:rsid w:val="77D51A2E"/>
    <w:rsid w:val="77DC6BAC"/>
    <w:rsid w:val="77DE0AB1"/>
    <w:rsid w:val="77E022F4"/>
    <w:rsid w:val="77E42AB3"/>
    <w:rsid w:val="77E57918"/>
    <w:rsid w:val="77E837A3"/>
    <w:rsid w:val="77E84A95"/>
    <w:rsid w:val="77EB5041"/>
    <w:rsid w:val="77ED7AD4"/>
    <w:rsid w:val="77F62490"/>
    <w:rsid w:val="77FC0FFD"/>
    <w:rsid w:val="77FC2DAB"/>
    <w:rsid w:val="77FE2FC7"/>
    <w:rsid w:val="78086CCC"/>
    <w:rsid w:val="780E6178"/>
    <w:rsid w:val="781042B4"/>
    <w:rsid w:val="78116641"/>
    <w:rsid w:val="781379F5"/>
    <w:rsid w:val="78160310"/>
    <w:rsid w:val="78175E36"/>
    <w:rsid w:val="781E5417"/>
    <w:rsid w:val="781F4CEB"/>
    <w:rsid w:val="78210A63"/>
    <w:rsid w:val="782236A8"/>
    <w:rsid w:val="78244A5D"/>
    <w:rsid w:val="78281274"/>
    <w:rsid w:val="78292C85"/>
    <w:rsid w:val="782A4ADD"/>
    <w:rsid w:val="782C7B34"/>
    <w:rsid w:val="782D2DA3"/>
    <w:rsid w:val="782F4005"/>
    <w:rsid w:val="783127CC"/>
    <w:rsid w:val="783267CC"/>
    <w:rsid w:val="78362761"/>
    <w:rsid w:val="783A3624"/>
    <w:rsid w:val="783C589D"/>
    <w:rsid w:val="783C6A57"/>
    <w:rsid w:val="78412EB3"/>
    <w:rsid w:val="78450BF6"/>
    <w:rsid w:val="78483400"/>
    <w:rsid w:val="784C1F84"/>
    <w:rsid w:val="784F5615"/>
    <w:rsid w:val="78520C1D"/>
    <w:rsid w:val="785250C1"/>
    <w:rsid w:val="785258CB"/>
    <w:rsid w:val="7856695F"/>
    <w:rsid w:val="7858084F"/>
    <w:rsid w:val="785901FD"/>
    <w:rsid w:val="78591FAB"/>
    <w:rsid w:val="785D343C"/>
    <w:rsid w:val="785E75C1"/>
    <w:rsid w:val="78654665"/>
    <w:rsid w:val="786C6182"/>
    <w:rsid w:val="786F17CF"/>
    <w:rsid w:val="78736DE3"/>
    <w:rsid w:val="78741052"/>
    <w:rsid w:val="78782D79"/>
    <w:rsid w:val="787C3E4C"/>
    <w:rsid w:val="787C5803"/>
    <w:rsid w:val="787E7C64"/>
    <w:rsid w:val="78810918"/>
    <w:rsid w:val="78811502"/>
    <w:rsid w:val="78830D93"/>
    <w:rsid w:val="7884723A"/>
    <w:rsid w:val="78856B64"/>
    <w:rsid w:val="78882890"/>
    <w:rsid w:val="788A2AAC"/>
    <w:rsid w:val="788C05D2"/>
    <w:rsid w:val="78947487"/>
    <w:rsid w:val="78972AD3"/>
    <w:rsid w:val="789B6A68"/>
    <w:rsid w:val="789C5D5F"/>
    <w:rsid w:val="78A3591C"/>
    <w:rsid w:val="78A43B6E"/>
    <w:rsid w:val="78A44204"/>
    <w:rsid w:val="78AE679B"/>
    <w:rsid w:val="78AF6EF2"/>
    <w:rsid w:val="78B35B5F"/>
    <w:rsid w:val="78B40681"/>
    <w:rsid w:val="78B47D8A"/>
    <w:rsid w:val="78B52F8A"/>
    <w:rsid w:val="78B6564F"/>
    <w:rsid w:val="78B673FD"/>
    <w:rsid w:val="78B77EF6"/>
    <w:rsid w:val="78B90C9C"/>
    <w:rsid w:val="78BB0EB8"/>
    <w:rsid w:val="78BD019A"/>
    <w:rsid w:val="78BE0AD8"/>
    <w:rsid w:val="78C11D93"/>
    <w:rsid w:val="78C31B1A"/>
    <w:rsid w:val="78C85655"/>
    <w:rsid w:val="78C90406"/>
    <w:rsid w:val="78CC6C21"/>
    <w:rsid w:val="78CF04BF"/>
    <w:rsid w:val="78CF6711"/>
    <w:rsid w:val="78D21D5D"/>
    <w:rsid w:val="78D624A8"/>
    <w:rsid w:val="78DB5727"/>
    <w:rsid w:val="78DD498A"/>
    <w:rsid w:val="78DE6954"/>
    <w:rsid w:val="78DF4BA6"/>
    <w:rsid w:val="78E0447A"/>
    <w:rsid w:val="78E33FFB"/>
    <w:rsid w:val="78EA354B"/>
    <w:rsid w:val="78EA52F9"/>
    <w:rsid w:val="78EC07BA"/>
    <w:rsid w:val="78EC1071"/>
    <w:rsid w:val="78ED02C3"/>
    <w:rsid w:val="78F41BD6"/>
    <w:rsid w:val="78F46178"/>
    <w:rsid w:val="78FB3062"/>
    <w:rsid w:val="78FD6DDA"/>
    <w:rsid w:val="78FF0DA4"/>
    <w:rsid w:val="79004B1D"/>
    <w:rsid w:val="790740FD"/>
    <w:rsid w:val="79074448"/>
    <w:rsid w:val="7908577F"/>
    <w:rsid w:val="790939D1"/>
    <w:rsid w:val="790A315A"/>
    <w:rsid w:val="790C6D01"/>
    <w:rsid w:val="790F6B0E"/>
    <w:rsid w:val="79112886"/>
    <w:rsid w:val="79181E66"/>
    <w:rsid w:val="7919798C"/>
    <w:rsid w:val="791D56CF"/>
    <w:rsid w:val="79226841"/>
    <w:rsid w:val="79230C50"/>
    <w:rsid w:val="79250840"/>
    <w:rsid w:val="79294073"/>
    <w:rsid w:val="7931117A"/>
    <w:rsid w:val="79312F28"/>
    <w:rsid w:val="7931480B"/>
    <w:rsid w:val="79352A18"/>
    <w:rsid w:val="79393B8B"/>
    <w:rsid w:val="793E1EB0"/>
    <w:rsid w:val="794013BD"/>
    <w:rsid w:val="79424DB8"/>
    <w:rsid w:val="79426EE3"/>
    <w:rsid w:val="794E145A"/>
    <w:rsid w:val="79586707"/>
    <w:rsid w:val="795E2449"/>
    <w:rsid w:val="795E2B1F"/>
    <w:rsid w:val="795F5CE7"/>
    <w:rsid w:val="7963752C"/>
    <w:rsid w:val="79640638"/>
    <w:rsid w:val="79674B9C"/>
    <w:rsid w:val="7967694A"/>
    <w:rsid w:val="796E5F2A"/>
    <w:rsid w:val="79701CA2"/>
    <w:rsid w:val="797057FE"/>
    <w:rsid w:val="79713EE3"/>
    <w:rsid w:val="79725A4F"/>
    <w:rsid w:val="7972768B"/>
    <w:rsid w:val="797C0647"/>
    <w:rsid w:val="797F0137"/>
    <w:rsid w:val="79865022"/>
    <w:rsid w:val="798715FB"/>
    <w:rsid w:val="79884182"/>
    <w:rsid w:val="798B4E50"/>
    <w:rsid w:val="798C6C5F"/>
    <w:rsid w:val="798E037A"/>
    <w:rsid w:val="79902BAE"/>
    <w:rsid w:val="79915775"/>
    <w:rsid w:val="799314ED"/>
    <w:rsid w:val="79931C0D"/>
    <w:rsid w:val="79975481"/>
    <w:rsid w:val="79986B03"/>
    <w:rsid w:val="799930EF"/>
    <w:rsid w:val="799A6D1F"/>
    <w:rsid w:val="799C2A97"/>
    <w:rsid w:val="799F3CCA"/>
    <w:rsid w:val="79A11135"/>
    <w:rsid w:val="79A32A0D"/>
    <w:rsid w:val="79A47660"/>
    <w:rsid w:val="79A842D3"/>
    <w:rsid w:val="79AB4A88"/>
    <w:rsid w:val="79AD3AA3"/>
    <w:rsid w:val="79BC4EE7"/>
    <w:rsid w:val="79C124FE"/>
    <w:rsid w:val="79C618C2"/>
    <w:rsid w:val="79C670C7"/>
    <w:rsid w:val="79C76941"/>
    <w:rsid w:val="79D02741"/>
    <w:rsid w:val="79D03432"/>
    <w:rsid w:val="79D25219"/>
    <w:rsid w:val="79D31AEC"/>
    <w:rsid w:val="79E81839"/>
    <w:rsid w:val="79ED32F3"/>
    <w:rsid w:val="79F3642F"/>
    <w:rsid w:val="79F41E6D"/>
    <w:rsid w:val="79F75F20"/>
    <w:rsid w:val="79FA156C"/>
    <w:rsid w:val="79FC52E4"/>
    <w:rsid w:val="79FD2E0A"/>
    <w:rsid w:val="79FF10EA"/>
    <w:rsid w:val="7A012A02"/>
    <w:rsid w:val="7A036672"/>
    <w:rsid w:val="7A052DF2"/>
    <w:rsid w:val="7A06253D"/>
    <w:rsid w:val="7A065B5D"/>
    <w:rsid w:val="7A083C89"/>
    <w:rsid w:val="7A0841EB"/>
    <w:rsid w:val="7A0C6C6D"/>
    <w:rsid w:val="7A0D5B55"/>
    <w:rsid w:val="7A102AD6"/>
    <w:rsid w:val="7A117AED"/>
    <w:rsid w:val="7A173ECC"/>
    <w:rsid w:val="7A1845EE"/>
    <w:rsid w:val="7A187C44"/>
    <w:rsid w:val="7A19666A"/>
    <w:rsid w:val="7A1A17B5"/>
    <w:rsid w:val="7A1C14E2"/>
    <w:rsid w:val="7A211D4C"/>
    <w:rsid w:val="7A24483B"/>
    <w:rsid w:val="7A287E87"/>
    <w:rsid w:val="7A2D1941"/>
    <w:rsid w:val="7A3730B0"/>
    <w:rsid w:val="7A396538"/>
    <w:rsid w:val="7A406FE4"/>
    <w:rsid w:val="7A4153ED"/>
    <w:rsid w:val="7A461715"/>
    <w:rsid w:val="7A46336C"/>
    <w:rsid w:val="7A4D0162"/>
    <w:rsid w:val="7A4E7C04"/>
    <w:rsid w:val="7A5433BE"/>
    <w:rsid w:val="7A5522A6"/>
    <w:rsid w:val="7A560FD9"/>
    <w:rsid w:val="7A601D17"/>
    <w:rsid w:val="7A6259E6"/>
    <w:rsid w:val="7A6730A5"/>
    <w:rsid w:val="7A680BCB"/>
    <w:rsid w:val="7A6B4B71"/>
    <w:rsid w:val="7A6D1D3E"/>
    <w:rsid w:val="7A6F3D08"/>
    <w:rsid w:val="7A70182E"/>
    <w:rsid w:val="7A707A80"/>
    <w:rsid w:val="7A762174"/>
    <w:rsid w:val="7A796935"/>
    <w:rsid w:val="7A7C5C51"/>
    <w:rsid w:val="7A7D3A6C"/>
    <w:rsid w:val="7A7E03EF"/>
    <w:rsid w:val="7A811C8D"/>
    <w:rsid w:val="7A8374EB"/>
    <w:rsid w:val="7A886B78"/>
    <w:rsid w:val="7A8D23E0"/>
    <w:rsid w:val="7A8F43AA"/>
    <w:rsid w:val="7A916AB5"/>
    <w:rsid w:val="7A9239D9"/>
    <w:rsid w:val="7A9279F6"/>
    <w:rsid w:val="7A9674E6"/>
    <w:rsid w:val="7A990D85"/>
    <w:rsid w:val="7A995229"/>
    <w:rsid w:val="7A9D6321"/>
    <w:rsid w:val="7AA15E8B"/>
    <w:rsid w:val="7AA339B1"/>
    <w:rsid w:val="7AA6235C"/>
    <w:rsid w:val="7AA716F4"/>
    <w:rsid w:val="7AAD2A82"/>
    <w:rsid w:val="7AAF67FA"/>
    <w:rsid w:val="7AB76EBC"/>
    <w:rsid w:val="7AB82530"/>
    <w:rsid w:val="7ABA2F70"/>
    <w:rsid w:val="7ABC10AC"/>
    <w:rsid w:val="7ABD2CC5"/>
    <w:rsid w:val="7ABE2599"/>
    <w:rsid w:val="7AC06311"/>
    <w:rsid w:val="7AC10A3B"/>
    <w:rsid w:val="7AC4352C"/>
    <w:rsid w:val="7AC8166A"/>
    <w:rsid w:val="7AC83418"/>
    <w:rsid w:val="7ACA3634"/>
    <w:rsid w:val="7ACA53E2"/>
    <w:rsid w:val="7ACC115A"/>
    <w:rsid w:val="7ACF0C4A"/>
    <w:rsid w:val="7ACF47A6"/>
    <w:rsid w:val="7AD24297"/>
    <w:rsid w:val="7AD358CD"/>
    <w:rsid w:val="7AD63D87"/>
    <w:rsid w:val="7AD7044B"/>
    <w:rsid w:val="7AD85D51"/>
    <w:rsid w:val="7ADB139D"/>
    <w:rsid w:val="7ADD4C1C"/>
    <w:rsid w:val="7ADF2AAC"/>
    <w:rsid w:val="7AE2272C"/>
    <w:rsid w:val="7AEB754E"/>
    <w:rsid w:val="7AF20495"/>
    <w:rsid w:val="7AF64429"/>
    <w:rsid w:val="7AF75AAB"/>
    <w:rsid w:val="7AFE508C"/>
    <w:rsid w:val="7B0408F4"/>
    <w:rsid w:val="7B0475F2"/>
    <w:rsid w:val="7B095F0A"/>
    <w:rsid w:val="7B0F1047"/>
    <w:rsid w:val="7B0F1766"/>
    <w:rsid w:val="7B1624F1"/>
    <w:rsid w:val="7B1D4B83"/>
    <w:rsid w:val="7B2014A6"/>
    <w:rsid w:val="7B213D07"/>
    <w:rsid w:val="7B222136"/>
    <w:rsid w:val="7B24209E"/>
    <w:rsid w:val="7B242D44"/>
    <w:rsid w:val="7B2A40D3"/>
    <w:rsid w:val="7B2A6872"/>
    <w:rsid w:val="7B2C7682"/>
    <w:rsid w:val="7B2C7E4B"/>
    <w:rsid w:val="7B2E3BC3"/>
    <w:rsid w:val="7B315461"/>
    <w:rsid w:val="7B331F27"/>
    <w:rsid w:val="7B3A4316"/>
    <w:rsid w:val="7B3B62E0"/>
    <w:rsid w:val="7B445194"/>
    <w:rsid w:val="7B474C85"/>
    <w:rsid w:val="7B4A02D1"/>
    <w:rsid w:val="7B4C161C"/>
    <w:rsid w:val="7B4D039C"/>
    <w:rsid w:val="7B4D4C13"/>
    <w:rsid w:val="7B564EC8"/>
    <w:rsid w:val="7B5B24DE"/>
    <w:rsid w:val="7B6313FF"/>
    <w:rsid w:val="7B672C31"/>
    <w:rsid w:val="7B694BFB"/>
    <w:rsid w:val="7B6A571A"/>
    <w:rsid w:val="7B786BEC"/>
    <w:rsid w:val="7B787C13"/>
    <w:rsid w:val="7B7A0FC8"/>
    <w:rsid w:val="7B7F61CD"/>
    <w:rsid w:val="7B834B10"/>
    <w:rsid w:val="7B892BA7"/>
    <w:rsid w:val="7B8E59D8"/>
    <w:rsid w:val="7B8F70D8"/>
    <w:rsid w:val="7B9003DA"/>
    <w:rsid w:val="7B933A26"/>
    <w:rsid w:val="7B951954"/>
    <w:rsid w:val="7B9B28DB"/>
    <w:rsid w:val="7B9D2AF7"/>
    <w:rsid w:val="7B9E3DFA"/>
    <w:rsid w:val="7BA63759"/>
    <w:rsid w:val="7BAB6B46"/>
    <w:rsid w:val="7BAE4D10"/>
    <w:rsid w:val="7BB0282A"/>
    <w:rsid w:val="7BB06386"/>
    <w:rsid w:val="7BB20C06"/>
    <w:rsid w:val="7BB5399C"/>
    <w:rsid w:val="7BB876E4"/>
    <w:rsid w:val="7BBB4D2B"/>
    <w:rsid w:val="7BBD6CF5"/>
    <w:rsid w:val="7BBF481B"/>
    <w:rsid w:val="7BC41E31"/>
    <w:rsid w:val="7BC6204D"/>
    <w:rsid w:val="7BC65BA9"/>
    <w:rsid w:val="7BC82684"/>
    <w:rsid w:val="7BD007D6"/>
    <w:rsid w:val="7BD76009"/>
    <w:rsid w:val="7BDA3403"/>
    <w:rsid w:val="7BDC361F"/>
    <w:rsid w:val="7BDD1CD9"/>
    <w:rsid w:val="7BDE0335"/>
    <w:rsid w:val="7BDF0A19"/>
    <w:rsid w:val="7BDF4EBD"/>
    <w:rsid w:val="7BDF6541"/>
    <w:rsid w:val="7BE349AD"/>
    <w:rsid w:val="7BE81ED3"/>
    <w:rsid w:val="7BE81FC4"/>
    <w:rsid w:val="7BE92EDF"/>
    <w:rsid w:val="7BF02DB2"/>
    <w:rsid w:val="7BF22E42"/>
    <w:rsid w:val="7BF73FB5"/>
    <w:rsid w:val="7BF85F7F"/>
    <w:rsid w:val="7BFA3AA5"/>
    <w:rsid w:val="7BFC5A6F"/>
    <w:rsid w:val="7C013085"/>
    <w:rsid w:val="7C016BE2"/>
    <w:rsid w:val="7C042B76"/>
    <w:rsid w:val="7C0466D2"/>
    <w:rsid w:val="7C05609E"/>
    <w:rsid w:val="7C06244A"/>
    <w:rsid w:val="7C064FD8"/>
    <w:rsid w:val="7C09018C"/>
    <w:rsid w:val="7C093CE8"/>
    <w:rsid w:val="7C0B3F04"/>
    <w:rsid w:val="7C0B69B5"/>
    <w:rsid w:val="7C105077"/>
    <w:rsid w:val="7C131926"/>
    <w:rsid w:val="7C1A4147"/>
    <w:rsid w:val="7C1A5EF5"/>
    <w:rsid w:val="7C1F52BA"/>
    <w:rsid w:val="7C26489A"/>
    <w:rsid w:val="7C266648"/>
    <w:rsid w:val="7C275A52"/>
    <w:rsid w:val="7C286864"/>
    <w:rsid w:val="7C2D4B10"/>
    <w:rsid w:val="7C2E374F"/>
    <w:rsid w:val="7C305719"/>
    <w:rsid w:val="7C323170"/>
    <w:rsid w:val="7C365A76"/>
    <w:rsid w:val="7C3B3EC8"/>
    <w:rsid w:val="7C3D05FE"/>
    <w:rsid w:val="7C43544C"/>
    <w:rsid w:val="7C47503C"/>
    <w:rsid w:val="7C4D0B50"/>
    <w:rsid w:val="7C547659"/>
    <w:rsid w:val="7C570EF7"/>
    <w:rsid w:val="7C5C650E"/>
    <w:rsid w:val="7C5D317F"/>
    <w:rsid w:val="7C5E3241"/>
    <w:rsid w:val="7C623C46"/>
    <w:rsid w:val="7C6349A9"/>
    <w:rsid w:val="7C694787"/>
    <w:rsid w:val="7C6D24C9"/>
    <w:rsid w:val="7C6E138E"/>
    <w:rsid w:val="7C6F6241"/>
    <w:rsid w:val="7C701FB9"/>
    <w:rsid w:val="7C705B15"/>
    <w:rsid w:val="7C75137E"/>
    <w:rsid w:val="7C751A11"/>
    <w:rsid w:val="7C765821"/>
    <w:rsid w:val="7C773348"/>
    <w:rsid w:val="7C7A2A6C"/>
    <w:rsid w:val="7C7C270C"/>
    <w:rsid w:val="7C813A8B"/>
    <w:rsid w:val="7C831CEC"/>
    <w:rsid w:val="7C843250"/>
    <w:rsid w:val="7C8617DD"/>
    <w:rsid w:val="7C8810B1"/>
    <w:rsid w:val="7C8D584A"/>
    <w:rsid w:val="7C8D66C7"/>
    <w:rsid w:val="7C8F243F"/>
    <w:rsid w:val="7C9619C8"/>
    <w:rsid w:val="7C9748D9"/>
    <w:rsid w:val="7C9874C1"/>
    <w:rsid w:val="7C9C6069"/>
    <w:rsid w:val="7CA0289E"/>
    <w:rsid w:val="7CA262E4"/>
    <w:rsid w:val="7CA33F3E"/>
    <w:rsid w:val="7CA3413D"/>
    <w:rsid w:val="7CA554B7"/>
    <w:rsid w:val="7CA757A6"/>
    <w:rsid w:val="7CA823A0"/>
    <w:rsid w:val="7CA8270B"/>
    <w:rsid w:val="7CAC1243"/>
    <w:rsid w:val="7CB00608"/>
    <w:rsid w:val="7CB24380"/>
    <w:rsid w:val="7CB65C1E"/>
    <w:rsid w:val="7CBE4AD3"/>
    <w:rsid w:val="7CBF6FEC"/>
    <w:rsid w:val="7CC3033B"/>
    <w:rsid w:val="7CC40FE0"/>
    <w:rsid w:val="7CC43843"/>
    <w:rsid w:val="7CC540B3"/>
    <w:rsid w:val="7CC55E61"/>
    <w:rsid w:val="7CCA0125"/>
    <w:rsid w:val="7CCB71F0"/>
    <w:rsid w:val="7CCE3522"/>
    <w:rsid w:val="7CD2057E"/>
    <w:rsid w:val="7CD42548"/>
    <w:rsid w:val="7CD45A10"/>
    <w:rsid w:val="7CD75B94"/>
    <w:rsid w:val="7CD9190C"/>
    <w:rsid w:val="7CD95DB0"/>
    <w:rsid w:val="7CDA3206"/>
    <w:rsid w:val="7CDD6772"/>
    <w:rsid w:val="7CE00EED"/>
    <w:rsid w:val="7CE64887"/>
    <w:rsid w:val="7CE87DA1"/>
    <w:rsid w:val="7CE94656"/>
    <w:rsid w:val="7CEA1D6C"/>
    <w:rsid w:val="7CF31B95"/>
    <w:rsid w:val="7CF36E72"/>
    <w:rsid w:val="7D0107D4"/>
    <w:rsid w:val="7D025DD1"/>
    <w:rsid w:val="7D07647A"/>
    <w:rsid w:val="7D0D7808"/>
    <w:rsid w:val="7D0E20A1"/>
    <w:rsid w:val="7D1105AE"/>
    <w:rsid w:val="7D1140D2"/>
    <w:rsid w:val="7D1142C2"/>
    <w:rsid w:val="7D146421"/>
    <w:rsid w:val="7D146DE8"/>
    <w:rsid w:val="7D15481B"/>
    <w:rsid w:val="7D162B61"/>
    <w:rsid w:val="7D16490F"/>
    <w:rsid w:val="7D172435"/>
    <w:rsid w:val="7D2012E9"/>
    <w:rsid w:val="7D20578D"/>
    <w:rsid w:val="7D292894"/>
    <w:rsid w:val="7D2F3C22"/>
    <w:rsid w:val="7D2F5470"/>
    <w:rsid w:val="7D3134F6"/>
    <w:rsid w:val="7D376065"/>
    <w:rsid w:val="7D380D29"/>
    <w:rsid w:val="7D382AD7"/>
    <w:rsid w:val="7D3B00B0"/>
    <w:rsid w:val="7D3B0787"/>
    <w:rsid w:val="7D3C25DC"/>
    <w:rsid w:val="7D3D605E"/>
    <w:rsid w:val="7D40198C"/>
    <w:rsid w:val="7D4059B8"/>
    <w:rsid w:val="7D423956"/>
    <w:rsid w:val="7D4476CE"/>
    <w:rsid w:val="7D485039"/>
    <w:rsid w:val="7D496A92"/>
    <w:rsid w:val="7D4A288D"/>
    <w:rsid w:val="7D500768"/>
    <w:rsid w:val="7D513857"/>
    <w:rsid w:val="7D52199B"/>
    <w:rsid w:val="7D524231"/>
    <w:rsid w:val="7D584F27"/>
    <w:rsid w:val="7D594994"/>
    <w:rsid w:val="7D5D253D"/>
    <w:rsid w:val="7D5D44CB"/>
    <w:rsid w:val="7D5F6DCD"/>
    <w:rsid w:val="7D6057A4"/>
    <w:rsid w:val="7D6116ED"/>
    <w:rsid w:val="7D6141DB"/>
    <w:rsid w:val="7D625DA6"/>
    <w:rsid w:val="7D6513F2"/>
    <w:rsid w:val="7D6C09D3"/>
    <w:rsid w:val="7D6E02A7"/>
    <w:rsid w:val="7D6E474B"/>
    <w:rsid w:val="7D6F401F"/>
    <w:rsid w:val="7D711B45"/>
    <w:rsid w:val="7D770681"/>
    <w:rsid w:val="7D7A66A9"/>
    <w:rsid w:val="7D7D0E27"/>
    <w:rsid w:val="7D8172FD"/>
    <w:rsid w:val="7D821FA4"/>
    <w:rsid w:val="7D843F76"/>
    <w:rsid w:val="7D87580C"/>
    <w:rsid w:val="7D8F021D"/>
    <w:rsid w:val="7D90492D"/>
    <w:rsid w:val="7D910439"/>
    <w:rsid w:val="7D926C74"/>
    <w:rsid w:val="7D9341B1"/>
    <w:rsid w:val="7D97610C"/>
    <w:rsid w:val="7D983576"/>
    <w:rsid w:val="7D9B4E14"/>
    <w:rsid w:val="7D9C12B8"/>
    <w:rsid w:val="7D9D3C24"/>
    <w:rsid w:val="7DA0242A"/>
    <w:rsid w:val="7DA243F4"/>
    <w:rsid w:val="7DA4082D"/>
    <w:rsid w:val="7DAA4898"/>
    <w:rsid w:val="7DAE4B47"/>
    <w:rsid w:val="7DAF266D"/>
    <w:rsid w:val="7DB12889"/>
    <w:rsid w:val="7DB36601"/>
    <w:rsid w:val="7DB52379"/>
    <w:rsid w:val="7DB807A8"/>
    <w:rsid w:val="7DB879AC"/>
    <w:rsid w:val="7DBA7990"/>
    <w:rsid w:val="7DBD5EEA"/>
    <w:rsid w:val="7DBD692C"/>
    <w:rsid w:val="7DC1133C"/>
    <w:rsid w:val="7DC3464B"/>
    <w:rsid w:val="7DC425BD"/>
    <w:rsid w:val="7DC47C46"/>
    <w:rsid w:val="7DC62DEE"/>
    <w:rsid w:val="7DC73E5B"/>
    <w:rsid w:val="7DCB087D"/>
    <w:rsid w:val="7DCE076E"/>
    <w:rsid w:val="7DD10836"/>
    <w:rsid w:val="7DD56578"/>
    <w:rsid w:val="7DDA2BED"/>
    <w:rsid w:val="7DE06CCB"/>
    <w:rsid w:val="7DE47BFE"/>
    <w:rsid w:val="7DE62533"/>
    <w:rsid w:val="7DE95B7F"/>
    <w:rsid w:val="7DEB4B90"/>
    <w:rsid w:val="7DEE13E8"/>
    <w:rsid w:val="7DF509C8"/>
    <w:rsid w:val="7DF764EE"/>
    <w:rsid w:val="7DF91B29"/>
    <w:rsid w:val="7DFC1D56"/>
    <w:rsid w:val="7DFC3B04"/>
    <w:rsid w:val="7DFD162B"/>
    <w:rsid w:val="7E0155BF"/>
    <w:rsid w:val="7E0429B9"/>
    <w:rsid w:val="7E0C61FA"/>
    <w:rsid w:val="7E0C7AC0"/>
    <w:rsid w:val="7E132BFC"/>
    <w:rsid w:val="7E1450BE"/>
    <w:rsid w:val="7E153B4B"/>
    <w:rsid w:val="7E1857BB"/>
    <w:rsid w:val="7E1A695A"/>
    <w:rsid w:val="7E1B7FCF"/>
    <w:rsid w:val="7E1F36F3"/>
    <w:rsid w:val="7E1F77F3"/>
    <w:rsid w:val="7E244E09"/>
    <w:rsid w:val="7E24557B"/>
    <w:rsid w:val="7E2766A8"/>
    <w:rsid w:val="7E2B6198"/>
    <w:rsid w:val="7E3037AE"/>
    <w:rsid w:val="7E317410"/>
    <w:rsid w:val="7E3239CA"/>
    <w:rsid w:val="7E3C0429"/>
    <w:rsid w:val="7E412536"/>
    <w:rsid w:val="7E417769"/>
    <w:rsid w:val="7E434848"/>
    <w:rsid w:val="7E4454AB"/>
    <w:rsid w:val="7E447259"/>
    <w:rsid w:val="7E464D80"/>
    <w:rsid w:val="7E490D14"/>
    <w:rsid w:val="7E4D4360"/>
    <w:rsid w:val="7E4D7032"/>
    <w:rsid w:val="7E503F66"/>
    <w:rsid w:val="7E544334"/>
    <w:rsid w:val="7E584AB3"/>
    <w:rsid w:val="7E587B76"/>
    <w:rsid w:val="7E5971A9"/>
    <w:rsid w:val="7E5C0A47"/>
    <w:rsid w:val="7E5E656D"/>
    <w:rsid w:val="7E605A89"/>
    <w:rsid w:val="7E6601A1"/>
    <w:rsid w:val="7E6873EC"/>
    <w:rsid w:val="7E697C9B"/>
    <w:rsid w:val="7E6A3164"/>
    <w:rsid w:val="7E6D3F21"/>
    <w:rsid w:val="7E6F077A"/>
    <w:rsid w:val="7E762BF0"/>
    <w:rsid w:val="7E7A0C20"/>
    <w:rsid w:val="7E7A0ECD"/>
    <w:rsid w:val="7E7A711F"/>
    <w:rsid w:val="7E7E6C0F"/>
    <w:rsid w:val="7E7F0292"/>
    <w:rsid w:val="7E7F0A31"/>
    <w:rsid w:val="7E7F4735"/>
    <w:rsid w:val="7E8104AE"/>
    <w:rsid w:val="7E842B7C"/>
    <w:rsid w:val="7E843AFA"/>
    <w:rsid w:val="7E8458A8"/>
    <w:rsid w:val="7E8835EA"/>
    <w:rsid w:val="7E885398"/>
    <w:rsid w:val="7E8D44C5"/>
    <w:rsid w:val="7E90249F"/>
    <w:rsid w:val="7E9276DB"/>
    <w:rsid w:val="7E9401E1"/>
    <w:rsid w:val="7E9957F7"/>
    <w:rsid w:val="7E9C2DFB"/>
    <w:rsid w:val="7E9E2E0E"/>
    <w:rsid w:val="7E9F65A9"/>
    <w:rsid w:val="7EA06941"/>
    <w:rsid w:val="7EA321D2"/>
    <w:rsid w:val="7EA47CF8"/>
    <w:rsid w:val="7EA5419C"/>
    <w:rsid w:val="7EA80358"/>
    <w:rsid w:val="7EAA6328"/>
    <w:rsid w:val="7EAF501B"/>
    <w:rsid w:val="7EB16CB8"/>
    <w:rsid w:val="7EB50157"/>
    <w:rsid w:val="7EB937A4"/>
    <w:rsid w:val="7EC37778"/>
    <w:rsid w:val="7EC700C0"/>
    <w:rsid w:val="7EC80CAE"/>
    <w:rsid w:val="7EC87E8B"/>
    <w:rsid w:val="7ECA59B1"/>
    <w:rsid w:val="7ECB797B"/>
    <w:rsid w:val="7ED122C0"/>
    <w:rsid w:val="7ED2210B"/>
    <w:rsid w:val="7ED3279D"/>
    <w:rsid w:val="7ED40809"/>
    <w:rsid w:val="7ED625A7"/>
    <w:rsid w:val="7ED92098"/>
    <w:rsid w:val="7EDB2E5B"/>
    <w:rsid w:val="7EDB5E10"/>
    <w:rsid w:val="7EE00101"/>
    <w:rsid w:val="7EE66563"/>
    <w:rsid w:val="7EEC1DCB"/>
    <w:rsid w:val="7EEF6D5A"/>
    <w:rsid w:val="7EEF71C5"/>
    <w:rsid w:val="7EF14E95"/>
    <w:rsid w:val="7EF50554"/>
    <w:rsid w:val="7EF55188"/>
    <w:rsid w:val="7EF7251E"/>
    <w:rsid w:val="7EF944E8"/>
    <w:rsid w:val="7F0709B3"/>
    <w:rsid w:val="7F080287"/>
    <w:rsid w:val="7F08297D"/>
    <w:rsid w:val="7F0D1FD5"/>
    <w:rsid w:val="7F127358"/>
    <w:rsid w:val="7F1C1F84"/>
    <w:rsid w:val="7F1D0AA7"/>
    <w:rsid w:val="7F1E3F4E"/>
    <w:rsid w:val="7F264BB1"/>
    <w:rsid w:val="7F290442"/>
    <w:rsid w:val="7F2B77A3"/>
    <w:rsid w:val="7F2C21C7"/>
    <w:rsid w:val="7F2D5F40"/>
    <w:rsid w:val="7F2E23E3"/>
    <w:rsid w:val="7F2F1CB8"/>
    <w:rsid w:val="7F354B67"/>
    <w:rsid w:val="7F376DBE"/>
    <w:rsid w:val="7F390D88"/>
    <w:rsid w:val="7F3A0649"/>
    <w:rsid w:val="7F3B065C"/>
    <w:rsid w:val="7F3C0166"/>
    <w:rsid w:val="7F403EC5"/>
    <w:rsid w:val="7F4079CE"/>
    <w:rsid w:val="7F41056D"/>
    <w:rsid w:val="7F435763"/>
    <w:rsid w:val="7F4831CC"/>
    <w:rsid w:val="7F541ADA"/>
    <w:rsid w:val="7F56028B"/>
    <w:rsid w:val="7F5931D8"/>
    <w:rsid w:val="7F5A2D7D"/>
    <w:rsid w:val="7F5D4A77"/>
    <w:rsid w:val="7F5D6825"/>
    <w:rsid w:val="7F5E0B4D"/>
    <w:rsid w:val="7F5E259D"/>
    <w:rsid w:val="7F6000C3"/>
    <w:rsid w:val="7F601682"/>
    <w:rsid w:val="7F606315"/>
    <w:rsid w:val="7F625BE9"/>
    <w:rsid w:val="7F64102F"/>
    <w:rsid w:val="7F666489"/>
    <w:rsid w:val="7F6B740A"/>
    <w:rsid w:val="7F6C4CBA"/>
    <w:rsid w:val="7F737DF6"/>
    <w:rsid w:val="7F74591C"/>
    <w:rsid w:val="7F7678E7"/>
    <w:rsid w:val="7F7D6EC7"/>
    <w:rsid w:val="7F7F75B6"/>
    <w:rsid w:val="7F8244DD"/>
    <w:rsid w:val="7F855D7C"/>
    <w:rsid w:val="7F857B2A"/>
    <w:rsid w:val="7F8813C8"/>
    <w:rsid w:val="7F8C710A"/>
    <w:rsid w:val="7F8D69DE"/>
    <w:rsid w:val="7F8F7C89"/>
    <w:rsid w:val="7F947D6D"/>
    <w:rsid w:val="7F954211"/>
    <w:rsid w:val="7F9935D5"/>
    <w:rsid w:val="7F9D1317"/>
    <w:rsid w:val="7F9E2999"/>
    <w:rsid w:val="7F9F6E3D"/>
    <w:rsid w:val="7FA02BB5"/>
    <w:rsid w:val="7FA224A6"/>
    <w:rsid w:val="7FAB3A34"/>
    <w:rsid w:val="7FAC50B6"/>
    <w:rsid w:val="7FAC7379"/>
    <w:rsid w:val="7FB56661"/>
    <w:rsid w:val="7FB66851"/>
    <w:rsid w:val="7FBB79EF"/>
    <w:rsid w:val="7FC10C41"/>
    <w:rsid w:val="7FC248DA"/>
    <w:rsid w:val="7FC5261C"/>
    <w:rsid w:val="7FC91A48"/>
    <w:rsid w:val="7FCA0259"/>
    <w:rsid w:val="7FCB7C32"/>
    <w:rsid w:val="7FCF08A9"/>
    <w:rsid w:val="7FD05249"/>
    <w:rsid w:val="7FD30EB8"/>
    <w:rsid w:val="7FD64829"/>
    <w:rsid w:val="7FD82DA2"/>
    <w:rsid w:val="7FD82F57"/>
    <w:rsid w:val="7FDA1C8A"/>
    <w:rsid w:val="7FDA60C7"/>
    <w:rsid w:val="7FDD5BB8"/>
    <w:rsid w:val="7FE40CF4"/>
    <w:rsid w:val="7FE707E4"/>
    <w:rsid w:val="7FE8327D"/>
    <w:rsid w:val="7FE9630A"/>
    <w:rsid w:val="7FEA3E31"/>
    <w:rsid w:val="7FEC35BC"/>
    <w:rsid w:val="7FF01447"/>
    <w:rsid w:val="7FF30F37"/>
    <w:rsid w:val="7FF52F01"/>
    <w:rsid w:val="7FF54D64"/>
    <w:rsid w:val="7FF56A5D"/>
    <w:rsid w:val="7FF76723"/>
    <w:rsid w:val="7FF802FC"/>
    <w:rsid w:val="7FF8479F"/>
    <w:rsid w:val="7FFB603E"/>
    <w:rsid w:val="7FFF399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nhideWhenUsed="0" w:uiPriority="1" w:semiHidden="0" w:name="heading 2"/>
    <w:lsdException w:qFormat="1" w:uiPriority="0" w:semiHidden="0" w:name="heading 3"/>
    <w:lsdException w:qFormat="1" w:unhideWhenUsed="0" w:uiPriority="0"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iPriority="0" w:semiHidden="0"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spacing w:before="0" w:after="0" w:line="360" w:lineRule="auto"/>
      <w:ind w:left="0" w:right="0" w:firstLine="562" w:firstLineChars="200"/>
      <w:jc w:val="left"/>
    </w:pPr>
    <w:rPr>
      <w:rFonts w:ascii="Times New Roman" w:hAnsi="Times New Roman" w:eastAsia="宋体" w:cs="宋体"/>
      <w:sz w:val="24"/>
      <w:szCs w:val="22"/>
      <w:lang w:val="zh-CN" w:eastAsia="zh-CN" w:bidi="zh-CN"/>
    </w:rPr>
  </w:style>
  <w:style w:type="paragraph" w:styleId="3">
    <w:name w:val="heading 1"/>
    <w:basedOn w:val="1"/>
    <w:next w:val="1"/>
    <w:qFormat/>
    <w:uiPriority w:val="1"/>
    <w:pPr>
      <w:spacing w:line="360" w:lineRule="auto"/>
      <w:ind w:left="0" w:firstLine="0"/>
      <w:jc w:val="center"/>
      <w:outlineLvl w:val="0"/>
    </w:pPr>
    <w:rPr>
      <w:rFonts w:ascii="Times New Roman" w:hAnsi="Times New Roman" w:eastAsia="宋体" w:cs="Times New Roman"/>
      <w:b/>
      <w:bCs/>
      <w:sz w:val="36"/>
      <w:szCs w:val="28"/>
    </w:rPr>
  </w:style>
  <w:style w:type="paragraph" w:styleId="4">
    <w:name w:val="heading 2"/>
    <w:basedOn w:val="1"/>
    <w:next w:val="1"/>
    <w:link w:val="46"/>
    <w:qFormat/>
    <w:uiPriority w:val="1"/>
    <w:pPr>
      <w:spacing w:line="360" w:lineRule="auto"/>
      <w:ind w:left="0"/>
      <w:outlineLvl w:val="1"/>
    </w:pPr>
    <w:rPr>
      <w:rFonts w:ascii="Times New Roman" w:hAnsi="Times New Roman" w:eastAsia="宋体" w:cs="Times New Roman"/>
      <w:b/>
      <w:bCs/>
      <w:sz w:val="30"/>
      <w:szCs w:val="24"/>
    </w:rPr>
  </w:style>
  <w:style w:type="paragraph" w:styleId="5">
    <w:name w:val="heading 3"/>
    <w:basedOn w:val="1"/>
    <w:next w:val="1"/>
    <w:link w:val="47"/>
    <w:unhideWhenUsed/>
    <w:qFormat/>
    <w:uiPriority w:val="0"/>
    <w:pPr>
      <w:keepNext/>
      <w:keepLines/>
      <w:spacing w:beforeLines="0" w:beforeAutospacing="0" w:afterLines="0" w:afterAutospacing="0" w:line="360" w:lineRule="auto"/>
      <w:outlineLvl w:val="2"/>
    </w:pPr>
    <w:rPr>
      <w:rFonts w:ascii="Times New Roman" w:hAnsi="Times New Roman" w:eastAsia="宋体" w:cs="Times New Roman"/>
      <w:b/>
      <w:sz w:val="28"/>
    </w:rPr>
  </w:style>
  <w:style w:type="paragraph" w:styleId="6">
    <w:name w:val="heading 4"/>
    <w:basedOn w:val="1"/>
    <w:next w:val="1"/>
    <w:qFormat/>
    <w:uiPriority w:val="0"/>
    <w:pPr>
      <w:keepNext/>
      <w:keepLines/>
      <w:spacing w:line="360" w:lineRule="auto"/>
      <w:outlineLvl w:val="3"/>
    </w:pPr>
    <w:rPr>
      <w:rFonts w:ascii="Times New Roman" w:hAnsi="Times New Roman" w:eastAsia="宋体" w:cs="Times New Roman"/>
      <w:b/>
      <w:sz w:val="24"/>
      <w:szCs w:val="24"/>
    </w:rPr>
  </w:style>
  <w:style w:type="paragraph" w:styleId="7">
    <w:name w:val="heading 6"/>
    <w:basedOn w:val="1"/>
    <w:next w:val="1"/>
    <w:qFormat/>
    <w:uiPriority w:val="0"/>
    <w:pPr>
      <w:keepNext/>
      <w:keepLines/>
      <w:spacing w:before="240" w:after="64" w:line="320" w:lineRule="auto"/>
      <w:outlineLvl w:val="5"/>
    </w:pPr>
    <w:rPr>
      <w:rFonts w:ascii="Arial" w:hAnsi="Arial" w:eastAsia="黑体"/>
      <w:b/>
      <w:bCs/>
      <w:sz w:val="24"/>
    </w:rPr>
  </w:style>
  <w:style w:type="character" w:default="1" w:styleId="29">
    <w:name w:val="Default Paragraph Font"/>
    <w:unhideWhenUsed/>
    <w:qFormat/>
    <w:uiPriority w:val="1"/>
  </w:style>
  <w:style w:type="table" w:default="1" w:styleId="27">
    <w:name w:val="Normal Table"/>
    <w:semiHidden/>
    <w:qFormat/>
    <w:uiPriority w:val="0"/>
    <w:tblPr>
      <w:tblCellMar>
        <w:top w:w="0" w:type="dxa"/>
        <w:left w:w="108" w:type="dxa"/>
        <w:bottom w:w="0" w:type="dxa"/>
        <w:right w:w="108" w:type="dxa"/>
      </w:tblCellMar>
    </w:tblPr>
  </w:style>
  <w:style w:type="paragraph" w:styleId="2">
    <w:name w:val="header"/>
    <w:basedOn w:val="1"/>
    <w:next w:val="1"/>
    <w:link w:val="5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Indent"/>
    <w:basedOn w:val="1"/>
    <w:next w:val="1"/>
    <w:qFormat/>
    <w:uiPriority w:val="0"/>
    <w:pPr>
      <w:adjustRightInd w:val="0"/>
      <w:snapToGrid w:val="0"/>
      <w:spacing w:line="300" w:lineRule="auto"/>
      <w:ind w:firstLine="420"/>
    </w:pPr>
    <w:rPr>
      <w:rFonts w:ascii="宋体" w:hAnsi="PMingLiU"/>
      <w:szCs w:val="24"/>
    </w:rPr>
  </w:style>
  <w:style w:type="paragraph" w:styleId="9">
    <w:name w:val="caption"/>
    <w:basedOn w:val="1"/>
    <w:next w:val="1"/>
    <w:qFormat/>
    <w:uiPriority w:val="0"/>
    <w:pPr>
      <w:spacing w:line="240" w:lineRule="auto"/>
      <w:ind w:left="-48" w:leftChars="-20" w:right="-48" w:rightChars="-20" w:firstLine="0" w:firstLineChars="0"/>
      <w:jc w:val="center"/>
    </w:pPr>
    <w:rPr>
      <w:sz w:val="21"/>
      <w:szCs w:val="20"/>
    </w:rPr>
  </w:style>
  <w:style w:type="paragraph" w:styleId="10">
    <w:name w:val="annotation text"/>
    <w:basedOn w:val="1"/>
    <w:qFormat/>
    <w:uiPriority w:val="0"/>
    <w:pPr>
      <w:jc w:val="left"/>
    </w:pPr>
  </w:style>
  <w:style w:type="paragraph" w:styleId="11">
    <w:name w:val="Body Text"/>
    <w:basedOn w:val="1"/>
    <w:unhideWhenUsed/>
    <w:qFormat/>
    <w:uiPriority w:val="0"/>
    <w:pPr>
      <w:spacing w:after="120"/>
    </w:pPr>
  </w:style>
  <w:style w:type="paragraph" w:styleId="12">
    <w:name w:val="Body Text Indent"/>
    <w:basedOn w:val="1"/>
    <w:semiHidden/>
    <w:qFormat/>
    <w:uiPriority w:val="0"/>
    <w:pPr>
      <w:spacing w:after="120"/>
      <w:ind w:left="420" w:leftChars="200"/>
    </w:pPr>
  </w:style>
  <w:style w:type="paragraph" w:styleId="13">
    <w:name w:val="Block Text"/>
    <w:basedOn w:val="1"/>
    <w:unhideWhenUsed/>
    <w:qFormat/>
    <w:uiPriority w:val="99"/>
    <w:pPr>
      <w:adjustRightInd/>
      <w:snapToGrid/>
      <w:spacing w:line="240" w:lineRule="auto"/>
      <w:ind w:left="-359" w:leftChars="-171" w:right="-334" w:rightChars="-159" w:firstLine="538" w:firstLineChars="192"/>
    </w:pPr>
    <w:rPr>
      <w:sz w:val="28"/>
      <w:szCs w:val="24"/>
    </w:rPr>
  </w:style>
  <w:style w:type="paragraph" w:styleId="14">
    <w:name w:val="toc 3"/>
    <w:basedOn w:val="1"/>
    <w:next w:val="1"/>
    <w:qFormat/>
    <w:uiPriority w:val="0"/>
    <w:pPr>
      <w:ind w:left="840" w:leftChars="400"/>
    </w:pPr>
  </w:style>
  <w:style w:type="paragraph" w:styleId="15">
    <w:name w:val="Plain Text"/>
    <w:basedOn w:val="1"/>
    <w:unhideWhenUsed/>
    <w:qFormat/>
    <w:uiPriority w:val="0"/>
    <w:rPr>
      <w:rFonts w:ascii="宋体" w:hAnsi="Courier New" w:cs="Courier New"/>
    </w:rPr>
  </w:style>
  <w:style w:type="paragraph" w:styleId="16">
    <w:name w:val="Body Text Indent 2"/>
    <w:basedOn w:val="1"/>
    <w:qFormat/>
    <w:uiPriority w:val="0"/>
    <w:pPr>
      <w:spacing w:line="560" w:lineRule="exact"/>
      <w:ind w:firstLine="573"/>
    </w:pPr>
    <w:rPr>
      <w:rFonts w:ascii="宋体" w:hAnsi="宋体"/>
      <w:sz w:val="28"/>
    </w:rPr>
  </w:style>
  <w:style w:type="paragraph" w:styleId="17">
    <w:name w:val="footer"/>
    <w:basedOn w:val="1"/>
    <w:link w:val="57"/>
    <w:qFormat/>
    <w:uiPriority w:val="0"/>
    <w:pPr>
      <w:tabs>
        <w:tab w:val="center" w:pos="4153"/>
        <w:tab w:val="right" w:pos="8306"/>
      </w:tabs>
      <w:snapToGrid w:val="0"/>
      <w:jc w:val="left"/>
    </w:pPr>
    <w:rPr>
      <w:sz w:val="18"/>
    </w:rPr>
  </w:style>
  <w:style w:type="paragraph" w:styleId="18">
    <w:name w:val="toc 1"/>
    <w:basedOn w:val="1"/>
    <w:next w:val="1"/>
    <w:qFormat/>
    <w:uiPriority w:val="0"/>
  </w:style>
  <w:style w:type="paragraph" w:styleId="19">
    <w:name w:val="index heading"/>
    <w:basedOn w:val="1"/>
    <w:next w:val="20"/>
    <w:qFormat/>
    <w:uiPriority w:val="0"/>
    <w:rPr>
      <w:szCs w:val="20"/>
    </w:rPr>
  </w:style>
  <w:style w:type="paragraph" w:styleId="20">
    <w:name w:val="index 1"/>
    <w:basedOn w:val="1"/>
    <w:next w:val="1"/>
    <w:unhideWhenUsed/>
    <w:qFormat/>
    <w:uiPriority w:val="0"/>
  </w:style>
  <w:style w:type="paragraph" w:styleId="21">
    <w:name w:val="toc 2"/>
    <w:basedOn w:val="1"/>
    <w:next w:val="1"/>
    <w:qFormat/>
    <w:uiPriority w:val="0"/>
    <w:pPr>
      <w:ind w:left="420" w:leftChars="200"/>
    </w:pPr>
  </w:style>
  <w:style w:type="paragraph" w:styleId="22">
    <w:name w:val="Body Text 2"/>
    <w:basedOn w:val="1"/>
    <w:qFormat/>
    <w:uiPriority w:val="0"/>
    <w:pPr>
      <w:widowControl w:val="0"/>
      <w:spacing w:after="120" w:line="480" w:lineRule="auto"/>
      <w:jc w:val="both"/>
    </w:pPr>
    <w:rPr>
      <w:rFonts w:ascii="Times New Roman" w:hAnsi="Times New Roman" w:cs="Times New Roman"/>
      <w:kern w:val="2"/>
      <w:sz w:val="21"/>
    </w:rPr>
  </w:style>
  <w:style w:type="paragraph" w:styleId="23">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黑体" w:hAnsi="Courier New" w:eastAsia="黑体" w:cs="Courier New"/>
      <w:kern w:val="0"/>
      <w:sz w:val="20"/>
      <w:szCs w:val="20"/>
    </w:rPr>
  </w:style>
  <w:style w:type="paragraph" w:styleId="24">
    <w:name w:val="Normal (Web)"/>
    <w:basedOn w:val="1"/>
    <w:qFormat/>
    <w:uiPriority w:val="0"/>
    <w:pPr>
      <w:spacing w:before="0" w:beforeAutospacing="0" w:after="0" w:afterAutospacing="0"/>
      <w:ind w:left="0" w:right="0"/>
      <w:jc w:val="left"/>
    </w:pPr>
    <w:rPr>
      <w:rFonts w:hint="default" w:ascii="Calibri" w:hAnsi="Calibri" w:cs="Calibri"/>
      <w:kern w:val="0"/>
      <w:sz w:val="24"/>
      <w:szCs w:val="24"/>
      <w:lang w:val="en-US" w:eastAsia="zh-CN" w:bidi="ar"/>
    </w:rPr>
  </w:style>
  <w:style w:type="paragraph" w:styleId="25">
    <w:name w:val="Body Text First Indent"/>
    <w:basedOn w:val="11"/>
    <w:next w:val="1"/>
    <w:qFormat/>
    <w:uiPriority w:val="0"/>
    <w:pPr>
      <w:ind w:firstLine="420" w:firstLineChars="100"/>
    </w:pPr>
  </w:style>
  <w:style w:type="paragraph" w:styleId="26">
    <w:name w:val="Body Text First Indent 2"/>
    <w:basedOn w:val="12"/>
    <w:next w:val="12"/>
    <w:qFormat/>
    <w:uiPriority w:val="0"/>
    <w:pPr>
      <w:ind w:firstLine="420" w:firstLineChars="200"/>
    </w:pPr>
    <w:rPr>
      <w:rFonts w:ascii="Calibri" w:hAnsi="Calibri"/>
      <w:sz w:val="28"/>
      <w:szCs w:val="22"/>
    </w:rPr>
  </w:style>
  <w:style w:type="table" w:styleId="28">
    <w:name w:val="Table Grid"/>
    <w:basedOn w:val="27"/>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0">
    <w:name w:val="Strong"/>
    <w:basedOn w:val="29"/>
    <w:qFormat/>
    <w:uiPriority w:val="0"/>
    <w:rPr>
      <w:b/>
    </w:rPr>
  </w:style>
  <w:style w:type="character" w:styleId="31">
    <w:name w:val="FollowedHyperlink"/>
    <w:basedOn w:val="29"/>
    <w:qFormat/>
    <w:uiPriority w:val="0"/>
    <w:rPr>
      <w:color w:val="000000"/>
      <w:u w:val="none"/>
    </w:rPr>
  </w:style>
  <w:style w:type="character" w:styleId="32">
    <w:name w:val="Emphasis"/>
    <w:basedOn w:val="29"/>
    <w:qFormat/>
    <w:uiPriority w:val="0"/>
  </w:style>
  <w:style w:type="character" w:styleId="33">
    <w:name w:val="Hyperlink"/>
    <w:basedOn w:val="29"/>
    <w:qFormat/>
    <w:uiPriority w:val="0"/>
    <w:rPr>
      <w:color w:val="000000"/>
      <w:u w:val="none"/>
    </w:rPr>
  </w:style>
  <w:style w:type="character" w:styleId="34">
    <w:name w:val="HTML Cite"/>
    <w:basedOn w:val="29"/>
    <w:qFormat/>
    <w:uiPriority w:val="0"/>
  </w:style>
  <w:style w:type="paragraph" w:customStyle="1" w:styleId="35">
    <w:name w:val="Default"/>
    <w:basedOn w:val="36"/>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36">
    <w:name w:val="纯文本1"/>
    <w:basedOn w:val="1"/>
    <w:qFormat/>
    <w:uiPriority w:val="0"/>
    <w:rPr>
      <w:rFonts w:ascii="宋体" w:hAnsi="Courier New"/>
    </w:rPr>
  </w:style>
  <w:style w:type="paragraph" w:customStyle="1" w:styleId="37">
    <w:name w:val="1 表头"/>
    <w:basedOn w:val="1"/>
    <w:qFormat/>
    <w:uiPriority w:val="0"/>
    <w:pPr>
      <w:adjustRightInd w:val="0"/>
      <w:snapToGrid w:val="0"/>
      <w:spacing w:line="240" w:lineRule="auto"/>
      <w:ind w:firstLine="0" w:firstLineChars="0"/>
      <w:jc w:val="center"/>
    </w:pPr>
    <w:rPr>
      <w:b/>
      <w:color w:val="000000"/>
      <w:sz w:val="21"/>
      <w:szCs w:val="21"/>
    </w:rPr>
  </w:style>
  <w:style w:type="paragraph" w:customStyle="1" w:styleId="38">
    <w:name w:val="批注文字1"/>
    <w:qFormat/>
    <w:uiPriority w:val="0"/>
    <w:pPr>
      <w:widowControl w:val="0"/>
    </w:pPr>
    <w:rPr>
      <w:rFonts w:ascii="Calibri" w:hAnsi="Calibri" w:eastAsia="Calibri" w:cs="Times New Roman"/>
      <w:color w:val="000000"/>
      <w:kern w:val="2"/>
      <w:sz w:val="21"/>
      <w:szCs w:val="24"/>
      <w:lang w:val="en-US" w:eastAsia="zh-CN" w:bidi="ar-SA"/>
    </w:rPr>
  </w:style>
  <w:style w:type="paragraph" w:customStyle="1" w:styleId="39">
    <w:name w:val="正文首行缩进  2字符"/>
    <w:basedOn w:val="1"/>
    <w:autoRedefine/>
    <w:qFormat/>
    <w:uiPriority w:val="0"/>
    <w:pPr>
      <w:widowControl/>
      <w:ind w:firstLine="480"/>
      <w:jc w:val="left"/>
    </w:pPr>
    <w:rPr>
      <w:szCs w:val="20"/>
    </w:rPr>
  </w:style>
  <w:style w:type="paragraph" w:customStyle="1" w:styleId="40">
    <w:name w:val="样式 正文文本缩进 + 行距: 1.5 倍行距"/>
    <w:basedOn w:val="12"/>
    <w:qFormat/>
    <w:uiPriority w:val="0"/>
    <w:pPr>
      <w:spacing w:line="360" w:lineRule="auto"/>
      <w:ind w:firstLine="560"/>
    </w:pPr>
    <w:rPr>
      <w:rFonts w:cs="宋体"/>
      <w:sz w:val="28"/>
    </w:rPr>
  </w:style>
  <w:style w:type="table" w:customStyle="1" w:styleId="41">
    <w:name w:val="Table Normal"/>
    <w:semiHidden/>
    <w:unhideWhenUsed/>
    <w:qFormat/>
    <w:uiPriority w:val="2"/>
    <w:tblPr>
      <w:tblCellMar>
        <w:top w:w="0" w:type="dxa"/>
        <w:left w:w="0" w:type="dxa"/>
        <w:bottom w:w="0" w:type="dxa"/>
        <w:right w:w="0" w:type="dxa"/>
      </w:tblCellMar>
    </w:tblPr>
  </w:style>
  <w:style w:type="paragraph" w:customStyle="1" w:styleId="42">
    <w:name w:val="表格-0.3"/>
    <w:qFormat/>
    <w:uiPriority w:val="0"/>
    <w:pPr>
      <w:keepNext/>
      <w:tabs>
        <w:tab w:val="left" w:pos="737"/>
      </w:tabs>
      <w:adjustRightInd w:val="0"/>
      <w:snapToGrid w:val="0"/>
      <w:spacing w:line="240" w:lineRule="auto"/>
      <w:ind w:left="-66" w:leftChars="-30" w:right="-66" w:rightChars="-30"/>
      <w:jc w:val="center"/>
    </w:pPr>
    <w:rPr>
      <w:rFonts w:ascii="Times New Roman" w:hAnsi="Times New Roman" w:eastAsia="宋体" w:cs="Times New Roman"/>
      <w:sz w:val="21"/>
      <w:szCs w:val="24"/>
    </w:rPr>
  </w:style>
  <w:style w:type="paragraph" w:customStyle="1" w:styleId="43">
    <w:name w:val="表头"/>
    <w:basedOn w:val="44"/>
    <w:qFormat/>
    <w:uiPriority w:val="0"/>
    <w:pPr>
      <w:spacing w:before="50" w:beforeLines="50" w:line="240" w:lineRule="auto"/>
      <w:ind w:firstLine="0" w:firstLineChars="0"/>
      <w:jc w:val="center"/>
    </w:pPr>
    <w:rPr>
      <w:rFonts w:ascii="Times New Roman" w:hAnsi="Times New Roman" w:eastAsia="宋体" w:cs="Times New Roman"/>
      <w:b/>
      <w:sz w:val="24"/>
      <w:szCs w:val="24"/>
    </w:rPr>
  </w:style>
  <w:style w:type="paragraph" w:customStyle="1" w:styleId="44">
    <w:name w:val="文本"/>
    <w:basedOn w:val="1"/>
    <w:autoRedefine/>
    <w:qFormat/>
    <w:uiPriority w:val="0"/>
    <w:pPr>
      <w:adjustRightInd w:val="0"/>
      <w:snapToGrid w:val="0"/>
      <w:spacing w:line="440" w:lineRule="exact"/>
      <w:ind w:firstLine="480" w:firstLineChars="200"/>
    </w:pPr>
    <w:rPr>
      <w:rFonts w:ascii="宋体" w:hAnsi="宋体"/>
      <w:sz w:val="24"/>
    </w:rPr>
  </w:style>
  <w:style w:type="paragraph" w:customStyle="1" w:styleId="45">
    <w:name w:val="表格-0.1"/>
    <w:qFormat/>
    <w:uiPriority w:val="0"/>
    <w:pPr>
      <w:spacing w:line="240" w:lineRule="auto"/>
      <w:ind w:left="-22" w:leftChars="-10" w:right="-22" w:rightChars="-10"/>
      <w:jc w:val="center"/>
    </w:pPr>
    <w:rPr>
      <w:rFonts w:ascii="Times New Roman" w:hAnsi="Times New Roman" w:eastAsia="宋体" w:cs="Times New Roman"/>
      <w:snapToGrid w:val="0"/>
      <w:sz w:val="21"/>
      <w:szCs w:val="21"/>
    </w:rPr>
  </w:style>
  <w:style w:type="character" w:customStyle="1" w:styleId="46">
    <w:name w:val="标题 2 Char"/>
    <w:link w:val="4"/>
    <w:qFormat/>
    <w:uiPriority w:val="1"/>
    <w:rPr>
      <w:rFonts w:ascii="Times New Roman" w:hAnsi="Times New Roman" w:eastAsia="宋体"/>
      <w:b/>
      <w:bCs/>
      <w:sz w:val="30"/>
      <w:szCs w:val="24"/>
    </w:rPr>
  </w:style>
  <w:style w:type="character" w:customStyle="1" w:styleId="47">
    <w:name w:val="标题 3 Char"/>
    <w:link w:val="5"/>
    <w:qFormat/>
    <w:uiPriority w:val="0"/>
    <w:rPr>
      <w:rFonts w:ascii="Times New Roman" w:hAnsi="Times New Roman" w:eastAsia="宋体"/>
      <w:b/>
      <w:sz w:val="28"/>
    </w:rPr>
  </w:style>
  <w:style w:type="paragraph" w:customStyle="1" w:styleId="48">
    <w:name w:val="表格-0"/>
    <w:qFormat/>
    <w:uiPriority w:val="0"/>
    <w:pPr>
      <w:widowControl/>
      <w:autoSpaceDE/>
      <w:autoSpaceDN/>
      <w:spacing w:line="240" w:lineRule="auto"/>
      <w:ind w:right="0" w:rightChars="0" w:firstLine="0" w:firstLineChars="0"/>
      <w:jc w:val="left"/>
    </w:pPr>
    <w:rPr>
      <w:rFonts w:ascii="Times New Roman" w:hAnsi="Times New Roman" w:eastAsia="宋体" w:cs="Times New Roman"/>
      <w:snapToGrid w:val="0"/>
      <w:sz w:val="21"/>
      <w:szCs w:val="21"/>
    </w:rPr>
  </w:style>
  <w:style w:type="paragraph" w:customStyle="1" w:styleId="49">
    <w:name w:val="缩进"/>
    <w:basedOn w:val="1"/>
    <w:qFormat/>
    <w:uiPriority w:val="0"/>
    <w:pPr>
      <w:autoSpaceDE w:val="0"/>
      <w:autoSpaceDN w:val="0"/>
      <w:adjustRightInd w:val="0"/>
      <w:spacing w:line="400" w:lineRule="atLeast"/>
      <w:ind w:firstLine="425"/>
      <w:textAlignment w:val="baseline"/>
    </w:pPr>
    <w:rPr>
      <w:kern w:val="0"/>
      <w:sz w:val="24"/>
      <w:szCs w:val="20"/>
    </w:rPr>
  </w:style>
  <w:style w:type="paragraph" w:customStyle="1" w:styleId="50">
    <w:name w:val="Table Paragraph"/>
    <w:basedOn w:val="1"/>
    <w:qFormat/>
    <w:uiPriority w:val="1"/>
    <w:pPr>
      <w:jc w:val="center"/>
    </w:pPr>
  </w:style>
  <w:style w:type="paragraph" w:customStyle="1" w:styleId="51">
    <w:name w:val="正文A"/>
    <w:basedOn w:val="52"/>
    <w:qFormat/>
    <w:uiPriority w:val="0"/>
  </w:style>
  <w:style w:type="paragraph" w:customStyle="1" w:styleId="52">
    <w:name w:val="正文!!!!!!!!!!!"/>
    <w:basedOn w:val="53"/>
    <w:qFormat/>
    <w:uiPriority w:val="0"/>
    <w:pPr>
      <w:ind w:firstLine="480"/>
    </w:pPr>
    <w:rPr>
      <w:rFonts w:ascii="华文仿宋" w:hAnsi="华文仿宋" w:eastAsia="华文仿宋" w:cs="华文仿宋"/>
    </w:rPr>
  </w:style>
  <w:style w:type="paragraph" w:customStyle="1" w:styleId="53">
    <w:name w:val="正文 楷体"/>
    <w:basedOn w:val="1"/>
    <w:qFormat/>
    <w:uiPriority w:val="0"/>
    <w:pPr>
      <w:spacing w:line="500" w:lineRule="exact"/>
      <w:ind w:firstLine="200" w:firstLineChars="200"/>
    </w:pPr>
    <w:rPr>
      <w:rFonts w:ascii="楷体_GB2312" w:hAnsi="楷体_GB2312" w:eastAsia="楷体_GB2312" w:cs="宋体"/>
      <w:sz w:val="24"/>
      <w:szCs w:val="24"/>
    </w:rPr>
  </w:style>
  <w:style w:type="paragraph" w:customStyle="1" w:styleId="54">
    <w:name w:val="Body text|1"/>
    <w:basedOn w:val="1"/>
    <w:qFormat/>
    <w:uiPriority w:val="0"/>
    <w:pPr>
      <w:spacing w:after="330" w:line="480" w:lineRule="auto"/>
      <w:ind w:firstLine="400"/>
    </w:pPr>
    <w:rPr>
      <w:sz w:val="20"/>
      <w:szCs w:val="20"/>
      <w:lang w:val="zh-TW" w:eastAsia="zh-TW" w:bidi="zh-TW"/>
    </w:rPr>
  </w:style>
  <w:style w:type="character" w:customStyle="1" w:styleId="55">
    <w:name w:val="bsharetext"/>
    <w:basedOn w:val="29"/>
    <w:qFormat/>
    <w:uiPriority w:val="0"/>
  </w:style>
  <w:style w:type="character" w:customStyle="1" w:styleId="56">
    <w:name w:val="15"/>
    <w:basedOn w:val="29"/>
    <w:qFormat/>
    <w:uiPriority w:val="0"/>
    <w:rPr>
      <w:rFonts w:hint="default" w:ascii="Times New Roman" w:hAnsi="Times New Roman" w:cs="Times New Roman"/>
    </w:rPr>
  </w:style>
  <w:style w:type="character" w:customStyle="1" w:styleId="57">
    <w:name w:val="页脚 字符"/>
    <w:basedOn w:val="29"/>
    <w:link w:val="17"/>
    <w:qFormat/>
    <w:uiPriority w:val="0"/>
    <w:rPr>
      <w:rFonts w:hint="default" w:ascii="Calibri" w:hAnsi="Calibri" w:cs="Calibri"/>
    </w:rPr>
  </w:style>
  <w:style w:type="character" w:customStyle="1" w:styleId="58">
    <w:name w:val="hover27"/>
    <w:basedOn w:val="29"/>
    <w:qFormat/>
    <w:uiPriority w:val="0"/>
  </w:style>
  <w:style w:type="character" w:customStyle="1" w:styleId="59">
    <w:name w:val="页眉 字符"/>
    <w:basedOn w:val="29"/>
    <w:link w:val="2"/>
    <w:qFormat/>
    <w:uiPriority w:val="0"/>
    <w:rPr>
      <w:rFonts w:hint="default" w:ascii="Calibri" w:hAnsi="Calibri" w:cs="Calibri"/>
    </w:rPr>
  </w:style>
  <w:style w:type="paragraph" w:customStyle="1" w:styleId="60">
    <w:name w:val="正文1"/>
    <w:basedOn w:val="1"/>
    <w:qFormat/>
    <w:uiPriority w:val="0"/>
    <w:pPr>
      <w:widowControl/>
      <w:spacing w:line="460" w:lineRule="exact"/>
      <w:ind w:firstLine="480" w:firstLineChars="200"/>
    </w:pPr>
    <w:rPr>
      <w:rFonts w:cs="宋体"/>
      <w:color w:val="000000"/>
      <w:kern w:val="0"/>
      <w:sz w:val="24"/>
      <w:szCs w:val="26"/>
    </w:rPr>
  </w:style>
  <w:style w:type="paragraph" w:customStyle="1" w:styleId="61">
    <w:name w:val="【表头】"/>
    <w:basedOn w:val="1"/>
    <w:qFormat/>
    <w:uiPriority w:val="0"/>
    <w:pPr>
      <w:snapToGrid w:val="0"/>
      <w:spacing w:before="60" w:after="60" w:line="420" w:lineRule="exact"/>
      <w:jc w:val="center"/>
    </w:pPr>
    <w:rPr>
      <w:rFonts w:ascii="Times New Roman" w:hAnsi="Times New Roman" w:eastAsia="黑体" w:cs="Times New Roman"/>
      <w:sz w:val="24"/>
      <w:szCs w:val="20"/>
    </w:rPr>
  </w:style>
  <w:style w:type="paragraph" w:styleId="62">
    <w:name w:val="List Paragraph"/>
    <w:basedOn w:val="1"/>
    <w:qFormat/>
    <w:uiPriority w:val="1"/>
    <w:pPr>
      <w:ind w:left="1421" w:hanging="601"/>
    </w:pPr>
    <w:rPr>
      <w:rFonts w:ascii="宋体" w:hAnsi="宋体" w:eastAsia="宋体" w:cs="宋体"/>
      <w:lang w:val="zh-CN" w:eastAsia="zh-CN" w:bidi="zh-CN"/>
    </w:rPr>
  </w:style>
  <w:style w:type="paragraph" w:customStyle="1" w:styleId="63">
    <w:name w:val="表格中字"/>
    <w:qFormat/>
    <w:uiPriority w:val="0"/>
    <w:pPr>
      <w:widowControl w:val="0"/>
      <w:overflowPunct w:val="0"/>
      <w:autoSpaceDE w:val="0"/>
      <w:autoSpaceDN w:val="0"/>
      <w:adjustRightInd w:val="0"/>
      <w:snapToGrid w:val="0"/>
      <w:spacing w:line="300" w:lineRule="atLeast"/>
      <w:jc w:val="center"/>
      <w:textAlignment w:val="baseline"/>
    </w:pPr>
    <w:rPr>
      <w:rFonts w:ascii="Times New Roman" w:hAnsi="Times New Roman" w:eastAsia="宋体" w:cs="Times New Roman"/>
      <w:sz w:val="21"/>
      <w:lang w:val="en-US" w:eastAsia="zh-CN" w:bidi="ar-SA"/>
    </w:rPr>
  </w:style>
  <w:style w:type="paragraph" w:customStyle="1" w:styleId="64">
    <w:name w:val="1正文段落"/>
    <w:basedOn w:val="1"/>
    <w:qFormat/>
    <w:uiPriority w:val="0"/>
    <w:pPr>
      <w:spacing w:line="360" w:lineRule="auto"/>
      <w:ind w:firstLine="480" w:firstLineChars="200"/>
      <w:jc w:val="left"/>
    </w:pPr>
    <w:rPr>
      <w:rFonts w:ascii="Calibri" w:hAnsi="Calibri" w:cs="Times New Roman"/>
      <w:snapToGrid w:val="0"/>
      <w:sz w:val="24"/>
    </w:rPr>
  </w:style>
  <w:style w:type="paragraph" w:customStyle="1" w:styleId="65">
    <w:name w:val="A-z正文"/>
    <w:basedOn w:val="1"/>
    <w:qFormat/>
    <w:uiPriority w:val="0"/>
    <w:pPr>
      <w:spacing w:line="360" w:lineRule="auto"/>
      <w:ind w:firstLine="200" w:firstLineChars="200"/>
    </w:pPr>
    <w:rPr>
      <w:rFonts w:ascii="Times New Roman" w:hAnsi="Times New Roman" w:cs="宋体"/>
      <w:sz w:val="24"/>
      <w:szCs w:val="20"/>
    </w:rPr>
  </w:style>
  <w:style w:type="paragraph" w:customStyle="1" w:styleId="66">
    <w:name w:val="A-表格名"/>
    <w:basedOn w:val="1"/>
    <w:qFormat/>
    <w:uiPriority w:val="0"/>
    <w:pPr>
      <w:spacing w:before="50" w:beforeLines="50"/>
      <w:jc w:val="center"/>
    </w:pPr>
    <w:rPr>
      <w:rFonts w:ascii="Times New Roman" w:hAnsi="Times New Roman" w:eastAsia="黑体" w:cs="Arial"/>
      <w:b/>
      <w:szCs w:val="20"/>
    </w:rPr>
  </w:style>
  <w:style w:type="paragraph" w:customStyle="1" w:styleId="67">
    <w:name w:val="A-表格文字"/>
    <w:basedOn w:val="1"/>
    <w:qFormat/>
    <w:uiPriority w:val="0"/>
    <w:pPr>
      <w:autoSpaceDE w:val="0"/>
      <w:autoSpaceDN w:val="0"/>
      <w:adjustRightInd w:val="0"/>
      <w:snapToGrid w:val="0"/>
      <w:jc w:val="center"/>
      <w:textAlignment w:val="center"/>
    </w:pPr>
    <w:rPr>
      <w:rFonts w:ascii="Times New Roman" w:hAnsi="Times New Roman"/>
      <w:kern w:val="0"/>
    </w:rPr>
  </w:style>
  <w:style w:type="paragraph" w:customStyle="1" w:styleId="68">
    <w:name w:val="样式5"/>
    <w:basedOn w:val="1"/>
    <w:autoRedefine/>
    <w:qFormat/>
    <w:uiPriority w:val="0"/>
    <w:pPr>
      <w:jc w:val="center"/>
    </w:pPr>
    <w:rPr>
      <w:b/>
      <w:kern w:val="0"/>
      <w:sz w:val="20"/>
      <w:szCs w:val="20"/>
      <w:lang w:val="zh-CN"/>
    </w:rPr>
  </w:style>
  <w:style w:type="paragraph" w:customStyle="1" w:styleId="69">
    <w:name w:val="表格内文字"/>
    <w:basedOn w:val="1"/>
    <w:autoRedefine/>
    <w:qFormat/>
    <w:uiPriority w:val="0"/>
    <w:pPr>
      <w:tabs>
        <w:tab w:val="left" w:pos="0"/>
      </w:tabs>
      <w:adjustRightInd w:val="0"/>
      <w:snapToGrid w:val="0"/>
      <w:jc w:val="center"/>
    </w:pPr>
    <w:rPr>
      <w:rFonts w:ascii="宋体" w:hAnsi="宋体"/>
      <w:szCs w:val="21"/>
    </w:rPr>
  </w:style>
  <w:style w:type="paragraph" w:customStyle="1" w:styleId="70">
    <w:name w:val="Table Text"/>
    <w:basedOn w:val="1"/>
    <w:autoRedefine/>
    <w:semiHidden/>
    <w:qFormat/>
    <w:uiPriority w:val="0"/>
    <w:rPr>
      <w:rFonts w:ascii="宋体" w:hAnsi="宋体" w:eastAsia="宋体" w:cs="宋体"/>
      <w:sz w:val="24"/>
      <w:szCs w:val="24"/>
      <w:lang w:val="en-US" w:eastAsia="en-US" w:bidi="ar-SA"/>
    </w:rPr>
  </w:style>
  <w:style w:type="paragraph" w:customStyle="1" w:styleId="71">
    <w:name w:val="样式6"/>
    <w:basedOn w:val="1"/>
    <w:autoRedefine/>
    <w:qFormat/>
    <w:uiPriority w:val="0"/>
    <w:pPr>
      <w:jc w:val="center"/>
    </w:pPr>
  </w:style>
  <w:style w:type="paragraph" w:customStyle="1" w:styleId="72">
    <w:name w:val="BodyText1I2"/>
    <w:basedOn w:val="73"/>
    <w:autoRedefine/>
    <w:semiHidden/>
    <w:qFormat/>
    <w:uiPriority w:val="0"/>
    <w:pPr>
      <w:spacing w:line="560" w:lineRule="exact"/>
      <w:ind w:left="0" w:leftChars="0" w:firstLine="420" w:firstLineChars="200"/>
    </w:pPr>
    <w:rPr>
      <w:rFonts w:eastAsia="仿宋_GB2312"/>
      <w:sz w:val="32"/>
    </w:rPr>
  </w:style>
  <w:style w:type="paragraph" w:customStyle="1" w:styleId="73">
    <w:name w:val="BodyTextIndent"/>
    <w:basedOn w:val="1"/>
    <w:autoRedefine/>
    <w:semiHidden/>
    <w:qFormat/>
    <w:uiPriority w:val="0"/>
    <w:pPr>
      <w:ind w:left="420" w:leftChars="200"/>
      <w:textAlignment w:val="baseline"/>
    </w:pPr>
  </w:style>
  <w:style w:type="paragraph" w:customStyle="1" w:styleId="74">
    <w:name w:val="表头A"/>
    <w:basedOn w:val="43"/>
    <w:qFormat/>
    <w:uiPriority w:val="0"/>
    <w:pPr>
      <w:widowControl w:val="0"/>
      <w:overflowPunct w:val="0"/>
      <w:autoSpaceDE w:val="0"/>
      <w:autoSpaceDN w:val="0"/>
      <w:adjustRightInd w:val="0"/>
      <w:snapToGrid w:val="0"/>
      <w:spacing w:line="400" w:lineRule="exact"/>
      <w:jc w:val="center"/>
    </w:pPr>
    <w:rPr>
      <w:rFonts w:ascii="Times New Roman" w:hAnsi="Times New Roman" w:eastAsia="宋体"/>
    </w:rPr>
  </w:style>
  <w:style w:type="character" w:customStyle="1" w:styleId="75">
    <w:name w:val="font21"/>
    <w:basedOn w:val="29"/>
    <w:qFormat/>
    <w:uiPriority w:val="0"/>
    <w:rPr>
      <w:rFonts w:ascii="宋体" w:hAnsi="宋体" w:eastAsia="宋体" w:cs="宋体"/>
      <w:color w:val="000000"/>
      <w:sz w:val="14"/>
      <w:szCs w:val="14"/>
      <w:u w:val="none"/>
    </w:rPr>
  </w:style>
  <w:style w:type="paragraph" w:customStyle="1" w:styleId="76">
    <w:name w:val="图表标题"/>
    <w:basedOn w:val="77"/>
    <w:next w:val="26"/>
    <w:autoRedefine/>
    <w:qFormat/>
    <w:uiPriority w:val="0"/>
    <w:pPr>
      <w:widowControl/>
      <w:adjustRightInd/>
    </w:pPr>
    <w:rPr>
      <w:b/>
      <w:szCs w:val="18"/>
    </w:rPr>
  </w:style>
  <w:style w:type="paragraph" w:customStyle="1" w:styleId="77">
    <w:name w:val="表格文字"/>
    <w:basedOn w:val="1"/>
    <w:autoRedefine/>
    <w:qFormat/>
    <w:uiPriority w:val="0"/>
    <w:pPr>
      <w:adjustRightInd w:val="0"/>
      <w:jc w:val="center"/>
      <w:textAlignment w:val="baseline"/>
    </w:pPr>
    <w:rPr>
      <w:rFonts w:ascii="Calibri" w:hAnsi="Calibri"/>
      <w:szCs w:val="20"/>
    </w:rPr>
  </w:style>
  <w:style w:type="paragraph" w:customStyle="1" w:styleId="78">
    <w:name w:val="000"/>
    <w:basedOn w:val="1"/>
    <w:autoRedefine/>
    <w:qFormat/>
    <w:uiPriority w:val="0"/>
    <w:pPr>
      <w:spacing w:line="360" w:lineRule="auto"/>
      <w:ind w:firstLine="480" w:firstLineChars="200"/>
    </w:pPr>
    <w:rPr>
      <w:kern w:val="0"/>
      <w:sz w:val="24"/>
    </w:rPr>
  </w:style>
  <w:style w:type="character" w:customStyle="1" w:styleId="79">
    <w:name w:val="font31"/>
    <w:basedOn w:val="29"/>
    <w:qFormat/>
    <w:uiPriority w:val="0"/>
    <w:rPr>
      <w:rFonts w:ascii="宋体" w:hAnsi="宋体" w:eastAsia="宋体" w:cs="宋体"/>
      <w:color w:val="000000"/>
      <w:sz w:val="14"/>
      <w:szCs w:val="14"/>
      <w:u w:val="none"/>
    </w:rPr>
  </w:style>
  <w:style w:type="character" w:customStyle="1" w:styleId="80">
    <w:name w:val="font41"/>
    <w:basedOn w:val="29"/>
    <w:qFormat/>
    <w:uiPriority w:val="0"/>
    <w:rPr>
      <w:rFonts w:ascii="宋体" w:hAnsi="宋体" w:eastAsia="宋体" w:cs="宋体"/>
      <w:b/>
      <w:bCs/>
      <w:color w:val="000000"/>
      <w:sz w:val="14"/>
      <w:szCs w:val="14"/>
      <w:u w:val="none"/>
    </w:rPr>
  </w:style>
  <w:style w:type="paragraph" w:customStyle="1" w:styleId="81">
    <w:name w:val="表格内"/>
    <w:basedOn w:val="1"/>
    <w:autoRedefine/>
    <w:qFormat/>
    <w:uiPriority w:val="0"/>
    <w:pPr>
      <w:adjustRightInd w:val="0"/>
      <w:snapToGrid w:val="0"/>
      <w:spacing w:line="360" w:lineRule="exact"/>
      <w:jc w:val="center"/>
    </w:pPr>
    <w:rPr>
      <w:rFonts w:eastAsia="Times New Roman"/>
      <w:snapToGrid w:val="0"/>
      <w:kern w:val="0"/>
      <w:szCs w:val="21"/>
    </w:rPr>
  </w:style>
  <w:style w:type="paragraph" w:customStyle="1" w:styleId="82">
    <w:name w:val="【正文】"/>
    <w:basedOn w:val="1"/>
    <w:autoRedefine/>
    <w:qFormat/>
    <w:uiPriority w:val="0"/>
    <w:pPr>
      <w:adjustRightInd w:val="0"/>
      <w:snapToGrid w:val="0"/>
      <w:spacing w:line="360" w:lineRule="auto"/>
      <w:ind w:firstLine="200" w:firstLineChars="200"/>
    </w:pPr>
    <w:rPr>
      <w:sz w:val="24"/>
      <w:szCs w:val="20"/>
    </w:rPr>
  </w:style>
  <w:style w:type="paragraph" w:customStyle="1" w:styleId="83">
    <w:name w:val="表内字"/>
    <w:qFormat/>
    <w:uiPriority w:val="0"/>
    <w:pPr>
      <w:widowControl w:val="0"/>
      <w:jc w:val="center"/>
    </w:pPr>
    <w:rPr>
      <w:rFonts w:ascii="Calibri" w:hAnsi="Calibri" w:eastAsia="宋体" w:cs="Times New Roman"/>
      <w:sz w:val="21"/>
      <w:szCs w:val="24"/>
      <w:lang w:val="en-US" w:eastAsia="zh-CN" w:bidi="ar-SA"/>
    </w:rPr>
  </w:style>
  <w:style w:type="paragraph" w:customStyle="1" w:styleId="84">
    <w:name w:val="Other|1"/>
    <w:basedOn w:val="1"/>
    <w:qFormat/>
    <w:uiPriority w:val="0"/>
    <w:pPr>
      <w:widowControl w:val="0"/>
      <w:shd w:val="clear" w:color="auto" w:fill="auto"/>
    </w:pPr>
    <w:rPr>
      <w:rFonts w:ascii="宋体" w:hAnsi="宋体" w:eastAsia="宋体" w:cs="宋体"/>
      <w:color w:val="201F24"/>
      <w:sz w:val="16"/>
      <w:szCs w:val="16"/>
      <w:u w:val="none"/>
      <w:shd w:val="clear" w:color="auto" w:fill="auto"/>
      <w:lang w:val="zh-TW" w:eastAsia="zh-TW" w:bidi="zh-TW"/>
    </w:rPr>
  </w:style>
  <w:style w:type="paragraph" w:customStyle="1" w:styleId="85">
    <w:name w:val="样式 小四 首行缩进:  1.01 厘米 行距: 1.5 倍行距"/>
    <w:basedOn w:val="1"/>
    <w:qFormat/>
    <w:uiPriority w:val="0"/>
    <w:pPr>
      <w:adjustRightInd w:val="0"/>
      <w:snapToGrid w:val="0"/>
      <w:spacing w:line="360" w:lineRule="auto"/>
      <w:ind w:firstLine="200" w:firstLineChars="200"/>
    </w:pPr>
    <w:rPr>
      <w:rFonts w:cs="宋体"/>
      <w:snapToGrid w:val="0"/>
      <w:kern w:val="24"/>
      <w:sz w:val="24"/>
    </w:rPr>
  </w:style>
  <w:style w:type="paragraph" w:customStyle="1" w:styleId="86">
    <w:name w:val="6-表头"/>
    <w:basedOn w:val="1"/>
    <w:qFormat/>
    <w:uiPriority w:val="99"/>
    <w:pPr>
      <w:autoSpaceDE w:val="0"/>
      <w:autoSpaceDN w:val="0"/>
      <w:adjustRightInd w:val="0"/>
      <w:spacing w:beforeLines="70"/>
      <w:jc w:val="center"/>
    </w:pPr>
    <w:rPr>
      <w:b/>
      <w:bCs/>
      <w:szCs w:val="21"/>
    </w:rPr>
  </w:style>
  <w:style w:type="paragraph" w:customStyle="1" w:styleId="87">
    <w:name w:val="0正文"/>
    <w:qFormat/>
    <w:uiPriority w:val="0"/>
    <w:pPr>
      <w:spacing w:line="300" w:lineRule="auto"/>
      <w:ind w:firstLine="480"/>
    </w:pPr>
    <w:rPr>
      <w:rFonts w:ascii="Calibri" w:hAnsi="Calibri" w:eastAsia="宋体" w:cs="Times New Roman"/>
      <w:sz w:val="21"/>
      <w:lang w:val="en-US" w:eastAsia="zh-CN" w:bidi="ar-SA"/>
    </w:rPr>
  </w:style>
  <w:style w:type="paragraph" w:customStyle="1" w:styleId="88">
    <w:name w:val="表头文字"/>
    <w:basedOn w:val="1"/>
    <w:qFormat/>
    <w:uiPriority w:val="0"/>
    <w:pPr>
      <w:widowControl w:val="0"/>
      <w:spacing w:line="400" w:lineRule="exact"/>
      <w:ind w:firstLine="0" w:firstLineChars="0"/>
      <w:jc w:val="center"/>
    </w:pPr>
    <w:rPr>
      <w:rFonts w:ascii="Times New Roman" w:hAnsi="Times New Roman" w:eastAsia="宋体" w:cs="宋体"/>
      <w:b/>
      <w:kern w:val="0"/>
      <w:szCs w:val="21"/>
    </w:rPr>
  </w:style>
  <w:style w:type="paragraph" w:customStyle="1" w:styleId="89">
    <w:name w:val="表内文字"/>
    <w:basedOn w:val="1"/>
    <w:qFormat/>
    <w:uiPriority w:val="0"/>
    <w:pPr>
      <w:spacing w:line="360" w:lineRule="atLeast"/>
      <w:ind w:firstLine="0" w:firstLineChars="0"/>
      <w:jc w:val="center"/>
    </w:pPr>
    <w:rPr>
      <w:sz w:val="21"/>
    </w:rPr>
  </w:style>
  <w:style w:type="paragraph" w:customStyle="1" w:styleId="90">
    <w:name w:val="表中文字"/>
    <w:basedOn w:val="1"/>
    <w:next w:val="1"/>
    <w:qFormat/>
    <w:uiPriority w:val="0"/>
    <w:pPr>
      <w:spacing w:line="400" w:lineRule="exact"/>
      <w:ind w:firstLine="0" w:firstLineChars="0"/>
      <w:jc w:val="center"/>
    </w:pPr>
    <w:rPr>
      <w:rFonts w:ascii="Times New Roman" w:hAnsi="Times New Roman" w:eastAsia="宋体"/>
      <w:sz w:val="21"/>
    </w:rPr>
  </w:style>
  <w:style w:type="paragraph" w:customStyle="1" w:styleId="91">
    <w:name w:val="Char"/>
    <w:basedOn w:val="1"/>
    <w:qFormat/>
    <w:uiPriority w:val="0"/>
    <w:rPr>
      <w:rFonts w:ascii="宋体" w:hAnsi="宋体" w:cs="Courier New"/>
      <w:sz w:val="32"/>
      <w:szCs w:val="32"/>
    </w:rPr>
  </w:style>
  <w:style w:type="paragraph" w:customStyle="1" w:styleId="92">
    <w:name w:val="@表格内容"/>
    <w:basedOn w:val="1"/>
    <w:qFormat/>
    <w:uiPriority w:val="0"/>
    <w:pPr>
      <w:pBdr>
        <w:top w:val="none" w:color="auto" w:sz="0" w:space="1"/>
        <w:left w:val="none" w:color="auto" w:sz="0" w:space="4"/>
        <w:bottom w:val="none" w:color="auto" w:sz="0" w:space="1"/>
        <w:right w:val="none" w:color="auto" w:sz="0" w:space="4"/>
      </w:pBdr>
      <w:autoSpaceDN w:val="0"/>
      <w:spacing w:line="240" w:lineRule="auto"/>
      <w:jc w:val="center"/>
      <w:textAlignment w:val="center"/>
    </w:pPr>
    <w:rPr>
      <w:rFonts w:ascii="Times New Roman" w:hAnsi="Times New Roman" w:eastAsia="宋体"/>
      <w:sz w:val="21"/>
      <w:szCs w:val="21"/>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1" Type="http://schemas.openxmlformats.org/officeDocument/2006/relationships/fontTable" Target="fontTable.xml"/><Relationship Id="rId20" Type="http://schemas.openxmlformats.org/officeDocument/2006/relationships/customXml" Target="../customXml/item1.xml"/><Relationship Id="rId2" Type="http://schemas.openxmlformats.org/officeDocument/2006/relationships/settings" Target="settings.xml"/><Relationship Id="rId19" Type="http://schemas.openxmlformats.org/officeDocument/2006/relationships/image" Target="media/image2.png"/><Relationship Id="rId18" Type="http://schemas.openxmlformats.org/officeDocument/2006/relationships/image" Target="media/image1.jpeg"/><Relationship Id="rId17" Type="http://schemas.openxmlformats.org/officeDocument/2006/relationships/theme" Target="theme/theme1.xml"/><Relationship Id="rId16" Type="http://schemas.openxmlformats.org/officeDocument/2006/relationships/header" Target="header7.xml"/><Relationship Id="rId15" Type="http://schemas.openxmlformats.org/officeDocument/2006/relationships/footer" Target="footer5.xml"/><Relationship Id="rId14" Type="http://schemas.openxmlformats.org/officeDocument/2006/relationships/header" Target="header6.xml"/><Relationship Id="rId13" Type="http://schemas.openxmlformats.org/officeDocument/2006/relationships/header" Target="head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bg1"/>
        </a:solidFill>
      </a:spPr>
      <a:bodyPr rot="0" vertOverflow="overflow" horzOverflow="overflow" vert="horz" wrap="square" lIns="91440" tIns="45720" rIns="91440" bIns="45720" numCol="1" spcCol="0" rtlCol="0" fromWordArt="0" anchor="ctr" anchorCtr="0" forceAA="0" compatLnSpc="1">
        <a:noAutofit/>
      </a:bodyPr>
      <a:lstStyle/>
      <a:style>
        <a:lnRef idx="2">
          <a:schemeClr val="accent1">
            <a:lumMod val="75000"/>
          </a:schemeClr>
        </a:lnRef>
        <a:fillRef idx="1">
          <a:schemeClr val="accent1"/>
        </a:fillRef>
        <a:effectRef idx="0">
          <a:srgbClr val="FFFFFF"/>
        </a:effectRef>
        <a:fontRef idx="minor">
          <a:schemeClr val="lt1"/>
        </a:fontRef>
      </a:style>
    </a:sp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38</Pages>
  <Words>5305</Words>
  <Characters>5788</Characters>
  <TotalTime>2</TotalTime>
  <ScaleCrop>false</ScaleCrop>
  <LinksUpToDate>false</LinksUpToDate>
  <CharactersWithSpaces>5821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2021-11-26T09:21:00Z</dcterms:created>
  <dc:creator>vvgodking </dc:creator>
  <cp:lastModifiedBy>fire</cp:lastModifiedBy>
  <cp:lastPrinted>2025-01-20T03:14:00Z</cp:lastPrinted>
  <dcterms:modified xsi:type="dcterms:W3CDTF">2026-07-15T12:23:59Z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2021-06-21T00:00:00Z</vt:filetime>
  </property>
  <property fmtid="{D5CDD505-2E9C-101B-9397-08002B2CF9AE}" pid="3" name="Creator">
    <vt:lpwstr>WPS 文字</vt:lpwstr>
  </property>
  <property fmtid="{D5CDD505-2E9C-101B-9397-08002B2CF9AE}" pid="4" name="LastSaved">
    <vt:filetime>2021-11-26T00:00:00Z</vt:filetime>
  </property>
  <property fmtid="{D5CDD505-2E9C-101B-9397-08002B2CF9AE}" pid="5" name="KSOProductBuildVer">
    <vt:lpwstr>2052-12.1.0.26895</vt:lpwstr>
  </property>
  <property fmtid="{D5CDD505-2E9C-101B-9397-08002B2CF9AE}" pid="6" name="ICV">
    <vt:lpwstr>A9D316D60EA446A5923FB8B93244FC82_13</vt:lpwstr>
  </property>
  <property fmtid="{D5CDD505-2E9C-101B-9397-08002B2CF9AE}" pid="7" name="KSOTemplateDocerSaveRecord">
    <vt:lpwstr>eyJoZGlkIjoiYzNkOGZhMDM0YTE2ZDk3NzkwYmYzYjU0ZWUwODFkMDciLCJ1c2VySWQiOiIyMzA4ODE2NzYifQ==</vt:lpwstr>
  </property>
</Properties>
</file>