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B2CCC7">
      <w:pPr>
        <w:pStyle w:val="10"/>
        <w:jc w:val="both"/>
        <w:rPr>
          <w:rFonts w:hint="default" w:ascii="Times New Roman" w:hAnsi="Times New Roman" w:cs="Times New Roman" w:eastAsiaTheme="minorEastAsia"/>
          <w:b/>
          <w:bCs/>
          <w:color w:val="000000"/>
          <w:sz w:val="44"/>
        </w:rPr>
      </w:pPr>
    </w:p>
    <w:p w14:paraId="619C99E2">
      <w:pPr>
        <w:rPr>
          <w:rFonts w:hint="default" w:ascii="Times New Roman" w:hAnsi="Times New Roman" w:cs="Times New Roman"/>
          <w:sz w:val="36"/>
          <w:szCs w:val="36"/>
        </w:rPr>
      </w:pPr>
    </w:p>
    <w:p w14:paraId="39CC7106">
      <w:pPr>
        <w:snapToGrid w:val="0"/>
        <w:spacing w:line="288" w:lineRule="auto"/>
        <w:jc w:val="center"/>
        <w:outlineLvl w:val="0"/>
        <w:rPr>
          <w:rFonts w:hint="default" w:ascii="Times New Roman" w:hAnsi="Times New Roman" w:cs="Times New Roman" w:eastAsiaTheme="minorEastAsia"/>
          <w:b w:val="0"/>
          <w:bCs/>
          <w:snapToGrid w:val="0"/>
          <w:color w:val="000000"/>
          <w:spacing w:val="-2"/>
          <w:sz w:val="44"/>
          <w:szCs w:val="44"/>
          <w:lang w:val="en-US" w:eastAsia="zh-CN"/>
        </w:rPr>
      </w:pPr>
      <w:bookmarkStart w:id="0" w:name="_Toc30456"/>
      <w:bookmarkStart w:id="1" w:name="_Toc27628"/>
      <w:bookmarkStart w:id="2" w:name="_Toc13070"/>
      <w:r>
        <w:rPr>
          <w:rFonts w:hint="default" w:ascii="Times New Roman" w:hAnsi="Times New Roman" w:cs="Times New Roman" w:eastAsiaTheme="minorEastAsia"/>
          <w:b w:val="0"/>
          <w:bCs/>
          <w:snapToGrid w:val="0"/>
          <w:color w:val="000000"/>
          <w:spacing w:val="-2"/>
          <w:sz w:val="44"/>
          <w:szCs w:val="44"/>
          <w:lang w:val="en-US" w:eastAsia="zh-CN"/>
        </w:rPr>
        <w:t>凯赛（乌苏）生物材料有限公司</w:t>
      </w:r>
      <w:bookmarkEnd w:id="0"/>
      <w:bookmarkEnd w:id="1"/>
      <w:bookmarkEnd w:id="2"/>
    </w:p>
    <w:p w14:paraId="0C7AA056">
      <w:pPr>
        <w:snapToGrid w:val="0"/>
        <w:spacing w:line="288" w:lineRule="auto"/>
        <w:jc w:val="center"/>
        <w:outlineLvl w:val="0"/>
        <w:rPr>
          <w:rFonts w:hint="default" w:ascii="Times New Roman" w:hAnsi="Times New Roman" w:cs="Times New Roman" w:eastAsiaTheme="minorEastAsia"/>
          <w:b w:val="0"/>
          <w:bCs/>
          <w:snapToGrid w:val="0"/>
          <w:color w:val="000000"/>
          <w:spacing w:val="-2"/>
          <w:sz w:val="44"/>
          <w:szCs w:val="44"/>
        </w:rPr>
      </w:pPr>
      <w:bookmarkStart w:id="3" w:name="_Toc17663"/>
      <w:bookmarkStart w:id="4" w:name="_Toc13774"/>
      <w:bookmarkStart w:id="5" w:name="_Toc22737"/>
      <w:r>
        <w:rPr>
          <w:rFonts w:hint="default" w:ascii="Times New Roman" w:hAnsi="Times New Roman" w:cs="Times New Roman" w:eastAsiaTheme="minorEastAsia"/>
          <w:b w:val="0"/>
          <w:bCs/>
          <w:snapToGrid w:val="0"/>
          <w:color w:val="000000"/>
          <w:spacing w:val="-2"/>
          <w:sz w:val="44"/>
          <w:szCs w:val="44"/>
          <w:lang w:val="en-US" w:eastAsia="zh-CN"/>
        </w:rPr>
        <w:t>年产20000吨LCDN项目</w:t>
      </w:r>
      <w:bookmarkEnd w:id="3"/>
      <w:bookmarkEnd w:id="4"/>
      <w:bookmarkEnd w:id="5"/>
    </w:p>
    <w:p w14:paraId="7469A4A8">
      <w:pPr>
        <w:snapToGrid w:val="0"/>
        <w:spacing w:line="288" w:lineRule="auto"/>
        <w:jc w:val="center"/>
        <w:rPr>
          <w:rFonts w:hint="default" w:ascii="Times New Roman" w:hAnsi="Times New Roman" w:cs="Times New Roman" w:eastAsiaTheme="minorEastAsia"/>
          <w:b/>
          <w:snapToGrid w:val="0"/>
          <w:color w:val="000000"/>
          <w:spacing w:val="-2"/>
          <w:sz w:val="44"/>
          <w:szCs w:val="44"/>
        </w:rPr>
      </w:pPr>
    </w:p>
    <w:p w14:paraId="0FFE6325">
      <w:pPr>
        <w:spacing w:line="360" w:lineRule="auto"/>
        <w:jc w:val="center"/>
        <w:outlineLvl w:val="0"/>
        <w:rPr>
          <w:rFonts w:hint="default" w:ascii="Times New Roman" w:hAnsi="Times New Roman" w:cs="Times New Roman" w:eastAsiaTheme="minorEastAsia"/>
          <w:b/>
          <w:color w:val="000000"/>
          <w:spacing w:val="20"/>
          <w:sz w:val="72"/>
          <w:szCs w:val="72"/>
        </w:rPr>
      </w:pPr>
      <w:bookmarkStart w:id="6" w:name="_Toc19732"/>
      <w:bookmarkStart w:id="7" w:name="_Toc5410"/>
      <w:bookmarkStart w:id="8" w:name="_Toc20281"/>
      <w:bookmarkStart w:id="9" w:name="_Toc20795"/>
      <w:bookmarkStart w:id="10" w:name="_Toc621"/>
      <w:bookmarkStart w:id="11" w:name="_Toc9169"/>
      <w:bookmarkStart w:id="12" w:name="_Toc1369"/>
      <w:bookmarkStart w:id="13" w:name="_Toc23845"/>
      <w:r>
        <w:rPr>
          <w:rFonts w:hint="default" w:ascii="Times New Roman" w:hAnsi="Times New Roman" w:cs="Times New Roman" w:eastAsiaTheme="minorEastAsia"/>
          <w:b/>
          <w:color w:val="000000"/>
          <w:spacing w:val="20"/>
          <w:sz w:val="72"/>
          <w:szCs w:val="72"/>
        </w:rPr>
        <w:t>环境影响报告书</w:t>
      </w:r>
      <w:bookmarkEnd w:id="6"/>
      <w:bookmarkEnd w:id="7"/>
      <w:bookmarkEnd w:id="8"/>
      <w:bookmarkEnd w:id="9"/>
      <w:bookmarkEnd w:id="10"/>
      <w:bookmarkEnd w:id="11"/>
      <w:bookmarkEnd w:id="12"/>
      <w:bookmarkEnd w:id="13"/>
    </w:p>
    <w:p w14:paraId="3977B825">
      <w:pPr>
        <w:spacing w:line="360" w:lineRule="auto"/>
        <w:jc w:val="center"/>
        <w:rPr>
          <w:rFonts w:hint="default" w:ascii="Times New Roman" w:hAnsi="Times New Roman" w:cs="Times New Roman" w:eastAsiaTheme="minorEastAsia"/>
          <w:color w:val="000000"/>
          <w:sz w:val="28"/>
          <w:szCs w:val="28"/>
          <w:lang w:eastAsia="zh-CN"/>
        </w:rPr>
      </w:pPr>
      <w:r>
        <w:rPr>
          <w:rFonts w:hint="default" w:ascii="Times New Roman" w:hAnsi="Times New Roman" w:cs="Times New Roman" w:eastAsiaTheme="minorEastAsia"/>
          <w:color w:val="000000"/>
          <w:sz w:val="28"/>
          <w:szCs w:val="28"/>
          <w:lang w:eastAsia="zh-CN"/>
        </w:rPr>
        <w:t>（</w:t>
      </w:r>
      <w:r>
        <w:rPr>
          <w:rFonts w:hint="eastAsia" w:ascii="Times New Roman" w:hAnsi="Times New Roman" w:cs="Times New Roman" w:eastAsiaTheme="minorEastAsia"/>
          <w:color w:val="000000"/>
          <w:sz w:val="28"/>
          <w:szCs w:val="28"/>
          <w:lang w:val="en-US" w:eastAsia="zh-CN"/>
        </w:rPr>
        <w:t>公示版</w:t>
      </w:r>
      <w:r>
        <w:rPr>
          <w:rFonts w:hint="default" w:ascii="Times New Roman" w:hAnsi="Times New Roman" w:cs="Times New Roman" w:eastAsiaTheme="minorEastAsia"/>
          <w:color w:val="000000"/>
          <w:sz w:val="28"/>
          <w:szCs w:val="28"/>
          <w:lang w:eastAsia="zh-CN"/>
        </w:rPr>
        <w:t>）</w:t>
      </w:r>
    </w:p>
    <w:p w14:paraId="412C996D">
      <w:pPr>
        <w:pStyle w:val="23"/>
        <w:ind w:left="0" w:leftChars="0" w:firstLine="0" w:firstLineChars="0"/>
        <w:rPr>
          <w:rFonts w:hint="default" w:ascii="Times New Roman" w:hAnsi="Times New Roman" w:cs="Times New Roman" w:eastAsiaTheme="minorEastAsia"/>
          <w:color w:val="000000"/>
          <w:sz w:val="52"/>
        </w:rPr>
      </w:pPr>
      <w:bookmarkStart w:id="106" w:name="_GoBack"/>
      <w:bookmarkEnd w:id="106"/>
    </w:p>
    <w:p w14:paraId="16B65DC1">
      <w:pPr>
        <w:jc w:val="center"/>
        <w:rPr>
          <w:rFonts w:hint="default" w:ascii="Times New Roman" w:hAnsi="Times New Roman" w:cs="Times New Roman" w:eastAsiaTheme="minorEastAsia"/>
          <w:color w:val="000000"/>
          <w:sz w:val="52"/>
        </w:rPr>
      </w:pPr>
    </w:p>
    <w:p w14:paraId="7F3C4E47">
      <w:pPr>
        <w:jc w:val="center"/>
        <w:rPr>
          <w:rFonts w:hint="default" w:ascii="Times New Roman" w:hAnsi="Times New Roman" w:cs="Times New Roman" w:eastAsiaTheme="minorEastAsia"/>
          <w:color w:val="000000"/>
          <w:sz w:val="52"/>
        </w:rPr>
      </w:pPr>
    </w:p>
    <w:p w14:paraId="22580B3A">
      <w:pPr>
        <w:jc w:val="center"/>
        <w:rPr>
          <w:rFonts w:hint="default" w:ascii="Times New Roman" w:hAnsi="Times New Roman" w:cs="Times New Roman" w:eastAsiaTheme="minorEastAsia"/>
          <w:color w:val="000000"/>
          <w:sz w:val="24"/>
          <w:szCs w:val="24"/>
        </w:rPr>
      </w:pPr>
    </w:p>
    <w:p w14:paraId="009A9442">
      <w:pPr>
        <w:pStyle w:val="10"/>
        <w:rPr>
          <w:rFonts w:hint="default" w:ascii="Times New Roman" w:hAnsi="Times New Roman" w:cs="Times New Roman" w:eastAsiaTheme="minorEastAsia"/>
          <w:color w:val="000000"/>
          <w:sz w:val="24"/>
          <w:szCs w:val="24"/>
        </w:rPr>
      </w:pPr>
    </w:p>
    <w:p w14:paraId="66C52254">
      <w:pPr>
        <w:pStyle w:val="10"/>
        <w:rPr>
          <w:rFonts w:hint="default" w:ascii="Times New Roman" w:hAnsi="Times New Roman" w:cs="Times New Roman" w:eastAsiaTheme="minorEastAsia"/>
          <w:color w:val="000000"/>
          <w:sz w:val="24"/>
          <w:szCs w:val="24"/>
        </w:rPr>
      </w:pPr>
    </w:p>
    <w:p w14:paraId="645DB172">
      <w:pPr>
        <w:jc w:val="both"/>
        <w:rPr>
          <w:rFonts w:hint="default" w:ascii="Times New Roman" w:hAnsi="Times New Roman" w:cs="Times New Roman" w:eastAsiaTheme="minorEastAsia"/>
          <w:color w:val="000000"/>
          <w:sz w:val="24"/>
          <w:szCs w:val="24"/>
        </w:rPr>
      </w:pPr>
    </w:p>
    <w:p w14:paraId="077105CA">
      <w:pPr>
        <w:jc w:val="center"/>
        <w:rPr>
          <w:rFonts w:hint="default" w:ascii="Times New Roman" w:hAnsi="Times New Roman" w:cs="Times New Roman" w:eastAsiaTheme="minorEastAsia"/>
          <w:color w:val="000000"/>
          <w:sz w:val="24"/>
          <w:szCs w:val="24"/>
        </w:rPr>
      </w:pPr>
    </w:p>
    <w:p w14:paraId="2C2A11B2">
      <w:pPr>
        <w:pStyle w:val="2"/>
        <w:rPr>
          <w:rFonts w:hint="default" w:ascii="Times New Roman" w:hAnsi="Times New Roman" w:cs="Times New Roman" w:eastAsiaTheme="minorEastAsia"/>
          <w:color w:val="000000"/>
          <w:sz w:val="24"/>
          <w:szCs w:val="24"/>
        </w:rPr>
      </w:pPr>
    </w:p>
    <w:p w14:paraId="01C4944F">
      <w:pPr>
        <w:rPr>
          <w:rFonts w:hint="default" w:ascii="Times New Roman" w:hAnsi="Times New Roman" w:cs="Times New Roman" w:eastAsiaTheme="minorEastAsia"/>
          <w:color w:val="000000"/>
          <w:sz w:val="24"/>
          <w:szCs w:val="24"/>
        </w:rPr>
      </w:pPr>
    </w:p>
    <w:p w14:paraId="43136442">
      <w:pPr>
        <w:pStyle w:val="2"/>
        <w:rPr>
          <w:rFonts w:hint="default" w:ascii="Times New Roman" w:hAnsi="Times New Roman" w:cs="Times New Roman" w:eastAsiaTheme="minorEastAsia"/>
          <w:color w:val="000000"/>
          <w:sz w:val="24"/>
          <w:szCs w:val="24"/>
        </w:rPr>
      </w:pPr>
    </w:p>
    <w:p w14:paraId="600E90D5">
      <w:pPr>
        <w:rPr>
          <w:rFonts w:hint="default" w:ascii="Times New Roman" w:hAnsi="Times New Roman" w:cs="Times New Roman" w:eastAsiaTheme="minorEastAsia"/>
          <w:color w:val="000000"/>
          <w:sz w:val="24"/>
          <w:szCs w:val="24"/>
        </w:rPr>
      </w:pPr>
    </w:p>
    <w:p w14:paraId="75F96F68">
      <w:pPr>
        <w:pStyle w:val="2"/>
        <w:rPr>
          <w:rFonts w:hint="default" w:ascii="Times New Roman" w:hAnsi="Times New Roman" w:cs="Times New Roman" w:eastAsiaTheme="minorEastAsia"/>
          <w:color w:val="000000"/>
          <w:sz w:val="24"/>
          <w:szCs w:val="24"/>
        </w:rPr>
      </w:pPr>
    </w:p>
    <w:p w14:paraId="45E4E8C5">
      <w:pPr>
        <w:rPr>
          <w:rFonts w:hint="default" w:ascii="Times New Roman" w:hAnsi="Times New Roman" w:cs="Times New Roman" w:eastAsiaTheme="minorEastAsia"/>
          <w:color w:val="000000"/>
          <w:sz w:val="24"/>
          <w:szCs w:val="24"/>
        </w:rPr>
      </w:pPr>
    </w:p>
    <w:p w14:paraId="7BEFE3D1">
      <w:pPr>
        <w:pStyle w:val="2"/>
        <w:rPr>
          <w:rFonts w:hint="default" w:ascii="Times New Roman" w:hAnsi="Times New Roman" w:cs="Times New Roman" w:eastAsiaTheme="minorEastAsia"/>
          <w:color w:val="000000"/>
          <w:sz w:val="24"/>
          <w:szCs w:val="24"/>
        </w:rPr>
      </w:pPr>
    </w:p>
    <w:p w14:paraId="32EB8822">
      <w:pPr>
        <w:rPr>
          <w:rFonts w:hint="default"/>
        </w:rPr>
      </w:pPr>
    </w:p>
    <w:p w14:paraId="6DF8B07C">
      <w:pPr>
        <w:spacing w:line="240" w:lineRule="auto"/>
        <w:jc w:val="center"/>
        <w:rPr>
          <w:rFonts w:hint="default" w:ascii="Times New Roman" w:hAnsi="Times New Roman" w:cs="Times New Roman"/>
          <w:bCs/>
          <w:sz w:val="32"/>
          <w:szCs w:val="20"/>
          <w:lang w:val="en-US" w:eastAsia="zh-CN"/>
        </w:rPr>
      </w:pPr>
      <w:r>
        <w:rPr>
          <w:rFonts w:hint="default" w:ascii="Times New Roman" w:hAnsi="Times New Roman" w:cs="Times New Roman"/>
          <w:bCs/>
          <w:sz w:val="32"/>
          <w:szCs w:val="20"/>
        </w:rPr>
        <w:t>建设单位</w:t>
      </w:r>
      <w:r>
        <w:rPr>
          <w:rFonts w:hint="default" w:ascii="Times New Roman" w:hAnsi="Times New Roman" w:cs="Times New Roman"/>
          <w:bCs/>
          <w:sz w:val="32"/>
          <w:szCs w:val="20"/>
          <w:lang w:eastAsia="zh-CN"/>
        </w:rPr>
        <w:t>：</w:t>
      </w:r>
      <w:r>
        <w:rPr>
          <w:rFonts w:hint="default" w:ascii="Times New Roman" w:hAnsi="Times New Roman" w:cs="Times New Roman"/>
          <w:bCs/>
          <w:sz w:val="32"/>
          <w:szCs w:val="20"/>
          <w:lang w:val="en-US" w:eastAsia="zh-CN"/>
        </w:rPr>
        <w:t>凯赛（乌苏）生物材料有限公司</w:t>
      </w:r>
    </w:p>
    <w:p w14:paraId="1275104C">
      <w:pPr>
        <w:spacing w:line="240" w:lineRule="auto"/>
        <w:jc w:val="center"/>
        <w:rPr>
          <w:rFonts w:hint="default" w:ascii="Times New Roman" w:hAnsi="Times New Roman" w:cs="Times New Roman"/>
          <w:bCs/>
          <w:sz w:val="32"/>
          <w:szCs w:val="20"/>
          <w:lang w:val="en-US" w:eastAsia="zh-CN"/>
        </w:rPr>
      </w:pPr>
      <w:r>
        <w:rPr>
          <w:rFonts w:hint="eastAsia" w:cs="Times New Roman"/>
          <w:bCs/>
          <w:sz w:val="32"/>
          <w:szCs w:val="20"/>
          <w:lang w:val="en-US" w:eastAsia="zh-CN"/>
        </w:rPr>
        <w:t>编制单位：新疆绿环共创环保科技有限公司</w:t>
      </w:r>
    </w:p>
    <w:p w14:paraId="430EC960">
      <w:pPr>
        <w:spacing w:line="240" w:lineRule="auto"/>
        <w:jc w:val="center"/>
        <w:rPr>
          <w:rFonts w:hint="eastAsia" w:ascii="宋体" w:hAnsi="宋体" w:eastAsia="宋体" w:cs="宋体"/>
          <w:sz w:val="32"/>
          <w:szCs w:val="32"/>
          <w:lang w:eastAsia="zh-CN"/>
        </w:rPr>
        <w:sectPr>
          <w:headerReference r:id="rId6" w:type="first"/>
          <w:head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sz w:val="32"/>
          <w:szCs w:val="32"/>
          <w:lang w:val="en-US" w:eastAsia="zh-CN"/>
        </w:rPr>
        <w:t>二〇二</w:t>
      </w:r>
      <w:r>
        <w:rPr>
          <w:rFonts w:hint="eastAsia" w:cs="宋体"/>
          <w:sz w:val="32"/>
          <w:szCs w:val="32"/>
          <w:lang w:val="en-US" w:eastAsia="zh-CN"/>
        </w:rPr>
        <w:t>六年五</w:t>
      </w:r>
      <w:r>
        <w:rPr>
          <w:rFonts w:hint="eastAsia" w:ascii="宋体" w:hAnsi="宋体" w:eastAsia="宋体" w:cs="宋体"/>
          <w:sz w:val="32"/>
          <w:szCs w:val="32"/>
          <w:lang w:eastAsia="zh-CN"/>
        </w:rPr>
        <w:t>月</w:t>
      </w:r>
    </w:p>
    <w:p w14:paraId="7F681FB6">
      <w:pPr>
        <w:pStyle w:val="33"/>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eastAsia="zh-CN"/>
        </w:rPr>
        <w:drawing>
          <wp:inline distT="0" distB="0" distL="114300" distR="114300">
            <wp:extent cx="5259070" cy="7443470"/>
            <wp:effectExtent l="0" t="0" r="17780" b="5080"/>
            <wp:docPr id="15" name="图片 15" descr="凯赛（乌苏）生物材料有限公司年产20000吨LCDN项目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凯赛（乌苏）生物材料有限公司年产20000吨LCDN项目 (1)_01"/>
                    <pic:cNvPicPr>
                      <a:picLocks noChangeAspect="1"/>
                    </pic:cNvPicPr>
                  </pic:nvPicPr>
                  <pic:blipFill>
                    <a:blip r:embed="rId16"/>
                    <a:stretch>
                      <a:fillRect/>
                    </a:stretch>
                  </pic:blipFill>
                  <pic:spPr>
                    <a:xfrm>
                      <a:off x="0" y="0"/>
                      <a:ext cx="5259070" cy="7443470"/>
                    </a:xfrm>
                    <a:prstGeom prst="rect">
                      <a:avLst/>
                    </a:prstGeom>
                  </pic:spPr>
                </pic:pic>
              </a:graphicData>
            </a:graphic>
          </wp:inline>
        </w:drawing>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4176"/>
        <w:gridCol w:w="4176"/>
      </w:tblGrid>
      <w:tr w14:paraId="7008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261" w:type="dxa"/>
            <w:vAlign w:val="center"/>
          </w:tcPr>
          <w:p w14:paraId="49ED7A1F">
            <w:pPr>
              <w:pStyle w:val="33"/>
              <w:jc w:val="center"/>
              <w:rPr>
                <w:rFonts w:hint="eastAsia"/>
                <w:vertAlign w:val="baseline"/>
                <w:lang w:eastAsia="zh-CN"/>
              </w:rPr>
            </w:pPr>
            <w:r>
              <w:rPr>
                <w:rFonts w:hint="eastAsia"/>
                <w:vertAlign w:val="baseline"/>
                <w:lang w:eastAsia="zh-CN"/>
              </w:rPr>
              <w:drawing>
                <wp:inline distT="0" distB="0" distL="114300" distR="114300">
                  <wp:extent cx="2558415" cy="1917700"/>
                  <wp:effectExtent l="0" t="0" r="0" b="0"/>
                  <wp:docPr id="50" name="图片 50" descr="工程师看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工程师看现场照片"/>
                          <pic:cNvPicPr>
                            <a:picLocks noChangeAspect="1"/>
                          </pic:cNvPicPr>
                        </pic:nvPicPr>
                        <pic:blipFill>
                          <a:blip r:embed="rId17"/>
                          <a:srcRect t="29568" b="14235"/>
                          <a:stretch>
                            <a:fillRect/>
                          </a:stretch>
                        </pic:blipFill>
                        <pic:spPr>
                          <a:xfrm>
                            <a:off x="0" y="0"/>
                            <a:ext cx="2558415" cy="1917700"/>
                          </a:xfrm>
                          <a:prstGeom prst="rect">
                            <a:avLst/>
                          </a:prstGeom>
                        </pic:spPr>
                      </pic:pic>
                    </a:graphicData>
                  </a:graphic>
                </wp:inline>
              </w:drawing>
            </w:r>
          </w:p>
        </w:tc>
        <w:tc>
          <w:tcPr>
            <w:tcW w:w="4261" w:type="dxa"/>
            <w:vAlign w:val="center"/>
          </w:tcPr>
          <w:p w14:paraId="2976DB0F">
            <w:pPr>
              <w:pStyle w:val="33"/>
              <w:jc w:val="center"/>
              <w:rPr>
                <w:rFonts w:hint="eastAsia"/>
                <w:vertAlign w:val="baseline"/>
                <w:lang w:eastAsia="zh-CN"/>
              </w:rPr>
            </w:pPr>
            <w:r>
              <w:rPr>
                <w:rFonts w:hint="eastAsia"/>
                <w:vertAlign w:val="baseline"/>
                <w:lang w:eastAsia="zh-CN"/>
              </w:rPr>
              <w:drawing>
                <wp:inline distT="0" distB="0" distL="114300" distR="114300">
                  <wp:extent cx="2551430" cy="1912620"/>
                  <wp:effectExtent l="0" t="0" r="1270" b="11430"/>
                  <wp:docPr id="51" name="图片 51" descr="厂区北侧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厂区北侧照片"/>
                          <pic:cNvPicPr>
                            <a:picLocks noChangeAspect="1"/>
                          </pic:cNvPicPr>
                        </pic:nvPicPr>
                        <pic:blipFill>
                          <a:blip r:embed="rId18"/>
                          <a:stretch>
                            <a:fillRect/>
                          </a:stretch>
                        </pic:blipFill>
                        <pic:spPr>
                          <a:xfrm>
                            <a:off x="0" y="0"/>
                            <a:ext cx="2551430" cy="1912620"/>
                          </a:xfrm>
                          <a:prstGeom prst="rect">
                            <a:avLst/>
                          </a:prstGeom>
                        </pic:spPr>
                      </pic:pic>
                    </a:graphicData>
                  </a:graphic>
                </wp:inline>
              </w:drawing>
            </w:r>
          </w:p>
        </w:tc>
      </w:tr>
      <w:tr w14:paraId="2CAC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261" w:type="dxa"/>
            <w:vAlign w:val="center"/>
          </w:tcPr>
          <w:p w14:paraId="682A52FD">
            <w:pPr>
              <w:pStyle w:val="33"/>
              <w:jc w:val="center"/>
              <w:rPr>
                <w:rFonts w:hint="default"/>
                <w:vertAlign w:val="baseline"/>
                <w:lang w:val="en-US" w:eastAsia="zh-CN"/>
              </w:rPr>
            </w:pPr>
            <w:r>
              <w:rPr>
                <w:rFonts w:hint="eastAsia"/>
                <w:b/>
                <w:bCs/>
                <w:sz w:val="24"/>
                <w:szCs w:val="24"/>
                <w:vertAlign w:val="baseline"/>
                <w:lang w:val="en-US" w:eastAsia="zh-CN"/>
              </w:rPr>
              <w:t>本项目区现状及工程师看现场照片</w:t>
            </w:r>
          </w:p>
        </w:tc>
        <w:tc>
          <w:tcPr>
            <w:tcW w:w="4261" w:type="dxa"/>
            <w:vAlign w:val="center"/>
          </w:tcPr>
          <w:p w14:paraId="6E5C6899">
            <w:pPr>
              <w:pStyle w:val="33"/>
              <w:jc w:val="center"/>
              <w:rPr>
                <w:rFonts w:hint="default"/>
                <w:vertAlign w:val="baseline"/>
                <w:lang w:val="en-US" w:eastAsia="zh-CN"/>
              </w:rPr>
            </w:pPr>
            <w:r>
              <w:rPr>
                <w:rFonts w:hint="eastAsia"/>
                <w:b/>
                <w:bCs/>
                <w:sz w:val="24"/>
                <w:szCs w:val="24"/>
                <w:vertAlign w:val="baseline"/>
                <w:lang w:val="en-US" w:eastAsia="zh-CN"/>
              </w:rPr>
              <w:t>本项目厂区北侧现状照片</w:t>
            </w:r>
          </w:p>
        </w:tc>
      </w:tr>
      <w:tr w14:paraId="1FE4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261" w:type="dxa"/>
            <w:vAlign w:val="center"/>
          </w:tcPr>
          <w:p w14:paraId="430F5C7D">
            <w:pPr>
              <w:pStyle w:val="33"/>
              <w:jc w:val="center"/>
              <w:rPr>
                <w:rFonts w:hint="eastAsia"/>
                <w:vertAlign w:val="baseline"/>
                <w:lang w:eastAsia="zh-CN"/>
              </w:rPr>
            </w:pPr>
            <w:r>
              <w:rPr>
                <w:rFonts w:hint="eastAsia"/>
                <w:vertAlign w:val="baseline"/>
                <w:lang w:eastAsia="zh-CN"/>
              </w:rPr>
              <w:drawing>
                <wp:inline distT="0" distB="0" distL="114300" distR="114300">
                  <wp:extent cx="2567305" cy="1924685"/>
                  <wp:effectExtent l="0" t="0" r="4445" b="18415"/>
                  <wp:docPr id="52" name="图片 52" descr="厂区东侧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厂区东侧照片"/>
                          <pic:cNvPicPr>
                            <a:picLocks noChangeAspect="1"/>
                          </pic:cNvPicPr>
                        </pic:nvPicPr>
                        <pic:blipFill>
                          <a:blip r:embed="rId19"/>
                          <a:stretch>
                            <a:fillRect/>
                          </a:stretch>
                        </pic:blipFill>
                        <pic:spPr>
                          <a:xfrm>
                            <a:off x="0" y="0"/>
                            <a:ext cx="2567305" cy="1924685"/>
                          </a:xfrm>
                          <a:prstGeom prst="rect">
                            <a:avLst/>
                          </a:prstGeom>
                        </pic:spPr>
                      </pic:pic>
                    </a:graphicData>
                  </a:graphic>
                </wp:inline>
              </w:drawing>
            </w:r>
          </w:p>
        </w:tc>
        <w:tc>
          <w:tcPr>
            <w:tcW w:w="4261" w:type="dxa"/>
            <w:vAlign w:val="center"/>
          </w:tcPr>
          <w:p w14:paraId="2B05DD7E">
            <w:pPr>
              <w:pStyle w:val="33"/>
              <w:jc w:val="center"/>
              <w:rPr>
                <w:rFonts w:hint="eastAsia"/>
                <w:vertAlign w:val="baseline"/>
                <w:lang w:eastAsia="zh-CN"/>
              </w:rPr>
            </w:pPr>
            <w:r>
              <w:rPr>
                <w:rFonts w:hint="eastAsia"/>
                <w:vertAlign w:val="baseline"/>
                <w:lang w:eastAsia="zh-CN"/>
              </w:rPr>
              <w:drawing>
                <wp:inline distT="0" distB="0" distL="114300" distR="114300">
                  <wp:extent cx="2551430" cy="1912620"/>
                  <wp:effectExtent l="0" t="0" r="1270" b="11430"/>
                  <wp:docPr id="56" name="图片 56" descr="厂区西侧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厂区西侧照片"/>
                          <pic:cNvPicPr>
                            <a:picLocks noChangeAspect="1"/>
                          </pic:cNvPicPr>
                        </pic:nvPicPr>
                        <pic:blipFill>
                          <a:blip r:embed="rId20"/>
                          <a:stretch>
                            <a:fillRect/>
                          </a:stretch>
                        </pic:blipFill>
                        <pic:spPr>
                          <a:xfrm>
                            <a:off x="0" y="0"/>
                            <a:ext cx="2551430" cy="1912620"/>
                          </a:xfrm>
                          <a:prstGeom prst="rect">
                            <a:avLst/>
                          </a:prstGeom>
                        </pic:spPr>
                      </pic:pic>
                    </a:graphicData>
                  </a:graphic>
                </wp:inline>
              </w:drawing>
            </w:r>
          </w:p>
        </w:tc>
      </w:tr>
      <w:tr w14:paraId="4A5AE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261" w:type="dxa"/>
            <w:vAlign w:val="center"/>
          </w:tcPr>
          <w:p w14:paraId="63451BC0">
            <w:pPr>
              <w:pStyle w:val="33"/>
              <w:jc w:val="center"/>
              <w:rPr>
                <w:rFonts w:hint="default"/>
                <w:vertAlign w:val="baseline"/>
                <w:lang w:val="en-US" w:eastAsia="zh-CN"/>
              </w:rPr>
            </w:pPr>
            <w:r>
              <w:rPr>
                <w:rFonts w:hint="eastAsia"/>
                <w:b/>
                <w:bCs/>
                <w:sz w:val="24"/>
                <w:szCs w:val="24"/>
                <w:vertAlign w:val="baseline"/>
                <w:lang w:val="en-US" w:eastAsia="zh-CN"/>
              </w:rPr>
              <w:t>本项目厂区东侧现状照片</w:t>
            </w:r>
          </w:p>
        </w:tc>
        <w:tc>
          <w:tcPr>
            <w:tcW w:w="4261" w:type="dxa"/>
            <w:vAlign w:val="center"/>
          </w:tcPr>
          <w:p w14:paraId="47E25E96">
            <w:pPr>
              <w:pStyle w:val="33"/>
              <w:jc w:val="center"/>
              <w:rPr>
                <w:rFonts w:hint="eastAsia"/>
                <w:vertAlign w:val="baseline"/>
                <w:lang w:eastAsia="zh-CN"/>
              </w:rPr>
            </w:pPr>
            <w:r>
              <w:rPr>
                <w:rFonts w:hint="eastAsia"/>
                <w:b/>
                <w:bCs/>
                <w:sz w:val="24"/>
                <w:szCs w:val="24"/>
                <w:vertAlign w:val="baseline"/>
                <w:lang w:val="en-US" w:eastAsia="zh-CN"/>
              </w:rPr>
              <w:t>本项目厂区西侧现状照片</w:t>
            </w:r>
          </w:p>
        </w:tc>
      </w:tr>
      <w:tr w14:paraId="79FB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261" w:type="dxa"/>
            <w:vAlign w:val="center"/>
          </w:tcPr>
          <w:p w14:paraId="417976F5">
            <w:pPr>
              <w:pStyle w:val="33"/>
              <w:jc w:val="center"/>
              <w:rPr>
                <w:rFonts w:hint="eastAsia"/>
                <w:vertAlign w:val="baseline"/>
                <w:lang w:eastAsia="zh-CN"/>
              </w:rPr>
            </w:pPr>
            <w:r>
              <w:rPr>
                <w:rFonts w:hint="eastAsia"/>
                <w:vertAlign w:val="baseline"/>
                <w:lang w:eastAsia="zh-CN"/>
              </w:rPr>
              <w:drawing>
                <wp:inline distT="0" distB="0" distL="114300" distR="114300">
                  <wp:extent cx="2567305" cy="1924685"/>
                  <wp:effectExtent l="0" t="0" r="4445" b="18415"/>
                  <wp:docPr id="57" name="图片 57" descr="厂区南侧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厂区南侧照片"/>
                          <pic:cNvPicPr>
                            <a:picLocks noChangeAspect="1"/>
                          </pic:cNvPicPr>
                        </pic:nvPicPr>
                        <pic:blipFill>
                          <a:blip r:embed="rId21"/>
                          <a:stretch>
                            <a:fillRect/>
                          </a:stretch>
                        </pic:blipFill>
                        <pic:spPr>
                          <a:xfrm>
                            <a:off x="0" y="0"/>
                            <a:ext cx="2567305" cy="1924685"/>
                          </a:xfrm>
                          <a:prstGeom prst="rect">
                            <a:avLst/>
                          </a:prstGeom>
                        </pic:spPr>
                      </pic:pic>
                    </a:graphicData>
                  </a:graphic>
                </wp:inline>
              </w:drawing>
            </w:r>
          </w:p>
        </w:tc>
        <w:tc>
          <w:tcPr>
            <w:tcW w:w="4261" w:type="dxa"/>
            <w:vAlign w:val="center"/>
          </w:tcPr>
          <w:p w14:paraId="20E327E1">
            <w:pPr>
              <w:pStyle w:val="33"/>
              <w:jc w:val="center"/>
              <w:rPr>
                <w:rFonts w:hint="eastAsia"/>
                <w:vertAlign w:val="baseline"/>
                <w:lang w:eastAsia="zh-CN"/>
              </w:rPr>
            </w:pPr>
            <w:r>
              <w:rPr>
                <w:rFonts w:hint="eastAsia"/>
                <w:vertAlign w:val="baseline"/>
                <w:lang w:eastAsia="zh-CN"/>
              </w:rPr>
              <w:drawing>
                <wp:inline distT="0" distB="0" distL="114300" distR="114300">
                  <wp:extent cx="2548890" cy="1911985"/>
                  <wp:effectExtent l="0" t="0" r="3810" b="12065"/>
                  <wp:docPr id="60" name="图片 60" descr="微信图片_20251119122642_11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微信图片_20251119122642_116_5"/>
                          <pic:cNvPicPr>
                            <a:picLocks noChangeAspect="1"/>
                          </pic:cNvPicPr>
                        </pic:nvPicPr>
                        <pic:blipFill>
                          <a:blip r:embed="rId22"/>
                          <a:stretch>
                            <a:fillRect/>
                          </a:stretch>
                        </pic:blipFill>
                        <pic:spPr>
                          <a:xfrm>
                            <a:off x="0" y="0"/>
                            <a:ext cx="2548890" cy="1911985"/>
                          </a:xfrm>
                          <a:prstGeom prst="rect">
                            <a:avLst/>
                          </a:prstGeom>
                        </pic:spPr>
                      </pic:pic>
                    </a:graphicData>
                  </a:graphic>
                </wp:inline>
              </w:drawing>
            </w:r>
          </w:p>
        </w:tc>
      </w:tr>
      <w:tr w14:paraId="6FCD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261" w:type="dxa"/>
            <w:vAlign w:val="center"/>
          </w:tcPr>
          <w:p w14:paraId="08980536">
            <w:pPr>
              <w:pStyle w:val="33"/>
              <w:jc w:val="center"/>
              <w:rPr>
                <w:rFonts w:hint="eastAsia"/>
                <w:vertAlign w:val="baseline"/>
                <w:lang w:eastAsia="zh-CN"/>
              </w:rPr>
            </w:pPr>
            <w:r>
              <w:rPr>
                <w:rFonts w:hint="eastAsia"/>
                <w:b/>
                <w:bCs/>
                <w:sz w:val="24"/>
                <w:szCs w:val="24"/>
                <w:vertAlign w:val="baseline"/>
                <w:lang w:val="en-US" w:eastAsia="zh-CN"/>
              </w:rPr>
              <w:t>本项目厂区南侧现状照片</w:t>
            </w:r>
          </w:p>
        </w:tc>
        <w:tc>
          <w:tcPr>
            <w:tcW w:w="4261" w:type="dxa"/>
            <w:vAlign w:val="center"/>
          </w:tcPr>
          <w:p w14:paraId="2608AFE0">
            <w:pPr>
              <w:pStyle w:val="33"/>
              <w:jc w:val="center"/>
              <w:rPr>
                <w:rFonts w:hint="default"/>
                <w:vertAlign w:val="baseline"/>
                <w:lang w:val="en-US" w:eastAsia="zh-CN"/>
              </w:rPr>
            </w:pPr>
            <w:r>
              <w:rPr>
                <w:rFonts w:hint="eastAsia"/>
                <w:b/>
                <w:bCs/>
                <w:sz w:val="24"/>
                <w:szCs w:val="24"/>
                <w:vertAlign w:val="baseline"/>
                <w:lang w:val="en-US" w:eastAsia="zh-CN"/>
              </w:rPr>
              <w:t>本项目依托的现有工程危废贮存库</w:t>
            </w:r>
          </w:p>
        </w:tc>
      </w:tr>
      <w:tr w14:paraId="7D11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261" w:type="dxa"/>
            <w:vAlign w:val="center"/>
          </w:tcPr>
          <w:p w14:paraId="3E095938">
            <w:pPr>
              <w:pStyle w:val="33"/>
              <w:jc w:val="center"/>
              <w:rPr>
                <w:rFonts w:hint="eastAsia"/>
                <w:vertAlign w:val="baseline"/>
                <w:lang w:eastAsia="zh-CN"/>
              </w:rPr>
            </w:pPr>
            <w:r>
              <w:rPr>
                <w:rFonts w:hint="eastAsia"/>
                <w:vertAlign w:val="baseline"/>
                <w:lang w:eastAsia="zh-CN"/>
              </w:rPr>
              <w:drawing>
                <wp:inline distT="0" distB="0" distL="114300" distR="114300">
                  <wp:extent cx="2571115" cy="1933575"/>
                  <wp:effectExtent l="0" t="0" r="635" b="9525"/>
                  <wp:docPr id="61" name="图片 61" descr="60091000-147b-419d-a703-4455198ed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60091000-147b-419d-a703-4455198edfd2"/>
                          <pic:cNvPicPr>
                            <a:picLocks noChangeAspect="1"/>
                          </pic:cNvPicPr>
                        </pic:nvPicPr>
                        <pic:blipFill>
                          <a:blip r:embed="rId23"/>
                          <a:stretch>
                            <a:fillRect/>
                          </a:stretch>
                        </pic:blipFill>
                        <pic:spPr>
                          <a:xfrm>
                            <a:off x="0" y="0"/>
                            <a:ext cx="2571115" cy="1933575"/>
                          </a:xfrm>
                          <a:prstGeom prst="rect">
                            <a:avLst/>
                          </a:prstGeom>
                        </pic:spPr>
                      </pic:pic>
                    </a:graphicData>
                  </a:graphic>
                </wp:inline>
              </w:drawing>
            </w:r>
          </w:p>
        </w:tc>
        <w:tc>
          <w:tcPr>
            <w:tcW w:w="4261" w:type="dxa"/>
            <w:vAlign w:val="center"/>
          </w:tcPr>
          <w:p w14:paraId="11D6F22E">
            <w:pPr>
              <w:pStyle w:val="33"/>
              <w:jc w:val="center"/>
              <w:rPr>
                <w:rFonts w:hint="eastAsia"/>
                <w:vertAlign w:val="baseline"/>
                <w:lang w:eastAsia="zh-CN"/>
              </w:rPr>
            </w:pPr>
            <w:r>
              <w:rPr>
                <w:rFonts w:hint="eastAsia"/>
                <w:vertAlign w:val="baseline"/>
                <w:lang w:eastAsia="zh-CN"/>
              </w:rPr>
              <w:drawing>
                <wp:inline distT="0" distB="0" distL="114300" distR="114300">
                  <wp:extent cx="2562860" cy="1913255"/>
                  <wp:effectExtent l="0" t="0" r="8890" b="10795"/>
                  <wp:docPr id="62" name="图片 62" descr="47534602-cda7-4a9a-bafe-83512055f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47534602-cda7-4a9a-bafe-83512055ffbd"/>
                          <pic:cNvPicPr>
                            <a:picLocks noChangeAspect="1"/>
                          </pic:cNvPicPr>
                        </pic:nvPicPr>
                        <pic:blipFill>
                          <a:blip r:embed="rId24"/>
                          <a:stretch>
                            <a:fillRect/>
                          </a:stretch>
                        </pic:blipFill>
                        <pic:spPr>
                          <a:xfrm>
                            <a:off x="0" y="0"/>
                            <a:ext cx="2562860" cy="1913255"/>
                          </a:xfrm>
                          <a:prstGeom prst="rect">
                            <a:avLst/>
                          </a:prstGeom>
                        </pic:spPr>
                      </pic:pic>
                    </a:graphicData>
                  </a:graphic>
                </wp:inline>
              </w:drawing>
            </w:r>
          </w:p>
        </w:tc>
      </w:tr>
      <w:tr w14:paraId="703F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261" w:type="dxa"/>
            <w:vAlign w:val="center"/>
          </w:tcPr>
          <w:p w14:paraId="3D04C88E">
            <w:pPr>
              <w:pStyle w:val="33"/>
              <w:jc w:val="center"/>
              <w:rPr>
                <w:rFonts w:hint="default"/>
                <w:b/>
                <w:bCs/>
                <w:sz w:val="24"/>
                <w:szCs w:val="24"/>
                <w:vertAlign w:val="baseline"/>
                <w:lang w:val="en-US" w:eastAsia="zh-CN"/>
              </w:rPr>
            </w:pPr>
            <w:r>
              <w:rPr>
                <w:rFonts w:hint="eastAsia"/>
                <w:b/>
                <w:bCs/>
                <w:sz w:val="24"/>
                <w:szCs w:val="24"/>
                <w:vertAlign w:val="baseline"/>
                <w:lang w:val="en-US" w:eastAsia="zh-CN"/>
              </w:rPr>
              <w:t>本项目依托的现有工程污水处理站</w:t>
            </w:r>
          </w:p>
        </w:tc>
        <w:tc>
          <w:tcPr>
            <w:tcW w:w="4261" w:type="dxa"/>
            <w:vAlign w:val="center"/>
          </w:tcPr>
          <w:p w14:paraId="3A844109">
            <w:pPr>
              <w:pStyle w:val="33"/>
              <w:jc w:val="center"/>
              <w:rPr>
                <w:rFonts w:hint="default"/>
                <w:b/>
                <w:bCs/>
                <w:sz w:val="24"/>
                <w:szCs w:val="24"/>
                <w:vertAlign w:val="baseline"/>
                <w:lang w:val="en-US" w:eastAsia="zh-CN"/>
              </w:rPr>
            </w:pPr>
            <w:r>
              <w:rPr>
                <w:rFonts w:hint="eastAsia"/>
                <w:b/>
                <w:bCs/>
                <w:spacing w:val="-6"/>
                <w:sz w:val="24"/>
                <w:szCs w:val="24"/>
                <w:vertAlign w:val="baseline"/>
                <w:lang w:val="en-US" w:eastAsia="zh-CN"/>
              </w:rPr>
              <w:t>本项目依托的现有工程一般固废暂存库</w:t>
            </w:r>
          </w:p>
        </w:tc>
      </w:tr>
      <w:tr w14:paraId="4C0B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003" w:hRule="atLeast"/>
        </w:trPr>
        <w:tc>
          <w:tcPr>
            <w:tcW w:w="4261" w:type="dxa"/>
            <w:vAlign w:val="center"/>
          </w:tcPr>
          <w:p w14:paraId="22471B06">
            <w:pPr>
              <w:pStyle w:val="33"/>
              <w:keepNext w:val="0"/>
              <w:keepLines w:val="0"/>
              <w:pageBreakBefore w:val="0"/>
              <w:widowControl w:val="0"/>
              <w:kinsoku/>
              <w:wordWrap/>
              <w:overflowPunct/>
              <w:topLinePunct w:val="0"/>
              <w:autoSpaceDE/>
              <w:autoSpaceDN/>
              <w:bidi w:val="0"/>
              <w:adjustRightInd w:val="0"/>
              <w:snapToGrid/>
              <w:spacing w:line="220" w:lineRule="atLeast"/>
              <w:jc w:val="center"/>
              <w:textAlignment w:val="baseline"/>
              <w:rPr>
                <w:rFonts w:hint="eastAsia"/>
                <w:b/>
                <w:bCs/>
                <w:sz w:val="24"/>
                <w:szCs w:val="24"/>
                <w:vertAlign w:val="baseline"/>
                <w:lang w:val="en-US" w:eastAsia="zh-CN"/>
              </w:rPr>
            </w:pPr>
            <w:r>
              <w:rPr>
                <w:rFonts w:hint="eastAsia"/>
                <w:b/>
                <w:bCs/>
                <w:sz w:val="24"/>
                <w:szCs w:val="24"/>
                <w:vertAlign w:val="baseline"/>
                <w:lang w:val="en-US" w:eastAsia="zh-CN"/>
              </w:rPr>
              <w:drawing>
                <wp:inline distT="0" distB="0" distL="114300" distR="114300">
                  <wp:extent cx="2568575" cy="1896745"/>
                  <wp:effectExtent l="0" t="0" r="3175" b="8255"/>
                  <wp:docPr id="64" name="图片 64" descr="0bb9cd42-3aff-4739-b5d3-6ffde2909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bb9cd42-3aff-4739-b5d3-6ffde2909a3c"/>
                          <pic:cNvPicPr>
                            <a:picLocks noChangeAspect="1"/>
                          </pic:cNvPicPr>
                        </pic:nvPicPr>
                        <pic:blipFill>
                          <a:blip r:embed="rId25"/>
                          <a:stretch>
                            <a:fillRect/>
                          </a:stretch>
                        </pic:blipFill>
                        <pic:spPr>
                          <a:xfrm>
                            <a:off x="0" y="0"/>
                            <a:ext cx="2568575" cy="1896745"/>
                          </a:xfrm>
                          <a:prstGeom prst="rect">
                            <a:avLst/>
                          </a:prstGeom>
                        </pic:spPr>
                      </pic:pic>
                    </a:graphicData>
                  </a:graphic>
                </wp:inline>
              </w:drawing>
            </w:r>
          </w:p>
        </w:tc>
        <w:tc>
          <w:tcPr>
            <w:tcW w:w="4261" w:type="dxa"/>
            <w:vAlign w:val="center"/>
          </w:tcPr>
          <w:p w14:paraId="5D94ACDB">
            <w:pPr>
              <w:pStyle w:val="33"/>
              <w:keepNext w:val="0"/>
              <w:keepLines w:val="0"/>
              <w:pageBreakBefore w:val="0"/>
              <w:widowControl w:val="0"/>
              <w:kinsoku/>
              <w:wordWrap/>
              <w:overflowPunct/>
              <w:topLinePunct w:val="0"/>
              <w:autoSpaceDE/>
              <w:autoSpaceDN/>
              <w:bidi w:val="0"/>
              <w:adjustRightInd w:val="0"/>
              <w:snapToGrid/>
              <w:spacing w:line="220" w:lineRule="atLeast"/>
              <w:jc w:val="center"/>
              <w:textAlignment w:val="baseline"/>
              <w:rPr>
                <w:rFonts w:hint="eastAsia"/>
                <w:b/>
                <w:bCs/>
                <w:spacing w:val="-6"/>
                <w:sz w:val="24"/>
                <w:szCs w:val="24"/>
                <w:vertAlign w:val="baseline"/>
                <w:lang w:val="en-US" w:eastAsia="zh-CN"/>
              </w:rPr>
            </w:pPr>
            <w:r>
              <w:rPr>
                <w:rFonts w:hint="eastAsia"/>
                <w:b/>
                <w:bCs/>
                <w:spacing w:val="-6"/>
                <w:sz w:val="24"/>
                <w:szCs w:val="24"/>
                <w:vertAlign w:val="baseline"/>
                <w:lang w:val="en-US" w:eastAsia="zh-CN"/>
              </w:rPr>
              <w:drawing>
                <wp:inline distT="0" distB="0" distL="114300" distR="114300">
                  <wp:extent cx="2568575" cy="1884045"/>
                  <wp:effectExtent l="0" t="0" r="3175" b="1905"/>
                  <wp:docPr id="66" name="图片 66" descr="5e368181-aa92-45c3-99a0-55d4c347d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5e368181-aa92-45c3-99a0-55d4c347d5aa"/>
                          <pic:cNvPicPr>
                            <a:picLocks noChangeAspect="1"/>
                          </pic:cNvPicPr>
                        </pic:nvPicPr>
                        <pic:blipFill>
                          <a:blip r:embed="rId26"/>
                          <a:stretch>
                            <a:fillRect/>
                          </a:stretch>
                        </pic:blipFill>
                        <pic:spPr>
                          <a:xfrm>
                            <a:off x="0" y="0"/>
                            <a:ext cx="2568575" cy="1884045"/>
                          </a:xfrm>
                          <a:prstGeom prst="rect">
                            <a:avLst/>
                          </a:prstGeom>
                        </pic:spPr>
                      </pic:pic>
                    </a:graphicData>
                  </a:graphic>
                </wp:inline>
              </w:drawing>
            </w:r>
          </w:p>
        </w:tc>
      </w:tr>
      <w:tr w14:paraId="6ACB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261" w:type="dxa"/>
            <w:vAlign w:val="center"/>
          </w:tcPr>
          <w:p w14:paraId="629C0EB7">
            <w:pPr>
              <w:pStyle w:val="33"/>
              <w:keepNext w:val="0"/>
              <w:keepLines w:val="0"/>
              <w:pageBreakBefore w:val="0"/>
              <w:widowControl w:val="0"/>
              <w:kinsoku/>
              <w:wordWrap/>
              <w:overflowPunct/>
              <w:topLinePunct w:val="0"/>
              <w:autoSpaceDE/>
              <w:autoSpaceDN/>
              <w:bidi w:val="0"/>
              <w:adjustRightInd w:val="0"/>
              <w:snapToGrid/>
              <w:spacing w:line="220" w:lineRule="atLeast"/>
              <w:jc w:val="center"/>
              <w:textAlignment w:val="baseline"/>
              <w:rPr>
                <w:rFonts w:hint="default"/>
                <w:b/>
                <w:bCs/>
                <w:sz w:val="24"/>
                <w:szCs w:val="24"/>
                <w:vertAlign w:val="baseline"/>
                <w:lang w:val="en-US" w:eastAsia="zh-CN"/>
              </w:rPr>
            </w:pPr>
            <w:r>
              <w:rPr>
                <w:rFonts w:hint="eastAsia"/>
                <w:b/>
                <w:bCs/>
                <w:spacing w:val="-6"/>
                <w:sz w:val="24"/>
                <w:szCs w:val="24"/>
                <w:vertAlign w:val="baseline"/>
                <w:lang w:val="en-US" w:eastAsia="zh-CN"/>
              </w:rPr>
              <w:t>本项目依托的现有工程纯水制备站</w:t>
            </w:r>
          </w:p>
        </w:tc>
        <w:tc>
          <w:tcPr>
            <w:tcW w:w="4261" w:type="dxa"/>
            <w:vAlign w:val="center"/>
          </w:tcPr>
          <w:p w14:paraId="65BFA390">
            <w:pPr>
              <w:pStyle w:val="33"/>
              <w:keepNext w:val="0"/>
              <w:keepLines w:val="0"/>
              <w:pageBreakBefore w:val="0"/>
              <w:widowControl w:val="0"/>
              <w:kinsoku/>
              <w:wordWrap/>
              <w:overflowPunct/>
              <w:topLinePunct w:val="0"/>
              <w:autoSpaceDE/>
              <w:autoSpaceDN/>
              <w:bidi w:val="0"/>
              <w:adjustRightInd w:val="0"/>
              <w:snapToGrid/>
              <w:spacing w:line="220" w:lineRule="atLeast"/>
              <w:jc w:val="center"/>
              <w:textAlignment w:val="baseline"/>
              <w:rPr>
                <w:rFonts w:hint="eastAsia"/>
                <w:b/>
                <w:bCs/>
                <w:spacing w:val="-6"/>
                <w:sz w:val="24"/>
                <w:szCs w:val="24"/>
                <w:vertAlign w:val="baseline"/>
                <w:lang w:val="en-US" w:eastAsia="zh-CN"/>
              </w:rPr>
            </w:pPr>
            <w:r>
              <w:rPr>
                <w:rFonts w:hint="eastAsia"/>
                <w:b/>
                <w:bCs/>
                <w:spacing w:val="-6"/>
                <w:sz w:val="24"/>
                <w:szCs w:val="24"/>
                <w:vertAlign w:val="baseline"/>
                <w:lang w:val="en-US" w:eastAsia="zh-CN"/>
              </w:rPr>
              <w:t>本项目依托的现有工程制氮站</w:t>
            </w:r>
          </w:p>
        </w:tc>
      </w:tr>
      <w:tr w14:paraId="3AE5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932" w:hRule="atLeast"/>
        </w:trPr>
        <w:tc>
          <w:tcPr>
            <w:tcW w:w="4261" w:type="dxa"/>
            <w:vAlign w:val="center"/>
          </w:tcPr>
          <w:p w14:paraId="0FCECD2D">
            <w:pPr>
              <w:pStyle w:val="33"/>
              <w:keepNext w:val="0"/>
              <w:keepLines w:val="0"/>
              <w:pageBreakBefore w:val="0"/>
              <w:widowControl w:val="0"/>
              <w:kinsoku/>
              <w:wordWrap/>
              <w:overflowPunct/>
              <w:topLinePunct w:val="0"/>
              <w:autoSpaceDE/>
              <w:autoSpaceDN/>
              <w:bidi w:val="0"/>
              <w:adjustRightInd w:val="0"/>
              <w:snapToGrid/>
              <w:spacing w:line="220" w:lineRule="atLeast"/>
              <w:jc w:val="center"/>
              <w:textAlignment w:val="baseline"/>
              <w:rPr>
                <w:rFonts w:hint="eastAsia"/>
                <w:b/>
                <w:bCs/>
                <w:sz w:val="24"/>
                <w:szCs w:val="24"/>
                <w:vertAlign w:val="baseline"/>
                <w:lang w:val="en-US" w:eastAsia="zh-CN"/>
              </w:rPr>
            </w:pPr>
            <w:r>
              <w:rPr>
                <w:rFonts w:hint="eastAsia"/>
                <w:b/>
                <w:bCs/>
                <w:sz w:val="24"/>
                <w:szCs w:val="24"/>
                <w:vertAlign w:val="baseline"/>
                <w:lang w:val="en-US" w:eastAsia="zh-CN"/>
              </w:rPr>
              <w:drawing>
                <wp:inline distT="0" distB="0" distL="114300" distR="114300">
                  <wp:extent cx="2567940" cy="1868170"/>
                  <wp:effectExtent l="0" t="0" r="3810" b="17780"/>
                  <wp:docPr id="70" name="图片 70" descr="c55d0b5f-a461-41d2-80be-af96bb280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55d0b5f-a461-41d2-80be-af96bb28086d"/>
                          <pic:cNvPicPr>
                            <a:picLocks noChangeAspect="1"/>
                          </pic:cNvPicPr>
                        </pic:nvPicPr>
                        <pic:blipFill>
                          <a:blip r:embed="rId27"/>
                          <a:stretch>
                            <a:fillRect/>
                          </a:stretch>
                        </pic:blipFill>
                        <pic:spPr>
                          <a:xfrm>
                            <a:off x="0" y="0"/>
                            <a:ext cx="2567940" cy="1868170"/>
                          </a:xfrm>
                          <a:prstGeom prst="rect">
                            <a:avLst/>
                          </a:prstGeom>
                        </pic:spPr>
                      </pic:pic>
                    </a:graphicData>
                  </a:graphic>
                </wp:inline>
              </w:drawing>
            </w:r>
          </w:p>
        </w:tc>
        <w:tc>
          <w:tcPr>
            <w:tcW w:w="4261" w:type="dxa"/>
            <w:vAlign w:val="center"/>
          </w:tcPr>
          <w:p w14:paraId="2DDC443B">
            <w:pPr>
              <w:pStyle w:val="33"/>
              <w:keepNext w:val="0"/>
              <w:keepLines w:val="0"/>
              <w:pageBreakBefore w:val="0"/>
              <w:widowControl w:val="0"/>
              <w:kinsoku/>
              <w:wordWrap/>
              <w:overflowPunct/>
              <w:topLinePunct w:val="0"/>
              <w:autoSpaceDE/>
              <w:autoSpaceDN/>
              <w:bidi w:val="0"/>
              <w:adjustRightInd w:val="0"/>
              <w:snapToGrid/>
              <w:spacing w:line="220" w:lineRule="atLeast"/>
              <w:jc w:val="center"/>
              <w:textAlignment w:val="baseline"/>
              <w:rPr>
                <w:rFonts w:hint="eastAsia"/>
                <w:b/>
                <w:bCs/>
                <w:spacing w:val="-6"/>
                <w:sz w:val="24"/>
                <w:szCs w:val="24"/>
                <w:vertAlign w:val="baseline"/>
                <w:lang w:val="en-US" w:eastAsia="zh-CN"/>
              </w:rPr>
            </w:pPr>
            <w:r>
              <w:rPr>
                <w:rFonts w:hint="eastAsia"/>
                <w:b/>
                <w:bCs/>
                <w:spacing w:val="-6"/>
                <w:sz w:val="24"/>
                <w:szCs w:val="24"/>
                <w:vertAlign w:val="baseline"/>
                <w:lang w:val="en-US" w:eastAsia="zh-CN"/>
              </w:rPr>
              <w:drawing>
                <wp:inline distT="0" distB="0" distL="114300" distR="114300">
                  <wp:extent cx="2568575" cy="1861820"/>
                  <wp:effectExtent l="0" t="0" r="3175" b="5080"/>
                  <wp:docPr id="73" name="图片 73" descr="f8c1756a-b321-4603-9026-b98fab9d5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f8c1756a-b321-4603-9026-b98fab9d5fe5"/>
                          <pic:cNvPicPr>
                            <a:picLocks noChangeAspect="1"/>
                          </pic:cNvPicPr>
                        </pic:nvPicPr>
                        <pic:blipFill>
                          <a:blip r:embed="rId28"/>
                          <a:stretch>
                            <a:fillRect/>
                          </a:stretch>
                        </pic:blipFill>
                        <pic:spPr>
                          <a:xfrm>
                            <a:off x="0" y="0"/>
                            <a:ext cx="2568575" cy="1861820"/>
                          </a:xfrm>
                          <a:prstGeom prst="rect">
                            <a:avLst/>
                          </a:prstGeom>
                        </pic:spPr>
                      </pic:pic>
                    </a:graphicData>
                  </a:graphic>
                </wp:inline>
              </w:drawing>
            </w:r>
          </w:p>
        </w:tc>
      </w:tr>
      <w:tr w14:paraId="453E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261" w:type="dxa"/>
            <w:vAlign w:val="center"/>
          </w:tcPr>
          <w:p w14:paraId="20BA796D">
            <w:pPr>
              <w:pStyle w:val="33"/>
              <w:keepNext w:val="0"/>
              <w:keepLines w:val="0"/>
              <w:pageBreakBefore w:val="0"/>
              <w:widowControl w:val="0"/>
              <w:kinsoku/>
              <w:wordWrap/>
              <w:overflowPunct/>
              <w:topLinePunct w:val="0"/>
              <w:autoSpaceDE/>
              <w:autoSpaceDN/>
              <w:bidi w:val="0"/>
              <w:adjustRightInd w:val="0"/>
              <w:snapToGrid/>
              <w:spacing w:line="220" w:lineRule="atLeast"/>
              <w:jc w:val="center"/>
              <w:textAlignment w:val="baseline"/>
              <w:rPr>
                <w:rFonts w:hint="default"/>
                <w:b/>
                <w:bCs/>
                <w:sz w:val="24"/>
                <w:szCs w:val="24"/>
                <w:vertAlign w:val="baseline"/>
                <w:lang w:val="en-US" w:eastAsia="zh-CN"/>
              </w:rPr>
            </w:pPr>
            <w:r>
              <w:rPr>
                <w:rFonts w:hint="eastAsia"/>
                <w:b/>
                <w:bCs/>
                <w:spacing w:val="-6"/>
                <w:sz w:val="24"/>
                <w:szCs w:val="24"/>
                <w:vertAlign w:val="baseline"/>
                <w:lang w:val="en-US" w:eastAsia="zh-CN"/>
              </w:rPr>
              <w:t>本项目依托的燃煤锅炉（集中供热）</w:t>
            </w:r>
          </w:p>
        </w:tc>
        <w:tc>
          <w:tcPr>
            <w:tcW w:w="4261" w:type="dxa"/>
            <w:vAlign w:val="center"/>
          </w:tcPr>
          <w:p w14:paraId="1DBABEF3">
            <w:pPr>
              <w:pStyle w:val="33"/>
              <w:keepNext w:val="0"/>
              <w:keepLines w:val="0"/>
              <w:pageBreakBefore w:val="0"/>
              <w:widowControl w:val="0"/>
              <w:kinsoku/>
              <w:wordWrap/>
              <w:overflowPunct/>
              <w:topLinePunct w:val="0"/>
              <w:autoSpaceDE/>
              <w:autoSpaceDN/>
              <w:bidi w:val="0"/>
              <w:adjustRightInd w:val="0"/>
              <w:snapToGrid/>
              <w:spacing w:line="220" w:lineRule="atLeast"/>
              <w:jc w:val="center"/>
              <w:textAlignment w:val="baseline"/>
              <w:rPr>
                <w:rFonts w:hint="default"/>
                <w:b/>
                <w:bCs/>
                <w:spacing w:val="-6"/>
                <w:sz w:val="24"/>
                <w:szCs w:val="24"/>
                <w:vertAlign w:val="baseline"/>
                <w:lang w:val="en-US" w:eastAsia="zh-CN"/>
              </w:rPr>
            </w:pPr>
            <w:r>
              <w:rPr>
                <w:rFonts w:hint="eastAsia"/>
                <w:b/>
                <w:bCs/>
                <w:spacing w:val="-6"/>
                <w:sz w:val="24"/>
                <w:szCs w:val="24"/>
                <w:vertAlign w:val="baseline"/>
                <w:lang w:val="en-US" w:eastAsia="zh-CN"/>
              </w:rPr>
              <w:t>本项目依托的现有工程冷却循环水站</w:t>
            </w:r>
          </w:p>
        </w:tc>
      </w:tr>
      <w:tr w14:paraId="745D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261" w:type="dxa"/>
            <w:vAlign w:val="center"/>
          </w:tcPr>
          <w:p w14:paraId="1BA44377">
            <w:pPr>
              <w:pStyle w:val="33"/>
              <w:keepNext w:val="0"/>
              <w:keepLines w:val="0"/>
              <w:pageBreakBefore w:val="0"/>
              <w:widowControl w:val="0"/>
              <w:kinsoku/>
              <w:wordWrap/>
              <w:overflowPunct/>
              <w:topLinePunct w:val="0"/>
              <w:autoSpaceDE/>
              <w:autoSpaceDN/>
              <w:bidi w:val="0"/>
              <w:adjustRightInd w:val="0"/>
              <w:snapToGrid/>
              <w:spacing w:line="220" w:lineRule="atLeast"/>
              <w:jc w:val="center"/>
              <w:textAlignment w:val="baseline"/>
              <w:rPr>
                <w:rFonts w:hint="eastAsia"/>
                <w:b/>
                <w:bCs/>
                <w:sz w:val="24"/>
                <w:szCs w:val="24"/>
                <w:vertAlign w:val="baseline"/>
                <w:lang w:val="en-US" w:eastAsia="zh-CN"/>
              </w:rPr>
            </w:pPr>
            <w:r>
              <w:rPr>
                <w:rFonts w:hint="eastAsia"/>
                <w:b/>
                <w:bCs/>
                <w:sz w:val="24"/>
                <w:szCs w:val="24"/>
                <w:vertAlign w:val="baseline"/>
                <w:lang w:val="en-US" w:eastAsia="zh-CN"/>
              </w:rPr>
              <w:drawing>
                <wp:inline distT="0" distB="0" distL="114300" distR="114300">
                  <wp:extent cx="2565400" cy="1939290"/>
                  <wp:effectExtent l="0" t="0" r="0" b="0"/>
                  <wp:docPr id="76" name="图片 76" descr="99258187-075a-4a1b-86ff-01b8ffdf3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99258187-075a-4a1b-86ff-01b8ffdf3d71"/>
                          <pic:cNvPicPr>
                            <a:picLocks noChangeAspect="1"/>
                          </pic:cNvPicPr>
                        </pic:nvPicPr>
                        <pic:blipFill>
                          <a:blip r:embed="rId29"/>
                          <a:srcRect b="17370"/>
                          <a:stretch>
                            <a:fillRect/>
                          </a:stretch>
                        </pic:blipFill>
                        <pic:spPr>
                          <a:xfrm>
                            <a:off x="0" y="0"/>
                            <a:ext cx="2565400" cy="1939290"/>
                          </a:xfrm>
                          <a:prstGeom prst="rect">
                            <a:avLst/>
                          </a:prstGeom>
                        </pic:spPr>
                      </pic:pic>
                    </a:graphicData>
                  </a:graphic>
                </wp:inline>
              </w:drawing>
            </w:r>
          </w:p>
        </w:tc>
        <w:tc>
          <w:tcPr>
            <w:tcW w:w="4261" w:type="dxa"/>
            <w:vAlign w:val="center"/>
          </w:tcPr>
          <w:p w14:paraId="34707D8E">
            <w:pPr>
              <w:pStyle w:val="33"/>
              <w:keepNext w:val="0"/>
              <w:keepLines w:val="0"/>
              <w:pageBreakBefore w:val="0"/>
              <w:widowControl w:val="0"/>
              <w:kinsoku/>
              <w:wordWrap/>
              <w:overflowPunct/>
              <w:topLinePunct w:val="0"/>
              <w:autoSpaceDE/>
              <w:autoSpaceDN/>
              <w:bidi w:val="0"/>
              <w:adjustRightInd w:val="0"/>
              <w:snapToGrid/>
              <w:spacing w:line="220" w:lineRule="atLeast"/>
              <w:jc w:val="center"/>
              <w:textAlignment w:val="baseline"/>
              <w:rPr>
                <w:rFonts w:hint="eastAsia"/>
                <w:b/>
                <w:bCs/>
                <w:spacing w:val="-6"/>
                <w:sz w:val="24"/>
                <w:szCs w:val="24"/>
                <w:vertAlign w:val="baseline"/>
                <w:lang w:val="en-US" w:eastAsia="zh-CN"/>
              </w:rPr>
            </w:pPr>
            <w:r>
              <w:rPr>
                <w:rFonts w:hint="eastAsia"/>
                <w:b/>
                <w:bCs/>
                <w:spacing w:val="-6"/>
                <w:sz w:val="24"/>
                <w:szCs w:val="24"/>
                <w:vertAlign w:val="baseline"/>
                <w:lang w:val="en-US" w:eastAsia="zh-CN"/>
              </w:rPr>
              <w:drawing>
                <wp:inline distT="0" distB="0" distL="114300" distR="114300">
                  <wp:extent cx="2568575" cy="1922780"/>
                  <wp:effectExtent l="0" t="0" r="3175" b="1270"/>
                  <wp:docPr id="77" name="图片 77" descr="88d19f1b-81f4-4ae3-ad45-554accd1c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88d19f1b-81f4-4ae3-ad45-554accd1c98f"/>
                          <pic:cNvPicPr>
                            <a:picLocks noChangeAspect="1"/>
                          </pic:cNvPicPr>
                        </pic:nvPicPr>
                        <pic:blipFill>
                          <a:blip r:embed="rId30"/>
                          <a:srcRect t="7594" b="10338"/>
                          <a:stretch>
                            <a:fillRect/>
                          </a:stretch>
                        </pic:blipFill>
                        <pic:spPr>
                          <a:xfrm>
                            <a:off x="0" y="0"/>
                            <a:ext cx="2568575" cy="1922780"/>
                          </a:xfrm>
                          <a:prstGeom prst="rect">
                            <a:avLst/>
                          </a:prstGeom>
                        </pic:spPr>
                      </pic:pic>
                    </a:graphicData>
                  </a:graphic>
                </wp:inline>
              </w:drawing>
            </w:r>
          </w:p>
        </w:tc>
      </w:tr>
      <w:tr w14:paraId="707C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261" w:type="dxa"/>
            <w:vAlign w:val="center"/>
          </w:tcPr>
          <w:p w14:paraId="665DB57A">
            <w:pPr>
              <w:pStyle w:val="33"/>
              <w:keepNext w:val="0"/>
              <w:keepLines w:val="0"/>
              <w:pageBreakBefore w:val="0"/>
              <w:widowControl w:val="0"/>
              <w:kinsoku/>
              <w:wordWrap/>
              <w:overflowPunct/>
              <w:topLinePunct w:val="0"/>
              <w:autoSpaceDE/>
              <w:autoSpaceDN/>
              <w:bidi w:val="0"/>
              <w:adjustRightInd w:val="0"/>
              <w:snapToGrid/>
              <w:spacing w:line="220" w:lineRule="atLeast"/>
              <w:jc w:val="center"/>
              <w:textAlignment w:val="baseline"/>
              <w:rPr>
                <w:rFonts w:hint="default"/>
                <w:b/>
                <w:bCs/>
                <w:sz w:val="24"/>
                <w:szCs w:val="24"/>
                <w:vertAlign w:val="baseline"/>
                <w:lang w:val="en-US" w:eastAsia="zh-CN"/>
              </w:rPr>
            </w:pPr>
            <w:r>
              <w:rPr>
                <w:rFonts w:hint="eastAsia"/>
                <w:b/>
                <w:bCs/>
                <w:sz w:val="24"/>
                <w:szCs w:val="24"/>
                <w:vertAlign w:val="baseline"/>
                <w:lang w:val="en-US" w:eastAsia="zh-CN"/>
              </w:rPr>
              <w:t>现有工程液氨罐区雨淋系统</w:t>
            </w:r>
          </w:p>
        </w:tc>
        <w:tc>
          <w:tcPr>
            <w:tcW w:w="4261" w:type="dxa"/>
            <w:vAlign w:val="center"/>
          </w:tcPr>
          <w:p w14:paraId="71ADCAB0">
            <w:pPr>
              <w:pStyle w:val="33"/>
              <w:keepNext w:val="0"/>
              <w:keepLines w:val="0"/>
              <w:pageBreakBefore w:val="0"/>
              <w:widowControl w:val="0"/>
              <w:kinsoku/>
              <w:wordWrap/>
              <w:overflowPunct/>
              <w:topLinePunct w:val="0"/>
              <w:autoSpaceDE/>
              <w:autoSpaceDN/>
              <w:bidi w:val="0"/>
              <w:adjustRightInd w:val="0"/>
              <w:snapToGrid/>
              <w:spacing w:line="220" w:lineRule="atLeast"/>
              <w:jc w:val="center"/>
              <w:textAlignment w:val="baseline"/>
              <w:rPr>
                <w:rFonts w:hint="default"/>
                <w:b/>
                <w:bCs/>
                <w:spacing w:val="-6"/>
                <w:sz w:val="24"/>
                <w:szCs w:val="24"/>
                <w:vertAlign w:val="baseline"/>
                <w:lang w:val="en-US" w:eastAsia="zh-CN"/>
              </w:rPr>
            </w:pPr>
            <w:r>
              <w:rPr>
                <w:rFonts w:hint="eastAsia"/>
                <w:b/>
                <w:bCs/>
                <w:sz w:val="24"/>
                <w:szCs w:val="24"/>
                <w:vertAlign w:val="baseline"/>
                <w:lang w:val="en-US" w:eastAsia="zh-CN"/>
              </w:rPr>
              <w:t>现有工程液氨罐区有毒气体报警装置</w:t>
            </w:r>
          </w:p>
        </w:tc>
      </w:tr>
      <w:tr w14:paraId="5CE6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949" w:hRule="atLeast"/>
        </w:trPr>
        <w:tc>
          <w:tcPr>
            <w:tcW w:w="4261" w:type="dxa"/>
            <w:vAlign w:val="center"/>
          </w:tcPr>
          <w:p w14:paraId="24209CB1">
            <w:pPr>
              <w:pStyle w:val="33"/>
              <w:keepNext w:val="0"/>
              <w:keepLines w:val="0"/>
              <w:pageBreakBefore w:val="0"/>
              <w:widowControl w:val="0"/>
              <w:kinsoku/>
              <w:wordWrap/>
              <w:overflowPunct/>
              <w:topLinePunct w:val="0"/>
              <w:autoSpaceDE/>
              <w:autoSpaceDN/>
              <w:bidi w:val="0"/>
              <w:adjustRightInd w:val="0"/>
              <w:snapToGrid/>
              <w:spacing w:line="220" w:lineRule="atLeast"/>
              <w:jc w:val="center"/>
              <w:textAlignment w:val="baseline"/>
              <w:rPr>
                <w:rFonts w:hint="eastAsia"/>
                <w:b/>
                <w:bCs/>
                <w:sz w:val="24"/>
                <w:szCs w:val="24"/>
                <w:vertAlign w:val="baseline"/>
                <w:lang w:val="en-US" w:eastAsia="zh-CN"/>
              </w:rPr>
            </w:pPr>
            <w:r>
              <w:rPr>
                <w:rFonts w:hint="eastAsia"/>
                <w:b/>
                <w:bCs/>
                <w:sz w:val="24"/>
                <w:szCs w:val="24"/>
                <w:vertAlign w:val="baseline"/>
                <w:lang w:val="en-US" w:eastAsia="zh-CN"/>
              </w:rPr>
              <w:drawing>
                <wp:inline distT="0" distB="0" distL="114300" distR="114300">
                  <wp:extent cx="2566035" cy="1896745"/>
                  <wp:effectExtent l="0" t="0" r="5715" b="8255"/>
                  <wp:docPr id="84" name="图片 84" descr="87865779-77dd-46cd-9e17-7e4fd9a5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87865779-77dd-46cd-9e17-7e4fd9a57441"/>
                          <pic:cNvPicPr>
                            <a:picLocks noChangeAspect="1"/>
                          </pic:cNvPicPr>
                        </pic:nvPicPr>
                        <pic:blipFill>
                          <a:blip r:embed="rId31"/>
                          <a:stretch>
                            <a:fillRect/>
                          </a:stretch>
                        </pic:blipFill>
                        <pic:spPr>
                          <a:xfrm>
                            <a:off x="0" y="0"/>
                            <a:ext cx="2566035" cy="1896745"/>
                          </a:xfrm>
                          <a:prstGeom prst="rect">
                            <a:avLst/>
                          </a:prstGeom>
                        </pic:spPr>
                      </pic:pic>
                    </a:graphicData>
                  </a:graphic>
                </wp:inline>
              </w:drawing>
            </w:r>
          </w:p>
        </w:tc>
        <w:tc>
          <w:tcPr>
            <w:tcW w:w="4261" w:type="dxa"/>
            <w:vAlign w:val="center"/>
          </w:tcPr>
          <w:p w14:paraId="1E5F6ECC">
            <w:pPr>
              <w:pStyle w:val="33"/>
              <w:keepNext w:val="0"/>
              <w:keepLines w:val="0"/>
              <w:pageBreakBefore w:val="0"/>
              <w:widowControl w:val="0"/>
              <w:kinsoku/>
              <w:wordWrap/>
              <w:overflowPunct/>
              <w:topLinePunct w:val="0"/>
              <w:autoSpaceDE/>
              <w:autoSpaceDN/>
              <w:bidi w:val="0"/>
              <w:adjustRightInd w:val="0"/>
              <w:snapToGrid/>
              <w:spacing w:line="220" w:lineRule="atLeast"/>
              <w:jc w:val="center"/>
              <w:textAlignment w:val="baseline"/>
              <w:rPr>
                <w:rFonts w:hint="eastAsia"/>
                <w:b/>
                <w:bCs/>
                <w:spacing w:val="-6"/>
                <w:sz w:val="24"/>
                <w:szCs w:val="24"/>
                <w:vertAlign w:val="baseline"/>
                <w:lang w:val="en-US" w:eastAsia="zh-CN"/>
              </w:rPr>
            </w:pPr>
            <w:r>
              <w:rPr>
                <w:rFonts w:hint="eastAsia"/>
                <w:b/>
                <w:bCs/>
                <w:spacing w:val="-6"/>
                <w:sz w:val="24"/>
                <w:szCs w:val="24"/>
                <w:vertAlign w:val="baseline"/>
                <w:lang w:val="en-US" w:eastAsia="zh-CN"/>
              </w:rPr>
              <w:drawing>
                <wp:inline distT="0" distB="0" distL="114300" distR="114300">
                  <wp:extent cx="2565400" cy="1892300"/>
                  <wp:effectExtent l="0" t="0" r="6350" b="12700"/>
                  <wp:docPr id="96" name="图片 96" descr="00a26045-5d53-4af4-aed0-e95c9ac52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00a26045-5d53-4af4-aed0-e95c9ac52b52"/>
                          <pic:cNvPicPr>
                            <a:picLocks noChangeAspect="1"/>
                          </pic:cNvPicPr>
                        </pic:nvPicPr>
                        <pic:blipFill>
                          <a:blip r:embed="rId32"/>
                          <a:stretch>
                            <a:fillRect/>
                          </a:stretch>
                        </pic:blipFill>
                        <pic:spPr>
                          <a:xfrm>
                            <a:off x="0" y="0"/>
                            <a:ext cx="2565400" cy="1892300"/>
                          </a:xfrm>
                          <a:prstGeom prst="rect">
                            <a:avLst/>
                          </a:prstGeom>
                        </pic:spPr>
                      </pic:pic>
                    </a:graphicData>
                  </a:graphic>
                </wp:inline>
              </w:drawing>
            </w:r>
          </w:p>
        </w:tc>
      </w:tr>
      <w:tr w14:paraId="3F02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261" w:type="dxa"/>
            <w:vAlign w:val="center"/>
          </w:tcPr>
          <w:p w14:paraId="063D8492">
            <w:pPr>
              <w:pStyle w:val="33"/>
              <w:keepNext w:val="0"/>
              <w:keepLines w:val="0"/>
              <w:pageBreakBefore w:val="0"/>
              <w:widowControl w:val="0"/>
              <w:kinsoku/>
              <w:wordWrap/>
              <w:overflowPunct/>
              <w:topLinePunct w:val="0"/>
              <w:autoSpaceDE/>
              <w:autoSpaceDN/>
              <w:bidi w:val="0"/>
              <w:adjustRightInd w:val="0"/>
              <w:snapToGrid/>
              <w:spacing w:line="220" w:lineRule="atLeast"/>
              <w:jc w:val="center"/>
              <w:textAlignment w:val="baseline"/>
              <w:rPr>
                <w:rFonts w:hint="default"/>
                <w:b/>
                <w:bCs/>
                <w:sz w:val="24"/>
                <w:szCs w:val="24"/>
                <w:vertAlign w:val="baseline"/>
                <w:lang w:val="en-US" w:eastAsia="zh-CN"/>
              </w:rPr>
            </w:pPr>
            <w:r>
              <w:rPr>
                <w:rFonts w:hint="eastAsia"/>
                <w:b/>
                <w:bCs/>
                <w:sz w:val="24"/>
                <w:szCs w:val="24"/>
                <w:vertAlign w:val="baseline"/>
                <w:lang w:val="en-US" w:eastAsia="zh-CN"/>
              </w:rPr>
              <w:t>现有工程锅炉废气在线监控设备</w:t>
            </w:r>
          </w:p>
        </w:tc>
        <w:tc>
          <w:tcPr>
            <w:tcW w:w="4261" w:type="dxa"/>
            <w:vAlign w:val="center"/>
          </w:tcPr>
          <w:p w14:paraId="1D0141BE">
            <w:pPr>
              <w:pStyle w:val="33"/>
              <w:keepNext w:val="0"/>
              <w:keepLines w:val="0"/>
              <w:pageBreakBefore w:val="0"/>
              <w:widowControl w:val="0"/>
              <w:kinsoku/>
              <w:wordWrap/>
              <w:overflowPunct/>
              <w:topLinePunct w:val="0"/>
              <w:autoSpaceDE/>
              <w:autoSpaceDN/>
              <w:bidi w:val="0"/>
              <w:adjustRightInd w:val="0"/>
              <w:snapToGrid/>
              <w:spacing w:line="220" w:lineRule="atLeast"/>
              <w:jc w:val="center"/>
              <w:textAlignment w:val="baseline"/>
              <w:rPr>
                <w:rFonts w:hint="eastAsia"/>
                <w:b/>
                <w:bCs/>
                <w:spacing w:val="-6"/>
                <w:sz w:val="24"/>
                <w:szCs w:val="24"/>
                <w:vertAlign w:val="baseline"/>
                <w:lang w:val="en-US" w:eastAsia="zh-CN"/>
              </w:rPr>
            </w:pPr>
            <w:r>
              <w:rPr>
                <w:rFonts w:hint="eastAsia"/>
                <w:b/>
                <w:bCs/>
                <w:sz w:val="24"/>
                <w:szCs w:val="24"/>
                <w:vertAlign w:val="baseline"/>
                <w:lang w:val="en-US" w:eastAsia="zh-CN"/>
              </w:rPr>
              <w:t>现有工程锅炉废水在线监控设备</w:t>
            </w:r>
          </w:p>
        </w:tc>
      </w:tr>
    </w:tbl>
    <w:p w14:paraId="530ED7D0">
      <w:pPr>
        <w:pStyle w:val="33"/>
        <w:keepNext w:val="0"/>
        <w:keepLines w:val="0"/>
        <w:pageBreakBefore w:val="0"/>
        <w:widowControl w:val="0"/>
        <w:kinsoku/>
        <w:wordWrap/>
        <w:overflowPunct/>
        <w:topLinePunct w:val="0"/>
        <w:autoSpaceDE/>
        <w:autoSpaceDN/>
        <w:bidi w:val="0"/>
        <w:adjustRightInd w:val="0"/>
        <w:snapToGrid/>
        <w:spacing w:line="0" w:lineRule="atLeast"/>
        <w:textAlignment w:val="baseline"/>
        <w:rPr>
          <w:rFonts w:hint="eastAsia"/>
          <w:lang w:eastAsia="zh-CN"/>
        </w:rPr>
      </w:pPr>
    </w:p>
    <w:p w14:paraId="7965E720">
      <w:pPr>
        <w:pStyle w:val="33"/>
        <w:keepNext w:val="0"/>
        <w:keepLines w:val="0"/>
        <w:pageBreakBefore w:val="0"/>
        <w:widowControl w:val="0"/>
        <w:kinsoku/>
        <w:wordWrap/>
        <w:overflowPunct/>
        <w:topLinePunct w:val="0"/>
        <w:autoSpaceDE/>
        <w:autoSpaceDN/>
        <w:bidi w:val="0"/>
        <w:adjustRightInd w:val="0"/>
        <w:snapToGrid/>
        <w:spacing w:line="0" w:lineRule="atLeast"/>
        <w:textAlignment w:val="baseline"/>
        <w:rPr>
          <w:rFonts w:hint="eastAsia"/>
          <w:lang w:eastAsia="zh-CN"/>
        </w:rPr>
        <w:sectPr>
          <w:footerReference r:id="rId7" w:type="default"/>
          <w:pgSz w:w="11906" w:h="16838"/>
          <w:pgMar w:top="1327" w:right="1800" w:bottom="1327"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5FA5678">
      <w:pPr>
        <w:spacing w:before="0" w:beforeLines="0" w:after="0" w:afterLines="0" w:line="240" w:lineRule="auto"/>
        <w:ind w:left="0" w:leftChars="0" w:right="0" w:rightChars="0" w:firstLine="0" w:firstLineChars="0"/>
        <w:jc w:val="center"/>
      </w:pPr>
      <w:sdt>
        <w:sdtPr>
          <w:rPr>
            <w:rFonts w:ascii="宋体" w:hAnsi="宋体" w:eastAsia="宋体" w:cs="Times New Roman"/>
            <w:sz w:val="21"/>
            <w:lang w:val="en-US" w:eastAsia="zh-CN" w:bidi="ar-SA"/>
          </w:rPr>
          <w:id w:val="147465627"/>
          <w:showingPlcHdr/>
          <w15:color w:val="DBDBDB"/>
          <w:docPartObj>
            <w:docPartGallery w:val="Table of Contents"/>
            <w:docPartUnique/>
          </w:docPartObj>
        </w:sdtPr>
        <w:sdtEndPr>
          <w:rPr>
            <w:rFonts w:hint="default" w:ascii="Times New Roman" w:hAnsi="Times New Roman" w:cs="Times New Roman" w:eastAsiaTheme="minorEastAsia"/>
            <w:b/>
            <w:bCs w:val="0"/>
            <w:kern w:val="44"/>
            <w:sz w:val="32"/>
            <w:szCs w:val="32"/>
            <w:lang w:val="en-US" w:eastAsia="zh-CN" w:bidi="ar-SA"/>
          </w:rPr>
        </w:sdtEndPr>
        <w:sdtContent>
          <w:bookmarkStart w:id="14" w:name="_Toc24446"/>
          <w:r>
            <w:rPr>
              <w:rFonts w:hint="eastAsia" w:cs="Times New Roman"/>
              <w:sz w:val="21"/>
              <w:lang w:val="en-US" w:eastAsia="zh-CN" w:bidi="ar-SA"/>
            </w:rPr>
            <w:t xml:space="preserve">     </w:t>
          </w:r>
        </w:sdtContent>
      </w:sdt>
    </w:p>
    <w:p w14:paraId="1508171B">
      <w:pPr>
        <w:pStyle w:val="38"/>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bCs w:val="0"/>
          <w:kern w:val="44"/>
          <w:lang w:val="en-US" w:eastAsia="zh-CN"/>
        </w:rPr>
      </w:pPr>
      <w:r>
        <w:rPr>
          <w:rFonts w:hint="eastAsia" w:ascii="Times New Roman" w:hAnsi="Times New Roman" w:cs="Times New Roman" w:eastAsiaTheme="minorEastAsia"/>
          <w:b/>
          <w:bCs w:val="0"/>
          <w:kern w:val="44"/>
          <w:lang w:val="en-US" w:eastAsia="zh-CN"/>
        </w:rPr>
        <w:t xml:space="preserve">第一章  </w:t>
      </w:r>
      <w:r>
        <w:rPr>
          <w:rFonts w:hint="default" w:ascii="Times New Roman" w:hAnsi="Times New Roman" w:cs="Times New Roman" w:eastAsiaTheme="minorEastAsia"/>
          <w:b/>
          <w:bCs w:val="0"/>
          <w:kern w:val="44"/>
          <w:lang w:val="en-US" w:eastAsia="zh-CN"/>
        </w:rPr>
        <w:t>概述</w:t>
      </w:r>
      <w:bookmarkEnd w:id="14"/>
    </w:p>
    <w:p w14:paraId="14EC1CAD">
      <w:pPr>
        <w:pStyle w:val="39"/>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bCs/>
          <w:lang w:val="en-US" w:eastAsia="zh-CN"/>
        </w:rPr>
      </w:pPr>
      <w:bookmarkStart w:id="15" w:name="_Toc12761"/>
      <w:bookmarkStart w:id="16" w:name="_Toc14202"/>
      <w:bookmarkStart w:id="17" w:name="_Toc23500"/>
      <w:bookmarkStart w:id="18" w:name="_Toc38885378"/>
      <w:bookmarkStart w:id="19" w:name="_Toc30696"/>
      <w:bookmarkStart w:id="20" w:name="_Toc6732"/>
      <w:bookmarkStart w:id="21" w:name="_Toc6629"/>
      <w:r>
        <w:rPr>
          <w:rFonts w:hint="default" w:ascii="Times New Roman" w:hAnsi="Times New Roman" w:cs="Times New Roman" w:eastAsiaTheme="minorEastAsia"/>
          <w:b/>
          <w:bCs/>
          <w:lang w:val="en-US" w:eastAsia="zh-CN"/>
        </w:rPr>
        <w:t>1.1项目背景</w:t>
      </w:r>
      <w:bookmarkEnd w:id="15"/>
      <w:bookmarkEnd w:id="16"/>
      <w:bookmarkEnd w:id="17"/>
      <w:bookmarkEnd w:id="18"/>
      <w:bookmarkEnd w:id="19"/>
      <w:bookmarkEnd w:id="20"/>
      <w:r>
        <w:rPr>
          <w:rFonts w:hint="default" w:ascii="Times New Roman" w:hAnsi="Times New Roman" w:cs="Times New Roman" w:eastAsiaTheme="minorEastAsia"/>
          <w:b/>
          <w:bCs/>
          <w:lang w:val="en-US" w:eastAsia="zh-CN"/>
        </w:rPr>
        <w:t>及特点</w:t>
      </w:r>
      <w:bookmarkEnd w:id="21"/>
    </w:p>
    <w:p w14:paraId="57884F14">
      <w:pPr>
        <w:keepNext w:val="0"/>
        <w:keepLines w:val="0"/>
        <w:widowControl w:val="0"/>
        <w:spacing w:before="0" w:after="0" w:line="360" w:lineRule="auto"/>
        <w:jc w:val="both"/>
        <w:outlineLvl w:val="2"/>
        <w:rPr>
          <w:rFonts w:hint="default" w:ascii="Times New Roman" w:hAnsi="Times New Roman" w:eastAsia="宋体" w:cs="Times New Roman"/>
          <w:b/>
          <w:bCs/>
          <w:snapToGrid w:val="0"/>
          <w:color w:val="000000"/>
          <w:sz w:val="28"/>
          <w:szCs w:val="28"/>
          <w:lang w:val="en-US" w:eastAsia="zh-CN" w:bidi="ar-SA"/>
        </w:rPr>
      </w:pPr>
      <w:r>
        <w:rPr>
          <w:rFonts w:hint="default" w:ascii="Times New Roman" w:hAnsi="Times New Roman" w:eastAsia="宋体" w:cs="Times New Roman"/>
          <w:b/>
          <w:bCs/>
          <w:snapToGrid w:val="0"/>
          <w:color w:val="000000"/>
          <w:sz w:val="28"/>
          <w:szCs w:val="28"/>
          <w:lang w:val="en-US" w:eastAsia="zh-CN" w:bidi="ar-SA"/>
        </w:rPr>
        <w:t>1.1.1项目背景</w:t>
      </w:r>
    </w:p>
    <w:p w14:paraId="433793AA">
      <w:pPr>
        <w:autoSpaceDE/>
        <w:autoSpaceDN/>
        <w:adjustRightInd/>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上海凯赛生物技术股份有限公司（以下简称“凯赛生物”）成立于2000年，由中国留美学者和著名科学家于20世纪90年代创办的高科技产业公司。凯赛生物是一家以合成生物学等学科为基础，利用生物制造技术，从事生物基新材料的研发、生产及销售的科创板上市公司，多年来致力于新型材料和生物化工等绿色产业的技术开发和产业化，先后开发了生物法长链二元酸、生物丁醇、生物基聚酰胺56等一系列生物产业化技术，在世界生物制造领域占据领先地位，其中《生物基重大工程实施方案》重点项目，被国家工信部纳入《产业关键共性技术发展指南（2015年）》。</w:t>
      </w:r>
    </w:p>
    <w:p w14:paraId="6FB6D212">
      <w:pPr>
        <w:autoSpaceDE/>
        <w:autoSpaceDN/>
        <w:adjustRightInd/>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目前，凯赛生物总部和研发中心（上海凯赛生物技术研发中心有限公司）位于上海浦东张江高科技园区，3个生产基地分别位于金乡、乌苏和太原，</w:t>
      </w:r>
      <w:r>
        <w:rPr>
          <w:rFonts w:hint="eastAsia" w:ascii="Times New Roman" w:hAnsi="Times New Roman" w:cs="Times New Roman"/>
          <w:sz w:val="24"/>
          <w:lang w:val="en-US" w:eastAsia="zh-CN"/>
        </w:rPr>
        <w:t>其中</w:t>
      </w:r>
      <w:r>
        <w:rPr>
          <w:rFonts w:hint="default" w:ascii="Times New Roman" w:hAnsi="Times New Roman" w:eastAsia="宋体" w:cs="Times New Roman"/>
          <w:sz w:val="24"/>
          <w:lang w:val="en-US" w:eastAsia="zh-CN"/>
        </w:rPr>
        <w:t>位于乌苏的生产基地</w:t>
      </w:r>
      <w:r>
        <w:rPr>
          <w:rFonts w:hint="eastAsia" w:ascii="Times New Roman" w:hAnsi="Times New Roman" w:cs="Times New Roman"/>
          <w:sz w:val="24"/>
          <w:lang w:val="en-US" w:eastAsia="zh-CN"/>
        </w:rPr>
        <w:t>内共设有两个公司，分别</w:t>
      </w:r>
      <w:r>
        <w:rPr>
          <w:rFonts w:hint="default" w:ascii="Times New Roman" w:hAnsi="Times New Roman" w:eastAsia="宋体" w:cs="Times New Roman"/>
          <w:sz w:val="24"/>
          <w:lang w:val="en-US" w:eastAsia="zh-CN"/>
        </w:rPr>
        <w:t>为凯赛（乌苏）生物材料有限公司</w:t>
      </w:r>
      <w:r>
        <w:rPr>
          <w:rFonts w:hint="eastAsia" w:ascii="Times New Roman" w:hAnsi="Times New Roman" w:cs="Times New Roman"/>
          <w:sz w:val="24"/>
          <w:lang w:val="en-US" w:eastAsia="zh-CN"/>
        </w:rPr>
        <w:t>及</w:t>
      </w:r>
      <w:r>
        <w:rPr>
          <w:rFonts w:hint="default" w:ascii="Times New Roman" w:hAnsi="Times New Roman" w:eastAsia="宋体" w:cs="Times New Roman"/>
          <w:sz w:val="24"/>
          <w:lang w:val="en-US" w:eastAsia="zh-CN"/>
        </w:rPr>
        <w:t>凯赛（乌苏）生物技术有限公司</w:t>
      </w:r>
      <w:r>
        <w:rPr>
          <w:rFonts w:hint="eastAsia" w:ascii="Times New Roman" w:hAnsi="Times New Roman" w:cs="Times New Roman"/>
          <w:sz w:val="24"/>
          <w:lang w:val="en-US" w:eastAsia="zh-CN"/>
        </w:rPr>
        <w:t>。</w:t>
      </w:r>
    </w:p>
    <w:p w14:paraId="31CC8834">
      <w:pPr>
        <w:autoSpaceDE/>
        <w:autoSpaceDN/>
        <w:adjustRightInd/>
        <w:spacing w:line="360" w:lineRule="auto"/>
        <w:ind w:firstLine="482" w:firstLineChars="200"/>
        <w:jc w:val="left"/>
        <w:rPr>
          <w:rFonts w:hint="eastAsia" w:ascii="Times New Roman" w:hAnsi="Times New Roman" w:cs="Times New Roman"/>
          <w:sz w:val="24"/>
          <w:lang w:val="en-US" w:eastAsia="zh-CN"/>
        </w:rPr>
      </w:pPr>
      <w:r>
        <w:rPr>
          <w:rFonts w:hint="default" w:ascii="Times New Roman" w:hAnsi="Times New Roman" w:eastAsia="宋体" w:cs="Times New Roman"/>
          <w:b/>
          <w:bCs/>
          <w:sz w:val="24"/>
          <w:lang w:val="en-US" w:eastAsia="zh-CN"/>
        </w:rPr>
        <w:t>凯赛（乌苏）生物材料有限公司</w:t>
      </w:r>
      <w:r>
        <w:rPr>
          <w:rFonts w:hint="eastAsia" w:ascii="Times New Roman" w:hAnsi="Times New Roman" w:cs="Times New Roman"/>
          <w:b/>
          <w:bCs/>
          <w:sz w:val="24"/>
          <w:lang w:val="en-US" w:eastAsia="zh-CN"/>
        </w:rPr>
        <w:t>：</w:t>
      </w:r>
      <w:r>
        <w:rPr>
          <w:rFonts w:hint="eastAsia" w:ascii="Times New Roman" w:hAnsi="Times New Roman" w:eastAsia="宋体" w:cs="Times New Roman"/>
          <w:sz w:val="24"/>
          <w:lang w:val="en-US" w:eastAsia="zh-CN"/>
        </w:rPr>
        <w:t>成立于201</w:t>
      </w:r>
      <w:r>
        <w:rPr>
          <w:rFonts w:hint="eastAsia" w:ascii="Times New Roman" w:hAnsi="Times New Roman" w:cs="Times New Roman"/>
          <w:sz w:val="24"/>
          <w:lang w:val="en-US" w:eastAsia="zh-CN"/>
        </w:rPr>
        <w:t>6</w:t>
      </w:r>
      <w:r>
        <w:rPr>
          <w:rFonts w:hint="eastAsia" w:ascii="Times New Roman" w:hAnsi="Times New Roman" w:eastAsia="宋体" w:cs="Times New Roman"/>
          <w:sz w:val="24"/>
          <w:lang w:val="en-US" w:eastAsia="zh-CN"/>
        </w:rPr>
        <w:t>年，</w:t>
      </w:r>
      <w:r>
        <w:rPr>
          <w:rFonts w:hint="eastAsia" w:ascii="Times New Roman" w:hAnsi="Times New Roman" w:cs="Times New Roman"/>
          <w:sz w:val="24"/>
          <w:lang w:val="en-US" w:eastAsia="zh-CN"/>
        </w:rPr>
        <w:t>目前公司现有工程共有3个项目，分别为：①2017</w:t>
      </w:r>
      <w:r>
        <w:rPr>
          <w:rFonts w:hint="default" w:ascii="Times New Roman" w:hAnsi="Times New Roman" w:eastAsia="宋体" w:cs="Times New Roman"/>
          <w:sz w:val="24"/>
        </w:rPr>
        <w:t>年投资</w:t>
      </w:r>
      <w:r>
        <w:rPr>
          <w:rFonts w:hint="eastAsia" w:ascii="Times New Roman" w:hAnsi="Times New Roman" w:cs="Times New Roman"/>
          <w:sz w:val="24"/>
          <w:lang w:val="en-US" w:eastAsia="zh-CN"/>
        </w:rPr>
        <w:t>329888</w:t>
      </w:r>
      <w:r>
        <w:rPr>
          <w:rFonts w:hint="default" w:ascii="Times New Roman" w:hAnsi="Times New Roman" w:eastAsia="宋体" w:cs="Times New Roman"/>
          <w:sz w:val="24"/>
          <w:lang w:val="zh-CN"/>
        </w:rPr>
        <w:t>万元</w:t>
      </w:r>
      <w:r>
        <w:rPr>
          <w:rFonts w:hint="eastAsia" w:ascii="Times New Roman" w:hAnsi="Times New Roman" w:eastAsia="宋体" w:cs="Times New Roman"/>
          <w:sz w:val="24"/>
          <w:lang w:val="en-US" w:eastAsia="zh-CN"/>
        </w:rPr>
        <w:t>在乌苏工业园区西区建设</w:t>
      </w:r>
      <w:r>
        <w:rPr>
          <w:rFonts w:hint="eastAsia" w:ascii="Times New Roman" w:hAnsi="Times New Roman" w:cs="Times New Roman"/>
          <w:sz w:val="24"/>
          <w:lang w:val="en-US" w:eastAsia="zh-CN"/>
        </w:rPr>
        <w:t>的凯赛（乌苏）生物材料有限公司年产10万吨生物基聚酰胺项目</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以下简称</w:t>
      </w:r>
      <w:r>
        <w:rPr>
          <w:rFonts w:hint="eastAsia" w:ascii="Times New Roman" w:hAnsi="Times New Roman" w:cs="Times New Roman"/>
          <w:sz w:val="24"/>
          <w:lang w:val="en-US" w:eastAsia="zh-CN"/>
        </w:rPr>
        <w:t>“</w:t>
      </w:r>
      <w:r>
        <w:rPr>
          <w:rFonts w:hint="eastAsia" w:ascii="Times New Roman" w:hAnsi="Times New Roman" w:eastAsia="宋体" w:cs="Times New Roman"/>
          <w:sz w:val="24"/>
          <w:lang w:val="en-US" w:eastAsia="zh-CN"/>
        </w:rPr>
        <w:t>现有工程</w:t>
      </w:r>
      <w:r>
        <w:rPr>
          <w:rFonts w:hint="eastAsia" w:ascii="Times New Roman" w:hAnsi="Times New Roman" w:cs="Times New Roman"/>
          <w:sz w:val="24"/>
          <w:lang w:val="en-US" w:eastAsia="zh-CN"/>
        </w:rPr>
        <w:t>聚酰胺项目”</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rPr>
        <w:t>设计</w:t>
      </w:r>
      <w:r>
        <w:rPr>
          <w:rFonts w:hint="eastAsia" w:ascii="Times New Roman" w:hAnsi="Times New Roman" w:cs="Times New Roman"/>
          <w:sz w:val="24"/>
          <w:lang w:val="en-US" w:eastAsia="zh-CN"/>
        </w:rPr>
        <w:t>主要产品生产</w:t>
      </w:r>
      <w:r>
        <w:rPr>
          <w:rFonts w:hint="default" w:ascii="Times New Roman" w:hAnsi="Times New Roman" w:eastAsia="宋体" w:cs="Times New Roman"/>
          <w:sz w:val="24"/>
        </w:rPr>
        <w:t>规模</w:t>
      </w:r>
      <w:r>
        <w:rPr>
          <w:rFonts w:hint="eastAsia" w:ascii="Times New Roman" w:hAnsi="Times New Roman" w:eastAsia="宋体" w:cs="Times New Roman"/>
          <w:sz w:val="24"/>
          <w:lang w:val="en-US" w:eastAsia="zh-CN"/>
        </w:rPr>
        <w:t>为</w:t>
      </w:r>
      <w:r>
        <w:rPr>
          <w:rFonts w:hint="eastAsia" w:ascii="Times New Roman" w:hAnsi="Times New Roman" w:cs="Times New Roman"/>
          <w:sz w:val="24"/>
          <w:lang w:val="en-US" w:eastAsia="zh-CN"/>
        </w:rPr>
        <w:t>生物基聚酰胺7万t/a、短纤产品3000t/a；②2023年7月投资8000万元在</w:t>
      </w:r>
      <w:r>
        <w:rPr>
          <w:rFonts w:hint="eastAsia" w:ascii="Times New Roman" w:hAnsi="Times New Roman" w:eastAsia="宋体" w:cs="Times New Roman"/>
          <w:sz w:val="24"/>
          <w:lang w:val="en-US" w:eastAsia="zh-CN"/>
        </w:rPr>
        <w:t>现有工程</w:t>
      </w:r>
      <w:r>
        <w:rPr>
          <w:rFonts w:hint="eastAsia" w:ascii="Times New Roman" w:hAnsi="Times New Roman" w:cs="Times New Roman"/>
          <w:sz w:val="24"/>
          <w:lang w:val="en-US" w:eastAsia="zh-CN"/>
        </w:rPr>
        <w:t>预留空地内建设凯赛（乌苏）生物材料有限公司12#工艺技改工程（含废渣干燥处理）项目（</w:t>
      </w:r>
      <w:r>
        <w:rPr>
          <w:rFonts w:hint="eastAsia" w:ascii="Times New Roman" w:hAnsi="Times New Roman" w:eastAsia="宋体" w:cs="Times New Roman"/>
          <w:sz w:val="24"/>
          <w:lang w:val="en-US" w:eastAsia="zh-CN"/>
        </w:rPr>
        <w:t>以下简称</w:t>
      </w:r>
      <w:r>
        <w:rPr>
          <w:rFonts w:hint="eastAsia" w:ascii="Times New Roman" w:hAnsi="Times New Roman" w:cs="Times New Roman"/>
          <w:sz w:val="24"/>
          <w:lang w:val="en-US" w:eastAsia="zh-CN"/>
        </w:rPr>
        <w:t>“</w:t>
      </w:r>
      <w:r>
        <w:rPr>
          <w:rFonts w:hint="eastAsia" w:ascii="Times New Roman" w:hAnsi="Times New Roman" w:eastAsia="宋体" w:cs="Times New Roman"/>
          <w:sz w:val="24"/>
          <w:lang w:val="en-US" w:eastAsia="zh-CN"/>
        </w:rPr>
        <w:t>现有工程</w:t>
      </w:r>
      <w:r>
        <w:rPr>
          <w:rFonts w:hint="eastAsia" w:ascii="Times New Roman" w:hAnsi="Times New Roman" w:cs="Times New Roman"/>
          <w:sz w:val="24"/>
          <w:lang w:val="en-US" w:eastAsia="zh-CN"/>
        </w:rPr>
        <w:t>技改项目”），主要针现有工程聚酰胺项目中戊二胺提取装置、废渣浆液处理进行技术改造，通过在原有戊二胺提取装置中增加滤渣处理装置、过滤调浆装置、批次蒸发处理装置，优化戊二胺提取技术路线，技改前后中间产品戊二胺设计产能不变；③2023年11月投资1373.63万元在</w:t>
      </w:r>
      <w:r>
        <w:rPr>
          <w:rFonts w:hint="eastAsia" w:ascii="Times New Roman" w:hAnsi="Times New Roman" w:eastAsia="宋体" w:cs="Times New Roman"/>
          <w:sz w:val="24"/>
          <w:lang w:val="en-US" w:eastAsia="zh-CN"/>
        </w:rPr>
        <w:t>现有工程</w:t>
      </w:r>
      <w:r>
        <w:rPr>
          <w:rFonts w:hint="eastAsia" w:ascii="Times New Roman" w:hAnsi="Times New Roman" w:cs="Times New Roman"/>
          <w:sz w:val="24"/>
          <w:lang w:val="en-US" w:eastAsia="zh-CN"/>
        </w:rPr>
        <w:t>预留空地内建设凯赛（乌苏）生物材料有限公司年产10000吨PD项目（</w:t>
      </w:r>
      <w:r>
        <w:rPr>
          <w:rFonts w:hint="eastAsia" w:ascii="Times New Roman" w:hAnsi="Times New Roman" w:eastAsia="宋体" w:cs="Times New Roman"/>
          <w:sz w:val="24"/>
          <w:lang w:val="en-US" w:eastAsia="zh-CN"/>
        </w:rPr>
        <w:t>以下简称</w:t>
      </w:r>
      <w:r>
        <w:rPr>
          <w:rFonts w:hint="eastAsia" w:ascii="Times New Roman" w:hAnsi="Times New Roman" w:cs="Times New Roman"/>
          <w:sz w:val="24"/>
          <w:lang w:val="en-US" w:eastAsia="zh-CN"/>
        </w:rPr>
        <w:t>“</w:t>
      </w:r>
      <w:r>
        <w:rPr>
          <w:rFonts w:hint="eastAsia" w:ascii="Times New Roman" w:hAnsi="Times New Roman" w:eastAsia="宋体" w:cs="Times New Roman"/>
          <w:sz w:val="24"/>
          <w:lang w:val="en-US" w:eastAsia="zh-CN"/>
        </w:rPr>
        <w:t>现有工程</w:t>
      </w:r>
      <w:r>
        <w:rPr>
          <w:rFonts w:hint="eastAsia" w:ascii="Times New Roman" w:hAnsi="Times New Roman" w:cs="Times New Roman"/>
          <w:sz w:val="24"/>
          <w:lang w:val="en-US" w:eastAsia="zh-CN"/>
        </w:rPr>
        <w:t>PD项目”），以现有工程聚酰胺项目中间产品戊二胺溶液为原料，年产PD10000t、粗PD200t。</w:t>
      </w:r>
    </w:p>
    <w:p w14:paraId="381B9BFB">
      <w:pPr>
        <w:autoSpaceDE/>
        <w:autoSpaceDN/>
        <w:adjustRightInd/>
        <w:spacing w:line="360" w:lineRule="auto"/>
        <w:ind w:firstLine="480" w:firstLineChars="200"/>
        <w:jc w:val="left"/>
        <w:rPr>
          <w:rFonts w:hint="default" w:ascii="Times New Roman" w:hAnsi="Times New Roman" w:cs="Times New Roman"/>
          <w:sz w:val="24"/>
          <w:highlight w:val="none"/>
          <w:lang w:val="en-US" w:eastAsia="zh-CN"/>
        </w:rPr>
      </w:pPr>
      <w:r>
        <w:rPr>
          <w:rFonts w:hint="eastAsia" w:ascii="Times New Roman" w:hAnsi="Times New Roman" w:cs="Times New Roman"/>
          <w:sz w:val="24"/>
          <w:lang w:val="en-US" w:eastAsia="zh-CN"/>
        </w:rPr>
        <w:t>其中现有工程聚酰胺项目已于2017年8月24日取得原新疆维吾尔自治区环境保护厅颁发的《关于凯赛（乌苏）生物材料有限公司年产10万吨生物基聚酰胺项目环境影响报告书的批复》（新环函〔2017〕1315号）；该项目于2019年6月建成一期工程（生物基聚酰胺7万t/a），并于2019年12月28日完成了一期工程的自主环保验收；同时于2021年12月编制《凯赛（乌苏）生物材料有限公司年产10万吨生物基聚酰胺项目环境影响后评价》，并于2021年12月31日在新疆维吾尔自治区生态环境厅备案（新环环评函〔2021〕1350号）</w:t>
      </w:r>
      <w:r>
        <w:rPr>
          <w:rFonts w:hint="eastAsia" w:ascii="Times New Roman" w:hAnsi="Times New Roman" w:cs="Times New Roman"/>
          <w:sz w:val="24"/>
          <w:highlight w:val="none"/>
          <w:lang w:val="en-US" w:eastAsia="zh-CN"/>
        </w:rPr>
        <w:t>。二期工程（短纤产品30000t/a）于2025年7月20日完成自主环保验收。</w:t>
      </w:r>
    </w:p>
    <w:p w14:paraId="4C50A3AB">
      <w:pPr>
        <w:autoSpaceDE/>
        <w:autoSpaceDN/>
        <w:adjustRightInd/>
        <w:spacing w:line="360" w:lineRule="auto"/>
        <w:ind w:firstLine="480" w:firstLineChars="200"/>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现有工程技改项目已于2023年7月4日取得伊犁哈萨克自治州塔城地区生态环境局颁发的《关于凯赛（乌苏）生物材料有限公司12#工艺技改工程（含废渣干燥处理）项目环境影响报告表的批复》（塔地环字〔2023〕130号）；该项目于2024年7月建设完成，并于2024年10月17日完成自主环保验收。</w:t>
      </w:r>
    </w:p>
    <w:p w14:paraId="1649A4AB">
      <w:pPr>
        <w:autoSpaceDE/>
        <w:autoSpaceDN/>
        <w:adjustRightInd/>
        <w:spacing w:line="360" w:lineRule="auto"/>
        <w:ind w:firstLine="480" w:firstLineChars="200"/>
        <w:jc w:val="left"/>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lang w:val="en-US" w:eastAsia="zh-CN"/>
        </w:rPr>
        <w:t>现有工程</w:t>
      </w:r>
      <w:r>
        <w:rPr>
          <w:rFonts w:hint="eastAsia" w:ascii="Times New Roman" w:hAnsi="Times New Roman" w:cs="Times New Roman"/>
          <w:sz w:val="24"/>
          <w:lang w:val="en-US" w:eastAsia="zh-CN"/>
        </w:rPr>
        <w:t>PD项目已于2023年11月24日取得伊犁哈萨克自治州塔城地区生态环境局颁发的《关于凯赛（乌苏）生物材料有限公司年产10000吨PD项目环境影响报告书的批复》（塔地环字〔2023〕232号）；该项目于2024年7月建设完成，并于</w:t>
      </w:r>
      <w:r>
        <w:rPr>
          <w:rFonts w:hint="eastAsia" w:ascii="Times New Roman" w:hAnsi="Times New Roman" w:cs="Times New Roman"/>
          <w:sz w:val="24"/>
          <w:highlight w:val="none"/>
          <w:lang w:val="en-US" w:eastAsia="zh-CN"/>
        </w:rPr>
        <w:t>2025年1月14日完成自主环保验收。</w:t>
      </w:r>
    </w:p>
    <w:p w14:paraId="49B99CCC">
      <w:pPr>
        <w:autoSpaceDE/>
        <w:autoSpaceDN/>
        <w:adjustRightInd/>
        <w:spacing w:line="360" w:lineRule="auto"/>
        <w:ind w:firstLine="482" w:firstLineChars="200"/>
        <w:jc w:val="left"/>
        <w:rPr>
          <w:rFonts w:hint="eastAsia" w:ascii="Times New Roman" w:hAnsi="Times New Roman" w:cs="Times New Roman"/>
          <w:sz w:val="24"/>
          <w:lang w:val="en-US" w:eastAsia="zh-CN"/>
        </w:rPr>
      </w:pPr>
      <w:r>
        <w:rPr>
          <w:rFonts w:hint="eastAsia" w:ascii="Times New Roman" w:hAnsi="Times New Roman" w:eastAsia="宋体" w:cs="Times New Roman"/>
          <w:b/>
          <w:bCs/>
          <w:sz w:val="24"/>
          <w:lang w:val="en-US" w:eastAsia="zh-CN"/>
        </w:rPr>
        <w:t>凯赛（乌苏）生物技术有限公司</w:t>
      </w:r>
      <w:r>
        <w:rPr>
          <w:rFonts w:hint="eastAsia" w:ascii="Times New Roman" w:hAnsi="Times New Roman" w:cs="Times New Roman"/>
          <w:b/>
          <w:bCs/>
          <w:sz w:val="24"/>
          <w:lang w:val="en-US" w:eastAsia="zh-CN"/>
        </w:rPr>
        <w:t>：</w:t>
      </w:r>
      <w:r>
        <w:rPr>
          <w:rFonts w:hint="eastAsia" w:ascii="Times New Roman" w:hAnsi="Times New Roman" w:cs="Times New Roman"/>
          <w:sz w:val="24"/>
          <w:lang w:val="en-US" w:eastAsia="zh-CN"/>
        </w:rPr>
        <w:t>与</w:t>
      </w:r>
      <w:r>
        <w:rPr>
          <w:rFonts w:hint="default" w:ascii="Times New Roman" w:hAnsi="Times New Roman" w:eastAsia="宋体" w:cs="Times New Roman"/>
          <w:sz w:val="24"/>
          <w:lang w:val="en-US" w:eastAsia="zh-CN"/>
        </w:rPr>
        <w:t>凯赛（乌苏）生物材料有限公司</w:t>
      </w:r>
      <w:r>
        <w:rPr>
          <w:rFonts w:hint="eastAsia" w:ascii="Times New Roman" w:hAnsi="Times New Roman" w:cs="Times New Roman"/>
          <w:sz w:val="24"/>
          <w:lang w:val="en-US" w:eastAsia="zh-CN"/>
        </w:rPr>
        <w:t>位于同一厂区内，其主要产品生产规模为年产5万吨长链二元酸（DC）（3万t/a已建成投产，2万t/a在建）。</w:t>
      </w:r>
    </w:p>
    <w:p w14:paraId="0C4EDBC4">
      <w:pPr>
        <w:autoSpaceDE/>
        <w:autoSpaceDN/>
        <w:adjustRightInd/>
        <w:spacing w:line="360" w:lineRule="auto"/>
        <w:ind w:firstLine="480" w:firstLineChars="200"/>
        <w:jc w:val="left"/>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本项目生产的</w:t>
      </w:r>
      <w:r>
        <w:rPr>
          <w:rFonts w:hint="eastAsia" w:ascii="Times New Roman" w:hAnsi="Times New Roman" w:eastAsia="宋体" w:cs="Times New Roman"/>
          <w:sz w:val="24"/>
          <w:lang w:val="en-US" w:eastAsia="zh-CN"/>
        </w:rPr>
        <w:t>LCDN（长链二元胺）是指碳链含10个以上碳原子的脂肪族二胺，是生产尼龙、</w:t>
      </w:r>
      <w:r>
        <w:rPr>
          <w:rFonts w:hint="eastAsia" w:ascii="Times New Roman" w:hAnsi="Times New Roman" w:cs="Times New Roman"/>
          <w:sz w:val="24"/>
          <w:lang w:val="en-US" w:eastAsia="zh-CN"/>
        </w:rPr>
        <w:t>聚酰胺</w:t>
      </w:r>
      <w:r>
        <w:rPr>
          <w:rFonts w:hint="eastAsia" w:ascii="Times New Roman" w:hAnsi="Times New Roman" w:eastAsia="宋体" w:cs="Times New Roman"/>
          <w:sz w:val="24"/>
          <w:lang w:val="en-US" w:eastAsia="zh-CN"/>
        </w:rPr>
        <w:t>等材料的关键单体。与二元酸缩聚，可制备长链聚酰胺，这些聚酰胺树脂在汽车、电子电气等领域具有重要作用。</w:t>
      </w:r>
    </w:p>
    <w:p w14:paraId="0F1172BF">
      <w:pPr>
        <w:autoSpaceDE/>
        <w:autoSpaceDN/>
        <w:adjustRightInd/>
        <w:spacing w:line="360" w:lineRule="auto"/>
        <w:ind w:firstLine="480" w:firstLineChars="200"/>
        <w:jc w:val="left"/>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为</w:t>
      </w:r>
      <w:r>
        <w:rPr>
          <w:rFonts w:hint="eastAsia" w:ascii="Times New Roman" w:hAnsi="Times New Roman" w:eastAsia="宋体" w:cs="Times New Roman"/>
          <w:sz w:val="24"/>
          <w:lang w:val="en-US" w:eastAsia="zh-CN"/>
        </w:rPr>
        <w:t>打造生物基聚酰胺产业链，丰富公司产品种类，完善产业链布局，增强在生物基材料领域的综合竞争力。</w:t>
      </w:r>
      <w:r>
        <w:rPr>
          <w:rFonts w:hint="default" w:ascii="Times New Roman" w:hAnsi="Times New Roman" w:eastAsia="宋体" w:cs="Times New Roman"/>
          <w:sz w:val="24"/>
          <w:lang w:val="en-US" w:eastAsia="zh-CN"/>
        </w:rPr>
        <w:t>凯赛（乌苏）生物材料有限公司</w:t>
      </w:r>
      <w:r>
        <w:rPr>
          <w:rFonts w:hint="eastAsia" w:ascii="Times New Roman" w:hAnsi="Times New Roman" w:cs="Times New Roman"/>
          <w:sz w:val="24"/>
          <w:lang w:val="en-US" w:eastAsia="zh-CN"/>
        </w:rPr>
        <w:t>拟投资32701.59万元，利用</w:t>
      </w:r>
      <w:r>
        <w:rPr>
          <w:rFonts w:hint="eastAsia" w:ascii="Times New Roman" w:hAnsi="Times New Roman" w:eastAsia="宋体" w:cs="Times New Roman"/>
          <w:sz w:val="24"/>
          <w:lang w:val="en-US" w:eastAsia="zh-CN"/>
        </w:rPr>
        <w:t>凯赛（乌苏）生物技术有限公司</w:t>
      </w:r>
      <w:r>
        <w:rPr>
          <w:rFonts w:hint="eastAsia" w:ascii="Times New Roman" w:hAnsi="Times New Roman" w:cs="Times New Roman"/>
          <w:sz w:val="24"/>
          <w:lang w:val="en-US" w:eastAsia="zh-CN"/>
        </w:rPr>
        <w:t>长链二元酸（DC）粗品为主要原料，在现有工程厂区预留空地，</w:t>
      </w:r>
      <w:r>
        <w:rPr>
          <w:rFonts w:hint="eastAsia" w:ascii="Times New Roman" w:hAnsi="Times New Roman" w:eastAsia="宋体" w:cs="Times New Roman"/>
          <w:sz w:val="24"/>
          <w:lang w:val="en-US" w:eastAsia="zh-CN"/>
        </w:rPr>
        <w:t>建设凯赛（乌苏）生物材料有限公司年产20000吨LCDN项目</w:t>
      </w:r>
      <w:r>
        <w:rPr>
          <w:rFonts w:hint="eastAsia" w:ascii="Times New Roman" w:hAnsi="Times New Roman" w:cs="Times New Roman"/>
          <w:sz w:val="24"/>
          <w:lang w:val="en-US" w:eastAsia="zh-CN"/>
        </w:rPr>
        <w:t>（以下简称“本项目”）。</w:t>
      </w:r>
    </w:p>
    <w:p w14:paraId="1A9038D1">
      <w:pPr>
        <w:keepNext w:val="0"/>
        <w:keepLines w:val="0"/>
        <w:widowControl w:val="0"/>
        <w:spacing w:before="0" w:after="0" w:line="360" w:lineRule="auto"/>
        <w:jc w:val="both"/>
        <w:outlineLvl w:val="2"/>
        <w:rPr>
          <w:rFonts w:hint="default" w:ascii="Times New Roman" w:hAnsi="Times New Roman" w:eastAsia="宋体" w:cs="Times New Roman"/>
          <w:b/>
          <w:bCs/>
          <w:snapToGrid w:val="0"/>
          <w:color w:val="000000"/>
          <w:sz w:val="28"/>
          <w:szCs w:val="28"/>
          <w:lang w:val="en-US" w:eastAsia="zh-CN" w:bidi="ar-SA"/>
        </w:rPr>
      </w:pPr>
      <w:r>
        <w:rPr>
          <w:rFonts w:hint="default" w:ascii="Times New Roman" w:hAnsi="Times New Roman" w:eastAsia="宋体" w:cs="Times New Roman"/>
          <w:b/>
          <w:bCs/>
          <w:snapToGrid w:val="0"/>
          <w:color w:val="000000"/>
          <w:sz w:val="28"/>
          <w:szCs w:val="28"/>
          <w:lang w:val="en-US" w:eastAsia="zh-CN" w:bidi="ar-SA"/>
        </w:rPr>
        <w:t>1.1.2项目特点</w:t>
      </w:r>
    </w:p>
    <w:p w14:paraId="32E03440">
      <w:pPr>
        <w:autoSpaceDE/>
        <w:autoSpaceDN/>
        <w:adjustRightInd/>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本项目位于乌苏市化工产业集中区</w:t>
      </w:r>
      <w:r>
        <w:rPr>
          <w:rFonts w:hint="eastAsia" w:ascii="Times New Roman" w:hAnsi="Times New Roman" w:cs="Times New Roman"/>
          <w:sz w:val="24"/>
          <w:lang w:val="en-US" w:eastAsia="zh-CN"/>
        </w:rPr>
        <w:t>西区</w:t>
      </w:r>
      <w:r>
        <w:rPr>
          <w:rFonts w:hint="default" w:ascii="Times New Roman" w:hAnsi="Times New Roman" w:eastAsia="宋体" w:cs="Times New Roman"/>
          <w:sz w:val="24"/>
          <w:highlight w:val="none"/>
          <w:lang w:val="en-US" w:eastAsia="zh-CN"/>
        </w:rPr>
        <w:t>三类工业用地</w:t>
      </w:r>
      <w:r>
        <w:rPr>
          <w:rFonts w:hint="eastAsia" w:ascii="Times New Roman" w:hAnsi="Times New Roman" w:cs="Times New Roman"/>
          <w:sz w:val="24"/>
          <w:highlight w:val="none"/>
          <w:lang w:val="en-US" w:eastAsia="zh-CN"/>
        </w:rPr>
        <w:t>，</w:t>
      </w:r>
      <w:r>
        <w:rPr>
          <w:rFonts w:hint="default" w:ascii="Times New Roman" w:hAnsi="Times New Roman" w:eastAsia="宋体" w:cs="Times New Roman"/>
          <w:sz w:val="24"/>
          <w:lang w:val="en-US" w:eastAsia="zh-CN"/>
        </w:rPr>
        <w:t>建设</w:t>
      </w:r>
      <w:r>
        <w:rPr>
          <w:rFonts w:hint="eastAsia" w:ascii="Times New Roman" w:hAnsi="Times New Roman" w:cs="Times New Roman"/>
          <w:sz w:val="24"/>
          <w:lang w:val="en-US" w:eastAsia="zh-CN"/>
        </w:rPr>
        <w:t>LCDN装置区、甲醇制氢装置区、甲醇制氢压缩机房、配电室、机柜间、罐区、导热油炉房</w:t>
      </w:r>
      <w:r>
        <w:rPr>
          <w:rFonts w:hint="eastAsia" w:ascii="Times New Roman" w:hAnsi="Times New Roman" w:eastAsia="宋体" w:cs="Times New Roman"/>
          <w:b w:val="0"/>
          <w:bCs/>
          <w:color w:val="auto"/>
          <w:kern w:val="0"/>
          <w:sz w:val="24"/>
          <w:szCs w:val="24"/>
          <w:lang w:val="en-US" w:eastAsia="zh-CN" w:bidi="ar-SA"/>
        </w:rPr>
        <w:t>等建构筑物</w:t>
      </w:r>
      <w:r>
        <w:rPr>
          <w:rFonts w:hint="default" w:ascii="Times New Roman" w:hAnsi="Times New Roman" w:eastAsia="宋体" w:cs="Times New Roman"/>
          <w:sz w:val="24"/>
          <w:lang w:val="en-US" w:eastAsia="zh-CN"/>
        </w:rPr>
        <w:t>，达产后年</w:t>
      </w:r>
      <w:r>
        <w:rPr>
          <w:rFonts w:hint="eastAsia" w:ascii="Times New Roman" w:hAnsi="Times New Roman" w:cs="Times New Roman"/>
          <w:sz w:val="24"/>
          <w:lang w:val="en-US" w:eastAsia="zh-CN"/>
        </w:rPr>
        <w:t>生产LCDN2万吨</w:t>
      </w:r>
      <w:r>
        <w:rPr>
          <w:rFonts w:hint="default" w:ascii="Times New Roman" w:hAnsi="Times New Roman" w:eastAsia="宋体" w:cs="Times New Roman"/>
          <w:sz w:val="24"/>
          <w:lang w:val="en-US" w:eastAsia="zh-CN"/>
        </w:rPr>
        <w:t>。</w:t>
      </w:r>
      <w:r>
        <w:rPr>
          <w:rFonts w:hint="eastAsia" w:ascii="Times New Roman" w:hAnsi="Times New Roman" w:cs="Times New Roman"/>
          <w:sz w:val="24"/>
          <w:lang w:val="en-US" w:eastAsia="zh-CN"/>
        </w:rPr>
        <w:t>主要产品为LCDN，同时副产氨水、LCDN粗品。</w:t>
      </w:r>
      <w:r>
        <w:rPr>
          <w:rFonts w:hint="default" w:ascii="Times New Roman" w:hAnsi="Times New Roman" w:eastAsia="宋体" w:cs="Times New Roman"/>
          <w:sz w:val="24"/>
          <w:lang w:val="en-US" w:eastAsia="zh-CN"/>
        </w:rPr>
        <w:t>项目具有以下特点：</w:t>
      </w:r>
    </w:p>
    <w:p w14:paraId="0B3DF8BD">
      <w:pPr>
        <w:autoSpaceDE/>
        <w:autoSpaceDN/>
        <w:adjustRightInd/>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（1）本项目位于乌苏市化工产业集中区</w:t>
      </w:r>
      <w:r>
        <w:rPr>
          <w:rFonts w:hint="eastAsia" w:ascii="Times New Roman" w:hAnsi="Times New Roman" w:cs="Times New Roman"/>
          <w:sz w:val="24"/>
          <w:lang w:val="en-US" w:eastAsia="zh-CN"/>
        </w:rPr>
        <w:t>西区现有工程厂区预留空地内</w:t>
      </w:r>
      <w:r>
        <w:rPr>
          <w:rFonts w:hint="default" w:ascii="Times New Roman" w:hAnsi="Times New Roman" w:eastAsia="宋体" w:cs="Times New Roman"/>
          <w:sz w:val="24"/>
          <w:lang w:val="en-US" w:eastAsia="zh-CN"/>
        </w:rPr>
        <w:t>，用地为三类工业用地，目前</w:t>
      </w:r>
      <w:r>
        <w:rPr>
          <w:rFonts w:hint="default" w:ascii="Times New Roman" w:hAnsi="Times New Roman" w:eastAsia="宋体" w:cs="Times New Roman"/>
          <w:sz w:val="24"/>
          <w:highlight w:val="none"/>
          <w:lang w:val="en-US" w:eastAsia="zh-CN"/>
        </w:rPr>
        <w:t>已取得</w:t>
      </w:r>
      <w:r>
        <w:rPr>
          <w:rFonts w:hint="eastAsia" w:ascii="Times New Roman" w:hAnsi="Times New Roman" w:cs="Times New Roman"/>
          <w:sz w:val="24"/>
          <w:highlight w:val="none"/>
          <w:lang w:val="en-US" w:eastAsia="zh-CN"/>
        </w:rPr>
        <w:t>国有建设用地使用权出让合同</w:t>
      </w:r>
      <w:r>
        <w:rPr>
          <w:rFonts w:hint="default" w:ascii="Times New Roman" w:hAnsi="Times New Roman" w:eastAsia="宋体" w:cs="Times New Roman"/>
          <w:sz w:val="24"/>
          <w:lang w:val="en-US" w:eastAsia="zh-CN"/>
        </w:rPr>
        <w:t>，园区内供水、供电、供气（天然气）、污水集中处理等基础设施完善</w:t>
      </w:r>
      <w:r>
        <w:rPr>
          <w:rFonts w:hint="eastAsia" w:ascii="Times New Roman" w:hAnsi="Times New Roman" w:cs="Times New Roman"/>
          <w:sz w:val="24"/>
          <w:lang w:val="en-US" w:eastAsia="zh-CN"/>
        </w:rPr>
        <w:t>。</w:t>
      </w:r>
    </w:p>
    <w:p w14:paraId="6AF46BEC">
      <w:pPr>
        <w:autoSpaceDE/>
        <w:autoSpaceDN/>
        <w:adjustRightInd/>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（2）</w:t>
      </w:r>
      <w:r>
        <w:rPr>
          <w:rFonts w:hint="eastAsia" w:ascii="Times New Roman" w:hAnsi="Times New Roman" w:cs="Times New Roman"/>
          <w:sz w:val="24"/>
          <w:lang w:val="en-US" w:eastAsia="zh-CN"/>
        </w:rPr>
        <w:t>本项目以同一厂区内凯赛（乌苏）生物技术有限公司</w:t>
      </w:r>
      <w:r>
        <w:rPr>
          <w:rFonts w:hint="eastAsia" w:ascii="Times New Roman" w:hAnsi="Times New Roman" w:cs="Times New Roman"/>
          <w:kern w:val="0"/>
          <w:sz w:val="24"/>
          <w:szCs w:val="22"/>
          <w:lang w:val="en-US" w:eastAsia="zh-CN"/>
        </w:rPr>
        <w:t>生产过程中产生的</w:t>
      </w:r>
      <w:r>
        <w:rPr>
          <w:rFonts w:hint="default" w:ascii="Times New Roman" w:hAnsi="Times New Roman" w:eastAsia="宋体" w:cs="Times New Roman"/>
          <w:kern w:val="0"/>
          <w:sz w:val="24"/>
          <w:szCs w:val="22"/>
          <w:lang w:val="en-US" w:eastAsia="zh-CN"/>
        </w:rPr>
        <w:t>DC</w:t>
      </w:r>
      <w:r>
        <w:rPr>
          <w:rFonts w:hint="eastAsia" w:ascii="Times New Roman" w:hAnsi="Times New Roman" w:cs="Times New Roman"/>
          <w:kern w:val="0"/>
          <w:sz w:val="24"/>
          <w:szCs w:val="22"/>
          <w:lang w:val="en-US" w:eastAsia="zh-CN"/>
        </w:rPr>
        <w:t>粗品水溶液</w:t>
      </w:r>
      <w:r>
        <w:rPr>
          <w:rFonts w:hint="eastAsia" w:ascii="Times New Roman" w:hAnsi="Times New Roman" w:cs="Times New Roman"/>
          <w:sz w:val="24"/>
          <w:lang w:val="en-US" w:eastAsia="zh-CN"/>
        </w:rPr>
        <w:t>为主要原料，使现有资源得到更充分、高效的利用，提高资源整体利用率，减少资源浪费；降低因库存囤积引发的风险，保障公司的正常运转，在一定程度上缓解产品压力，具有重要的经济效益和社会效益。</w:t>
      </w:r>
    </w:p>
    <w:p w14:paraId="13ABC784">
      <w:pPr>
        <w:autoSpaceDE/>
        <w:autoSpaceDN/>
        <w:adjustRightInd/>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w:t>
      </w:r>
      <w:r>
        <w:rPr>
          <w:rFonts w:hint="default" w:ascii="Times New Roman" w:hAnsi="Times New Roman" w:cs="Times New Roman"/>
          <w:sz w:val="24"/>
          <w:lang w:val="en-US" w:eastAsia="zh-CN"/>
        </w:rPr>
        <w:t>3</w:t>
      </w:r>
      <w:r>
        <w:rPr>
          <w:rFonts w:hint="default" w:ascii="Times New Roman" w:hAnsi="Times New Roman" w:eastAsia="宋体" w:cs="Times New Roman"/>
          <w:sz w:val="24"/>
          <w:lang w:val="en-US" w:eastAsia="zh-CN"/>
        </w:rPr>
        <w:t>）</w:t>
      </w:r>
      <w:r>
        <w:rPr>
          <w:rFonts w:hint="eastAsia" w:ascii="Times New Roman" w:hAnsi="Times New Roman" w:cs="Times New Roman"/>
          <w:sz w:val="24"/>
          <w:lang w:val="en-US" w:eastAsia="zh-CN"/>
        </w:rPr>
        <w:t>目前国内采用生物法DC为原料生产的LCDN，质量稳定、性能优异，能够满足高端聚酰胺、聚酯材料等生产需求，广泛应用于汽车、电子、纺织等众多领域</w:t>
      </w:r>
      <w:r>
        <w:rPr>
          <w:rFonts w:hint="eastAsia" w:ascii="Times New Roman" w:hAnsi="Times New Roman" w:cs="Times New Roman"/>
          <w:sz w:val="24"/>
          <w:highlight w:val="none"/>
          <w:lang w:val="en-US" w:eastAsia="zh-CN"/>
        </w:rPr>
        <w:t>，具有良好的市场前景。</w:t>
      </w:r>
    </w:p>
    <w:p w14:paraId="04DC6531">
      <w:pPr>
        <w:autoSpaceDE/>
        <w:autoSpaceDN/>
        <w:adjustRightInd/>
        <w:spacing w:line="360" w:lineRule="auto"/>
        <w:ind w:firstLine="480" w:firstLineChars="200"/>
        <w:jc w:val="left"/>
        <w:rPr>
          <w:rFonts w:hint="default" w:ascii="Times New Roman" w:hAnsi="Times New Roman" w:cs="Times New Roman"/>
          <w:lang w:val="en-US" w:eastAsia="zh-CN"/>
        </w:rPr>
      </w:pPr>
      <w:r>
        <w:rPr>
          <w:rFonts w:hint="default" w:ascii="Times New Roman" w:hAnsi="Times New Roman" w:eastAsia="宋体" w:cs="Times New Roman"/>
          <w:sz w:val="24"/>
          <w:lang w:val="en-US" w:eastAsia="zh-CN"/>
        </w:rPr>
        <w:t>（</w:t>
      </w:r>
      <w:r>
        <w:rPr>
          <w:rFonts w:hint="default" w:ascii="Times New Roman" w:hAnsi="Times New Roman" w:cs="Times New Roman"/>
          <w:sz w:val="24"/>
          <w:lang w:val="en-US" w:eastAsia="zh-CN"/>
        </w:rPr>
        <w:t>4</w:t>
      </w:r>
      <w:r>
        <w:rPr>
          <w:rFonts w:hint="default" w:ascii="Times New Roman" w:hAnsi="Times New Roman" w:eastAsia="宋体" w:cs="Times New Roman"/>
          <w:sz w:val="24"/>
          <w:lang w:val="en-US" w:eastAsia="zh-CN"/>
        </w:rPr>
        <w:t>）本项目建成运行后生产过程中产生的污染物主要为废气、噪声、废水和固体废物等，</w:t>
      </w:r>
      <w:r>
        <w:rPr>
          <w:rFonts w:hint="eastAsia" w:ascii="Times New Roman" w:hAnsi="Times New Roman" w:cs="Times New Roman"/>
          <w:sz w:val="24"/>
          <w:lang w:val="en-US" w:eastAsia="zh-CN"/>
        </w:rPr>
        <w:t>其中废气污染物种类较多，污染源也较多，</w:t>
      </w:r>
      <w:r>
        <w:rPr>
          <w:rFonts w:hint="default" w:ascii="Times New Roman" w:hAnsi="Times New Roman" w:eastAsia="宋体" w:cs="Times New Roman"/>
          <w:sz w:val="24"/>
          <w:lang w:val="en-US" w:eastAsia="zh-CN"/>
        </w:rPr>
        <w:t>在评价过程中重点分析，同时也关注项目</w:t>
      </w:r>
      <w:r>
        <w:rPr>
          <w:rFonts w:hint="eastAsia" w:ascii="Times New Roman" w:hAnsi="Times New Roman" w:cs="Times New Roman"/>
          <w:sz w:val="24"/>
          <w:lang w:val="en-US" w:eastAsia="zh-CN"/>
        </w:rPr>
        <w:t>废水、噪声</w:t>
      </w:r>
      <w:r>
        <w:rPr>
          <w:rFonts w:hint="default" w:ascii="Times New Roman" w:hAnsi="Times New Roman" w:eastAsia="宋体" w:cs="Times New Roman"/>
          <w:sz w:val="24"/>
          <w:lang w:val="en-US" w:eastAsia="zh-CN"/>
        </w:rPr>
        <w:t>和固废的处置措施可行性</w:t>
      </w:r>
      <w:r>
        <w:rPr>
          <w:rFonts w:hint="eastAsia" w:ascii="Times New Roman" w:hAnsi="Times New Roman" w:cs="Times New Roman"/>
          <w:sz w:val="24"/>
          <w:lang w:val="en-US" w:eastAsia="zh-CN"/>
        </w:rPr>
        <w:t>。</w:t>
      </w:r>
    </w:p>
    <w:p w14:paraId="73882F7B">
      <w:pPr>
        <w:widowControl w:val="0"/>
        <w:bidi w:val="0"/>
        <w:spacing w:line="360" w:lineRule="auto"/>
        <w:jc w:val="both"/>
        <w:outlineLvl w:val="3"/>
        <w:rPr>
          <w:rFonts w:hint="eastAsia" w:ascii="Times New Roman" w:hAnsi="Times New Roman" w:eastAsia="宋体" w:cs="Times New Roman"/>
          <w:b/>
          <w:color w:val="FF0000"/>
          <w:kern w:val="0"/>
          <w:sz w:val="24"/>
          <w:szCs w:val="24"/>
          <w:lang w:val="en-US" w:eastAsia="zh-CN" w:bidi="ar-SA"/>
        </w:rPr>
      </w:pPr>
      <w:r>
        <w:rPr>
          <w:rFonts w:hint="eastAsia" w:ascii="Times New Roman" w:hAnsi="Times New Roman" w:eastAsia="宋体" w:cs="Times New Roman"/>
          <w:b/>
          <w:color w:val="FF0000"/>
          <w:kern w:val="0"/>
          <w:sz w:val="24"/>
          <w:szCs w:val="24"/>
          <w:lang w:val="en-US" w:eastAsia="zh-CN" w:bidi="ar-SA"/>
        </w:rPr>
        <w:t>1.4.2.</w:t>
      </w:r>
      <w:r>
        <w:rPr>
          <w:rFonts w:hint="eastAsia" w:ascii="Times New Roman" w:hAnsi="Times New Roman" w:cs="Times New Roman"/>
          <w:b/>
          <w:color w:val="FF0000"/>
          <w:kern w:val="0"/>
          <w:sz w:val="24"/>
          <w:szCs w:val="24"/>
          <w:lang w:val="en-US" w:eastAsia="zh-CN" w:bidi="ar-SA"/>
        </w:rPr>
        <w:t>6</w:t>
      </w:r>
      <w:r>
        <w:rPr>
          <w:rFonts w:hint="eastAsia" w:ascii="Times New Roman" w:hAnsi="Times New Roman" w:eastAsia="宋体" w:cs="Times New Roman"/>
          <w:b/>
          <w:color w:val="FF0000"/>
          <w:kern w:val="0"/>
          <w:sz w:val="24"/>
          <w:szCs w:val="24"/>
          <w:lang w:val="en-US" w:eastAsia="zh-CN" w:bidi="ar-SA"/>
        </w:rPr>
        <w:t>项目与《乌苏市化工产业集中区</w:t>
      </w:r>
      <w:r>
        <w:rPr>
          <w:rFonts w:hint="eastAsia" w:ascii="Times New Roman" w:hAnsi="Times New Roman" w:cs="Times New Roman"/>
          <w:b/>
          <w:color w:val="FF0000"/>
          <w:kern w:val="0"/>
          <w:sz w:val="24"/>
          <w:szCs w:val="24"/>
          <w:lang w:val="en-US" w:eastAsia="zh-CN" w:bidi="ar-SA"/>
        </w:rPr>
        <w:t>总体</w:t>
      </w:r>
      <w:r>
        <w:rPr>
          <w:rFonts w:hint="eastAsia" w:ascii="Times New Roman" w:hAnsi="Times New Roman" w:eastAsia="宋体" w:cs="Times New Roman"/>
          <w:b/>
          <w:color w:val="FF0000"/>
          <w:kern w:val="0"/>
          <w:sz w:val="24"/>
          <w:szCs w:val="24"/>
          <w:lang w:val="en-US" w:eastAsia="zh-CN" w:bidi="ar-SA"/>
        </w:rPr>
        <w:t>规划（2024-2035年）》符合性分析</w:t>
      </w:r>
    </w:p>
    <w:p w14:paraId="1A7F96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i w:val="0"/>
          <w:iCs w:val="0"/>
          <w:caps w:val="0"/>
          <w:color w:val="FF0000"/>
          <w:spacing w:val="0"/>
          <w:kern w:val="0"/>
          <w:sz w:val="24"/>
          <w:szCs w:val="24"/>
          <w:highlight w:val="none"/>
          <w:shd w:val="clear" w:color="auto" w:fill="FFFFFF"/>
          <w:lang w:val="en-US" w:eastAsia="zh-CN" w:bidi="ar-SA"/>
        </w:rPr>
      </w:pPr>
      <w:r>
        <w:rPr>
          <w:rFonts w:hint="eastAsia" w:ascii="Times New Roman" w:hAnsi="Times New Roman" w:eastAsia="宋体" w:cs="Times New Roman"/>
          <w:i w:val="0"/>
          <w:iCs w:val="0"/>
          <w:caps w:val="0"/>
          <w:color w:val="FF0000"/>
          <w:spacing w:val="0"/>
          <w:kern w:val="0"/>
          <w:sz w:val="24"/>
          <w:szCs w:val="24"/>
          <w:highlight w:val="none"/>
          <w:shd w:val="clear" w:color="auto" w:fill="FFFFFF"/>
          <w:lang w:val="en-US" w:eastAsia="zh-CN" w:bidi="ar-SA"/>
        </w:rPr>
        <w:t>202</w:t>
      </w:r>
      <w:r>
        <w:rPr>
          <w:rFonts w:hint="eastAsia" w:ascii="Times New Roman" w:hAnsi="Times New Roman" w:cs="Times New Roman"/>
          <w:i w:val="0"/>
          <w:iCs w:val="0"/>
          <w:caps w:val="0"/>
          <w:color w:val="FF0000"/>
          <w:spacing w:val="0"/>
          <w:kern w:val="0"/>
          <w:sz w:val="24"/>
          <w:szCs w:val="24"/>
          <w:highlight w:val="none"/>
          <w:shd w:val="clear" w:color="auto" w:fill="FFFFFF"/>
          <w:lang w:val="en-US" w:eastAsia="zh-CN" w:bidi="ar-SA"/>
        </w:rPr>
        <w:t>5</w:t>
      </w:r>
      <w:r>
        <w:rPr>
          <w:rFonts w:hint="eastAsia" w:ascii="Times New Roman" w:hAnsi="Times New Roman" w:eastAsia="宋体" w:cs="Times New Roman"/>
          <w:i w:val="0"/>
          <w:iCs w:val="0"/>
          <w:caps w:val="0"/>
          <w:color w:val="FF0000"/>
          <w:spacing w:val="0"/>
          <w:kern w:val="0"/>
          <w:sz w:val="24"/>
          <w:szCs w:val="24"/>
          <w:highlight w:val="none"/>
          <w:shd w:val="clear" w:color="auto" w:fill="FFFFFF"/>
          <w:lang w:val="en-US" w:eastAsia="zh-CN" w:bidi="ar-SA"/>
        </w:rPr>
        <w:t>年5月</w:t>
      </w:r>
      <w:r>
        <w:rPr>
          <w:rFonts w:hint="eastAsia" w:ascii="Times New Roman" w:hAnsi="Times New Roman" w:cs="Times New Roman"/>
          <w:i w:val="0"/>
          <w:iCs w:val="0"/>
          <w:caps w:val="0"/>
          <w:color w:val="FF0000"/>
          <w:spacing w:val="0"/>
          <w:kern w:val="0"/>
          <w:sz w:val="24"/>
          <w:szCs w:val="24"/>
          <w:highlight w:val="none"/>
          <w:shd w:val="clear" w:color="auto" w:fill="FFFFFF"/>
          <w:lang w:val="en-US" w:eastAsia="zh-CN" w:bidi="ar-SA"/>
        </w:rPr>
        <w:t>10</w:t>
      </w:r>
      <w:r>
        <w:rPr>
          <w:rFonts w:hint="eastAsia" w:ascii="Times New Roman" w:hAnsi="Times New Roman" w:eastAsia="宋体" w:cs="Times New Roman"/>
          <w:i w:val="0"/>
          <w:iCs w:val="0"/>
          <w:caps w:val="0"/>
          <w:color w:val="FF0000"/>
          <w:spacing w:val="0"/>
          <w:kern w:val="0"/>
          <w:sz w:val="24"/>
          <w:szCs w:val="24"/>
          <w:highlight w:val="none"/>
          <w:shd w:val="clear" w:color="auto" w:fill="FFFFFF"/>
          <w:lang w:val="en-US" w:eastAsia="zh-CN" w:bidi="ar-SA"/>
        </w:rPr>
        <w:t>日，乌苏市人民政府以《关于&lt;乌苏市化工产业集中区总体规划（2024-2035年）&gt;的批复》（乌政</w:t>
      </w:r>
      <w:r>
        <w:rPr>
          <w:rFonts w:hint="eastAsia" w:ascii="Times New Roman" w:hAnsi="Times New Roman" w:cs="Times New Roman"/>
          <w:i w:val="0"/>
          <w:iCs w:val="0"/>
          <w:caps w:val="0"/>
          <w:color w:val="FF0000"/>
          <w:spacing w:val="0"/>
          <w:kern w:val="0"/>
          <w:sz w:val="24"/>
          <w:szCs w:val="24"/>
          <w:highlight w:val="none"/>
          <w:shd w:val="clear" w:color="auto" w:fill="FFFFFF"/>
          <w:lang w:val="en-US" w:eastAsia="zh-CN" w:bidi="ar-SA"/>
        </w:rPr>
        <w:t>办</w:t>
      </w:r>
      <w:r>
        <w:rPr>
          <w:rFonts w:hint="eastAsia" w:ascii="Times New Roman" w:hAnsi="Times New Roman" w:eastAsia="宋体" w:cs="Times New Roman"/>
          <w:i w:val="0"/>
          <w:iCs w:val="0"/>
          <w:caps w:val="0"/>
          <w:color w:val="FF0000"/>
          <w:spacing w:val="0"/>
          <w:kern w:val="0"/>
          <w:sz w:val="24"/>
          <w:szCs w:val="24"/>
          <w:highlight w:val="none"/>
          <w:shd w:val="clear" w:color="auto" w:fill="FFFFFF"/>
          <w:lang w:val="en-US" w:eastAsia="zh-CN" w:bidi="ar-SA"/>
        </w:rPr>
        <w:t>函[202</w:t>
      </w:r>
      <w:r>
        <w:rPr>
          <w:rFonts w:hint="eastAsia" w:ascii="Times New Roman" w:hAnsi="Times New Roman" w:cs="Times New Roman"/>
          <w:i w:val="0"/>
          <w:iCs w:val="0"/>
          <w:caps w:val="0"/>
          <w:color w:val="FF0000"/>
          <w:spacing w:val="0"/>
          <w:kern w:val="0"/>
          <w:sz w:val="24"/>
          <w:szCs w:val="24"/>
          <w:highlight w:val="none"/>
          <w:shd w:val="clear" w:color="auto" w:fill="FFFFFF"/>
          <w:lang w:val="en-US" w:eastAsia="zh-CN" w:bidi="ar-SA"/>
        </w:rPr>
        <w:t>5</w:t>
      </w:r>
      <w:r>
        <w:rPr>
          <w:rFonts w:hint="eastAsia" w:ascii="Times New Roman" w:hAnsi="Times New Roman" w:eastAsia="宋体" w:cs="Times New Roman"/>
          <w:i w:val="0"/>
          <w:iCs w:val="0"/>
          <w:caps w:val="0"/>
          <w:color w:val="FF0000"/>
          <w:spacing w:val="0"/>
          <w:kern w:val="0"/>
          <w:sz w:val="24"/>
          <w:szCs w:val="24"/>
          <w:highlight w:val="none"/>
          <w:shd w:val="clear" w:color="auto" w:fill="FFFFFF"/>
          <w:lang w:val="en-US" w:eastAsia="zh-CN" w:bidi="ar-SA"/>
        </w:rPr>
        <w:t>]</w:t>
      </w:r>
      <w:r>
        <w:rPr>
          <w:rFonts w:hint="eastAsia" w:ascii="Times New Roman" w:hAnsi="Times New Roman" w:cs="Times New Roman"/>
          <w:i w:val="0"/>
          <w:iCs w:val="0"/>
          <w:caps w:val="0"/>
          <w:color w:val="FF0000"/>
          <w:spacing w:val="0"/>
          <w:kern w:val="0"/>
          <w:sz w:val="24"/>
          <w:szCs w:val="24"/>
          <w:highlight w:val="none"/>
          <w:shd w:val="clear" w:color="auto" w:fill="FFFFFF"/>
          <w:lang w:val="en-US" w:eastAsia="zh-CN" w:bidi="ar-SA"/>
        </w:rPr>
        <w:t>97</w:t>
      </w:r>
      <w:r>
        <w:rPr>
          <w:rFonts w:hint="eastAsia" w:ascii="Times New Roman" w:hAnsi="Times New Roman" w:eastAsia="宋体" w:cs="Times New Roman"/>
          <w:i w:val="0"/>
          <w:iCs w:val="0"/>
          <w:caps w:val="0"/>
          <w:color w:val="FF0000"/>
          <w:spacing w:val="0"/>
          <w:kern w:val="0"/>
          <w:sz w:val="24"/>
          <w:szCs w:val="24"/>
          <w:highlight w:val="none"/>
          <w:shd w:val="clear" w:color="auto" w:fill="FFFFFF"/>
          <w:lang w:val="en-US" w:eastAsia="zh-CN" w:bidi="ar-SA"/>
        </w:rPr>
        <w:t>号）批复了《乌苏市化工产业集中区</w:t>
      </w:r>
      <w:r>
        <w:rPr>
          <w:rFonts w:hint="eastAsia" w:ascii="Times New Roman" w:hAnsi="Times New Roman" w:cs="Times New Roman"/>
          <w:i w:val="0"/>
          <w:iCs w:val="0"/>
          <w:caps w:val="0"/>
          <w:color w:val="FF0000"/>
          <w:spacing w:val="0"/>
          <w:kern w:val="0"/>
          <w:sz w:val="24"/>
          <w:szCs w:val="24"/>
          <w:highlight w:val="none"/>
          <w:shd w:val="clear" w:color="auto" w:fill="FFFFFF"/>
          <w:lang w:val="en-US" w:eastAsia="zh-CN" w:bidi="ar-SA"/>
        </w:rPr>
        <w:t>总体</w:t>
      </w:r>
      <w:r>
        <w:rPr>
          <w:rFonts w:hint="eastAsia" w:ascii="Times New Roman" w:hAnsi="Times New Roman" w:eastAsia="宋体" w:cs="Times New Roman"/>
          <w:i w:val="0"/>
          <w:iCs w:val="0"/>
          <w:caps w:val="0"/>
          <w:color w:val="FF0000"/>
          <w:spacing w:val="0"/>
          <w:kern w:val="0"/>
          <w:sz w:val="24"/>
          <w:szCs w:val="24"/>
          <w:highlight w:val="none"/>
          <w:shd w:val="clear" w:color="auto" w:fill="FFFFFF"/>
          <w:lang w:val="en-US" w:eastAsia="zh-CN" w:bidi="ar-SA"/>
        </w:rPr>
        <w:t>规划（2024-2035年）》。</w:t>
      </w:r>
    </w:p>
    <w:p w14:paraId="09BCE9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pP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《乌苏市化工产业集中区</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总体</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规划（2024-2035年）》</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产业发展定位</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乌苏市化工产业集中区立足区域资源禀赋与产业基础，以现有生物化工产业集聚区为发展载体，充分发挥生物质资源优势，着力构建以生物基化学品产业、合成生物制造产业为主导，以精细化工为重点，以新能源新材料为配套的产业体系，逐步推动现有化工企业转型升级，推动园区产业向高端转型方向发展，强化地区产业特色，集聚链群效应，建设绿色低碳、特色鲜明和竞争力一流的化工园区。</w:t>
      </w:r>
    </w:p>
    <w:p w14:paraId="449804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pP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其中</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生物基化学品产业、合成生物制造产业发展定位：依托已有生物基制造产业基础，全方面发展生物基制造产业，向下游产业延伸，并实现生物基制造多元化发展，建设以生物基制造为支撑的生物基新材料全产业链系统。</w:t>
      </w:r>
    </w:p>
    <w:p w14:paraId="2104E3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pP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本项目以生物发酵法生产的长链二元酸为原料生产新材料</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生物基聚酰胺</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单体长链二元胺，</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符合</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乌苏市化工产业集中区</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以生物基制造为支撑的生物基新材料全产业链系统</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的产业发展定位</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；同时本项目位于合成生物制造组团，</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符合乌苏市化工产业集中区产业布局</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本项目位于凯赛（乌苏）生物材料有限公司内预留用地，属于乌苏市化工产业集中区</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西区</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三类工业用地，符合乌苏市化工产业集中区土地利用规划。综上，本项目符合《乌苏市化工产业集中区总体规划（2024-2035年）》中相关要求。</w:t>
      </w:r>
    </w:p>
    <w:p w14:paraId="44359509">
      <w:pPr>
        <w:widowControl w:val="0"/>
        <w:bidi w:val="0"/>
        <w:spacing w:line="360" w:lineRule="auto"/>
        <w:jc w:val="both"/>
        <w:outlineLvl w:val="3"/>
        <w:rPr>
          <w:rFonts w:hint="eastAsia" w:ascii="Times New Roman" w:hAnsi="Times New Roman" w:eastAsia="宋体" w:cs="Times New Roman"/>
          <w:b/>
          <w:color w:val="FF0000"/>
          <w:kern w:val="0"/>
          <w:sz w:val="24"/>
          <w:szCs w:val="24"/>
          <w:lang w:val="en-US" w:eastAsia="zh-CN" w:bidi="ar-SA"/>
        </w:rPr>
      </w:pPr>
      <w:r>
        <w:rPr>
          <w:rFonts w:hint="eastAsia" w:ascii="Times New Roman" w:hAnsi="Times New Roman" w:eastAsia="宋体" w:cs="Times New Roman"/>
          <w:b/>
          <w:color w:val="FF0000"/>
          <w:kern w:val="0"/>
          <w:sz w:val="24"/>
          <w:szCs w:val="24"/>
          <w:lang w:val="en-US" w:eastAsia="zh-CN" w:bidi="ar-SA"/>
        </w:rPr>
        <w:t>1.4.2.</w:t>
      </w:r>
      <w:r>
        <w:rPr>
          <w:rFonts w:hint="eastAsia" w:ascii="Times New Roman" w:hAnsi="Times New Roman" w:cs="Times New Roman"/>
          <w:b/>
          <w:color w:val="FF0000"/>
          <w:kern w:val="0"/>
          <w:sz w:val="24"/>
          <w:szCs w:val="24"/>
          <w:lang w:val="en-US" w:eastAsia="zh-CN" w:bidi="ar-SA"/>
        </w:rPr>
        <w:t>7</w:t>
      </w:r>
      <w:r>
        <w:rPr>
          <w:rFonts w:hint="eastAsia" w:ascii="Times New Roman" w:hAnsi="Times New Roman" w:eastAsia="宋体" w:cs="Times New Roman"/>
          <w:b/>
          <w:color w:val="FF0000"/>
          <w:kern w:val="0"/>
          <w:sz w:val="24"/>
          <w:szCs w:val="24"/>
          <w:lang w:val="en-US" w:eastAsia="zh-CN" w:bidi="ar-SA"/>
        </w:rPr>
        <w:t>项目与《乌苏市化工产业集中区</w:t>
      </w:r>
      <w:r>
        <w:rPr>
          <w:rFonts w:hint="eastAsia" w:ascii="Times New Roman" w:hAnsi="Times New Roman" w:cs="Times New Roman"/>
          <w:b/>
          <w:color w:val="FF0000"/>
          <w:kern w:val="0"/>
          <w:sz w:val="24"/>
          <w:szCs w:val="24"/>
          <w:lang w:val="en-US" w:eastAsia="zh-CN" w:bidi="ar-SA"/>
        </w:rPr>
        <w:t>国土空间专项</w:t>
      </w:r>
      <w:r>
        <w:rPr>
          <w:rFonts w:hint="eastAsia" w:ascii="Times New Roman" w:hAnsi="Times New Roman" w:eastAsia="宋体" w:cs="Times New Roman"/>
          <w:b/>
          <w:color w:val="FF0000"/>
          <w:kern w:val="0"/>
          <w:sz w:val="24"/>
          <w:szCs w:val="24"/>
          <w:lang w:val="en-US" w:eastAsia="zh-CN" w:bidi="ar-SA"/>
        </w:rPr>
        <w:t>规划（2024-2035年）环境影响报告书》及审查意见符合性分析</w:t>
      </w:r>
    </w:p>
    <w:p w14:paraId="6932673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pP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202</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6</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年</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1</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月，新疆化工设计研究院有限责任公司完成了《乌苏市化工产业集中区</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国土空间专项</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规划（2024-2035年）环境影响报告书》，2024年6月19日，</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新疆维吾尔自治区</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生态环境</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厅</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以《关于乌苏市化工产业集中区</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国土空间专项</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规划（2024-2035年）环境影响报告书》的审查意见（</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新</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环审〔202</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6</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23</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号）通过了规划环评的审查。本项目与《乌苏市化工产业集中区</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国土空间专项</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规划（2024-2035年）环境影响报告书》审查意见有关情况对照表见表1.4-</w:t>
      </w:r>
      <w:r>
        <w:rPr>
          <w:rFonts w:hint="eastAsia" w:ascii="Times New Roman" w:hAnsi="Times New Roman" w:cs="Times New Roman"/>
          <w:i w:val="0"/>
          <w:iCs w:val="0"/>
          <w:caps w:val="0"/>
          <w:color w:val="FF0000"/>
          <w:spacing w:val="0"/>
          <w:kern w:val="0"/>
          <w:sz w:val="24"/>
          <w:szCs w:val="24"/>
          <w:shd w:val="clear" w:color="auto" w:fill="FFFFFF"/>
          <w:lang w:val="en-US" w:eastAsia="zh-CN" w:bidi="ar-SA"/>
        </w:rPr>
        <w:t>3</w:t>
      </w:r>
      <w:r>
        <w:rPr>
          <w:rFonts w:hint="eastAsia" w:ascii="Times New Roman" w:hAnsi="Times New Roman" w:eastAsia="宋体" w:cs="Times New Roman"/>
          <w:i w:val="0"/>
          <w:iCs w:val="0"/>
          <w:caps w:val="0"/>
          <w:color w:val="FF0000"/>
          <w:spacing w:val="0"/>
          <w:kern w:val="0"/>
          <w:sz w:val="24"/>
          <w:szCs w:val="24"/>
          <w:shd w:val="clear" w:color="auto" w:fill="FFFFFF"/>
          <w:lang w:val="en-US" w:eastAsia="zh-CN" w:bidi="ar-SA"/>
        </w:rPr>
        <w:t>。</w:t>
      </w:r>
    </w:p>
    <w:p w14:paraId="11F96755">
      <w:pPr>
        <w:pStyle w:val="94"/>
        <w:bidi w:val="0"/>
        <w:rPr>
          <w:rFonts w:hint="default" w:ascii="Times New Roman" w:hAnsi="Times New Roman" w:cs="Times New Roman"/>
          <w:color w:val="FF0000"/>
          <w:sz w:val="24"/>
          <w:szCs w:val="24"/>
        </w:rPr>
      </w:pPr>
      <w:r>
        <w:rPr>
          <w:rFonts w:hint="default" w:ascii="Times New Roman" w:hAnsi="Times New Roman" w:cs="Times New Roman"/>
          <w:color w:val="FF0000"/>
          <w:sz w:val="24"/>
          <w:szCs w:val="24"/>
        </w:rPr>
        <w:t>表1.</w:t>
      </w:r>
      <w:r>
        <w:rPr>
          <w:rFonts w:hint="default" w:ascii="Times New Roman" w:hAnsi="Times New Roman" w:cs="Times New Roman"/>
          <w:color w:val="FF0000"/>
          <w:sz w:val="24"/>
          <w:szCs w:val="24"/>
          <w:lang w:val="en-US" w:eastAsia="zh-CN"/>
        </w:rPr>
        <w:t>4-</w:t>
      </w:r>
      <w:r>
        <w:rPr>
          <w:rFonts w:hint="eastAsia" w:ascii="Times New Roman" w:hAnsi="Times New Roman" w:cs="Times New Roman"/>
          <w:color w:val="FF0000"/>
          <w:sz w:val="24"/>
          <w:szCs w:val="24"/>
          <w:lang w:val="en-US" w:eastAsia="zh-CN"/>
        </w:rPr>
        <w:t>3</w:t>
      </w:r>
      <w:r>
        <w:rPr>
          <w:rFonts w:hint="default" w:ascii="Times New Roman" w:hAnsi="Times New Roman" w:cs="Times New Roman"/>
          <w:color w:val="FF0000"/>
          <w:sz w:val="24"/>
          <w:szCs w:val="24"/>
        </w:rPr>
        <w:t xml:space="preserve">   项目与《乌苏市化工产业集中区</w:t>
      </w:r>
      <w:r>
        <w:rPr>
          <w:rFonts w:hint="eastAsia" w:ascii="Times New Roman" w:hAnsi="Times New Roman" w:cs="Times New Roman"/>
          <w:color w:val="FF0000"/>
          <w:sz w:val="24"/>
          <w:szCs w:val="24"/>
          <w:lang w:val="en-US" w:eastAsia="zh-CN"/>
        </w:rPr>
        <w:t>国土空间专项</w:t>
      </w:r>
      <w:r>
        <w:rPr>
          <w:rFonts w:hint="default" w:ascii="Times New Roman" w:hAnsi="Times New Roman" w:cs="Times New Roman"/>
          <w:color w:val="FF0000"/>
          <w:sz w:val="24"/>
          <w:szCs w:val="24"/>
        </w:rPr>
        <w:t>规划（2024-2035年）环境影响报告书》审查意见相符性分析表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4595"/>
        <w:gridCol w:w="3416"/>
        <w:gridCol w:w="765"/>
      </w:tblGrid>
      <w:tr w14:paraId="15F6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0" w:type="pct"/>
            <w:tcBorders>
              <w:tl2br w:val="nil"/>
              <w:tr2bl w:val="nil"/>
            </w:tcBorders>
            <w:vAlign w:val="center"/>
          </w:tcPr>
          <w:p w14:paraId="0D203271">
            <w:pPr>
              <w:pStyle w:val="32"/>
              <w:bidi w:val="0"/>
              <w:rPr>
                <w:rFonts w:hint="eastAsia"/>
                <w:color w:val="FF0000"/>
                <w:lang w:eastAsia="zh-CN"/>
              </w:rPr>
            </w:pPr>
            <w:r>
              <w:rPr>
                <w:rFonts w:hint="eastAsia"/>
                <w:color w:val="FF0000"/>
                <w:lang w:val="en-US" w:eastAsia="zh-CN"/>
              </w:rPr>
              <w:t>序号</w:t>
            </w:r>
          </w:p>
        </w:tc>
        <w:tc>
          <w:tcPr>
            <w:tcW w:w="2486" w:type="pct"/>
            <w:tcBorders>
              <w:tl2br w:val="nil"/>
              <w:tr2bl w:val="nil"/>
            </w:tcBorders>
            <w:vAlign w:val="center"/>
          </w:tcPr>
          <w:p w14:paraId="6023EBE9">
            <w:pPr>
              <w:pStyle w:val="32"/>
              <w:bidi w:val="0"/>
              <w:rPr>
                <w:rFonts w:hint="eastAsia"/>
                <w:color w:val="FF0000"/>
                <w:lang w:val="en-US" w:eastAsia="zh-CN"/>
              </w:rPr>
            </w:pPr>
            <w:r>
              <w:rPr>
                <w:rFonts w:hint="eastAsia"/>
                <w:color w:val="FF0000"/>
                <w:lang w:val="en-US" w:eastAsia="zh-CN"/>
              </w:rPr>
              <w:t>审查意见</w:t>
            </w:r>
          </w:p>
        </w:tc>
        <w:tc>
          <w:tcPr>
            <w:tcW w:w="1848" w:type="pct"/>
            <w:tcBorders>
              <w:tl2br w:val="nil"/>
              <w:tr2bl w:val="nil"/>
            </w:tcBorders>
            <w:vAlign w:val="center"/>
          </w:tcPr>
          <w:p w14:paraId="215DA7FE">
            <w:pPr>
              <w:pStyle w:val="32"/>
              <w:bidi w:val="0"/>
              <w:rPr>
                <w:rFonts w:hint="eastAsia"/>
                <w:color w:val="FF0000"/>
                <w:lang w:eastAsia="zh-CN"/>
              </w:rPr>
            </w:pPr>
            <w:r>
              <w:rPr>
                <w:rFonts w:hint="eastAsia"/>
                <w:color w:val="FF0000"/>
                <w:lang w:val="en-US" w:eastAsia="zh-CN"/>
              </w:rPr>
              <w:t>落实情况</w:t>
            </w:r>
          </w:p>
        </w:tc>
        <w:tc>
          <w:tcPr>
            <w:tcW w:w="414" w:type="pct"/>
            <w:tcBorders>
              <w:tl2br w:val="nil"/>
              <w:tr2bl w:val="nil"/>
            </w:tcBorders>
            <w:vAlign w:val="center"/>
          </w:tcPr>
          <w:p w14:paraId="00F2F862">
            <w:pPr>
              <w:pStyle w:val="32"/>
              <w:bidi w:val="0"/>
              <w:rPr>
                <w:rFonts w:hint="default"/>
                <w:color w:val="FF0000"/>
                <w:lang w:val="en-US" w:eastAsia="zh-CN"/>
              </w:rPr>
            </w:pPr>
            <w:r>
              <w:rPr>
                <w:rFonts w:hint="eastAsia"/>
                <w:color w:val="FF0000"/>
                <w:lang w:val="en-US" w:eastAsia="zh-CN"/>
              </w:rPr>
              <w:t>是否符合</w:t>
            </w:r>
          </w:p>
        </w:tc>
      </w:tr>
      <w:tr w14:paraId="2DB0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1C0D0645">
            <w:pPr>
              <w:pStyle w:val="32"/>
              <w:bidi w:val="0"/>
              <w:rPr>
                <w:rFonts w:hint="eastAsia"/>
                <w:color w:val="FF0000"/>
                <w:lang w:val="en-US" w:eastAsia="zh-CN"/>
              </w:rPr>
            </w:pPr>
            <w:r>
              <w:rPr>
                <w:rFonts w:hint="eastAsia"/>
                <w:color w:val="FF0000"/>
                <w:lang w:val="en-US" w:eastAsia="zh-CN"/>
              </w:rPr>
              <w:t>1</w:t>
            </w:r>
          </w:p>
        </w:tc>
        <w:tc>
          <w:tcPr>
            <w:tcW w:w="2486" w:type="pct"/>
            <w:tcBorders>
              <w:tl2br w:val="nil"/>
              <w:tr2bl w:val="nil"/>
            </w:tcBorders>
            <w:vAlign w:val="center"/>
          </w:tcPr>
          <w:p w14:paraId="60FE0C5B">
            <w:pPr>
              <w:pStyle w:val="32"/>
              <w:bidi w:val="0"/>
              <w:rPr>
                <w:color w:val="FF0000"/>
              </w:rPr>
            </w:pPr>
            <w:r>
              <w:rPr>
                <w:rFonts w:hint="eastAsia"/>
                <w:color w:val="FF0000"/>
              </w:rPr>
              <w:t>坚持绿色发展，优化产业结构、规划布局。坚持以生态环境质量改善为核心，遵循生态优先、绿色发展原则，依据区域环境和资源禀赋条件，落实乌苏工业园区规划环评以及审查意见要求，不断优化化工园区产业结构和规划布局。切实落实《报告书》提出的优化调整意见和生态环境保护对策措施，促进区域发展和环境保护相协调。化工园区应严格按照集约开发的原则，进一步优化用地布局，促进产业集聚，提高土地集约利用效率。持续推动落实上一轮乌苏工业园区规划环评及其审查意见提出的东区相关产业转移要求。</w:t>
            </w:r>
          </w:p>
        </w:tc>
        <w:tc>
          <w:tcPr>
            <w:tcW w:w="1848" w:type="pct"/>
            <w:vMerge w:val="restart"/>
            <w:tcBorders>
              <w:tl2br w:val="nil"/>
              <w:tr2bl w:val="nil"/>
            </w:tcBorders>
            <w:vAlign w:val="center"/>
          </w:tcPr>
          <w:p w14:paraId="14CED3FF">
            <w:pPr>
              <w:pStyle w:val="32"/>
              <w:bidi w:val="0"/>
              <w:rPr>
                <w:rFonts w:hint="default"/>
                <w:color w:val="FF0000"/>
                <w:lang w:val="en-US" w:eastAsia="zh-CN"/>
              </w:rPr>
            </w:pPr>
            <w:r>
              <w:rPr>
                <w:rFonts w:hint="eastAsia"/>
                <w:color w:val="FF0000"/>
                <w:lang w:val="en-US" w:eastAsia="zh-CN"/>
              </w:rPr>
              <w:t>（一）本项目坚持绿色发展理念，以改善区域生态环境质量为目标，采取严格的生态保护措施。同时本项目利用现有工程厂区预留场地进行建设，不新增用地。</w:t>
            </w:r>
          </w:p>
          <w:p w14:paraId="3CA36C43">
            <w:pPr>
              <w:pStyle w:val="32"/>
              <w:bidi w:val="0"/>
              <w:rPr>
                <w:rFonts w:hint="default"/>
                <w:color w:val="FF0000"/>
                <w:lang w:val="en-US" w:eastAsia="zh-CN"/>
              </w:rPr>
            </w:pPr>
            <w:r>
              <w:rPr>
                <w:rFonts w:hint="eastAsia"/>
                <w:color w:val="FF0000"/>
                <w:lang w:val="en-US" w:eastAsia="zh-CN"/>
              </w:rPr>
              <w:t>（二）本项目符合相关产业政策、准入条件、塔城地区生态环境分区管控要求及规划环评中生态环境准入清单要求。</w:t>
            </w:r>
          </w:p>
          <w:p w14:paraId="2A5ACF6B">
            <w:pPr>
              <w:pStyle w:val="32"/>
              <w:bidi w:val="0"/>
              <w:rPr>
                <w:rFonts w:hint="eastAsia"/>
                <w:color w:val="FF0000"/>
                <w:lang w:val="en-US" w:eastAsia="zh-CN"/>
              </w:rPr>
            </w:pPr>
            <w:r>
              <w:rPr>
                <w:rFonts w:hint="eastAsia"/>
                <w:color w:val="FF0000"/>
                <w:lang w:val="en-US" w:eastAsia="zh-CN"/>
              </w:rPr>
              <w:t>（三）本项目不属于两高项目，同时严格污染物总量管控，采取有效措施削减污染物的排放量，确保实现区域环境质量改善目标。各类污染物排放满足污染物排放标准要求，落实污染物总量控制。</w:t>
            </w:r>
          </w:p>
          <w:p w14:paraId="30FB6328">
            <w:pPr>
              <w:pStyle w:val="32"/>
              <w:bidi w:val="0"/>
              <w:rPr>
                <w:rFonts w:hint="eastAsia"/>
                <w:color w:val="FF0000"/>
                <w:lang w:val="en-US" w:eastAsia="zh-CN"/>
              </w:rPr>
            </w:pPr>
            <w:r>
              <w:rPr>
                <w:rFonts w:hint="eastAsia"/>
                <w:color w:val="FF0000"/>
                <w:lang w:val="en-US" w:eastAsia="zh-CN"/>
              </w:rPr>
              <w:t>（四）项目清洁生产水平达到国内先进水平。</w:t>
            </w:r>
          </w:p>
          <w:p w14:paraId="3D8FD094">
            <w:pPr>
              <w:pStyle w:val="32"/>
              <w:bidi w:val="0"/>
              <w:rPr>
                <w:rFonts w:hint="eastAsia"/>
                <w:color w:val="FF0000"/>
                <w:lang w:val="en-US" w:eastAsia="zh-CN"/>
              </w:rPr>
            </w:pPr>
            <w:r>
              <w:rPr>
                <w:rFonts w:hint="eastAsia"/>
                <w:color w:val="FF0000"/>
                <w:lang w:val="en-US" w:eastAsia="zh-CN"/>
              </w:rPr>
              <w:t>（五）项目废水经厂区污水处理站处理后，排入乌苏市西区污水处理厂处理；项目固体废物均能够得到妥善处置。</w:t>
            </w:r>
          </w:p>
          <w:p w14:paraId="68BC8725">
            <w:pPr>
              <w:pStyle w:val="32"/>
              <w:bidi w:val="0"/>
              <w:rPr>
                <w:rFonts w:hint="eastAsia"/>
                <w:color w:val="FF0000"/>
                <w:lang w:val="en-US" w:eastAsia="zh-CN"/>
              </w:rPr>
            </w:pPr>
            <w:r>
              <w:rPr>
                <w:rFonts w:hint="eastAsia"/>
                <w:color w:val="FF0000"/>
                <w:lang w:val="en-US" w:eastAsia="zh-CN"/>
              </w:rPr>
              <w:t>（六）本项目提出了有效的风险防范措施，并要求与区域联动。</w:t>
            </w:r>
          </w:p>
          <w:p w14:paraId="3A9CCF34">
            <w:pPr>
              <w:pStyle w:val="32"/>
              <w:bidi w:val="0"/>
              <w:rPr>
                <w:rFonts w:hint="eastAsia"/>
                <w:color w:val="FF0000"/>
                <w:lang w:val="en-US" w:eastAsia="zh-CN"/>
              </w:rPr>
            </w:pPr>
            <w:r>
              <w:rPr>
                <w:rFonts w:hint="eastAsia"/>
                <w:color w:val="FF0000"/>
                <w:lang w:val="en-US" w:eastAsia="zh-CN"/>
              </w:rPr>
              <w:t>（七）本项目建立了环境监控计划。</w:t>
            </w:r>
          </w:p>
          <w:p w14:paraId="01FA3B93">
            <w:pPr>
              <w:rPr>
                <w:rFonts w:hint="eastAsia" w:ascii="Times New Roman" w:hAnsi="Times New Roman" w:cs="Times New Roman"/>
                <w:color w:val="FF0000"/>
                <w:sz w:val="21"/>
                <w:szCs w:val="21"/>
                <w:highlight w:val="none"/>
                <w:vertAlign w:val="baseline"/>
                <w:lang w:val="en-US" w:eastAsia="zh-CN" w:bidi="ar-SA"/>
              </w:rPr>
            </w:pPr>
            <w:r>
              <w:rPr>
                <w:rFonts w:hint="eastAsia" w:ascii="Times New Roman" w:hAnsi="Times New Roman" w:eastAsia="宋体" w:cstheme="minorBidi"/>
                <w:color w:val="FF0000"/>
                <w:kern w:val="2"/>
                <w:sz w:val="21"/>
                <w:szCs w:val="24"/>
                <w:lang w:val="en-US" w:eastAsia="zh-CN" w:bidi="ar-SA"/>
              </w:rPr>
              <w:t>（八）</w:t>
            </w:r>
            <w:r>
              <w:rPr>
                <w:rFonts w:hint="eastAsia" w:ascii="Times New Roman" w:hAnsi="Times New Roman" w:cstheme="minorBidi"/>
                <w:color w:val="FF0000"/>
                <w:kern w:val="2"/>
                <w:sz w:val="21"/>
                <w:szCs w:val="24"/>
                <w:lang w:val="en-US" w:eastAsia="zh-CN" w:bidi="ar-SA"/>
              </w:rPr>
              <w:t>园区基础设施完善，本项目采用园区集中供热、集中供气、市政供电、集中供水，废水最终进入乌苏市西区污水处理厂，一般工业固体废物最终进入</w:t>
            </w:r>
            <w:r>
              <w:rPr>
                <w:rFonts w:hint="eastAsia" w:ascii="Times New Roman" w:hAnsi="Times New Roman" w:eastAsia="宋体" w:cs="Times New Roman"/>
                <w:color w:val="FF0000"/>
                <w:sz w:val="21"/>
                <w:szCs w:val="21"/>
                <w:highlight w:val="none"/>
                <w:vertAlign w:val="baseline"/>
                <w:lang w:val="en-US" w:eastAsia="zh-CN" w:bidi="ar-SA"/>
              </w:rPr>
              <w:t>乌苏工业园区一般工业固废填埋场</w:t>
            </w:r>
            <w:r>
              <w:rPr>
                <w:rFonts w:hint="eastAsia" w:ascii="Times New Roman" w:hAnsi="Times New Roman" w:cs="Times New Roman"/>
                <w:color w:val="FF0000"/>
                <w:sz w:val="21"/>
                <w:szCs w:val="21"/>
                <w:highlight w:val="none"/>
                <w:vertAlign w:val="baseline"/>
                <w:lang w:val="en-US" w:eastAsia="zh-CN" w:bidi="ar-SA"/>
              </w:rPr>
              <w:t>填埋，生活垃圾委托环卫部门处理。</w:t>
            </w:r>
          </w:p>
          <w:p w14:paraId="4AC831F7">
            <w:pPr>
              <w:rPr>
                <w:rFonts w:hint="default"/>
                <w:color w:val="FF0000"/>
                <w:lang w:val="en-US" w:eastAsia="zh-CN"/>
              </w:rPr>
            </w:pPr>
            <w:r>
              <w:rPr>
                <w:rFonts w:hint="eastAsia" w:ascii="Times New Roman" w:hAnsi="Times New Roman" w:eastAsia="宋体" w:cstheme="minorBidi"/>
                <w:color w:val="FF0000"/>
                <w:kern w:val="2"/>
                <w:sz w:val="21"/>
                <w:szCs w:val="24"/>
                <w:lang w:val="en-US" w:eastAsia="zh-CN" w:bidi="ar-SA"/>
              </w:rPr>
              <w:t>（九）本次评价重点开展工程分析、环境影响预测与评价、环境风险评价和环保措施的可行性论证，同时要求企业建成后按照要求落实环保措施及监测计划。</w:t>
            </w:r>
          </w:p>
        </w:tc>
        <w:tc>
          <w:tcPr>
            <w:tcW w:w="414" w:type="pct"/>
            <w:vMerge w:val="restart"/>
            <w:tcBorders>
              <w:tl2br w:val="nil"/>
              <w:tr2bl w:val="nil"/>
            </w:tcBorders>
            <w:vAlign w:val="center"/>
          </w:tcPr>
          <w:p w14:paraId="1E30CA61">
            <w:pPr>
              <w:pStyle w:val="32"/>
              <w:bidi w:val="0"/>
              <w:rPr>
                <w:rFonts w:hint="default"/>
                <w:color w:val="FF0000"/>
                <w:lang w:val="en-US" w:eastAsia="zh-CN"/>
              </w:rPr>
            </w:pPr>
            <w:r>
              <w:rPr>
                <w:rFonts w:hint="eastAsia"/>
                <w:color w:val="FF0000"/>
                <w:lang w:val="en-US" w:eastAsia="zh-CN"/>
              </w:rPr>
              <w:t>符合</w:t>
            </w:r>
          </w:p>
        </w:tc>
      </w:tr>
      <w:tr w14:paraId="5EF0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1532AE3E">
            <w:pPr>
              <w:pStyle w:val="32"/>
              <w:bidi w:val="0"/>
              <w:rPr>
                <w:rFonts w:hint="eastAsia"/>
                <w:color w:val="FF0000"/>
                <w:lang w:val="en-US" w:eastAsia="zh-CN"/>
              </w:rPr>
            </w:pPr>
            <w:r>
              <w:rPr>
                <w:rFonts w:hint="eastAsia"/>
                <w:color w:val="FF0000"/>
                <w:lang w:val="en-US" w:eastAsia="zh-CN"/>
              </w:rPr>
              <w:t>2</w:t>
            </w:r>
          </w:p>
        </w:tc>
        <w:tc>
          <w:tcPr>
            <w:tcW w:w="2486" w:type="pct"/>
            <w:tcBorders>
              <w:tl2br w:val="nil"/>
              <w:tr2bl w:val="nil"/>
            </w:tcBorders>
            <w:vAlign w:val="center"/>
          </w:tcPr>
          <w:p w14:paraId="5A8C8D44">
            <w:pPr>
              <w:pStyle w:val="32"/>
              <w:bidi w:val="0"/>
              <w:rPr>
                <w:color w:val="FF0000"/>
              </w:rPr>
            </w:pPr>
            <w:r>
              <w:rPr>
                <w:rFonts w:hint="eastAsia"/>
                <w:color w:val="FF0000"/>
              </w:rPr>
              <w:t>衔接生态环保要求，严格环境准入。按照规划产业布局入驻企业，结合区域发展定位、开发布局、生态环境保护目标，实行入园企业生态环境准入，不符合分区管控、产业政策、行业准入条件、生态环境准入清单及国家、自治区明令禁止的项目一律不得入驻。引进项目的生产工艺、设备、污染治理技术，以及单位产品能耗、物耗、污染物排放、碳排放总量与强度和资源利用率均需达到同行业国内先进水平。新建、改建、扩建“两高”项目须符合生态环境保护法律法规和相关法定规划，满足重点污染物排放总量控制、碳排放达峰目标、生态环境准入清单、相关规划环评和行业建设项目环境准入条件、环评文件审批原则等要求。</w:t>
            </w:r>
          </w:p>
        </w:tc>
        <w:tc>
          <w:tcPr>
            <w:tcW w:w="1848" w:type="pct"/>
            <w:vMerge w:val="continue"/>
            <w:tcBorders>
              <w:tl2br w:val="nil"/>
              <w:tr2bl w:val="nil"/>
            </w:tcBorders>
            <w:vAlign w:val="center"/>
          </w:tcPr>
          <w:p w14:paraId="6B9183EB">
            <w:pPr>
              <w:pStyle w:val="32"/>
              <w:bidi w:val="0"/>
              <w:rPr>
                <w:color w:val="FF0000"/>
              </w:rPr>
            </w:pPr>
          </w:p>
        </w:tc>
        <w:tc>
          <w:tcPr>
            <w:tcW w:w="414" w:type="pct"/>
            <w:vMerge w:val="continue"/>
            <w:tcBorders>
              <w:tl2br w:val="nil"/>
              <w:tr2bl w:val="nil"/>
            </w:tcBorders>
            <w:vAlign w:val="center"/>
          </w:tcPr>
          <w:p w14:paraId="1B035E5A">
            <w:pPr>
              <w:pStyle w:val="32"/>
              <w:bidi w:val="0"/>
              <w:rPr>
                <w:rFonts w:hint="eastAsia"/>
                <w:color w:val="FF0000"/>
                <w:lang w:val="en-US" w:eastAsia="zh-CN"/>
              </w:rPr>
            </w:pPr>
          </w:p>
        </w:tc>
      </w:tr>
      <w:tr w14:paraId="575C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76B2815E">
            <w:pPr>
              <w:pStyle w:val="32"/>
              <w:bidi w:val="0"/>
              <w:rPr>
                <w:rFonts w:hint="default"/>
                <w:color w:val="FF0000"/>
                <w:lang w:val="en-US" w:eastAsia="zh-CN"/>
              </w:rPr>
            </w:pPr>
            <w:r>
              <w:rPr>
                <w:rFonts w:hint="eastAsia"/>
                <w:color w:val="FF0000"/>
                <w:lang w:val="en-US" w:eastAsia="zh-CN"/>
              </w:rPr>
              <w:t>3</w:t>
            </w:r>
          </w:p>
        </w:tc>
        <w:tc>
          <w:tcPr>
            <w:tcW w:w="2486" w:type="pct"/>
            <w:tcBorders>
              <w:tl2br w:val="nil"/>
              <w:tr2bl w:val="nil"/>
            </w:tcBorders>
            <w:vAlign w:val="center"/>
          </w:tcPr>
          <w:p w14:paraId="5C61CE17">
            <w:pPr>
              <w:pStyle w:val="32"/>
              <w:bidi w:val="0"/>
              <w:rPr>
                <w:color w:val="FF0000"/>
              </w:rPr>
            </w:pPr>
            <w:r>
              <w:rPr>
                <w:rFonts w:hint="eastAsia"/>
                <w:color w:val="FF0000"/>
              </w:rPr>
              <w:t>严守生态保护红线，加强空间管控。衔接塔城地区、乌苏市及</w:t>
            </w:r>
            <w:r>
              <w:rPr>
                <w:rFonts w:hint="eastAsia"/>
                <w:color w:val="FF0000"/>
                <w:lang w:val="en-US" w:eastAsia="zh-CN"/>
              </w:rPr>
              <w:t>乌苏</w:t>
            </w:r>
            <w:r>
              <w:rPr>
                <w:rFonts w:hint="eastAsia"/>
                <w:color w:val="FF0000"/>
              </w:rPr>
              <w:t>工业园区国土空间规划及生态环境分区管控要求，严格控制化工园区开发范围，明确各功能区用地要求，合理开发利用。重点关注区域环境空气、地下水环境、土壤环境、地表水环境以及环境风险等，对入驻企业提出具体管控要求。根据化工园区产业结构和产业链，衔接生态环境保护和产业政策等相关要求，完善生态环境准入清单，落实所在生态环境管控单元的管控要求，切实保障《规划》实施不突破分区管控单元的具体要求。对化工园区周边的</w:t>
            </w:r>
            <w:r>
              <w:rPr>
                <w:rFonts w:hint="eastAsia"/>
                <w:color w:val="FF0000"/>
                <w:lang w:val="en-US" w:eastAsia="zh-CN"/>
              </w:rPr>
              <w:t>乌</w:t>
            </w:r>
            <w:r>
              <w:rPr>
                <w:rFonts w:hint="eastAsia"/>
                <w:color w:val="FF0000"/>
              </w:rPr>
              <w:t>苏市区及其他村镇、奎屯河、东风干渠、四棵树河、红旗干渠、耕地等敏感目标设置合理的防护距离，进一步优化产业布局，严格落实各项环境保护措施和环境风险防范措施，确保环境敏感目标得到有效保护。</w:t>
            </w:r>
          </w:p>
        </w:tc>
        <w:tc>
          <w:tcPr>
            <w:tcW w:w="1848" w:type="pct"/>
            <w:vMerge w:val="continue"/>
            <w:tcBorders>
              <w:tl2br w:val="nil"/>
              <w:tr2bl w:val="nil"/>
            </w:tcBorders>
            <w:vAlign w:val="center"/>
          </w:tcPr>
          <w:p w14:paraId="03D7D3E4">
            <w:pPr>
              <w:pStyle w:val="32"/>
              <w:bidi w:val="0"/>
              <w:rPr>
                <w:color w:val="FF0000"/>
              </w:rPr>
            </w:pPr>
          </w:p>
        </w:tc>
        <w:tc>
          <w:tcPr>
            <w:tcW w:w="414" w:type="pct"/>
            <w:vMerge w:val="continue"/>
            <w:tcBorders>
              <w:tl2br w:val="nil"/>
              <w:tr2bl w:val="nil"/>
            </w:tcBorders>
            <w:vAlign w:val="center"/>
          </w:tcPr>
          <w:p w14:paraId="5BA058E5">
            <w:pPr>
              <w:pStyle w:val="32"/>
              <w:bidi w:val="0"/>
              <w:rPr>
                <w:rFonts w:hint="eastAsia"/>
                <w:color w:val="FF0000"/>
                <w:lang w:val="en-US" w:eastAsia="zh-CN"/>
              </w:rPr>
            </w:pPr>
          </w:p>
        </w:tc>
      </w:tr>
      <w:tr w14:paraId="32EC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581706C6">
            <w:pPr>
              <w:pStyle w:val="32"/>
              <w:bidi w:val="0"/>
              <w:rPr>
                <w:rFonts w:hint="default"/>
                <w:color w:val="FF0000"/>
                <w:lang w:val="en-US" w:eastAsia="zh-CN"/>
              </w:rPr>
            </w:pPr>
            <w:r>
              <w:rPr>
                <w:rFonts w:hint="eastAsia"/>
                <w:color w:val="FF0000"/>
                <w:lang w:val="en-US" w:eastAsia="zh-CN"/>
              </w:rPr>
              <w:t>4</w:t>
            </w:r>
          </w:p>
        </w:tc>
        <w:tc>
          <w:tcPr>
            <w:tcW w:w="2486" w:type="pct"/>
            <w:tcBorders>
              <w:tl2br w:val="nil"/>
              <w:tr2bl w:val="nil"/>
            </w:tcBorders>
            <w:vAlign w:val="center"/>
          </w:tcPr>
          <w:p w14:paraId="2D3C4F06">
            <w:pPr>
              <w:pStyle w:val="32"/>
              <w:bidi w:val="0"/>
              <w:rPr>
                <w:color w:val="FF0000"/>
              </w:rPr>
            </w:pPr>
            <w:r>
              <w:rPr>
                <w:rFonts w:hint="eastAsia"/>
                <w:color w:val="FF0000"/>
              </w:rPr>
              <w:t>严格管控区域污染物和温室气体排放。严格控制化工园区开发强度，优化项目建设时序，落实污染物总量控制、减排任务。采取有效措施减少氮氧化物、挥发性有机物等污染物排放量，各类污染物排放须满足国家及自治区最新污染物排放标准要求。深入开展应对气候变化工作，提出减污降碳协同控制要求，严格控制温室气体排放，确保完成下达的“双碳”目标任务。统筹开展“两高”项目水资源消耗、污染物和碳排放的源项识别及减污降碳措施要求，推动园区绿色发展。</w:t>
            </w:r>
          </w:p>
        </w:tc>
        <w:tc>
          <w:tcPr>
            <w:tcW w:w="1848" w:type="pct"/>
            <w:vMerge w:val="continue"/>
            <w:tcBorders>
              <w:tl2br w:val="nil"/>
              <w:tr2bl w:val="nil"/>
            </w:tcBorders>
            <w:vAlign w:val="center"/>
          </w:tcPr>
          <w:p w14:paraId="4B47CA86">
            <w:pPr>
              <w:pStyle w:val="32"/>
              <w:bidi w:val="0"/>
              <w:rPr>
                <w:rFonts w:hint="default"/>
                <w:color w:val="FF0000"/>
                <w:lang w:val="en-US" w:eastAsia="zh-CN"/>
              </w:rPr>
            </w:pPr>
          </w:p>
        </w:tc>
        <w:tc>
          <w:tcPr>
            <w:tcW w:w="414" w:type="pct"/>
            <w:vMerge w:val="continue"/>
            <w:tcBorders>
              <w:tl2br w:val="nil"/>
              <w:tr2bl w:val="nil"/>
            </w:tcBorders>
            <w:vAlign w:val="center"/>
          </w:tcPr>
          <w:p w14:paraId="5276660C">
            <w:pPr>
              <w:pStyle w:val="32"/>
              <w:bidi w:val="0"/>
              <w:rPr>
                <w:rFonts w:hint="eastAsia"/>
                <w:color w:val="FF0000"/>
                <w:lang w:val="en-US" w:eastAsia="zh-CN"/>
              </w:rPr>
            </w:pPr>
          </w:p>
        </w:tc>
      </w:tr>
      <w:tr w14:paraId="6C1F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063A1165">
            <w:pPr>
              <w:pStyle w:val="32"/>
              <w:bidi w:val="0"/>
              <w:rPr>
                <w:rFonts w:hint="default"/>
                <w:color w:val="FF0000"/>
                <w:lang w:val="en-US" w:eastAsia="zh-CN"/>
              </w:rPr>
            </w:pPr>
            <w:r>
              <w:rPr>
                <w:rFonts w:hint="eastAsia"/>
                <w:color w:val="FF0000"/>
                <w:lang w:val="en-US" w:eastAsia="zh-CN"/>
              </w:rPr>
              <w:t>5</w:t>
            </w:r>
          </w:p>
        </w:tc>
        <w:tc>
          <w:tcPr>
            <w:tcW w:w="2486" w:type="pct"/>
            <w:tcBorders>
              <w:tl2br w:val="nil"/>
              <w:tr2bl w:val="nil"/>
            </w:tcBorders>
            <w:vAlign w:val="center"/>
          </w:tcPr>
          <w:p w14:paraId="08DE3A54">
            <w:pPr>
              <w:pStyle w:val="32"/>
              <w:bidi w:val="0"/>
              <w:rPr>
                <w:rFonts w:hint="eastAsia"/>
                <w:color w:val="FF0000"/>
              </w:rPr>
            </w:pPr>
            <w:r>
              <w:rPr>
                <w:rFonts w:hint="eastAsia"/>
                <w:color w:val="FF0000"/>
              </w:rPr>
              <w:t>严格资源利用总量控制，加快基础设施建设。进一步推动集中供热，禁止新建、扩建、改建分散式燃煤锅炉。优先布局集约型、节水型产业，加强对工业废水的深度治理、提标改造，提高工业废水污染控制水平，减少新鲜水用量和废水排放量，最大限度提高水资源综合利用率。加强固体废物综合利用，推动固废在园区的协同循环利用，提高固废就地资源化效率。严格按照国家有关规定，依法合规处理处置危险废物。</w:t>
            </w:r>
          </w:p>
        </w:tc>
        <w:tc>
          <w:tcPr>
            <w:tcW w:w="1848" w:type="pct"/>
            <w:vMerge w:val="continue"/>
            <w:tcBorders>
              <w:tl2br w:val="nil"/>
              <w:tr2bl w:val="nil"/>
            </w:tcBorders>
            <w:vAlign w:val="center"/>
          </w:tcPr>
          <w:p w14:paraId="1608BD4A">
            <w:pPr>
              <w:pStyle w:val="32"/>
              <w:bidi w:val="0"/>
              <w:rPr>
                <w:rFonts w:hint="default"/>
                <w:color w:val="FF0000"/>
                <w:lang w:val="en-US" w:eastAsia="zh-CN"/>
              </w:rPr>
            </w:pPr>
          </w:p>
        </w:tc>
        <w:tc>
          <w:tcPr>
            <w:tcW w:w="414" w:type="pct"/>
            <w:vMerge w:val="continue"/>
            <w:tcBorders>
              <w:tl2br w:val="nil"/>
              <w:tr2bl w:val="nil"/>
            </w:tcBorders>
            <w:vAlign w:val="center"/>
          </w:tcPr>
          <w:p w14:paraId="3789CB03">
            <w:pPr>
              <w:pStyle w:val="32"/>
              <w:bidi w:val="0"/>
              <w:rPr>
                <w:rFonts w:hint="eastAsia"/>
                <w:color w:val="FF0000"/>
                <w:lang w:val="en-US" w:eastAsia="zh-CN"/>
              </w:rPr>
            </w:pPr>
          </w:p>
        </w:tc>
      </w:tr>
      <w:tr w14:paraId="7623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tcBorders>
              <w:tl2br w:val="nil"/>
              <w:tr2bl w:val="nil"/>
            </w:tcBorders>
            <w:shd w:val="clear" w:color="auto" w:fill="auto"/>
            <w:vAlign w:val="center"/>
          </w:tcPr>
          <w:p w14:paraId="62AD9FC4">
            <w:pPr>
              <w:pStyle w:val="32"/>
              <w:bidi w:val="0"/>
              <w:rPr>
                <w:rFonts w:hint="eastAsia" w:ascii="Times New Roman" w:hAnsi="Times New Roman" w:eastAsia="宋体" w:cstheme="minorBidi"/>
                <w:color w:val="FF0000"/>
                <w:kern w:val="2"/>
                <w:sz w:val="21"/>
                <w:szCs w:val="24"/>
                <w:lang w:val="en-US" w:eastAsia="zh-CN" w:bidi="ar-SA"/>
              </w:rPr>
            </w:pPr>
            <w:r>
              <w:rPr>
                <w:rFonts w:hint="eastAsia"/>
                <w:color w:val="FF0000"/>
                <w:lang w:val="en-US" w:eastAsia="zh-CN"/>
              </w:rPr>
              <w:t>6</w:t>
            </w:r>
          </w:p>
        </w:tc>
        <w:tc>
          <w:tcPr>
            <w:tcW w:w="2486" w:type="pct"/>
            <w:tcBorders>
              <w:tl2br w:val="nil"/>
              <w:tr2bl w:val="nil"/>
            </w:tcBorders>
            <w:shd w:val="clear" w:color="auto" w:fill="auto"/>
            <w:vAlign w:val="center"/>
          </w:tcPr>
          <w:p w14:paraId="5175A992">
            <w:pPr>
              <w:pStyle w:val="32"/>
              <w:bidi w:val="0"/>
              <w:rPr>
                <w:rFonts w:hint="eastAsia" w:ascii="Times New Roman" w:hAnsi="Times New Roman" w:eastAsia="宋体" w:cstheme="minorBidi"/>
                <w:color w:val="FF0000"/>
                <w:kern w:val="2"/>
                <w:sz w:val="21"/>
                <w:szCs w:val="24"/>
                <w:lang w:val="en-US" w:eastAsia="zh-CN" w:bidi="ar-SA"/>
              </w:rPr>
            </w:pPr>
            <w:r>
              <w:rPr>
                <w:rFonts w:hint="eastAsia"/>
                <w:color w:val="FF0000"/>
              </w:rPr>
              <w:t>强化环境风险监控和管理，建立健全园区环境风险防控体系。强化突发环境事件应急响应联动机制，保障生态环境安全。编制并持续完善园区突发环境事件应急预案，关注对周边环境敏感目标影响，足额配备应急物资，定期开展应急演练，提升环境风险防控和应急响应能力，防控规划实施可能引发的环境风险，保障区域环境安全。强化化工园区水污染问题排查整治工作，对重点场所、重点企业加强地下水、土壤污染隐患排查，全面查清隐患并落实整改。</w:t>
            </w:r>
          </w:p>
        </w:tc>
        <w:tc>
          <w:tcPr>
            <w:tcW w:w="1848" w:type="pct"/>
            <w:vMerge w:val="continue"/>
            <w:tcBorders>
              <w:tl2br w:val="nil"/>
              <w:tr2bl w:val="nil"/>
            </w:tcBorders>
            <w:vAlign w:val="center"/>
          </w:tcPr>
          <w:p w14:paraId="7A73593A">
            <w:pPr>
              <w:pStyle w:val="32"/>
              <w:bidi w:val="0"/>
              <w:rPr>
                <w:rFonts w:hint="default"/>
                <w:color w:val="FF0000"/>
                <w:lang w:val="en-US" w:eastAsia="zh-CN"/>
              </w:rPr>
            </w:pPr>
          </w:p>
        </w:tc>
        <w:tc>
          <w:tcPr>
            <w:tcW w:w="414" w:type="pct"/>
            <w:vMerge w:val="continue"/>
            <w:tcBorders>
              <w:tl2br w:val="nil"/>
              <w:tr2bl w:val="nil"/>
            </w:tcBorders>
            <w:vAlign w:val="center"/>
          </w:tcPr>
          <w:p w14:paraId="2E3651D7">
            <w:pPr>
              <w:pStyle w:val="32"/>
              <w:bidi w:val="0"/>
              <w:rPr>
                <w:rFonts w:hint="eastAsia"/>
                <w:color w:val="FF0000"/>
                <w:lang w:val="en-US" w:eastAsia="zh-CN"/>
              </w:rPr>
            </w:pPr>
          </w:p>
        </w:tc>
      </w:tr>
      <w:tr w14:paraId="3CF8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tcBorders>
              <w:tl2br w:val="nil"/>
              <w:tr2bl w:val="nil"/>
            </w:tcBorders>
            <w:vAlign w:val="center"/>
          </w:tcPr>
          <w:p w14:paraId="103D9D76">
            <w:pPr>
              <w:pStyle w:val="32"/>
              <w:bidi w:val="0"/>
              <w:rPr>
                <w:rFonts w:hint="default"/>
                <w:color w:val="FF0000"/>
                <w:lang w:val="en-US" w:eastAsia="zh-CN"/>
              </w:rPr>
            </w:pPr>
            <w:r>
              <w:rPr>
                <w:rFonts w:hint="eastAsia"/>
                <w:color w:val="FF0000"/>
                <w:lang w:val="en-US" w:eastAsia="zh-CN"/>
              </w:rPr>
              <w:t>7</w:t>
            </w:r>
          </w:p>
        </w:tc>
        <w:tc>
          <w:tcPr>
            <w:tcW w:w="2486" w:type="pct"/>
            <w:tcBorders>
              <w:tl2br w:val="nil"/>
              <w:tr2bl w:val="nil"/>
            </w:tcBorders>
            <w:vAlign w:val="center"/>
          </w:tcPr>
          <w:p w14:paraId="2651FC57">
            <w:pPr>
              <w:pStyle w:val="32"/>
              <w:bidi w:val="0"/>
              <w:rPr>
                <w:rFonts w:hint="eastAsia"/>
                <w:color w:val="FF0000"/>
              </w:rPr>
            </w:pPr>
            <w:r>
              <w:rPr>
                <w:rFonts w:hint="eastAsia"/>
                <w:color w:val="FF0000"/>
              </w:rPr>
              <w:t>《规划》所包含的近期建设项目在开展环境影响评价时，应结合分区管控成果、规划环评提出的指导意见，重点开展工程分析、环境影响预测与评价、环境风险评价和环保措施的可行性论证，强化环境监测和环境保护相关措施的落实。规划环评结论及审查意见被园区管理机构和规划审批机关采纳的，入驻园区建设项目的环评内容可以适当简化。</w:t>
            </w:r>
          </w:p>
        </w:tc>
        <w:tc>
          <w:tcPr>
            <w:tcW w:w="1848" w:type="pct"/>
            <w:vMerge w:val="continue"/>
            <w:tcBorders>
              <w:tl2br w:val="nil"/>
              <w:tr2bl w:val="nil"/>
            </w:tcBorders>
            <w:vAlign w:val="center"/>
          </w:tcPr>
          <w:p w14:paraId="1FCA1D9F">
            <w:pPr>
              <w:pStyle w:val="32"/>
              <w:bidi w:val="0"/>
              <w:rPr>
                <w:rFonts w:hint="default"/>
                <w:color w:val="FF0000"/>
                <w:lang w:val="en-US" w:eastAsia="zh-CN"/>
              </w:rPr>
            </w:pPr>
          </w:p>
        </w:tc>
        <w:tc>
          <w:tcPr>
            <w:tcW w:w="414" w:type="pct"/>
            <w:vMerge w:val="continue"/>
            <w:tcBorders>
              <w:tl2br w:val="nil"/>
              <w:tr2bl w:val="nil"/>
            </w:tcBorders>
            <w:vAlign w:val="center"/>
          </w:tcPr>
          <w:p w14:paraId="1F91305E">
            <w:pPr>
              <w:pStyle w:val="32"/>
              <w:bidi w:val="0"/>
              <w:rPr>
                <w:rFonts w:hint="eastAsia"/>
                <w:color w:val="FF0000"/>
                <w:lang w:val="en-US" w:eastAsia="zh-CN"/>
              </w:rPr>
            </w:pPr>
          </w:p>
        </w:tc>
      </w:tr>
    </w:tbl>
    <w:p w14:paraId="6AA2F2A6">
      <w:pPr>
        <w:widowControl/>
        <w:spacing w:line="360" w:lineRule="auto"/>
        <w:jc w:val="center"/>
        <w:outlineLvl w:val="0"/>
        <w:rPr>
          <w:rFonts w:hint="default" w:ascii="Times New Roman" w:hAnsi="Times New Roman" w:eastAsia="宋体" w:cs="Times New Roman"/>
          <w:b/>
          <w:color w:val="000000"/>
          <w:sz w:val="32"/>
          <w:szCs w:val="32"/>
          <w:highlight w:val="none"/>
          <w:lang w:val="en-US" w:eastAsia="zh-CN" w:bidi="ar-SA"/>
        </w:rPr>
      </w:pPr>
      <w:bookmarkStart w:id="22" w:name="_Toc23276"/>
      <w:r>
        <w:rPr>
          <w:rFonts w:hint="eastAsia" w:ascii="Times New Roman" w:hAnsi="Times New Roman" w:cs="Times New Roman"/>
          <w:b/>
          <w:color w:val="000000"/>
          <w:kern w:val="44"/>
          <w:sz w:val="32"/>
          <w:szCs w:val="32"/>
          <w:highlight w:val="none"/>
          <w:lang w:val="en-US" w:eastAsia="zh-CN" w:bidi="ar-SA"/>
        </w:rPr>
        <w:t>第四章  本次</w:t>
      </w:r>
      <w:r>
        <w:rPr>
          <w:rFonts w:hint="default" w:ascii="Times New Roman" w:hAnsi="Times New Roman" w:eastAsia="宋体" w:cs="Times New Roman"/>
          <w:b/>
          <w:color w:val="000000"/>
          <w:kern w:val="44"/>
          <w:sz w:val="32"/>
          <w:szCs w:val="32"/>
          <w:highlight w:val="none"/>
          <w:lang w:val="en-US" w:eastAsia="zh-CN" w:bidi="ar-SA"/>
        </w:rPr>
        <w:t>工程分析</w:t>
      </w:r>
      <w:bookmarkEnd w:id="22"/>
    </w:p>
    <w:p w14:paraId="27A19760">
      <w:pPr>
        <w:widowControl w:val="0"/>
        <w:spacing w:before="0" w:after="0" w:line="360" w:lineRule="auto"/>
        <w:jc w:val="both"/>
        <w:outlineLvl w:val="1"/>
        <w:rPr>
          <w:rFonts w:hint="default" w:ascii="Times New Roman" w:hAnsi="Times New Roman" w:eastAsia="宋体" w:cs="Times New Roman"/>
          <w:b/>
          <w:bCs/>
          <w:kern w:val="2"/>
          <w:sz w:val="30"/>
          <w:szCs w:val="30"/>
          <w:lang w:val="en-US" w:eastAsia="zh-CN" w:bidi="ar-SA"/>
        </w:rPr>
      </w:pPr>
      <w:bookmarkStart w:id="23" w:name="_Toc2734"/>
      <w:r>
        <w:rPr>
          <w:rFonts w:hint="eastAsia" w:ascii="Times New Roman" w:hAnsi="Times New Roman" w:cs="Times New Roman"/>
          <w:b/>
          <w:bCs/>
          <w:kern w:val="2"/>
          <w:sz w:val="30"/>
          <w:szCs w:val="30"/>
          <w:lang w:val="en-US" w:eastAsia="zh-CN" w:bidi="ar-SA"/>
        </w:rPr>
        <w:t>4</w:t>
      </w:r>
      <w:r>
        <w:rPr>
          <w:rFonts w:hint="default" w:ascii="Times New Roman" w:hAnsi="Times New Roman" w:eastAsia="宋体" w:cs="Times New Roman"/>
          <w:b/>
          <w:bCs/>
          <w:kern w:val="2"/>
          <w:sz w:val="30"/>
          <w:szCs w:val="30"/>
          <w:lang w:val="en-US" w:eastAsia="zh-CN" w:bidi="ar-SA"/>
        </w:rPr>
        <w:t>.</w:t>
      </w:r>
      <w:r>
        <w:rPr>
          <w:rFonts w:hint="eastAsia" w:ascii="Times New Roman" w:hAnsi="Times New Roman" w:cs="Times New Roman"/>
          <w:b/>
          <w:bCs/>
          <w:kern w:val="2"/>
          <w:sz w:val="30"/>
          <w:szCs w:val="30"/>
          <w:lang w:val="en-US" w:eastAsia="zh-CN" w:bidi="ar-SA"/>
        </w:rPr>
        <w:t>1</w:t>
      </w:r>
      <w:r>
        <w:rPr>
          <w:rFonts w:hint="default" w:ascii="Times New Roman" w:hAnsi="Times New Roman" w:eastAsia="宋体" w:cs="Times New Roman"/>
          <w:b/>
          <w:bCs/>
          <w:kern w:val="2"/>
          <w:sz w:val="30"/>
          <w:szCs w:val="30"/>
          <w:lang w:val="en-US" w:eastAsia="zh-CN" w:bidi="ar-SA"/>
        </w:rPr>
        <w:t>本项目工程概况</w:t>
      </w:r>
      <w:bookmarkEnd w:id="23"/>
    </w:p>
    <w:p w14:paraId="3CCC749B">
      <w:pPr>
        <w:widowControl w:val="0"/>
        <w:numPr>
          <w:ilvl w:val="0"/>
          <w:numId w:val="0"/>
        </w:numPr>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kern w:val="2"/>
          <w:sz w:val="24"/>
          <w:szCs w:val="24"/>
          <w:lang w:eastAsia="zh-CN"/>
        </w:rPr>
        <w:t>（</w:t>
      </w:r>
      <w:r>
        <w:rPr>
          <w:rFonts w:hint="default" w:ascii="Times New Roman" w:hAnsi="Times New Roman" w:eastAsia="宋体" w:cs="Times New Roman"/>
          <w:kern w:val="2"/>
          <w:sz w:val="24"/>
          <w:szCs w:val="24"/>
          <w:lang w:val="en-US" w:eastAsia="zh-CN"/>
        </w:rPr>
        <w:t>1</w:t>
      </w:r>
      <w:r>
        <w:rPr>
          <w:rFonts w:hint="default" w:ascii="Times New Roman" w:hAnsi="Times New Roman" w:eastAsia="宋体" w:cs="Times New Roman"/>
          <w:kern w:val="2"/>
          <w:sz w:val="24"/>
          <w:szCs w:val="24"/>
          <w:lang w:eastAsia="zh-CN"/>
        </w:rPr>
        <w:t>）</w:t>
      </w:r>
      <w:r>
        <w:rPr>
          <w:rFonts w:hint="default" w:ascii="Times New Roman" w:hAnsi="Times New Roman" w:eastAsia="宋体" w:cs="Times New Roman"/>
          <w:kern w:val="2"/>
          <w:sz w:val="24"/>
          <w:szCs w:val="24"/>
        </w:rPr>
        <w:t>项目名称：</w:t>
      </w:r>
      <w:r>
        <w:rPr>
          <w:rFonts w:hint="default" w:ascii="Times New Roman" w:hAnsi="Times New Roman" w:eastAsia="宋体" w:cs="Times New Roman"/>
          <w:kern w:val="2"/>
          <w:sz w:val="24"/>
          <w:szCs w:val="24"/>
          <w:lang w:val="en-US" w:eastAsia="zh-CN"/>
        </w:rPr>
        <w:t>凯赛（乌苏）生物材料有限公司年产20000吨LCDN项目</w:t>
      </w:r>
    </w:p>
    <w:p w14:paraId="3E2F1ADD">
      <w:pPr>
        <w:widowControl w:val="0"/>
        <w:numPr>
          <w:ilvl w:val="0"/>
          <w:numId w:val="0"/>
        </w:num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2"/>
          <w:sz w:val="24"/>
          <w:szCs w:val="24"/>
          <w:lang w:val="en-US" w:eastAsia="zh-CN" w:bidi="ar-SA"/>
        </w:rPr>
        <w:t>（2）建设单位：</w:t>
      </w:r>
      <w:bookmarkStart w:id="24" w:name="_Toc287433051"/>
      <w:bookmarkStart w:id="25" w:name="_Toc287433921"/>
      <w:bookmarkStart w:id="26" w:name="_Toc287434123"/>
      <w:r>
        <w:rPr>
          <w:rFonts w:hint="default" w:ascii="Times New Roman" w:hAnsi="Times New Roman" w:eastAsia="宋体" w:cs="Times New Roman"/>
          <w:kern w:val="2"/>
          <w:sz w:val="24"/>
          <w:szCs w:val="24"/>
          <w:lang w:val="en-US" w:eastAsia="zh-CN"/>
        </w:rPr>
        <w:t>凯赛（乌苏）生物材料有限公司</w:t>
      </w:r>
    </w:p>
    <w:p w14:paraId="31740632">
      <w:pPr>
        <w:widowControl w:val="0"/>
        <w:numPr>
          <w:ilvl w:val="0"/>
          <w:numId w:val="0"/>
        </w:numPr>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（3）建设性质</w:t>
      </w:r>
      <w:bookmarkEnd w:id="24"/>
      <w:bookmarkEnd w:id="25"/>
      <w:bookmarkEnd w:id="26"/>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cs="Times New Roman"/>
          <w:color w:val="000000"/>
          <w:kern w:val="2"/>
          <w:sz w:val="24"/>
          <w:szCs w:val="24"/>
          <w:lang w:val="en-US" w:eastAsia="zh-CN" w:bidi="ar-SA"/>
        </w:rPr>
        <w:t>新建</w:t>
      </w:r>
    </w:p>
    <w:p w14:paraId="74D29CC8">
      <w:pPr>
        <w:widowControl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bookmarkStart w:id="27" w:name="_Toc287433922"/>
      <w:bookmarkStart w:id="28" w:name="_Toc287433052"/>
      <w:bookmarkStart w:id="29" w:name="_Toc287434124"/>
      <w:r>
        <w:rPr>
          <w:rFonts w:hint="default" w:ascii="Times New Roman" w:hAnsi="Times New Roman" w:eastAsia="宋体" w:cs="Times New Roman"/>
          <w:color w:val="000000"/>
          <w:kern w:val="2"/>
          <w:sz w:val="24"/>
          <w:szCs w:val="24"/>
          <w:lang w:val="en-US" w:eastAsia="zh-CN" w:bidi="ar-SA"/>
        </w:rPr>
        <w:t>（4）建设地点</w:t>
      </w:r>
      <w:bookmarkEnd w:id="27"/>
      <w:bookmarkEnd w:id="28"/>
      <w:bookmarkEnd w:id="29"/>
      <w:r>
        <w:rPr>
          <w:rFonts w:hint="default" w:ascii="Times New Roman" w:hAnsi="Times New Roman" w:eastAsia="宋体" w:cs="Times New Roman"/>
          <w:color w:val="000000"/>
          <w:kern w:val="2"/>
          <w:sz w:val="24"/>
          <w:szCs w:val="24"/>
          <w:lang w:val="en-US" w:eastAsia="zh-CN" w:bidi="ar-SA"/>
        </w:rPr>
        <w:t>：</w:t>
      </w:r>
      <w:bookmarkStart w:id="30" w:name="_Toc287433923"/>
      <w:bookmarkStart w:id="31" w:name="_Toc287434125"/>
      <w:bookmarkStart w:id="32" w:name="_Toc287433053"/>
      <w:r>
        <w:rPr>
          <w:rFonts w:hint="default" w:ascii="Times New Roman" w:hAnsi="Times New Roman" w:eastAsia="宋体" w:cs="Times New Roman"/>
          <w:color w:val="000000"/>
          <w:kern w:val="2"/>
          <w:sz w:val="24"/>
          <w:szCs w:val="24"/>
          <w:lang w:val="en-US" w:eastAsia="zh-CN" w:bidi="ar-SA"/>
        </w:rPr>
        <w:t>本项目位于乌苏市化工产业集中区</w:t>
      </w:r>
      <w:r>
        <w:rPr>
          <w:rFonts w:hint="eastAsia" w:ascii="Times New Roman" w:hAnsi="Times New Roman" w:cs="Times New Roman"/>
          <w:color w:val="000000"/>
          <w:kern w:val="2"/>
          <w:sz w:val="24"/>
          <w:szCs w:val="24"/>
          <w:lang w:val="en-US" w:eastAsia="zh-CN" w:bidi="ar-SA"/>
        </w:rPr>
        <w:t>西区</w:t>
      </w:r>
      <w:r>
        <w:rPr>
          <w:rFonts w:hint="eastAsia" w:ascii="Times New Roman" w:hAnsi="Times New Roman" w:eastAsia="宋体" w:cs="Times New Roman"/>
          <w:color w:val="000000"/>
          <w:kern w:val="2"/>
          <w:sz w:val="24"/>
          <w:szCs w:val="24"/>
          <w:lang w:val="en-US" w:eastAsia="zh-CN" w:bidi="ar-SA"/>
        </w:rPr>
        <w:t>现有工程</w:t>
      </w:r>
      <w:r>
        <w:rPr>
          <w:rFonts w:hint="eastAsia" w:ascii="Times New Roman" w:hAnsi="Times New Roman" w:cs="Times New Roman"/>
          <w:color w:val="000000"/>
          <w:kern w:val="2"/>
          <w:sz w:val="24"/>
          <w:szCs w:val="24"/>
          <w:lang w:val="en-US" w:eastAsia="zh-CN" w:bidi="ar-SA"/>
        </w:rPr>
        <w:t>预留空地内</w:t>
      </w: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cs="Times New Roman"/>
          <w:color w:val="000000"/>
          <w:kern w:val="2"/>
          <w:sz w:val="24"/>
          <w:szCs w:val="24"/>
          <w:lang w:val="en-US" w:eastAsia="zh-CN" w:bidi="ar-SA"/>
        </w:rPr>
        <w:t>本项目</w:t>
      </w:r>
      <w:r>
        <w:rPr>
          <w:rFonts w:hint="eastAsia" w:ascii="Times New Roman" w:hAnsi="Times New Roman" w:eastAsia="宋体" w:cs="Times New Roman"/>
          <w:color w:val="000000"/>
          <w:kern w:val="2"/>
          <w:sz w:val="24"/>
          <w:szCs w:val="24"/>
          <w:highlight w:val="none"/>
          <w:lang w:val="en-US" w:eastAsia="zh-CN" w:bidi="ar-SA"/>
        </w:rPr>
        <w:t>中心</w:t>
      </w:r>
      <w:r>
        <w:rPr>
          <w:rFonts w:hint="eastAsia" w:ascii="Times New Roman" w:hAnsi="Times New Roman" w:eastAsia="宋体" w:cs="Times New Roman"/>
          <w:kern w:val="2"/>
          <w:sz w:val="24"/>
          <w:szCs w:val="24"/>
          <w:highlight w:val="none"/>
          <w:lang w:val="en-US" w:eastAsia="zh-CN" w:bidi="ar-SA"/>
        </w:rPr>
        <w:t>坐标</w:t>
      </w:r>
      <w:r>
        <w:rPr>
          <w:rFonts w:hint="default" w:ascii="Times New Roman" w:hAnsi="Times New Roman" w:eastAsia="宋体" w:cs="Times New Roman"/>
          <w:kern w:val="2"/>
          <w:sz w:val="24"/>
          <w:szCs w:val="24"/>
          <w:highlight w:val="none"/>
          <w:lang w:val="en-US" w:eastAsia="zh-CN" w:bidi="ar-SA"/>
        </w:rPr>
        <w:t>E8</w:t>
      </w:r>
      <w:r>
        <w:rPr>
          <w:rFonts w:hint="eastAsia" w:ascii="Times New Roman" w:hAnsi="Times New Roman" w:cs="Times New Roman"/>
          <w:kern w:val="2"/>
          <w:sz w:val="24"/>
          <w:szCs w:val="24"/>
          <w:highlight w:val="none"/>
          <w:lang w:val="en-US" w:eastAsia="zh-CN" w:bidi="ar-SA"/>
        </w:rPr>
        <w:t>4</w:t>
      </w:r>
      <w:r>
        <w:rPr>
          <w:rFonts w:hint="default" w:ascii="Times New Roman" w:hAnsi="Times New Roman" w:eastAsia="宋体" w:cs="Times New Roman"/>
          <w:kern w:val="2"/>
          <w:sz w:val="24"/>
          <w:szCs w:val="24"/>
          <w:highlight w:val="none"/>
          <w:lang w:val="en-US" w:eastAsia="zh-CN" w:bidi="ar-SA"/>
        </w:rPr>
        <w:t>°1</w:t>
      </w:r>
      <w:r>
        <w:rPr>
          <w:rFonts w:hint="eastAsia" w:ascii="Times New Roman" w:hAnsi="Times New Roman" w:cs="Times New Roman"/>
          <w:kern w:val="2"/>
          <w:sz w:val="24"/>
          <w:szCs w:val="24"/>
          <w:highlight w:val="none"/>
          <w:lang w:val="en-US" w:eastAsia="zh-CN" w:bidi="ar-SA"/>
        </w:rPr>
        <w:t>6</w:t>
      </w: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cs="Times New Roman"/>
          <w:kern w:val="2"/>
          <w:sz w:val="24"/>
          <w:szCs w:val="24"/>
          <w:highlight w:val="none"/>
          <w:lang w:val="en-US" w:eastAsia="zh-CN" w:bidi="ar-SA"/>
        </w:rPr>
        <w:t>32.514</w:t>
      </w: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N</w:t>
      </w:r>
      <w:r>
        <w:rPr>
          <w:rFonts w:hint="eastAsia" w:ascii="Times New Roman" w:hAnsi="Times New Roman" w:cs="Times New Roman"/>
          <w:kern w:val="2"/>
          <w:sz w:val="24"/>
          <w:szCs w:val="24"/>
          <w:highlight w:val="none"/>
          <w:lang w:val="en-US" w:eastAsia="zh-CN" w:bidi="ar-SA"/>
        </w:rPr>
        <w:t>44</w:t>
      </w:r>
      <w:r>
        <w:rPr>
          <w:rFonts w:hint="default" w:ascii="Times New Roman" w:hAnsi="Times New Roman" w:eastAsia="宋体" w:cs="Times New Roman"/>
          <w:kern w:val="2"/>
          <w:sz w:val="24"/>
          <w:szCs w:val="24"/>
          <w:highlight w:val="none"/>
          <w:lang w:val="en-US" w:eastAsia="zh-CN" w:bidi="ar-SA"/>
        </w:rPr>
        <w:t>°2</w:t>
      </w:r>
      <w:r>
        <w:rPr>
          <w:rFonts w:hint="eastAsia" w:ascii="Times New Roman" w:hAnsi="Times New Roman" w:cs="Times New Roman"/>
          <w:kern w:val="2"/>
          <w:sz w:val="24"/>
          <w:szCs w:val="24"/>
          <w:highlight w:val="none"/>
          <w:lang w:val="en-US" w:eastAsia="zh-CN" w:bidi="ar-SA"/>
        </w:rPr>
        <w:t>0</w:t>
      </w: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cs="Times New Roman"/>
          <w:kern w:val="2"/>
          <w:sz w:val="24"/>
          <w:szCs w:val="24"/>
          <w:highlight w:val="none"/>
          <w:lang w:val="en-US" w:eastAsia="zh-CN" w:bidi="ar-SA"/>
        </w:rPr>
        <w:t>18.854</w:t>
      </w:r>
      <w:r>
        <w:rPr>
          <w:rFonts w:hint="default"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w:t>
      </w:r>
    </w:p>
    <w:p w14:paraId="2CA6027E">
      <w:pPr>
        <w:widowControl w:val="0"/>
        <w:spacing w:line="360" w:lineRule="auto"/>
        <w:ind w:firstLine="480" w:firstLineChars="200"/>
        <w:jc w:val="both"/>
        <w:rPr>
          <w:rFonts w:hint="default" w:ascii="Times New Roman" w:hAnsi="Times New Roman" w:eastAsia="宋体" w:cs="Times New Roman"/>
          <w:snapToGrid w:val="0"/>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（5）项目投资</w:t>
      </w:r>
      <w:bookmarkEnd w:id="30"/>
      <w:bookmarkEnd w:id="31"/>
      <w:bookmarkEnd w:id="32"/>
      <w:r>
        <w:rPr>
          <w:rFonts w:hint="default" w:ascii="Times New Roman" w:hAnsi="Times New Roman" w:eastAsia="宋体" w:cs="Times New Roman"/>
          <w:color w:val="000000"/>
          <w:kern w:val="2"/>
          <w:sz w:val="24"/>
          <w:szCs w:val="24"/>
          <w:lang w:val="en-US" w:eastAsia="zh-CN" w:bidi="ar-SA"/>
        </w:rPr>
        <w:t>：本项目总投资</w:t>
      </w:r>
      <w:r>
        <w:rPr>
          <w:rFonts w:hint="eastAsia" w:ascii="Times New Roman" w:hAnsi="Times New Roman" w:eastAsia="宋体" w:cs="Times New Roman"/>
          <w:color w:val="000000"/>
          <w:kern w:val="2"/>
          <w:sz w:val="24"/>
          <w:szCs w:val="24"/>
          <w:lang w:val="en-US" w:eastAsia="zh-CN" w:bidi="ar-SA"/>
        </w:rPr>
        <w:t>3</w:t>
      </w:r>
      <w:r>
        <w:rPr>
          <w:rFonts w:hint="eastAsia" w:ascii="Times New Roman" w:hAnsi="Times New Roman" w:cs="Times New Roman"/>
          <w:color w:val="000000"/>
          <w:kern w:val="2"/>
          <w:sz w:val="24"/>
          <w:szCs w:val="24"/>
          <w:lang w:val="en-US" w:eastAsia="zh-CN" w:bidi="ar-SA"/>
        </w:rPr>
        <w:t>2701.59</w:t>
      </w:r>
      <w:r>
        <w:rPr>
          <w:rFonts w:hint="default" w:ascii="Times New Roman" w:hAnsi="Times New Roman" w:eastAsia="宋体" w:cs="Times New Roman"/>
          <w:color w:val="000000"/>
          <w:kern w:val="2"/>
          <w:sz w:val="24"/>
          <w:szCs w:val="24"/>
          <w:lang w:val="en-US" w:eastAsia="zh-CN" w:bidi="ar-SA"/>
        </w:rPr>
        <w:t>万元，</w:t>
      </w:r>
      <w:r>
        <w:rPr>
          <w:rFonts w:hint="eastAsia" w:ascii="Times New Roman" w:hAnsi="Times New Roman" w:eastAsia="宋体" w:cs="Times New Roman"/>
          <w:color w:val="000000"/>
          <w:kern w:val="2"/>
          <w:sz w:val="24"/>
          <w:szCs w:val="24"/>
          <w:lang w:val="en-US" w:eastAsia="zh-CN" w:bidi="ar-SA"/>
        </w:rPr>
        <w:t>均为企业自筹</w:t>
      </w:r>
      <w:r>
        <w:rPr>
          <w:rFonts w:hint="default" w:ascii="Times New Roman" w:hAnsi="Times New Roman" w:eastAsia="宋体" w:cs="Times New Roman"/>
          <w:snapToGrid w:val="0"/>
          <w:color w:val="auto"/>
          <w:kern w:val="2"/>
          <w:sz w:val="24"/>
          <w:szCs w:val="24"/>
          <w:lang w:val="en-US" w:eastAsia="zh-CN" w:bidi="ar-SA"/>
        </w:rPr>
        <w:t>。</w:t>
      </w:r>
    </w:p>
    <w:p w14:paraId="71BFC346">
      <w:pPr>
        <w:widowControl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（6）建设规模：</w:t>
      </w:r>
      <w:r>
        <w:rPr>
          <w:rFonts w:hint="eastAsia" w:ascii="Times New Roman" w:hAnsi="Times New Roman" w:cs="Times New Roman"/>
          <w:color w:val="000000"/>
          <w:kern w:val="2"/>
          <w:sz w:val="24"/>
          <w:szCs w:val="24"/>
          <w:lang w:val="en-US" w:eastAsia="zh-CN" w:bidi="ar-SA"/>
        </w:rPr>
        <w:t>本项目年产20000吨LCDN（立项文件中项目分两期进行建设，每期规模各年产1万吨LCDN，根据目前企业建设规划，两期工程同时建设，因此本次评价按照两期工程同时建设进行分析，不再分期进行评价）。</w:t>
      </w:r>
    </w:p>
    <w:p w14:paraId="3886D8B6">
      <w:pPr>
        <w:widowControl w:val="0"/>
        <w:numPr>
          <w:ilvl w:val="0"/>
          <w:numId w:val="0"/>
        </w:numPr>
        <w:spacing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（7）</w:t>
      </w:r>
      <w:r>
        <w:rPr>
          <w:rFonts w:hint="default" w:ascii="Times New Roman" w:hAnsi="Times New Roman" w:eastAsia="宋体" w:cs="Times New Roman"/>
          <w:bCs/>
          <w:color w:val="000000"/>
          <w:kern w:val="2"/>
          <w:sz w:val="24"/>
          <w:szCs w:val="24"/>
          <w:highlight w:val="none"/>
          <w:lang w:val="en-US" w:eastAsia="zh-CN" w:bidi="ar-SA"/>
        </w:rPr>
        <w:t>占地面积：</w:t>
      </w:r>
      <w:r>
        <w:rPr>
          <w:rFonts w:hint="eastAsia" w:ascii="Times New Roman" w:hAnsi="Times New Roman" w:cs="Times New Roman"/>
          <w:bCs/>
          <w:color w:val="000000"/>
          <w:kern w:val="2"/>
          <w:sz w:val="24"/>
          <w:szCs w:val="24"/>
          <w:highlight w:val="none"/>
          <w:lang w:val="en-US" w:eastAsia="zh-CN" w:bidi="ar-SA"/>
        </w:rPr>
        <w:t>本项目利用现有工程预留空地进行建设，占地面积25873m</w:t>
      </w:r>
      <w:r>
        <w:rPr>
          <w:rFonts w:hint="eastAsia" w:ascii="Times New Roman" w:hAnsi="Times New Roman" w:cs="Times New Roman"/>
          <w:bCs/>
          <w:color w:val="000000"/>
          <w:kern w:val="2"/>
          <w:sz w:val="24"/>
          <w:szCs w:val="24"/>
          <w:highlight w:val="none"/>
          <w:vertAlign w:val="superscript"/>
          <w:lang w:val="en-US" w:eastAsia="zh-CN" w:bidi="ar-SA"/>
        </w:rPr>
        <w:t>2</w:t>
      </w:r>
      <w:r>
        <w:rPr>
          <w:rFonts w:hint="eastAsia" w:ascii="Times New Roman" w:hAnsi="Times New Roman" w:cs="Times New Roman"/>
          <w:bCs/>
          <w:color w:val="000000"/>
          <w:kern w:val="2"/>
          <w:sz w:val="24"/>
          <w:szCs w:val="24"/>
          <w:highlight w:val="none"/>
          <w:vertAlign w:val="baseline"/>
          <w:lang w:val="en-US" w:eastAsia="zh-CN" w:bidi="ar-SA"/>
        </w:rPr>
        <w:t>（38.81亩）</w:t>
      </w:r>
      <w:r>
        <w:rPr>
          <w:rFonts w:hint="default" w:ascii="Times New Roman" w:hAnsi="Times New Roman" w:eastAsia="宋体" w:cs="Times New Roman"/>
          <w:color w:val="000000"/>
          <w:kern w:val="2"/>
          <w:sz w:val="24"/>
          <w:szCs w:val="24"/>
          <w:highlight w:val="none"/>
          <w:lang w:val="en-US" w:eastAsia="zh-CN" w:bidi="ar-SA"/>
        </w:rPr>
        <w:t>。</w:t>
      </w:r>
      <w:r>
        <w:rPr>
          <w:rFonts w:hint="eastAsia" w:ascii="Times New Roman" w:hAnsi="Times New Roman" w:cs="Times New Roman"/>
          <w:color w:val="000000"/>
          <w:kern w:val="2"/>
          <w:sz w:val="24"/>
          <w:szCs w:val="24"/>
          <w:highlight w:val="none"/>
          <w:lang w:val="en-US" w:eastAsia="zh-CN" w:bidi="ar-SA"/>
        </w:rPr>
        <w:t>本项目所在</w:t>
      </w:r>
      <w:r>
        <w:rPr>
          <w:rFonts w:hint="default" w:ascii="Times New Roman" w:hAnsi="Times New Roman" w:eastAsia="宋体" w:cs="Times New Roman"/>
          <w:color w:val="000000"/>
          <w:kern w:val="2"/>
          <w:sz w:val="24"/>
          <w:szCs w:val="24"/>
          <w:highlight w:val="none"/>
          <w:lang w:val="en-US" w:eastAsia="zh-CN" w:bidi="ar-SA"/>
        </w:rPr>
        <w:t>凯赛厂区总</w:t>
      </w:r>
      <w:r>
        <w:rPr>
          <w:rFonts w:hint="eastAsia" w:ascii="Times New Roman" w:hAnsi="Times New Roman" w:cs="Times New Roman"/>
          <w:color w:val="000000"/>
          <w:kern w:val="2"/>
          <w:sz w:val="24"/>
          <w:szCs w:val="24"/>
          <w:highlight w:val="none"/>
          <w:lang w:val="en-US" w:eastAsia="zh-CN" w:bidi="ar-SA"/>
        </w:rPr>
        <w:t>占地</w:t>
      </w:r>
      <w:r>
        <w:rPr>
          <w:rFonts w:hint="default" w:ascii="Times New Roman" w:hAnsi="Times New Roman" w:eastAsia="宋体" w:cs="Times New Roman"/>
          <w:color w:val="000000"/>
          <w:kern w:val="2"/>
          <w:sz w:val="24"/>
          <w:szCs w:val="24"/>
          <w:highlight w:val="none"/>
          <w:lang w:val="en-US" w:eastAsia="zh-CN" w:bidi="ar-SA"/>
        </w:rPr>
        <w:t>面积1285281.281平方米（约1927.92亩）。</w:t>
      </w:r>
    </w:p>
    <w:p w14:paraId="00BC0E78">
      <w:pPr>
        <w:widowControl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（8）工作制度：年生产操作小时</w:t>
      </w:r>
      <w:r>
        <w:rPr>
          <w:rFonts w:hint="eastAsia" w:ascii="Times New Roman" w:hAnsi="Times New Roman" w:cs="Times New Roman"/>
          <w:color w:val="000000"/>
          <w:kern w:val="2"/>
          <w:sz w:val="24"/>
          <w:szCs w:val="24"/>
          <w:lang w:val="en-US" w:eastAsia="zh-CN" w:bidi="ar-SA"/>
        </w:rPr>
        <w:t>80</w:t>
      </w:r>
      <w:r>
        <w:rPr>
          <w:rFonts w:hint="eastAsia" w:ascii="Times New Roman" w:hAnsi="Times New Roman" w:eastAsia="宋体" w:cs="Times New Roman"/>
          <w:color w:val="000000"/>
          <w:kern w:val="2"/>
          <w:sz w:val="24"/>
          <w:szCs w:val="24"/>
          <w:lang w:val="en-US" w:eastAsia="zh-CN" w:bidi="ar-SA"/>
        </w:rPr>
        <w:t>00</w:t>
      </w:r>
      <w:r>
        <w:rPr>
          <w:rFonts w:hint="default" w:ascii="Times New Roman" w:hAnsi="Times New Roman" w:eastAsia="宋体" w:cs="Times New Roman"/>
          <w:color w:val="000000"/>
          <w:kern w:val="2"/>
          <w:sz w:val="24"/>
          <w:szCs w:val="24"/>
          <w:lang w:val="en-US" w:eastAsia="zh-CN" w:bidi="ar-SA"/>
        </w:rPr>
        <w:t>h；生产车间工人按四班三倒制运行，四班制配备定员。</w:t>
      </w:r>
    </w:p>
    <w:p w14:paraId="1C0EB4F6">
      <w:pPr>
        <w:widowControl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（9）劳动定员：根据本项目生产管理的需要，结合自动化水平，本项目</w:t>
      </w:r>
      <w:r>
        <w:rPr>
          <w:rFonts w:hint="eastAsia" w:ascii="Times New Roman" w:hAnsi="Times New Roman" w:cs="Times New Roman"/>
          <w:color w:val="000000"/>
          <w:kern w:val="2"/>
          <w:sz w:val="24"/>
          <w:szCs w:val="24"/>
          <w:lang w:val="en-US" w:eastAsia="zh-CN" w:bidi="ar-SA"/>
        </w:rPr>
        <w:t>新增劳动定员45人</w:t>
      </w:r>
      <w:r>
        <w:rPr>
          <w:rFonts w:hint="default" w:ascii="Times New Roman" w:hAnsi="Times New Roman" w:eastAsia="宋体" w:cs="Times New Roman"/>
          <w:color w:val="000000"/>
          <w:kern w:val="2"/>
          <w:sz w:val="24"/>
          <w:szCs w:val="24"/>
          <w:lang w:val="en-US" w:eastAsia="zh-CN" w:bidi="ar-SA"/>
        </w:rPr>
        <w:t>。</w:t>
      </w:r>
    </w:p>
    <w:p w14:paraId="31FCB00F">
      <w:pPr>
        <w:pStyle w:val="42"/>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rPr>
        <w:t>（</w:t>
      </w:r>
      <w:r>
        <w:rPr>
          <w:rFonts w:hint="eastAsia" w:cs="Times New Roman"/>
          <w:color w:val="000000"/>
          <w:highlight w:val="none"/>
          <w:lang w:val="en-US" w:eastAsia="zh-CN"/>
        </w:rPr>
        <w:t>10</w:t>
      </w:r>
      <w:r>
        <w:rPr>
          <w:rFonts w:hint="default" w:ascii="Times New Roman" w:hAnsi="Times New Roman" w:eastAsia="宋体" w:cs="Times New Roman"/>
          <w:color w:val="000000"/>
          <w:highlight w:val="none"/>
        </w:rPr>
        <w:t>）项目实施规划：</w:t>
      </w:r>
      <w:r>
        <w:rPr>
          <w:rFonts w:hint="default" w:ascii="Times New Roman" w:hAnsi="Times New Roman" w:eastAsia="宋体" w:cs="Times New Roman"/>
          <w:color w:val="000000"/>
          <w:highlight w:val="none"/>
          <w:lang w:val="en-US" w:eastAsia="zh-CN"/>
        </w:rPr>
        <w:t>本项目建设周期预计为</w:t>
      </w:r>
      <w:r>
        <w:rPr>
          <w:rFonts w:hint="eastAsia" w:cs="Times New Roman"/>
          <w:color w:val="000000"/>
          <w:highlight w:val="none"/>
          <w:lang w:val="en-US" w:eastAsia="zh-CN"/>
        </w:rPr>
        <w:t>5</w:t>
      </w:r>
      <w:r>
        <w:rPr>
          <w:rFonts w:hint="default" w:ascii="Times New Roman" w:hAnsi="Times New Roman" w:eastAsia="宋体" w:cs="Times New Roman"/>
          <w:color w:val="000000"/>
          <w:highlight w:val="none"/>
          <w:lang w:val="en-US" w:eastAsia="zh-CN"/>
        </w:rPr>
        <w:t>个月。</w:t>
      </w:r>
    </w:p>
    <w:p w14:paraId="192FF12A">
      <w:pPr>
        <w:pStyle w:val="42"/>
        <w:rPr>
          <w:rFonts w:hint="default" w:ascii="Times New Roman" w:hAnsi="Times New Roman" w:eastAsia="宋体" w:cs="Times New Roman"/>
          <w:color w:val="000000"/>
          <w:highlight w:val="none"/>
          <w:lang w:val="en-US" w:eastAsia="zh-CN"/>
        </w:rPr>
      </w:pPr>
      <w:r>
        <w:rPr>
          <w:rFonts w:hint="eastAsia" w:cs="Times New Roman"/>
          <w:color w:val="000000"/>
          <w:highlight w:val="none"/>
          <w:lang w:val="en-US" w:eastAsia="zh-CN"/>
        </w:rPr>
        <w:t>本项目部分原料、中间品及产品对应的简称见表4.1-1。</w:t>
      </w:r>
    </w:p>
    <w:p w14:paraId="6CD01218">
      <w:pPr>
        <w:pStyle w:val="42"/>
        <w:ind w:left="0" w:leftChars="0" w:firstLine="0" w:firstLineChars="0"/>
        <w:jc w:val="center"/>
        <w:rPr>
          <w:rFonts w:hint="default" w:ascii="Times New Roman" w:hAnsi="Times New Roman" w:eastAsia="宋体" w:cs="Times New Roman"/>
          <w:b/>
          <w:bCs/>
          <w:color w:val="000000"/>
          <w:highlight w:val="none"/>
          <w:lang w:val="en-US" w:eastAsia="zh-CN"/>
        </w:rPr>
      </w:pPr>
      <w:r>
        <w:rPr>
          <w:rFonts w:hint="eastAsia" w:cs="Times New Roman"/>
          <w:b/>
          <w:bCs/>
          <w:color w:val="000000"/>
          <w:highlight w:val="none"/>
          <w:lang w:val="en-US" w:eastAsia="zh-CN"/>
        </w:rPr>
        <w:t>表4.1-1   本项目部分原料、中间品及产品对应的简称一览表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23" w:type="dxa"/>
          <w:bottom w:w="57" w:type="dxa"/>
          <w:right w:w="23" w:type="dxa"/>
        </w:tblCellMar>
      </w:tblPr>
      <w:tblGrid>
        <w:gridCol w:w="2246"/>
        <w:gridCol w:w="2273"/>
        <w:gridCol w:w="2273"/>
        <w:gridCol w:w="2275"/>
      </w:tblGrid>
      <w:tr w14:paraId="7FE4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3" w:type="dxa"/>
            <w:bottom w:w="57" w:type="dxa"/>
            <w:right w:w="23" w:type="dxa"/>
          </w:tblCellMar>
        </w:tblPrEx>
        <w:tc>
          <w:tcPr>
            <w:tcW w:w="1238" w:type="pct"/>
            <w:vAlign w:val="center"/>
          </w:tcPr>
          <w:p w14:paraId="6440BD63">
            <w:pPr>
              <w:pStyle w:val="42"/>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序号</w:t>
            </w:r>
          </w:p>
        </w:tc>
        <w:tc>
          <w:tcPr>
            <w:tcW w:w="1253" w:type="pct"/>
            <w:vAlign w:val="center"/>
          </w:tcPr>
          <w:p w14:paraId="6D572E5A">
            <w:pPr>
              <w:pStyle w:val="42"/>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中文名称</w:t>
            </w:r>
          </w:p>
        </w:tc>
        <w:tc>
          <w:tcPr>
            <w:tcW w:w="1253" w:type="pct"/>
            <w:vAlign w:val="center"/>
          </w:tcPr>
          <w:p w14:paraId="682532A1">
            <w:pPr>
              <w:pStyle w:val="42"/>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对应简称</w:t>
            </w:r>
          </w:p>
        </w:tc>
        <w:tc>
          <w:tcPr>
            <w:tcW w:w="1254" w:type="pct"/>
            <w:vAlign w:val="center"/>
          </w:tcPr>
          <w:p w14:paraId="32BCD856">
            <w:pPr>
              <w:pStyle w:val="42"/>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备注</w:t>
            </w:r>
          </w:p>
        </w:tc>
      </w:tr>
      <w:tr w14:paraId="0305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3" w:type="dxa"/>
            <w:bottom w:w="57" w:type="dxa"/>
            <w:right w:w="23" w:type="dxa"/>
          </w:tblCellMar>
        </w:tblPrEx>
        <w:tc>
          <w:tcPr>
            <w:tcW w:w="1238" w:type="pct"/>
            <w:vAlign w:val="center"/>
          </w:tcPr>
          <w:p w14:paraId="4BCF021D">
            <w:pPr>
              <w:pStyle w:val="42"/>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w:t>
            </w:r>
          </w:p>
        </w:tc>
        <w:tc>
          <w:tcPr>
            <w:tcW w:w="1253" w:type="pct"/>
            <w:vAlign w:val="center"/>
          </w:tcPr>
          <w:p w14:paraId="09C63CD2">
            <w:pPr>
              <w:pStyle w:val="42"/>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长链二元酸</w:t>
            </w:r>
          </w:p>
        </w:tc>
        <w:tc>
          <w:tcPr>
            <w:tcW w:w="1253" w:type="pct"/>
            <w:vAlign w:val="center"/>
          </w:tcPr>
          <w:p w14:paraId="15DABFCF">
            <w:pPr>
              <w:pStyle w:val="42"/>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DC</w:t>
            </w:r>
          </w:p>
        </w:tc>
        <w:tc>
          <w:tcPr>
            <w:tcW w:w="1254" w:type="pct"/>
            <w:vAlign w:val="center"/>
          </w:tcPr>
          <w:p w14:paraId="6FC125D7">
            <w:pPr>
              <w:pStyle w:val="42"/>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本项目主要原料</w:t>
            </w:r>
          </w:p>
        </w:tc>
      </w:tr>
      <w:tr w14:paraId="135A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3" w:type="dxa"/>
            <w:bottom w:w="57" w:type="dxa"/>
            <w:right w:w="23" w:type="dxa"/>
          </w:tblCellMar>
        </w:tblPrEx>
        <w:tc>
          <w:tcPr>
            <w:tcW w:w="1238" w:type="pct"/>
            <w:vAlign w:val="center"/>
          </w:tcPr>
          <w:p w14:paraId="58F87B9E">
            <w:pPr>
              <w:pStyle w:val="42"/>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w:t>
            </w:r>
          </w:p>
        </w:tc>
        <w:tc>
          <w:tcPr>
            <w:tcW w:w="1253" w:type="pct"/>
            <w:vAlign w:val="center"/>
          </w:tcPr>
          <w:p w14:paraId="3D0E354D">
            <w:pPr>
              <w:pStyle w:val="42"/>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长链二元腈</w:t>
            </w:r>
          </w:p>
        </w:tc>
        <w:tc>
          <w:tcPr>
            <w:tcW w:w="1253" w:type="pct"/>
            <w:vAlign w:val="center"/>
          </w:tcPr>
          <w:p w14:paraId="090BFD48">
            <w:pPr>
              <w:pStyle w:val="42"/>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DCN</w:t>
            </w:r>
          </w:p>
        </w:tc>
        <w:tc>
          <w:tcPr>
            <w:tcW w:w="1254" w:type="pct"/>
            <w:vAlign w:val="center"/>
          </w:tcPr>
          <w:p w14:paraId="3C577E8B">
            <w:pPr>
              <w:pStyle w:val="42"/>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本项目中间品</w:t>
            </w:r>
          </w:p>
        </w:tc>
      </w:tr>
      <w:tr w14:paraId="55BB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3" w:type="dxa"/>
            <w:bottom w:w="57" w:type="dxa"/>
            <w:right w:w="23" w:type="dxa"/>
          </w:tblCellMar>
        </w:tblPrEx>
        <w:tc>
          <w:tcPr>
            <w:tcW w:w="1238" w:type="pct"/>
            <w:vAlign w:val="center"/>
          </w:tcPr>
          <w:p w14:paraId="29A287FC">
            <w:pPr>
              <w:pStyle w:val="42"/>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3</w:t>
            </w:r>
          </w:p>
        </w:tc>
        <w:tc>
          <w:tcPr>
            <w:tcW w:w="1253" w:type="pct"/>
            <w:vAlign w:val="center"/>
          </w:tcPr>
          <w:p w14:paraId="003FA2CB">
            <w:pPr>
              <w:pStyle w:val="42"/>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长链二元胺</w:t>
            </w:r>
          </w:p>
        </w:tc>
        <w:tc>
          <w:tcPr>
            <w:tcW w:w="1253" w:type="pct"/>
            <w:vAlign w:val="center"/>
          </w:tcPr>
          <w:p w14:paraId="187F9DD0">
            <w:pPr>
              <w:pStyle w:val="42"/>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LCDN</w:t>
            </w:r>
          </w:p>
        </w:tc>
        <w:tc>
          <w:tcPr>
            <w:tcW w:w="1254" w:type="pct"/>
            <w:vAlign w:val="center"/>
          </w:tcPr>
          <w:p w14:paraId="3EC11E06">
            <w:pPr>
              <w:pStyle w:val="42"/>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本项目产品</w:t>
            </w:r>
          </w:p>
        </w:tc>
      </w:tr>
    </w:tbl>
    <w:p w14:paraId="3F5B729B">
      <w:pPr>
        <w:keepNext w:val="0"/>
        <w:keepLines w:val="0"/>
        <w:pageBreakBefore w:val="0"/>
        <w:widowControl w:val="0"/>
        <w:numPr>
          <w:ilvl w:val="2"/>
          <w:numId w:val="0"/>
        </w:numPr>
        <w:kinsoku/>
        <w:wordWrap/>
        <w:overflowPunct/>
        <w:topLinePunct w:val="0"/>
        <w:autoSpaceDE/>
        <w:autoSpaceDN/>
        <w:bidi w:val="0"/>
        <w:adjustRightInd/>
        <w:snapToGrid/>
        <w:spacing w:before="0" w:after="0" w:line="360" w:lineRule="auto"/>
        <w:ind w:leftChars="0"/>
        <w:jc w:val="both"/>
        <w:textAlignment w:val="auto"/>
        <w:outlineLvl w:val="2"/>
        <w:rPr>
          <w:rFonts w:hint="default" w:ascii="Times New Roman" w:hAnsi="Times New Roman" w:eastAsia="宋体" w:cs="Times New Roman"/>
          <w:b/>
          <w:bCs/>
          <w:kern w:val="2"/>
          <w:sz w:val="28"/>
          <w:szCs w:val="28"/>
          <w:lang w:val="en-US" w:eastAsia="zh-CN" w:bidi="ar-SA"/>
        </w:rPr>
      </w:pPr>
      <w:bookmarkStart w:id="33" w:name="_Toc3768"/>
      <w:bookmarkStart w:id="34" w:name="_Toc22600"/>
      <w:r>
        <w:rPr>
          <w:rFonts w:hint="eastAsia" w:ascii="Times New Roman" w:hAnsi="Times New Roman" w:cs="Times New Roman"/>
          <w:b/>
          <w:bCs/>
          <w:kern w:val="2"/>
          <w:sz w:val="28"/>
          <w:szCs w:val="28"/>
          <w:lang w:val="en-US" w:eastAsia="zh-CN" w:bidi="ar-SA"/>
        </w:rPr>
        <w:t>4.</w:t>
      </w:r>
      <w:bookmarkEnd w:id="33"/>
      <w:bookmarkEnd w:id="34"/>
      <w:r>
        <w:rPr>
          <w:rFonts w:hint="eastAsia" w:ascii="Times New Roman" w:hAnsi="Times New Roman" w:cs="Times New Roman"/>
          <w:b/>
          <w:bCs/>
          <w:kern w:val="2"/>
          <w:sz w:val="28"/>
          <w:szCs w:val="28"/>
          <w:lang w:val="en-US" w:eastAsia="zh-CN" w:bidi="ar-SA"/>
        </w:rPr>
        <w:t>1.1建设内容</w:t>
      </w:r>
    </w:p>
    <w:p w14:paraId="2CCB6CF6">
      <w:pPr>
        <w:widowControl w:val="0"/>
        <w:spacing w:line="360" w:lineRule="auto"/>
        <w:ind w:firstLine="480" w:firstLineChars="200"/>
        <w:jc w:val="both"/>
        <w:rPr>
          <w:rFonts w:hint="default" w:ascii="Times New Roman" w:hAnsi="Times New Roman" w:cs="Times New Roman" w:eastAsiaTheme="minorEastAsia"/>
          <w:color w:val="auto"/>
          <w:kern w:val="2"/>
          <w:sz w:val="24"/>
          <w:szCs w:val="24"/>
          <w:lang w:val="en-US" w:eastAsia="zh-CN"/>
        </w:rPr>
      </w:pPr>
      <w:r>
        <w:rPr>
          <w:rFonts w:hint="eastAsia" w:ascii="Times New Roman" w:hAnsi="Times New Roman" w:eastAsia="宋体" w:cs="Times New Roman"/>
          <w:color w:val="000000"/>
          <w:kern w:val="2"/>
          <w:sz w:val="24"/>
          <w:szCs w:val="24"/>
          <w:lang w:val="en-US" w:eastAsia="zh-CN" w:bidi="ar-SA"/>
        </w:rPr>
        <w:t>本项目</w:t>
      </w:r>
      <w:r>
        <w:rPr>
          <w:rFonts w:hint="eastAsia" w:ascii="Times New Roman" w:hAnsi="Times New Roman" w:cs="Times New Roman"/>
          <w:color w:val="000000"/>
          <w:kern w:val="2"/>
          <w:sz w:val="24"/>
          <w:szCs w:val="24"/>
          <w:lang w:val="en-US" w:eastAsia="zh-CN" w:bidi="ar-SA"/>
        </w:rPr>
        <w:t>主要建设2</w:t>
      </w:r>
      <w:r>
        <w:rPr>
          <w:rFonts w:hint="default" w:ascii="Times New Roman" w:hAnsi="Times New Roman" w:eastAsia="宋体" w:cs="Times New Roman"/>
          <w:color w:val="000000"/>
          <w:kern w:val="2"/>
          <w:sz w:val="24"/>
          <w:szCs w:val="24"/>
          <w:lang w:val="en-US" w:eastAsia="zh-CN" w:bidi="ar-SA"/>
        </w:rPr>
        <w:t>万t/a</w:t>
      </w:r>
      <w:r>
        <w:rPr>
          <w:rFonts w:hint="eastAsia" w:ascii="Times New Roman" w:hAnsi="Times New Roman" w:cs="Times New Roman"/>
          <w:color w:val="000000"/>
          <w:kern w:val="2"/>
          <w:sz w:val="24"/>
          <w:szCs w:val="24"/>
          <w:lang w:val="en-US" w:eastAsia="zh-CN" w:bidi="ar-SA"/>
        </w:rPr>
        <w:t>LCDN</w:t>
      </w:r>
      <w:r>
        <w:rPr>
          <w:rFonts w:hint="default" w:ascii="Times New Roman" w:hAnsi="Times New Roman" w:eastAsia="宋体" w:cs="Times New Roman"/>
          <w:color w:val="000000"/>
          <w:kern w:val="2"/>
          <w:sz w:val="24"/>
          <w:szCs w:val="24"/>
          <w:lang w:val="en-US" w:eastAsia="zh-CN" w:bidi="ar-SA"/>
        </w:rPr>
        <w:t>生产线</w:t>
      </w:r>
      <w:r>
        <w:rPr>
          <w:rFonts w:hint="eastAsia" w:ascii="Times New Roman" w:hAnsi="Times New Roman" w:eastAsia="宋体" w:cs="Times New Roman"/>
          <w:color w:val="000000"/>
          <w:kern w:val="2"/>
          <w:sz w:val="24"/>
          <w:szCs w:val="24"/>
          <w:lang w:val="en-US" w:eastAsia="zh-CN" w:bidi="ar-SA"/>
        </w:rPr>
        <w:t>以及配套公用工程，</w:t>
      </w:r>
      <w:r>
        <w:rPr>
          <w:rFonts w:hint="eastAsia" w:ascii="Times New Roman" w:hAnsi="Times New Roman" w:cs="Times New Roman"/>
          <w:color w:val="000000"/>
          <w:kern w:val="2"/>
          <w:sz w:val="24"/>
          <w:szCs w:val="24"/>
          <w:lang w:val="en-US" w:eastAsia="zh-CN" w:bidi="ar-SA"/>
        </w:rPr>
        <w:t>同时</w:t>
      </w:r>
      <w:r>
        <w:rPr>
          <w:rFonts w:hint="eastAsia" w:ascii="Times New Roman" w:hAnsi="Times New Roman" w:eastAsia="宋体" w:cs="Times New Roman"/>
          <w:color w:val="000000"/>
          <w:kern w:val="2"/>
          <w:sz w:val="24"/>
          <w:szCs w:val="24"/>
          <w:lang w:val="en-US" w:eastAsia="zh-CN" w:bidi="ar-SA"/>
        </w:rPr>
        <w:t>新建</w:t>
      </w:r>
      <w:r>
        <w:rPr>
          <w:rFonts w:hint="default" w:ascii="Times New Roman" w:hAnsi="Times New Roman" w:eastAsia="宋体" w:cs="Times New Roman"/>
          <w:color w:val="000000"/>
          <w:kern w:val="2"/>
          <w:sz w:val="24"/>
          <w:szCs w:val="24"/>
          <w:lang w:val="en-US" w:eastAsia="zh-CN" w:bidi="ar-SA"/>
        </w:rPr>
        <w:t>与项目相配套的储运工程、</w:t>
      </w:r>
      <w:r>
        <w:rPr>
          <w:rFonts w:hint="eastAsia" w:ascii="Times New Roman" w:hAnsi="Times New Roman" w:cs="Times New Roman"/>
          <w:color w:val="000000"/>
          <w:kern w:val="2"/>
          <w:sz w:val="24"/>
          <w:szCs w:val="24"/>
          <w:lang w:val="en-US" w:eastAsia="zh-CN" w:bidi="ar-SA"/>
        </w:rPr>
        <w:t>公用工程、</w:t>
      </w:r>
      <w:r>
        <w:rPr>
          <w:rFonts w:hint="default" w:ascii="Times New Roman" w:hAnsi="Times New Roman" w:eastAsia="宋体" w:cs="Times New Roman"/>
          <w:color w:val="000000"/>
          <w:kern w:val="2"/>
          <w:sz w:val="24"/>
          <w:szCs w:val="24"/>
          <w:lang w:val="en-US" w:eastAsia="zh-CN" w:bidi="ar-SA"/>
        </w:rPr>
        <w:t>辅助工程和环保工程</w:t>
      </w:r>
      <w:r>
        <w:rPr>
          <w:rFonts w:hint="eastAsia" w:ascii="Times New Roman" w:hAnsi="Times New Roman" w:cs="Times New Roman"/>
          <w:color w:val="000000"/>
          <w:kern w:val="2"/>
          <w:sz w:val="24"/>
          <w:szCs w:val="24"/>
          <w:lang w:val="en-US" w:eastAsia="zh-CN" w:bidi="ar-SA"/>
        </w:rPr>
        <w:t>；此外，还依托现有工程已建的公用工程、储运工程、辅助工程及环保工程</w:t>
      </w: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cs="Times New Roman"/>
          <w:color w:val="000000"/>
          <w:kern w:val="2"/>
          <w:sz w:val="24"/>
          <w:szCs w:val="24"/>
          <w:lang w:val="en-US" w:eastAsia="zh-CN" w:bidi="ar-SA"/>
        </w:rPr>
        <w:t>本项目</w:t>
      </w:r>
      <w:r>
        <w:rPr>
          <w:rFonts w:hint="eastAsia" w:ascii="Times New Roman" w:hAnsi="Times New Roman" w:cs="Times New Roman" w:eastAsiaTheme="minorEastAsia"/>
          <w:color w:val="auto"/>
          <w:kern w:val="2"/>
          <w:sz w:val="24"/>
          <w:szCs w:val="24"/>
          <w:lang w:val="en-US" w:eastAsia="zh-CN"/>
        </w:rPr>
        <w:t>组成</w:t>
      </w:r>
      <w:r>
        <w:rPr>
          <w:rFonts w:hint="default" w:ascii="Times New Roman" w:hAnsi="Times New Roman" w:cs="Times New Roman" w:eastAsiaTheme="minorEastAsia"/>
          <w:color w:val="auto"/>
          <w:kern w:val="2"/>
          <w:sz w:val="24"/>
          <w:szCs w:val="24"/>
        </w:rPr>
        <w:t>及建设情况见</w:t>
      </w:r>
      <w:r>
        <w:rPr>
          <w:rFonts w:hint="eastAsia" w:ascii="Times New Roman" w:hAnsi="Times New Roman" w:cs="Times New Roman" w:eastAsiaTheme="minorEastAsia"/>
          <w:color w:val="auto"/>
          <w:kern w:val="2"/>
          <w:sz w:val="24"/>
          <w:szCs w:val="24"/>
          <w:lang w:val="en-US" w:eastAsia="zh-CN"/>
        </w:rPr>
        <w:t>4</w:t>
      </w:r>
      <w:r>
        <w:rPr>
          <w:rFonts w:hint="default" w:ascii="Times New Roman" w:hAnsi="Times New Roman" w:cs="Times New Roman" w:eastAsiaTheme="minorEastAsia"/>
          <w:color w:val="auto"/>
          <w:kern w:val="2"/>
          <w:sz w:val="24"/>
          <w:szCs w:val="24"/>
          <w:lang w:val="en-US" w:eastAsia="zh-CN"/>
        </w:rPr>
        <w:t>.</w:t>
      </w:r>
      <w:r>
        <w:rPr>
          <w:rFonts w:hint="eastAsia" w:ascii="Times New Roman" w:hAnsi="Times New Roman" w:cs="Times New Roman" w:eastAsiaTheme="minorEastAsia"/>
          <w:color w:val="auto"/>
          <w:kern w:val="2"/>
          <w:sz w:val="24"/>
          <w:szCs w:val="24"/>
          <w:lang w:val="en-US" w:eastAsia="zh-CN"/>
        </w:rPr>
        <w:t>1</w:t>
      </w:r>
      <w:r>
        <w:rPr>
          <w:rFonts w:hint="default" w:ascii="Times New Roman" w:hAnsi="Times New Roman" w:cs="Times New Roman" w:eastAsiaTheme="minorEastAsia"/>
          <w:color w:val="auto"/>
          <w:kern w:val="2"/>
          <w:sz w:val="24"/>
          <w:szCs w:val="24"/>
          <w:lang w:val="en-US" w:eastAsia="zh-CN"/>
        </w:rPr>
        <w:t>-</w:t>
      </w:r>
      <w:r>
        <w:rPr>
          <w:rFonts w:hint="eastAsia" w:ascii="Times New Roman" w:hAnsi="Times New Roman" w:cs="Times New Roman" w:eastAsiaTheme="minorEastAsia"/>
          <w:color w:val="auto"/>
          <w:kern w:val="2"/>
          <w:sz w:val="24"/>
          <w:szCs w:val="24"/>
          <w:lang w:val="en-US" w:eastAsia="zh-CN"/>
        </w:rPr>
        <w:t>2</w:t>
      </w:r>
      <w:r>
        <w:rPr>
          <w:rFonts w:hint="default" w:ascii="Times New Roman" w:hAnsi="Times New Roman" w:cs="Times New Roman" w:eastAsiaTheme="minorEastAsia"/>
          <w:color w:val="auto"/>
          <w:kern w:val="2"/>
          <w:sz w:val="24"/>
          <w:szCs w:val="24"/>
        </w:rPr>
        <w:t>。</w:t>
      </w:r>
    </w:p>
    <w:p w14:paraId="7566DB5B">
      <w:pPr>
        <w:widowControl w:val="0"/>
        <w:spacing w:line="360" w:lineRule="auto"/>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w:t>
      </w:r>
      <w:r>
        <w:rPr>
          <w:rFonts w:hint="eastAsia" w:ascii="Times New Roman" w:hAnsi="Times New Roman" w:cs="Times New Roman"/>
          <w:b/>
          <w:bCs/>
          <w:color w:val="auto"/>
          <w:kern w:val="2"/>
          <w:sz w:val="24"/>
          <w:szCs w:val="24"/>
          <w:lang w:val="en-US" w:eastAsia="zh-CN" w:bidi="ar-SA"/>
        </w:rPr>
        <w:t>1</w:t>
      </w:r>
      <w:r>
        <w:rPr>
          <w:rFonts w:hint="default" w:ascii="Times New Roman" w:hAnsi="Times New Roman" w:eastAsia="宋体" w:cs="Times New Roman"/>
          <w:b/>
          <w:bCs/>
          <w:color w:val="auto"/>
          <w:kern w:val="2"/>
          <w:sz w:val="24"/>
          <w:szCs w:val="24"/>
          <w:lang w:val="en-US" w:eastAsia="zh-CN" w:bidi="ar-SA"/>
        </w:rPr>
        <w:t>-</w:t>
      </w:r>
      <w:r>
        <w:rPr>
          <w:rFonts w:hint="eastAsia" w:ascii="Times New Roman" w:hAnsi="Times New Roman" w:cs="Times New Roman"/>
          <w:b/>
          <w:bCs/>
          <w:color w:val="auto"/>
          <w:kern w:val="2"/>
          <w:sz w:val="24"/>
          <w:szCs w:val="24"/>
          <w:lang w:val="en-US" w:eastAsia="zh-CN" w:bidi="ar-SA"/>
        </w:rPr>
        <w:t>2本项目</w:t>
      </w:r>
      <w:r>
        <w:rPr>
          <w:rFonts w:hint="default" w:ascii="Times New Roman" w:hAnsi="Times New Roman" w:eastAsia="宋体" w:cs="Times New Roman"/>
          <w:b/>
          <w:bCs/>
          <w:color w:val="auto"/>
          <w:kern w:val="2"/>
          <w:sz w:val="24"/>
          <w:szCs w:val="24"/>
          <w:lang w:val="en-US" w:eastAsia="zh-CN" w:bidi="ar-SA"/>
        </w:rPr>
        <w:t>组成及建设主要内容</w:t>
      </w:r>
    </w:p>
    <w:tbl>
      <w:tblPr>
        <w:tblStyle w:val="24"/>
        <w:tblW w:w="51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427"/>
        <w:gridCol w:w="679"/>
        <w:gridCol w:w="638"/>
        <w:gridCol w:w="6648"/>
        <w:gridCol w:w="1006"/>
      </w:tblGrid>
      <w:tr w14:paraId="1440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tcBorders>
              <w:tl2br w:val="nil"/>
              <w:tr2bl w:val="nil"/>
            </w:tcBorders>
            <w:noWrap w:val="0"/>
            <w:vAlign w:val="center"/>
          </w:tcPr>
          <w:p w14:paraId="6761BFE8">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类别</w:t>
            </w:r>
          </w:p>
        </w:tc>
        <w:tc>
          <w:tcPr>
            <w:tcW w:w="700" w:type="pct"/>
            <w:gridSpan w:val="2"/>
            <w:tcBorders>
              <w:tl2br w:val="nil"/>
              <w:tr2bl w:val="nil"/>
            </w:tcBorders>
            <w:noWrap w:val="0"/>
            <w:vAlign w:val="center"/>
          </w:tcPr>
          <w:p w14:paraId="54DB8C58">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工程名称</w:t>
            </w:r>
          </w:p>
        </w:tc>
        <w:tc>
          <w:tcPr>
            <w:tcW w:w="3537" w:type="pct"/>
            <w:tcBorders>
              <w:tl2br w:val="nil"/>
              <w:tr2bl w:val="nil"/>
            </w:tcBorders>
            <w:noWrap w:val="0"/>
            <w:vAlign w:val="center"/>
          </w:tcPr>
          <w:p w14:paraId="4B5114ED">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主要建设内容或装置</w:t>
            </w:r>
          </w:p>
        </w:tc>
        <w:tc>
          <w:tcPr>
            <w:tcW w:w="534" w:type="pct"/>
            <w:tcBorders>
              <w:tl2br w:val="nil"/>
              <w:tr2bl w:val="nil"/>
            </w:tcBorders>
            <w:noWrap w:val="0"/>
            <w:vAlign w:val="center"/>
          </w:tcPr>
          <w:p w14:paraId="2F1C87C3">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备注</w:t>
            </w:r>
          </w:p>
        </w:tc>
      </w:tr>
      <w:tr w14:paraId="16F2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27" w:hRule="atLeast"/>
          <w:tblHeader/>
          <w:jc w:val="center"/>
        </w:trPr>
        <w:tc>
          <w:tcPr>
            <w:tcW w:w="227" w:type="pct"/>
            <w:vMerge w:val="restart"/>
            <w:tcBorders>
              <w:tl2br w:val="nil"/>
              <w:tr2bl w:val="nil"/>
            </w:tcBorders>
            <w:noWrap w:val="0"/>
            <w:vAlign w:val="center"/>
          </w:tcPr>
          <w:p w14:paraId="75E640A1">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主体</w:t>
            </w:r>
          </w:p>
          <w:p w14:paraId="2B8FE86F">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工程</w:t>
            </w:r>
          </w:p>
        </w:tc>
        <w:tc>
          <w:tcPr>
            <w:tcW w:w="700" w:type="pct"/>
            <w:gridSpan w:val="2"/>
            <w:tcBorders>
              <w:tl2br w:val="nil"/>
              <w:tr2bl w:val="nil"/>
            </w:tcBorders>
            <w:noWrap w:val="0"/>
            <w:vAlign w:val="center"/>
          </w:tcPr>
          <w:p w14:paraId="6BB08C52">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bidi="zh-CN"/>
              </w:rPr>
            </w:pPr>
            <w:r>
              <w:rPr>
                <w:rFonts w:hint="eastAsia" w:ascii="Times New Roman" w:hAnsi="Times New Roman" w:cs="Times New Roman"/>
                <w:b w:val="0"/>
                <w:bCs/>
                <w:color w:val="auto"/>
                <w:sz w:val="21"/>
                <w:szCs w:val="21"/>
                <w:highlight w:val="none"/>
                <w:lang w:val="en-US" w:eastAsia="zh-CN" w:bidi="zh-CN"/>
              </w:rPr>
              <w:t>生产车间1</w:t>
            </w:r>
          </w:p>
        </w:tc>
        <w:tc>
          <w:tcPr>
            <w:tcW w:w="3537" w:type="pct"/>
            <w:tcBorders>
              <w:tl2br w:val="nil"/>
              <w:tr2bl w:val="nil"/>
            </w:tcBorders>
            <w:noWrap w:val="0"/>
            <w:vAlign w:val="center"/>
          </w:tcPr>
          <w:p w14:paraId="75F49960">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default" w:ascii="Times New Roman" w:hAnsi="Times New Roman" w:cs="Times New Roman"/>
                <w:b w:val="0"/>
                <w:bCs/>
                <w:color w:val="auto"/>
                <w:sz w:val="21"/>
                <w:szCs w:val="21"/>
                <w:lang w:val="en-US" w:eastAsia="zh-CN" w:bidi="zh-CN"/>
              </w:rPr>
              <w:t>钢框架结构，占地面积</w:t>
            </w:r>
            <w:r>
              <w:rPr>
                <w:rFonts w:hint="default" w:ascii="Times New Roman" w:hAnsi="Times New Roman" w:cs="Times New Roman"/>
                <w:b w:val="0"/>
                <w:bCs/>
                <w:sz w:val="21"/>
                <w:szCs w:val="21"/>
              </w:rPr>
              <w:t>2529.19</w:t>
            </w:r>
            <w:r>
              <w:rPr>
                <w:rFonts w:hint="default" w:ascii="Times New Roman" w:hAnsi="Times New Roman" w:cs="Times New Roman"/>
                <w:b w:val="0"/>
                <w:bCs/>
                <w:sz w:val="21"/>
                <w:szCs w:val="21"/>
                <w:lang w:val="en-US" w:eastAsia="zh-CN"/>
              </w:rPr>
              <w:t>m</w:t>
            </w:r>
            <w:r>
              <w:rPr>
                <w:rFonts w:hint="default" w:ascii="Times New Roman" w:hAnsi="Times New Roman" w:cs="Times New Roman"/>
                <w:b w:val="0"/>
                <w:bCs/>
                <w:sz w:val="21"/>
                <w:szCs w:val="21"/>
                <w:vertAlign w:val="superscript"/>
                <w:lang w:val="en-US" w:eastAsia="zh-CN"/>
              </w:rPr>
              <w:t>2</w:t>
            </w:r>
            <w:r>
              <w:rPr>
                <w:rFonts w:hint="default" w:ascii="Times New Roman" w:hAnsi="Times New Roman" w:cs="Times New Roman"/>
                <w:b w:val="0"/>
                <w:bCs/>
                <w:sz w:val="21"/>
                <w:szCs w:val="21"/>
                <w:lang w:val="en-US" w:eastAsia="zh-CN"/>
              </w:rPr>
              <w:t>，</w:t>
            </w:r>
            <w:r>
              <w:rPr>
                <w:rFonts w:hint="default" w:ascii="Times New Roman" w:hAnsi="Times New Roman" w:cs="Times New Roman"/>
                <w:b w:val="0"/>
                <w:bCs/>
                <w:sz w:val="21"/>
                <w:szCs w:val="21"/>
                <w:highlight w:val="none"/>
                <w:lang w:val="en-US" w:eastAsia="zh-CN"/>
              </w:rPr>
              <w:t>高度</w:t>
            </w:r>
            <w:r>
              <w:rPr>
                <w:rFonts w:hint="eastAsia" w:ascii="Times New Roman" w:hAnsi="Times New Roman" w:cs="Times New Roman"/>
                <w:b w:val="0"/>
                <w:bCs/>
                <w:sz w:val="21"/>
                <w:szCs w:val="21"/>
                <w:highlight w:val="none"/>
                <w:lang w:val="en-US" w:eastAsia="zh-CN"/>
              </w:rPr>
              <w:t>21.1</w:t>
            </w:r>
            <w:r>
              <w:rPr>
                <w:rFonts w:hint="default" w:ascii="Times New Roman" w:hAnsi="Times New Roman" w:cs="Times New Roman"/>
                <w:b w:val="0"/>
                <w:bCs/>
                <w:sz w:val="21"/>
                <w:szCs w:val="21"/>
                <w:highlight w:val="none"/>
                <w:lang w:val="en-US" w:eastAsia="zh-CN"/>
              </w:rPr>
              <w:t>m；</w:t>
            </w:r>
            <w:r>
              <w:rPr>
                <w:rFonts w:hint="default" w:ascii="Times New Roman" w:hAnsi="Times New Roman" w:cs="Times New Roman"/>
                <w:b w:val="0"/>
                <w:bCs/>
                <w:sz w:val="21"/>
                <w:szCs w:val="21"/>
                <w:lang w:val="en-US" w:eastAsia="zh-CN"/>
              </w:rPr>
              <w:t>内部主要建设</w:t>
            </w:r>
            <w:r>
              <w:rPr>
                <w:rFonts w:hint="eastAsia" w:ascii="Times New Roman" w:hAnsi="Times New Roman" w:cs="Times New Roman"/>
                <w:b w:val="0"/>
                <w:bCs/>
                <w:sz w:val="21"/>
                <w:szCs w:val="21"/>
                <w:lang w:val="en-US" w:eastAsia="zh-CN"/>
              </w:rPr>
              <w:t>1条1万吨/年</w:t>
            </w:r>
            <w:r>
              <w:rPr>
                <w:rFonts w:hint="default" w:ascii="Times New Roman" w:hAnsi="Times New Roman" w:cs="Times New Roman"/>
                <w:b w:val="0"/>
                <w:bCs/>
                <w:sz w:val="21"/>
                <w:szCs w:val="21"/>
                <w:lang w:val="en-US" w:eastAsia="zh-CN"/>
              </w:rPr>
              <w:t>LCDN生产线，包含粗品处理、一级反应及精制、二级反应及精制、产品包装线等设备。</w:t>
            </w:r>
          </w:p>
        </w:tc>
        <w:tc>
          <w:tcPr>
            <w:tcW w:w="534" w:type="pct"/>
            <w:tcBorders>
              <w:tl2br w:val="nil"/>
              <w:tr2bl w:val="nil"/>
            </w:tcBorders>
            <w:noWrap w:val="0"/>
            <w:vAlign w:val="center"/>
          </w:tcPr>
          <w:p w14:paraId="77EC4306">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default" w:ascii="Times New Roman" w:hAnsi="Times New Roman" w:eastAsia="宋体" w:cs="Times New Roman"/>
                <w:b w:val="0"/>
                <w:bCs/>
                <w:color w:val="auto"/>
                <w:sz w:val="21"/>
                <w:szCs w:val="21"/>
                <w:lang w:val="en-US" w:eastAsia="zh-CN" w:bidi="zh-CN"/>
              </w:rPr>
              <w:t>新建</w:t>
            </w:r>
          </w:p>
        </w:tc>
      </w:tr>
      <w:tr w14:paraId="7D46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9" w:hRule="atLeast"/>
          <w:tblHeader/>
          <w:jc w:val="center"/>
        </w:trPr>
        <w:tc>
          <w:tcPr>
            <w:tcW w:w="227" w:type="pct"/>
            <w:vMerge w:val="continue"/>
            <w:tcBorders>
              <w:tl2br w:val="nil"/>
              <w:tr2bl w:val="nil"/>
            </w:tcBorders>
            <w:noWrap w:val="0"/>
            <w:vAlign w:val="center"/>
          </w:tcPr>
          <w:p w14:paraId="2A27013C">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noWrap w:val="0"/>
            <w:vAlign w:val="center"/>
          </w:tcPr>
          <w:p w14:paraId="5FCA1747">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cs="Times New Roman"/>
                <w:b w:val="0"/>
                <w:bCs/>
                <w:color w:val="auto"/>
                <w:sz w:val="21"/>
                <w:szCs w:val="21"/>
                <w:highlight w:val="none"/>
                <w:lang w:val="en-US" w:eastAsia="zh-CN" w:bidi="zh-CN"/>
              </w:rPr>
            </w:pPr>
            <w:r>
              <w:rPr>
                <w:rFonts w:hint="eastAsia" w:ascii="Times New Roman" w:hAnsi="Times New Roman" w:cs="Times New Roman"/>
                <w:b w:val="0"/>
                <w:bCs/>
                <w:color w:val="auto"/>
                <w:sz w:val="21"/>
                <w:szCs w:val="21"/>
                <w:highlight w:val="none"/>
                <w:lang w:val="en-US" w:eastAsia="zh-CN" w:bidi="zh-CN"/>
              </w:rPr>
              <w:t>生产车间2</w:t>
            </w:r>
          </w:p>
        </w:tc>
        <w:tc>
          <w:tcPr>
            <w:tcW w:w="3537" w:type="pct"/>
            <w:tcBorders>
              <w:tl2br w:val="nil"/>
              <w:tr2bl w:val="nil"/>
            </w:tcBorders>
            <w:noWrap w:val="0"/>
            <w:vAlign w:val="center"/>
          </w:tcPr>
          <w:p w14:paraId="282286AC">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cs="Times New Roman"/>
                <w:b w:val="0"/>
                <w:bCs/>
                <w:color w:val="auto"/>
                <w:sz w:val="21"/>
                <w:szCs w:val="21"/>
                <w:lang w:val="en-US" w:eastAsia="zh-CN" w:bidi="zh-CN"/>
              </w:rPr>
            </w:pPr>
            <w:r>
              <w:rPr>
                <w:rFonts w:hint="default" w:ascii="Times New Roman" w:hAnsi="Times New Roman" w:cs="Times New Roman"/>
                <w:b w:val="0"/>
                <w:bCs/>
                <w:color w:val="auto"/>
                <w:sz w:val="21"/>
                <w:szCs w:val="21"/>
                <w:lang w:val="en-US" w:eastAsia="zh-CN" w:bidi="zh-CN"/>
              </w:rPr>
              <w:t>钢框架结构，占地面积</w:t>
            </w:r>
            <w:r>
              <w:rPr>
                <w:rFonts w:hint="eastAsia" w:ascii="Times New Roman" w:hAnsi="Times New Roman" w:cs="Times New Roman"/>
                <w:b w:val="0"/>
                <w:bCs/>
                <w:sz w:val="21"/>
                <w:szCs w:val="21"/>
                <w:lang w:val="en-US" w:eastAsia="zh-CN"/>
              </w:rPr>
              <w:t>1750</w:t>
            </w:r>
            <w:r>
              <w:rPr>
                <w:rFonts w:hint="default" w:ascii="Times New Roman" w:hAnsi="Times New Roman" w:cs="Times New Roman"/>
                <w:b w:val="0"/>
                <w:bCs/>
                <w:sz w:val="21"/>
                <w:szCs w:val="21"/>
                <w:lang w:val="en-US" w:eastAsia="zh-CN"/>
              </w:rPr>
              <w:t>m</w:t>
            </w:r>
            <w:r>
              <w:rPr>
                <w:rFonts w:hint="default" w:ascii="Times New Roman" w:hAnsi="Times New Roman" w:cs="Times New Roman"/>
                <w:b w:val="0"/>
                <w:bCs/>
                <w:sz w:val="21"/>
                <w:szCs w:val="21"/>
                <w:vertAlign w:val="superscript"/>
                <w:lang w:val="en-US" w:eastAsia="zh-CN"/>
              </w:rPr>
              <w:t>2</w:t>
            </w:r>
            <w:r>
              <w:rPr>
                <w:rFonts w:hint="default" w:ascii="Times New Roman" w:hAnsi="Times New Roman" w:cs="Times New Roman"/>
                <w:b w:val="0"/>
                <w:bCs/>
                <w:sz w:val="21"/>
                <w:szCs w:val="21"/>
                <w:lang w:val="en-US" w:eastAsia="zh-CN"/>
              </w:rPr>
              <w:t>，</w:t>
            </w:r>
            <w:r>
              <w:rPr>
                <w:rFonts w:hint="default" w:ascii="Times New Roman" w:hAnsi="Times New Roman" w:cs="Times New Roman"/>
                <w:b w:val="0"/>
                <w:bCs/>
                <w:sz w:val="21"/>
                <w:szCs w:val="21"/>
                <w:highlight w:val="none"/>
                <w:lang w:val="en-US" w:eastAsia="zh-CN"/>
              </w:rPr>
              <w:t>高度</w:t>
            </w:r>
            <w:r>
              <w:rPr>
                <w:rFonts w:hint="eastAsia" w:ascii="Times New Roman" w:hAnsi="Times New Roman" w:cs="Times New Roman"/>
                <w:b w:val="0"/>
                <w:bCs/>
                <w:sz w:val="21"/>
                <w:szCs w:val="21"/>
                <w:highlight w:val="none"/>
                <w:lang w:val="en-US" w:eastAsia="zh-CN"/>
              </w:rPr>
              <w:t>21.1</w:t>
            </w:r>
            <w:r>
              <w:rPr>
                <w:rFonts w:hint="default" w:ascii="Times New Roman" w:hAnsi="Times New Roman" w:cs="Times New Roman"/>
                <w:b w:val="0"/>
                <w:bCs/>
                <w:sz w:val="21"/>
                <w:szCs w:val="21"/>
                <w:highlight w:val="none"/>
                <w:lang w:val="en-US" w:eastAsia="zh-CN"/>
              </w:rPr>
              <w:t>m；</w:t>
            </w:r>
            <w:r>
              <w:rPr>
                <w:rFonts w:hint="default" w:ascii="Times New Roman" w:hAnsi="Times New Roman" w:cs="Times New Roman"/>
                <w:b w:val="0"/>
                <w:bCs/>
                <w:sz w:val="21"/>
                <w:szCs w:val="21"/>
                <w:lang w:val="en-US" w:eastAsia="zh-CN"/>
              </w:rPr>
              <w:t>内部主要建设</w:t>
            </w:r>
            <w:r>
              <w:rPr>
                <w:rFonts w:hint="eastAsia" w:ascii="Times New Roman" w:hAnsi="Times New Roman" w:cs="Times New Roman"/>
                <w:b w:val="0"/>
                <w:bCs/>
                <w:sz w:val="21"/>
                <w:szCs w:val="21"/>
                <w:lang w:val="en-US" w:eastAsia="zh-CN"/>
              </w:rPr>
              <w:t>1条1万吨/年</w:t>
            </w:r>
            <w:r>
              <w:rPr>
                <w:rFonts w:hint="default" w:ascii="Times New Roman" w:hAnsi="Times New Roman" w:cs="Times New Roman"/>
                <w:b w:val="0"/>
                <w:bCs/>
                <w:sz w:val="21"/>
                <w:szCs w:val="21"/>
                <w:lang w:val="en-US" w:eastAsia="zh-CN"/>
              </w:rPr>
              <w:t>LCDN生产线，包含粗品处理、一级反应及精制、二级反应及精制等设备。</w:t>
            </w:r>
          </w:p>
        </w:tc>
        <w:tc>
          <w:tcPr>
            <w:tcW w:w="534" w:type="pct"/>
            <w:tcBorders>
              <w:tl2br w:val="nil"/>
              <w:tr2bl w:val="nil"/>
            </w:tcBorders>
            <w:noWrap w:val="0"/>
            <w:vAlign w:val="center"/>
          </w:tcPr>
          <w:p w14:paraId="41C6B837">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cs="Times New Roman"/>
                <w:b w:val="0"/>
                <w:bCs/>
                <w:color w:val="auto"/>
                <w:sz w:val="21"/>
                <w:szCs w:val="21"/>
                <w:lang w:val="en-US" w:eastAsia="zh-CN" w:bidi="zh-CN"/>
              </w:rPr>
              <w:t>新建</w:t>
            </w:r>
          </w:p>
        </w:tc>
      </w:tr>
      <w:tr w14:paraId="54B0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9" w:hRule="atLeast"/>
          <w:tblHeader/>
          <w:jc w:val="center"/>
        </w:trPr>
        <w:tc>
          <w:tcPr>
            <w:tcW w:w="227" w:type="pct"/>
            <w:vMerge w:val="continue"/>
            <w:tcBorders>
              <w:tl2br w:val="nil"/>
              <w:tr2bl w:val="nil"/>
            </w:tcBorders>
            <w:noWrap w:val="0"/>
            <w:vAlign w:val="center"/>
          </w:tcPr>
          <w:p w14:paraId="70E71BE8">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shd w:val="clear" w:color="auto" w:fill="auto"/>
            <w:noWrap w:val="0"/>
            <w:vAlign w:val="center"/>
          </w:tcPr>
          <w:p w14:paraId="0C4EA7A5">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bidi="zh-CN"/>
              </w:rPr>
              <w:t>室外设备区</w:t>
            </w:r>
          </w:p>
        </w:tc>
        <w:tc>
          <w:tcPr>
            <w:tcW w:w="3537" w:type="pct"/>
            <w:tcBorders>
              <w:tl2br w:val="nil"/>
              <w:tr2bl w:val="nil"/>
            </w:tcBorders>
            <w:shd w:val="clear" w:color="auto" w:fill="auto"/>
            <w:noWrap w:val="0"/>
            <w:vAlign w:val="center"/>
          </w:tcPr>
          <w:p w14:paraId="16106323">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default" w:ascii="Times New Roman" w:hAnsi="Times New Roman" w:cs="Times New Roman"/>
                <w:b w:val="0"/>
                <w:bCs/>
                <w:color w:val="auto"/>
                <w:sz w:val="21"/>
                <w:szCs w:val="21"/>
                <w:lang w:val="en-US" w:eastAsia="zh-CN" w:bidi="zh-CN"/>
              </w:rPr>
              <w:t>占地面积</w:t>
            </w:r>
            <w:r>
              <w:rPr>
                <w:rFonts w:hint="default" w:ascii="Times New Roman" w:hAnsi="Times New Roman" w:cs="Times New Roman"/>
                <w:b w:val="0"/>
                <w:bCs/>
                <w:sz w:val="21"/>
                <w:szCs w:val="21"/>
                <w:lang w:val="en-US" w:eastAsia="zh-CN"/>
              </w:rPr>
              <w:t>2435m</w:t>
            </w:r>
            <w:r>
              <w:rPr>
                <w:rFonts w:hint="default" w:ascii="Times New Roman" w:hAnsi="Times New Roman" w:cs="Times New Roman"/>
                <w:b w:val="0"/>
                <w:bCs/>
                <w:sz w:val="21"/>
                <w:szCs w:val="21"/>
                <w:vertAlign w:val="superscript"/>
                <w:lang w:val="en-US" w:eastAsia="zh-CN"/>
              </w:rPr>
              <w:t>2</w:t>
            </w:r>
            <w:r>
              <w:rPr>
                <w:rFonts w:hint="eastAsia" w:ascii="Times New Roman" w:hAnsi="Times New Roman" w:cs="Times New Roman"/>
                <w:b w:val="0"/>
                <w:bCs/>
                <w:sz w:val="21"/>
                <w:szCs w:val="21"/>
                <w:highlight w:val="none"/>
                <w:lang w:val="en-US" w:eastAsia="zh-CN"/>
              </w:rPr>
              <w:t>，</w:t>
            </w:r>
            <w:r>
              <w:rPr>
                <w:rFonts w:hint="default" w:ascii="Times New Roman" w:hAnsi="Times New Roman" w:cs="Times New Roman"/>
                <w:b w:val="0"/>
                <w:bCs/>
                <w:sz w:val="21"/>
                <w:szCs w:val="21"/>
                <w:lang w:val="en-US" w:eastAsia="zh-CN"/>
              </w:rPr>
              <w:t>主要建设生产过程中用到的中间品罐、缓冲罐</w:t>
            </w:r>
            <w:r>
              <w:rPr>
                <w:rFonts w:hint="eastAsia" w:ascii="Times New Roman" w:hAnsi="Times New Roman" w:cs="Times New Roman"/>
                <w:b w:val="0"/>
                <w:bCs/>
                <w:sz w:val="21"/>
                <w:szCs w:val="21"/>
                <w:lang w:val="en-US" w:eastAsia="zh-CN"/>
              </w:rPr>
              <w:t>、副产品罐</w:t>
            </w:r>
            <w:r>
              <w:rPr>
                <w:rFonts w:hint="default" w:ascii="Times New Roman" w:hAnsi="Times New Roman" w:cs="Times New Roman"/>
                <w:b w:val="0"/>
                <w:bCs/>
                <w:sz w:val="21"/>
                <w:szCs w:val="21"/>
                <w:lang w:val="en-US" w:eastAsia="zh-CN"/>
              </w:rPr>
              <w:t>等储罐。</w:t>
            </w:r>
          </w:p>
        </w:tc>
        <w:tc>
          <w:tcPr>
            <w:tcW w:w="534" w:type="pct"/>
            <w:tcBorders>
              <w:tl2br w:val="nil"/>
              <w:tr2bl w:val="nil"/>
            </w:tcBorders>
            <w:shd w:val="clear" w:color="auto" w:fill="auto"/>
            <w:noWrap w:val="0"/>
            <w:vAlign w:val="center"/>
          </w:tcPr>
          <w:p w14:paraId="3B5E622D">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default" w:ascii="Times New Roman" w:hAnsi="Times New Roman" w:eastAsia="宋体" w:cs="Times New Roman"/>
                <w:b w:val="0"/>
                <w:bCs/>
                <w:color w:val="auto"/>
                <w:sz w:val="21"/>
                <w:szCs w:val="21"/>
                <w:lang w:val="en-US" w:eastAsia="zh-CN" w:bidi="zh-CN"/>
              </w:rPr>
              <w:t>新建</w:t>
            </w:r>
          </w:p>
        </w:tc>
      </w:tr>
      <w:tr w14:paraId="2809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76" w:hRule="atLeast"/>
          <w:tblHeader/>
          <w:jc w:val="center"/>
        </w:trPr>
        <w:tc>
          <w:tcPr>
            <w:tcW w:w="227" w:type="pct"/>
            <w:vMerge w:val="continue"/>
            <w:tcBorders>
              <w:tl2br w:val="nil"/>
              <w:tr2bl w:val="nil"/>
            </w:tcBorders>
            <w:noWrap w:val="0"/>
            <w:vAlign w:val="center"/>
          </w:tcPr>
          <w:p w14:paraId="24E68F0E">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noWrap w:val="0"/>
            <w:vAlign w:val="center"/>
          </w:tcPr>
          <w:p w14:paraId="0A94EBFA">
            <w:pPr>
              <w:keepNext w:val="0"/>
              <w:keepLines w:val="0"/>
              <w:pageBreakBefore w:val="0"/>
              <w:widowControl/>
              <w:tabs>
                <w:tab w:val="left" w:pos="420"/>
              </w:tabs>
              <w:kinsoku/>
              <w:wordWrap/>
              <w:overflowPunct/>
              <w:topLinePunct w:val="0"/>
              <w:autoSpaceDE/>
              <w:autoSpaceDN/>
              <w:bidi w:val="0"/>
              <w:adjustRightInd w:val="0"/>
              <w:snapToGrid/>
              <w:spacing w:beforeAutospacing="0" w:afterAutospacing="0" w:line="240" w:lineRule="exact"/>
              <w:ind w:right="0" w:firstLine="0" w:firstLineChars="0"/>
              <w:jc w:val="center"/>
              <w:textAlignment w:val="auto"/>
              <w:outlineLvl w:val="9"/>
              <w:rPr>
                <w:rFonts w:hint="default" w:ascii="Times New Roman" w:hAnsi="Times New Roman" w:eastAsia="宋体" w:cs="Times New Roman"/>
                <w:b w:val="0"/>
                <w:bCs/>
                <w:color w:val="000000"/>
                <w:kern w:val="0"/>
                <w:sz w:val="21"/>
                <w:szCs w:val="21"/>
                <w:highlight w:val="none"/>
                <w:lang w:val="en-US" w:eastAsia="zh-CN"/>
              </w:rPr>
            </w:pPr>
            <w:r>
              <w:rPr>
                <w:rFonts w:hint="default" w:ascii="Times New Roman" w:hAnsi="Times New Roman" w:cs="Times New Roman"/>
                <w:b w:val="0"/>
                <w:bCs/>
                <w:color w:val="000000"/>
                <w:kern w:val="0"/>
                <w:sz w:val="21"/>
                <w:szCs w:val="21"/>
                <w:highlight w:val="none"/>
                <w:lang w:val="en-US" w:eastAsia="zh-CN"/>
              </w:rPr>
              <w:t>甲醇制氢装置区</w:t>
            </w:r>
          </w:p>
        </w:tc>
        <w:tc>
          <w:tcPr>
            <w:tcW w:w="3537" w:type="pct"/>
            <w:tcBorders>
              <w:tl2br w:val="nil"/>
              <w:tr2bl w:val="nil"/>
            </w:tcBorders>
            <w:noWrap w:val="0"/>
            <w:vAlign w:val="center"/>
          </w:tcPr>
          <w:p w14:paraId="5C9B9800">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vertAlign w:val="baseline"/>
                <w:lang w:val="en-US" w:eastAsia="zh-CN" w:bidi="zh-CN"/>
              </w:rPr>
            </w:pPr>
            <w:r>
              <w:rPr>
                <w:rFonts w:hint="default" w:ascii="Times New Roman" w:hAnsi="Times New Roman" w:cs="Times New Roman"/>
                <w:b w:val="0"/>
                <w:bCs/>
                <w:color w:val="auto"/>
                <w:sz w:val="21"/>
                <w:szCs w:val="21"/>
                <w:highlight w:val="none"/>
                <w:lang w:val="en-US" w:eastAsia="zh-CN" w:bidi="zh-CN"/>
              </w:rPr>
              <w:t>钢框架结构，</w:t>
            </w:r>
            <w:r>
              <w:rPr>
                <w:rFonts w:hint="default" w:ascii="Times New Roman" w:hAnsi="Times New Roman" w:cs="Times New Roman"/>
                <w:b w:val="0"/>
                <w:bCs/>
                <w:color w:val="auto"/>
                <w:sz w:val="21"/>
                <w:szCs w:val="21"/>
                <w:lang w:val="en-US" w:eastAsia="zh-CN" w:bidi="zh-CN"/>
              </w:rPr>
              <w:t>占地面积</w:t>
            </w:r>
            <w:r>
              <w:rPr>
                <w:rFonts w:hint="default" w:ascii="Times New Roman" w:hAnsi="Times New Roman" w:cs="Times New Roman"/>
                <w:b w:val="0"/>
                <w:bCs/>
                <w:sz w:val="21"/>
                <w:szCs w:val="21"/>
                <w:lang w:val="en-US" w:eastAsia="zh-CN"/>
              </w:rPr>
              <w:t>456m</w:t>
            </w:r>
            <w:r>
              <w:rPr>
                <w:rFonts w:hint="default" w:ascii="Times New Roman" w:hAnsi="Times New Roman" w:cs="Times New Roman"/>
                <w:b w:val="0"/>
                <w:bCs/>
                <w:sz w:val="21"/>
                <w:szCs w:val="21"/>
                <w:vertAlign w:val="superscript"/>
                <w:lang w:val="en-US" w:eastAsia="zh-CN"/>
              </w:rPr>
              <w:t>2</w:t>
            </w:r>
            <w:r>
              <w:rPr>
                <w:rFonts w:hint="eastAsia" w:ascii="Times New Roman" w:hAnsi="Times New Roman" w:cs="Times New Roman"/>
                <w:b w:val="0"/>
                <w:bCs/>
                <w:sz w:val="21"/>
                <w:szCs w:val="21"/>
                <w:highlight w:val="none"/>
                <w:lang w:val="en-US" w:eastAsia="zh-CN"/>
              </w:rPr>
              <w:t>，</w:t>
            </w:r>
            <w:r>
              <w:rPr>
                <w:rFonts w:hint="default" w:ascii="Times New Roman" w:hAnsi="Times New Roman" w:cs="Times New Roman"/>
                <w:b w:val="0"/>
                <w:bCs/>
                <w:sz w:val="21"/>
                <w:szCs w:val="21"/>
                <w:lang w:val="en-US" w:eastAsia="zh-CN"/>
              </w:rPr>
              <w:t>主要建设</w:t>
            </w:r>
            <w:r>
              <w:rPr>
                <w:rFonts w:hint="eastAsia" w:ascii="Times New Roman" w:hAnsi="Times New Roman" w:cs="Times New Roman"/>
                <w:b w:val="0"/>
                <w:bCs/>
                <w:sz w:val="21"/>
                <w:szCs w:val="21"/>
                <w:lang w:val="en-US" w:eastAsia="zh-CN"/>
              </w:rPr>
              <w:t>2套</w:t>
            </w:r>
            <w:r>
              <w:rPr>
                <w:rFonts w:hint="default" w:ascii="Times New Roman" w:hAnsi="Times New Roman" w:cs="Times New Roman"/>
                <w:b w:val="0"/>
                <w:bCs/>
                <w:sz w:val="21"/>
                <w:szCs w:val="21"/>
                <w:lang w:val="en-US" w:eastAsia="zh-CN"/>
              </w:rPr>
              <w:t>甲醇制氢主装置，包含甲醇裂解制氢单元、变压吸附单元。</w:t>
            </w:r>
          </w:p>
        </w:tc>
        <w:tc>
          <w:tcPr>
            <w:tcW w:w="534" w:type="pct"/>
            <w:tcBorders>
              <w:tl2br w:val="nil"/>
              <w:tr2bl w:val="nil"/>
            </w:tcBorders>
            <w:noWrap w:val="0"/>
            <w:vAlign w:val="center"/>
          </w:tcPr>
          <w:p w14:paraId="7E100ADA">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en-US" w:eastAsia="zh-CN" w:bidi="zh-CN"/>
              </w:rPr>
              <w:t>新建</w:t>
            </w:r>
          </w:p>
        </w:tc>
      </w:tr>
      <w:tr w14:paraId="4D6E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73" w:hRule="atLeast"/>
          <w:tblHeader/>
          <w:jc w:val="center"/>
        </w:trPr>
        <w:tc>
          <w:tcPr>
            <w:tcW w:w="227" w:type="pct"/>
            <w:vMerge w:val="continue"/>
            <w:tcBorders>
              <w:tl2br w:val="nil"/>
              <w:tr2bl w:val="nil"/>
            </w:tcBorders>
            <w:noWrap w:val="0"/>
            <w:vAlign w:val="center"/>
          </w:tcPr>
          <w:p w14:paraId="5D12C633">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noWrap w:val="0"/>
            <w:vAlign w:val="center"/>
          </w:tcPr>
          <w:p w14:paraId="59FA10BE">
            <w:pPr>
              <w:keepNext w:val="0"/>
              <w:keepLines w:val="0"/>
              <w:pageBreakBefore w:val="0"/>
              <w:widowControl/>
              <w:tabs>
                <w:tab w:val="left" w:pos="420"/>
              </w:tabs>
              <w:kinsoku/>
              <w:wordWrap/>
              <w:overflowPunct/>
              <w:topLinePunct w:val="0"/>
              <w:autoSpaceDE/>
              <w:autoSpaceDN/>
              <w:bidi w:val="0"/>
              <w:adjustRightInd w:val="0"/>
              <w:snapToGrid/>
              <w:spacing w:beforeAutospacing="0" w:afterAutospacing="0" w:line="240" w:lineRule="exact"/>
              <w:ind w:right="0" w:firstLine="0" w:firstLineChars="0"/>
              <w:jc w:val="center"/>
              <w:textAlignment w:val="auto"/>
              <w:outlineLvl w:val="9"/>
              <w:rPr>
                <w:rFonts w:hint="default" w:ascii="Times New Roman" w:hAnsi="Times New Roman" w:cs="Times New Roman"/>
                <w:b w:val="0"/>
                <w:bCs/>
                <w:color w:val="000000"/>
                <w:kern w:val="0"/>
                <w:sz w:val="21"/>
                <w:szCs w:val="21"/>
                <w:highlight w:val="none"/>
                <w:lang w:val="en-US" w:eastAsia="zh-CN"/>
              </w:rPr>
            </w:pPr>
            <w:r>
              <w:rPr>
                <w:rFonts w:hint="default" w:ascii="Times New Roman" w:hAnsi="Times New Roman" w:cs="Times New Roman"/>
                <w:b w:val="0"/>
                <w:bCs/>
                <w:color w:val="000000"/>
                <w:kern w:val="0"/>
                <w:sz w:val="21"/>
                <w:szCs w:val="21"/>
                <w:highlight w:val="none"/>
                <w:lang w:val="en-US" w:eastAsia="zh-CN"/>
              </w:rPr>
              <w:t>甲醇制氢压缩机房</w:t>
            </w:r>
          </w:p>
        </w:tc>
        <w:tc>
          <w:tcPr>
            <w:tcW w:w="3537" w:type="pct"/>
            <w:tcBorders>
              <w:tl2br w:val="nil"/>
              <w:tr2bl w:val="nil"/>
            </w:tcBorders>
            <w:noWrap w:val="0"/>
            <w:vAlign w:val="center"/>
          </w:tcPr>
          <w:p w14:paraId="6064D266">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cs="Times New Roman"/>
                <w:b w:val="0"/>
                <w:bCs/>
                <w:color w:val="auto"/>
                <w:sz w:val="21"/>
                <w:szCs w:val="21"/>
                <w:highlight w:val="yellow"/>
                <w:lang w:val="en-US" w:eastAsia="zh-CN" w:bidi="zh-CN"/>
              </w:rPr>
            </w:pPr>
            <w:r>
              <w:rPr>
                <w:rFonts w:hint="default" w:ascii="Times New Roman" w:hAnsi="Times New Roman" w:cs="Times New Roman"/>
                <w:b w:val="0"/>
                <w:bCs/>
                <w:color w:val="auto"/>
                <w:sz w:val="21"/>
                <w:szCs w:val="21"/>
                <w:highlight w:val="none"/>
                <w:lang w:val="en-US" w:eastAsia="zh-CN" w:bidi="zh-CN"/>
              </w:rPr>
              <w:t>门式钢架结构，占地面积</w:t>
            </w:r>
            <w:r>
              <w:rPr>
                <w:rFonts w:hint="default" w:ascii="Times New Roman" w:hAnsi="Times New Roman" w:cs="Times New Roman"/>
                <w:b w:val="0"/>
                <w:bCs/>
                <w:sz w:val="21"/>
                <w:szCs w:val="21"/>
                <w:highlight w:val="none"/>
                <w:lang w:val="en-US" w:eastAsia="zh-CN"/>
              </w:rPr>
              <w:t>534.36m</w:t>
            </w:r>
            <w:r>
              <w:rPr>
                <w:rFonts w:hint="default" w:ascii="Times New Roman" w:hAnsi="Times New Roman" w:cs="Times New Roman"/>
                <w:b w:val="0"/>
                <w:bCs/>
                <w:sz w:val="21"/>
                <w:szCs w:val="21"/>
                <w:highlight w:val="none"/>
                <w:vertAlign w:val="superscript"/>
                <w:lang w:val="en-US" w:eastAsia="zh-CN"/>
              </w:rPr>
              <w:t>2</w:t>
            </w:r>
            <w:r>
              <w:rPr>
                <w:rFonts w:hint="default" w:ascii="Times New Roman" w:hAnsi="Times New Roman" w:cs="Times New Roman"/>
                <w:b w:val="0"/>
                <w:bCs/>
                <w:sz w:val="21"/>
                <w:szCs w:val="21"/>
                <w:highlight w:val="none"/>
                <w:lang w:val="en-US" w:eastAsia="zh-CN"/>
              </w:rPr>
              <w:t>，高度</w:t>
            </w:r>
            <w:r>
              <w:rPr>
                <w:rFonts w:hint="eastAsia" w:ascii="Times New Roman" w:hAnsi="Times New Roman" w:cs="Times New Roman"/>
                <w:b w:val="0"/>
                <w:bCs/>
                <w:sz w:val="21"/>
                <w:szCs w:val="21"/>
                <w:highlight w:val="none"/>
                <w:lang w:val="en-US" w:eastAsia="zh-CN"/>
              </w:rPr>
              <w:t>10.9</w:t>
            </w:r>
            <w:r>
              <w:rPr>
                <w:rFonts w:hint="default" w:ascii="Times New Roman" w:hAnsi="Times New Roman" w:cs="Times New Roman"/>
                <w:b w:val="0"/>
                <w:bCs/>
                <w:sz w:val="21"/>
                <w:szCs w:val="21"/>
                <w:highlight w:val="none"/>
                <w:lang w:val="en-US" w:eastAsia="zh-CN"/>
              </w:rPr>
              <w:t>m；主要建设氢气压缩机。</w:t>
            </w:r>
          </w:p>
        </w:tc>
        <w:tc>
          <w:tcPr>
            <w:tcW w:w="534" w:type="pct"/>
            <w:tcBorders>
              <w:tl2br w:val="nil"/>
              <w:tr2bl w:val="nil"/>
            </w:tcBorders>
            <w:noWrap w:val="0"/>
            <w:vAlign w:val="center"/>
          </w:tcPr>
          <w:p w14:paraId="594F90BD">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default" w:ascii="Times New Roman" w:hAnsi="Times New Roman" w:eastAsia="宋体" w:cs="Times New Roman"/>
                <w:b w:val="0"/>
                <w:bCs/>
                <w:color w:val="auto"/>
                <w:sz w:val="21"/>
                <w:szCs w:val="21"/>
                <w:lang w:val="en-US" w:eastAsia="zh-CN" w:bidi="zh-CN"/>
              </w:rPr>
              <w:t>新建</w:t>
            </w:r>
          </w:p>
        </w:tc>
      </w:tr>
      <w:tr w14:paraId="6E77E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031" w:hRule="atLeast"/>
          <w:tblHeader/>
          <w:jc w:val="center"/>
        </w:trPr>
        <w:tc>
          <w:tcPr>
            <w:tcW w:w="227" w:type="pct"/>
            <w:vMerge w:val="restart"/>
            <w:tcBorders>
              <w:tl2br w:val="nil"/>
              <w:tr2bl w:val="nil"/>
            </w:tcBorders>
            <w:noWrap w:val="0"/>
            <w:vAlign w:val="center"/>
          </w:tcPr>
          <w:p w14:paraId="7F4B5ADE">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储运工程</w:t>
            </w:r>
          </w:p>
        </w:tc>
        <w:tc>
          <w:tcPr>
            <w:tcW w:w="700" w:type="pct"/>
            <w:gridSpan w:val="2"/>
            <w:tcBorders>
              <w:tl2br w:val="nil"/>
              <w:tr2bl w:val="nil"/>
            </w:tcBorders>
            <w:noWrap w:val="0"/>
            <w:vAlign w:val="center"/>
          </w:tcPr>
          <w:p w14:paraId="6C86C2A7">
            <w:pPr>
              <w:keepNext w:val="0"/>
              <w:keepLines w:val="0"/>
              <w:pageBreakBefore w:val="0"/>
              <w:widowControl/>
              <w:tabs>
                <w:tab w:val="left" w:pos="420"/>
              </w:tabs>
              <w:kinsoku/>
              <w:wordWrap/>
              <w:overflowPunct/>
              <w:topLinePunct w:val="0"/>
              <w:autoSpaceDE/>
              <w:autoSpaceDN/>
              <w:bidi w:val="0"/>
              <w:adjustRightInd w:val="0"/>
              <w:snapToGrid/>
              <w:spacing w:beforeAutospacing="0" w:afterAutospacing="0" w:line="240" w:lineRule="exact"/>
              <w:ind w:right="0" w:firstLine="0" w:firstLineChars="0"/>
              <w:jc w:val="center"/>
              <w:textAlignment w:val="auto"/>
              <w:outlineLvl w:val="9"/>
              <w:rPr>
                <w:rFonts w:hint="default" w:ascii="Times New Roman" w:hAnsi="Times New Roman" w:eastAsia="宋体" w:cs="Times New Roman"/>
                <w:b w:val="0"/>
                <w:bCs/>
                <w:color w:val="000000"/>
                <w:kern w:val="0"/>
                <w:sz w:val="21"/>
                <w:szCs w:val="21"/>
                <w:lang w:val="en-US" w:eastAsia="zh-CN"/>
              </w:rPr>
            </w:pPr>
            <w:r>
              <w:rPr>
                <w:rFonts w:hint="default" w:ascii="Times New Roman" w:hAnsi="Times New Roman" w:cs="Times New Roman"/>
                <w:b w:val="0"/>
                <w:bCs/>
                <w:color w:val="000000"/>
                <w:kern w:val="0"/>
                <w:sz w:val="21"/>
                <w:szCs w:val="21"/>
                <w:lang w:val="en-US" w:eastAsia="zh-CN"/>
              </w:rPr>
              <w:t>原料及成品罐区</w:t>
            </w:r>
          </w:p>
        </w:tc>
        <w:tc>
          <w:tcPr>
            <w:tcW w:w="3537" w:type="pct"/>
            <w:tcBorders>
              <w:tl2br w:val="nil"/>
              <w:tr2bl w:val="nil"/>
            </w:tcBorders>
            <w:noWrap w:val="0"/>
            <w:vAlign w:val="center"/>
          </w:tcPr>
          <w:p w14:paraId="4D541915">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default" w:ascii="Times New Roman" w:hAnsi="Times New Roman" w:cs="Times New Roman"/>
                <w:b w:val="0"/>
                <w:bCs/>
                <w:color w:val="auto"/>
                <w:sz w:val="21"/>
                <w:szCs w:val="21"/>
                <w:highlight w:val="none"/>
                <w:lang w:val="en-US" w:eastAsia="zh-CN" w:bidi="zh-CN"/>
              </w:rPr>
              <w:t>混凝土环墙基础，占地面积</w:t>
            </w:r>
            <w:r>
              <w:rPr>
                <w:rFonts w:hint="default" w:ascii="Times New Roman" w:hAnsi="Times New Roman" w:cs="Times New Roman"/>
                <w:b w:val="0"/>
                <w:bCs/>
                <w:sz w:val="21"/>
                <w:szCs w:val="21"/>
              </w:rPr>
              <w:t>934.26</w:t>
            </w:r>
            <w:r>
              <w:rPr>
                <w:rFonts w:hint="default" w:ascii="Times New Roman" w:hAnsi="Times New Roman" w:cs="Times New Roman"/>
                <w:b w:val="0"/>
                <w:bCs/>
                <w:sz w:val="21"/>
                <w:szCs w:val="21"/>
                <w:lang w:val="en-US" w:eastAsia="zh-CN"/>
              </w:rPr>
              <w:t>m</w:t>
            </w:r>
            <w:r>
              <w:rPr>
                <w:rFonts w:hint="default" w:ascii="Times New Roman" w:hAnsi="Times New Roman" w:cs="Times New Roman"/>
                <w:b w:val="0"/>
                <w:bCs/>
                <w:sz w:val="21"/>
                <w:szCs w:val="21"/>
                <w:vertAlign w:val="superscript"/>
                <w:lang w:val="en-US" w:eastAsia="zh-CN"/>
              </w:rPr>
              <w:t>2</w:t>
            </w:r>
            <w:r>
              <w:rPr>
                <w:rFonts w:hint="default" w:ascii="Times New Roman" w:hAnsi="Times New Roman" w:cs="Times New Roman"/>
                <w:b w:val="0"/>
                <w:bCs/>
                <w:sz w:val="21"/>
                <w:szCs w:val="21"/>
                <w:lang w:val="en-US" w:eastAsia="zh-CN"/>
              </w:rPr>
              <w:t>，主要建设6座储罐，分别为甲醇储罐1座（内浮顶，300m</w:t>
            </w:r>
            <w:r>
              <w:rPr>
                <w:rFonts w:hint="default" w:ascii="Times New Roman" w:hAnsi="Times New Roman" w:cs="Times New Roman"/>
                <w:b w:val="0"/>
                <w:bCs/>
                <w:sz w:val="21"/>
                <w:szCs w:val="21"/>
                <w:vertAlign w:val="superscript"/>
                <w:lang w:val="en-US" w:eastAsia="zh-CN"/>
              </w:rPr>
              <w:t>3</w:t>
            </w:r>
            <w:r>
              <w:rPr>
                <w:rFonts w:hint="default" w:ascii="Times New Roman" w:hAnsi="Times New Roman" w:cs="Times New Roman"/>
                <w:b w:val="0"/>
                <w:bCs/>
                <w:sz w:val="21"/>
                <w:szCs w:val="21"/>
                <w:lang w:val="en-US" w:eastAsia="zh-CN"/>
              </w:rPr>
              <w:t>）、乙醇储罐1座（固定顶，</w:t>
            </w:r>
            <w:r>
              <w:rPr>
                <w:rFonts w:hint="eastAsia" w:ascii="Times New Roman" w:hAnsi="Times New Roman" w:cs="Times New Roman"/>
                <w:b w:val="0"/>
                <w:bCs/>
                <w:sz w:val="21"/>
                <w:szCs w:val="21"/>
                <w:lang w:val="en-US" w:eastAsia="zh-CN"/>
              </w:rPr>
              <w:t>8</w:t>
            </w:r>
            <w:r>
              <w:rPr>
                <w:rFonts w:hint="default" w:ascii="Times New Roman" w:hAnsi="Times New Roman" w:cs="Times New Roman"/>
                <w:b w:val="0"/>
                <w:bCs/>
                <w:sz w:val="21"/>
                <w:szCs w:val="21"/>
                <w:lang w:val="en-US" w:eastAsia="zh-CN"/>
              </w:rPr>
              <w:t>0m</w:t>
            </w:r>
            <w:r>
              <w:rPr>
                <w:rFonts w:hint="default" w:ascii="Times New Roman" w:hAnsi="Times New Roman" w:cs="Times New Roman"/>
                <w:b w:val="0"/>
                <w:bCs/>
                <w:sz w:val="21"/>
                <w:szCs w:val="21"/>
                <w:vertAlign w:val="superscript"/>
                <w:lang w:val="en-US" w:eastAsia="zh-CN"/>
              </w:rPr>
              <w:t>3</w:t>
            </w:r>
            <w:r>
              <w:rPr>
                <w:rFonts w:hint="default" w:ascii="Times New Roman" w:hAnsi="Times New Roman" w:cs="Times New Roman"/>
                <w:b w:val="0"/>
                <w:bCs/>
                <w:sz w:val="21"/>
                <w:szCs w:val="21"/>
                <w:lang w:val="en-US" w:eastAsia="zh-CN"/>
              </w:rPr>
              <w:t>）、氢氧化钾溶液储罐1座（固定顶，40m</w:t>
            </w:r>
            <w:r>
              <w:rPr>
                <w:rFonts w:hint="default" w:ascii="Times New Roman" w:hAnsi="Times New Roman" w:cs="Times New Roman"/>
                <w:b w:val="0"/>
                <w:bCs/>
                <w:sz w:val="21"/>
                <w:szCs w:val="21"/>
                <w:vertAlign w:val="superscript"/>
                <w:lang w:val="en-US" w:eastAsia="zh-CN"/>
              </w:rPr>
              <w:t>3</w:t>
            </w:r>
            <w:r>
              <w:rPr>
                <w:rFonts w:hint="default" w:ascii="Times New Roman" w:hAnsi="Times New Roman" w:cs="Times New Roman"/>
                <w:b w:val="0"/>
                <w:bCs/>
                <w:sz w:val="21"/>
                <w:szCs w:val="21"/>
                <w:lang w:val="en-US" w:eastAsia="zh-CN"/>
              </w:rPr>
              <w:t>）、</w:t>
            </w:r>
            <w:r>
              <w:rPr>
                <w:rFonts w:hint="eastAsia" w:ascii="Times New Roman" w:hAnsi="Times New Roman" w:cs="Times New Roman"/>
                <w:b w:val="0"/>
                <w:bCs/>
                <w:sz w:val="21"/>
                <w:szCs w:val="21"/>
                <w:lang w:val="en-US" w:eastAsia="zh-CN"/>
              </w:rPr>
              <w:t>液态</w:t>
            </w:r>
            <w:r>
              <w:rPr>
                <w:rFonts w:hint="default" w:ascii="Times New Roman" w:hAnsi="Times New Roman" w:cs="Times New Roman"/>
                <w:b w:val="0"/>
                <w:bCs/>
                <w:sz w:val="21"/>
                <w:szCs w:val="21"/>
                <w:lang w:val="en-US" w:eastAsia="zh-CN"/>
              </w:rPr>
              <w:t>LCDN产品储罐3座</w:t>
            </w:r>
            <w:r>
              <w:rPr>
                <w:rFonts w:hint="default" w:ascii="Times New Roman" w:hAnsi="Times New Roman" w:cs="Times New Roman"/>
                <w:b w:val="0"/>
                <w:bCs/>
                <w:sz w:val="21"/>
                <w:szCs w:val="21"/>
                <w:highlight w:val="none"/>
                <w:lang w:val="en-US" w:eastAsia="zh-CN"/>
              </w:rPr>
              <w:t>（固定顶，</w:t>
            </w:r>
            <w:r>
              <w:rPr>
                <w:rFonts w:hint="eastAsia" w:ascii="Times New Roman" w:hAnsi="Times New Roman" w:cs="Times New Roman"/>
                <w:b w:val="0"/>
                <w:bCs/>
                <w:sz w:val="21"/>
                <w:szCs w:val="21"/>
                <w:highlight w:val="none"/>
                <w:lang w:val="en-US" w:eastAsia="zh-CN"/>
              </w:rPr>
              <w:t>压力罐，</w:t>
            </w:r>
            <w:r>
              <w:rPr>
                <w:rFonts w:hint="default" w:ascii="Times New Roman" w:hAnsi="Times New Roman" w:cs="Times New Roman"/>
                <w:b w:val="0"/>
                <w:bCs/>
                <w:sz w:val="21"/>
                <w:szCs w:val="21"/>
                <w:highlight w:val="none"/>
                <w:lang w:val="en-US" w:eastAsia="zh-CN"/>
              </w:rPr>
              <w:t>每座</w:t>
            </w:r>
            <w:r>
              <w:rPr>
                <w:rFonts w:hint="eastAsia" w:ascii="Times New Roman" w:hAnsi="Times New Roman" w:cs="Times New Roman"/>
                <w:b w:val="0"/>
                <w:bCs/>
                <w:sz w:val="21"/>
                <w:szCs w:val="21"/>
                <w:highlight w:val="none"/>
                <w:lang w:val="en-US" w:eastAsia="zh-CN"/>
              </w:rPr>
              <w:t>20</w:t>
            </w:r>
            <w:r>
              <w:rPr>
                <w:rFonts w:hint="default" w:ascii="Times New Roman" w:hAnsi="Times New Roman" w:cs="Times New Roman"/>
                <w:b w:val="0"/>
                <w:bCs/>
                <w:sz w:val="21"/>
                <w:szCs w:val="21"/>
                <w:highlight w:val="none"/>
                <w:lang w:val="en-US" w:eastAsia="zh-CN"/>
              </w:rPr>
              <w:t>0m</w:t>
            </w:r>
            <w:r>
              <w:rPr>
                <w:rFonts w:hint="default" w:ascii="Times New Roman" w:hAnsi="Times New Roman" w:cs="Times New Roman"/>
                <w:b w:val="0"/>
                <w:bCs/>
                <w:sz w:val="21"/>
                <w:szCs w:val="21"/>
                <w:highlight w:val="none"/>
                <w:vertAlign w:val="superscript"/>
                <w:lang w:val="en-US" w:eastAsia="zh-CN"/>
              </w:rPr>
              <w:t>3</w:t>
            </w:r>
            <w:r>
              <w:rPr>
                <w:rFonts w:hint="default" w:ascii="Times New Roman" w:hAnsi="Times New Roman" w:cs="Times New Roman"/>
                <w:b w:val="0"/>
                <w:bCs/>
                <w:sz w:val="21"/>
                <w:szCs w:val="21"/>
                <w:highlight w:val="none"/>
                <w:lang w:val="en-US" w:eastAsia="zh-CN"/>
              </w:rPr>
              <w:t>）</w:t>
            </w:r>
          </w:p>
        </w:tc>
        <w:tc>
          <w:tcPr>
            <w:tcW w:w="534" w:type="pct"/>
            <w:tcBorders>
              <w:tl2br w:val="nil"/>
              <w:tr2bl w:val="nil"/>
            </w:tcBorders>
            <w:noWrap w:val="0"/>
            <w:vAlign w:val="center"/>
          </w:tcPr>
          <w:p w14:paraId="68C28056">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en-US" w:eastAsia="zh-CN" w:bidi="zh-CN"/>
              </w:rPr>
              <w:t>新建</w:t>
            </w:r>
          </w:p>
        </w:tc>
      </w:tr>
      <w:tr w14:paraId="1791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7" w:hRule="atLeast"/>
          <w:tblHeader/>
          <w:jc w:val="center"/>
        </w:trPr>
        <w:tc>
          <w:tcPr>
            <w:tcW w:w="227" w:type="pct"/>
            <w:vMerge w:val="continue"/>
            <w:tcBorders>
              <w:tl2br w:val="nil"/>
              <w:tr2bl w:val="nil"/>
            </w:tcBorders>
            <w:noWrap w:val="0"/>
            <w:vAlign w:val="center"/>
          </w:tcPr>
          <w:p w14:paraId="46B9EBD8">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shd w:val="clear" w:color="auto" w:fill="auto"/>
            <w:noWrap w:val="0"/>
            <w:vAlign w:val="center"/>
          </w:tcPr>
          <w:p w14:paraId="681FF6E5">
            <w:pPr>
              <w:keepNext w:val="0"/>
              <w:keepLines w:val="0"/>
              <w:pageBreakBefore w:val="0"/>
              <w:widowControl/>
              <w:tabs>
                <w:tab w:val="left" w:pos="420"/>
              </w:tabs>
              <w:kinsoku/>
              <w:wordWrap/>
              <w:overflowPunct/>
              <w:topLinePunct w:val="0"/>
              <w:autoSpaceDE/>
              <w:autoSpaceDN/>
              <w:bidi w:val="0"/>
              <w:adjustRightInd w:val="0"/>
              <w:snapToGrid/>
              <w:spacing w:beforeAutospacing="0" w:afterAutospacing="0" w:line="240" w:lineRule="exact"/>
              <w:ind w:right="0" w:firstLine="0" w:firstLineChars="0"/>
              <w:jc w:val="center"/>
              <w:textAlignment w:val="auto"/>
              <w:outlineLvl w:val="9"/>
              <w:rPr>
                <w:rFonts w:hint="default" w:ascii="Times New Roman" w:hAnsi="Times New Roman" w:eastAsia="宋体" w:cs="Times New Roman"/>
                <w:b w:val="0"/>
                <w:bCs/>
                <w:color w:val="000000"/>
                <w:kern w:val="0"/>
                <w:sz w:val="21"/>
                <w:szCs w:val="21"/>
                <w:highlight w:val="yellow"/>
                <w:lang w:val="en-US" w:eastAsia="zh-CN" w:bidi="ar-SA"/>
              </w:rPr>
            </w:pPr>
            <w:r>
              <w:rPr>
                <w:rFonts w:hint="default" w:ascii="Times New Roman" w:hAnsi="Times New Roman" w:cs="Times New Roman"/>
                <w:b w:val="0"/>
                <w:bCs/>
                <w:color w:val="000000"/>
                <w:kern w:val="0"/>
                <w:sz w:val="21"/>
                <w:szCs w:val="21"/>
                <w:highlight w:val="none"/>
                <w:lang w:val="en-US" w:eastAsia="zh-CN"/>
              </w:rPr>
              <w:t>罐区泵区</w:t>
            </w:r>
          </w:p>
        </w:tc>
        <w:tc>
          <w:tcPr>
            <w:tcW w:w="3537" w:type="pct"/>
            <w:tcBorders>
              <w:tl2br w:val="nil"/>
              <w:tr2bl w:val="nil"/>
            </w:tcBorders>
            <w:shd w:val="clear" w:color="auto" w:fill="auto"/>
            <w:noWrap w:val="0"/>
            <w:vAlign w:val="center"/>
          </w:tcPr>
          <w:p w14:paraId="0E7C3FBF">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yellow"/>
                <w:lang w:val="en-US" w:eastAsia="zh-CN" w:bidi="zh-CN"/>
              </w:rPr>
            </w:pPr>
            <w:r>
              <w:rPr>
                <w:rFonts w:hint="default" w:ascii="Times New Roman" w:hAnsi="Times New Roman" w:cs="Times New Roman"/>
                <w:b w:val="0"/>
                <w:bCs/>
                <w:sz w:val="21"/>
                <w:szCs w:val="21"/>
                <w:lang w:val="en-US" w:eastAsia="zh-CN"/>
              </w:rPr>
              <w:t>占地面积60m</w:t>
            </w:r>
            <w:r>
              <w:rPr>
                <w:rFonts w:hint="default" w:ascii="Times New Roman" w:hAnsi="Times New Roman" w:cs="Times New Roman"/>
                <w:b w:val="0"/>
                <w:bCs/>
                <w:sz w:val="21"/>
                <w:szCs w:val="21"/>
                <w:vertAlign w:val="superscript"/>
                <w:lang w:val="en-US" w:eastAsia="zh-CN"/>
              </w:rPr>
              <w:t>2</w:t>
            </w:r>
            <w:r>
              <w:rPr>
                <w:rFonts w:hint="default" w:ascii="Times New Roman" w:hAnsi="Times New Roman" w:cs="Times New Roman"/>
                <w:b w:val="0"/>
                <w:bCs/>
                <w:sz w:val="21"/>
                <w:szCs w:val="21"/>
                <w:lang w:eastAsia="zh-CN"/>
              </w:rPr>
              <w:t>，</w:t>
            </w:r>
            <w:r>
              <w:rPr>
                <w:rFonts w:hint="default" w:ascii="Times New Roman" w:hAnsi="Times New Roman" w:cs="Times New Roman"/>
                <w:b w:val="0"/>
                <w:bCs/>
                <w:sz w:val="21"/>
                <w:szCs w:val="21"/>
                <w:lang w:val="en-US" w:eastAsia="zh-CN"/>
              </w:rPr>
              <w:t>主要建设本项目罐区内储罐使用的泵</w:t>
            </w:r>
          </w:p>
        </w:tc>
        <w:tc>
          <w:tcPr>
            <w:tcW w:w="534" w:type="pct"/>
            <w:tcBorders>
              <w:tl2br w:val="nil"/>
              <w:tr2bl w:val="nil"/>
            </w:tcBorders>
            <w:shd w:val="clear" w:color="auto" w:fill="auto"/>
            <w:noWrap w:val="0"/>
            <w:vAlign w:val="center"/>
          </w:tcPr>
          <w:p w14:paraId="68963318">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default" w:ascii="Times New Roman" w:hAnsi="Times New Roman" w:eastAsia="宋体" w:cs="Times New Roman"/>
                <w:b w:val="0"/>
                <w:bCs/>
                <w:color w:val="auto"/>
                <w:sz w:val="21"/>
                <w:szCs w:val="21"/>
                <w:lang w:val="en-US" w:eastAsia="zh-CN" w:bidi="zh-CN"/>
              </w:rPr>
              <w:t>新建</w:t>
            </w:r>
          </w:p>
        </w:tc>
      </w:tr>
      <w:tr w14:paraId="717A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1EC0A167">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shd w:val="clear" w:color="auto" w:fill="auto"/>
            <w:noWrap w:val="0"/>
            <w:vAlign w:val="center"/>
          </w:tcPr>
          <w:p w14:paraId="5163B3B1">
            <w:pPr>
              <w:keepNext w:val="0"/>
              <w:keepLines w:val="0"/>
              <w:pageBreakBefore w:val="0"/>
              <w:tabs>
                <w:tab w:val="left" w:pos="5580"/>
              </w:tabs>
              <w:kinsoku/>
              <w:wordWrap/>
              <w:overflowPunct/>
              <w:topLinePunct w:val="0"/>
              <w:bidi w:val="0"/>
              <w:snapToGrid/>
              <w:spacing w:beforeAutospacing="0" w:afterAutospacing="0" w:line="240" w:lineRule="exact"/>
              <w:ind w:right="0"/>
              <w:jc w:val="center"/>
              <w:outlineLvl w:val="9"/>
              <w:rPr>
                <w:rFonts w:hint="default" w:ascii="Times New Roman" w:hAnsi="Times New Roman" w:eastAsia="宋体" w:cs="Times New Roman"/>
                <w:b w:val="0"/>
                <w:bCs/>
                <w:spacing w:val="-2"/>
                <w:sz w:val="21"/>
                <w:szCs w:val="21"/>
                <w:lang w:val="en-US" w:eastAsia="zh-CN" w:bidi="ar-SA"/>
              </w:rPr>
            </w:pPr>
            <w:r>
              <w:rPr>
                <w:rFonts w:hint="default" w:ascii="Times New Roman" w:hAnsi="Times New Roman" w:cs="Times New Roman" w:eastAsiaTheme="majorEastAsia"/>
                <w:b w:val="0"/>
                <w:bCs/>
                <w:color w:val="000000" w:themeColor="text1"/>
                <w:kern w:val="2"/>
                <w:sz w:val="21"/>
                <w:szCs w:val="21"/>
                <w:lang w:val="en-US" w:eastAsia="zh-CN"/>
                <w14:textFill>
                  <w14:solidFill>
                    <w14:schemeClr w14:val="tx1"/>
                  </w14:solidFill>
                </w14:textFill>
              </w:rPr>
              <w:t>装卸车设施</w:t>
            </w:r>
          </w:p>
        </w:tc>
        <w:tc>
          <w:tcPr>
            <w:tcW w:w="3537" w:type="pct"/>
            <w:tcBorders>
              <w:tl2br w:val="nil"/>
              <w:tr2bl w:val="nil"/>
            </w:tcBorders>
            <w:shd w:val="clear" w:color="auto" w:fill="auto"/>
            <w:noWrap w:val="0"/>
            <w:vAlign w:val="center"/>
          </w:tcPr>
          <w:p w14:paraId="7675E2F5">
            <w:pPr>
              <w:keepNext w:val="0"/>
              <w:keepLines w:val="0"/>
              <w:pageBreakBefore w:val="0"/>
              <w:tabs>
                <w:tab w:val="left" w:pos="5580"/>
              </w:tabs>
              <w:kinsoku/>
              <w:wordWrap/>
              <w:overflowPunct/>
              <w:topLinePunct w:val="0"/>
              <w:bidi w:val="0"/>
              <w:snapToGrid/>
              <w:spacing w:beforeAutospacing="0" w:afterAutospacing="0" w:line="240" w:lineRule="exact"/>
              <w:ind w:right="0"/>
              <w:jc w:val="center"/>
              <w:outlineLvl w:val="9"/>
              <w:rPr>
                <w:rFonts w:hint="default" w:ascii="Times New Roman" w:hAnsi="Times New Roman" w:eastAsia="宋体" w:cs="Times New Roman"/>
                <w:b w:val="0"/>
                <w:bCs/>
                <w:color w:val="auto"/>
                <w:sz w:val="21"/>
                <w:szCs w:val="21"/>
                <w:lang w:val="en-US" w:eastAsia="zh-CN" w:bidi="zh-CN"/>
              </w:rPr>
            </w:pPr>
            <w:r>
              <w:rPr>
                <w:rFonts w:hint="default" w:ascii="Times New Roman" w:hAnsi="Times New Roman" w:cs="Times New Roman" w:eastAsiaTheme="majorEastAsia"/>
                <w:b w:val="0"/>
                <w:bCs/>
                <w:color w:val="000000" w:themeColor="text1"/>
                <w:spacing w:val="-4"/>
                <w:kern w:val="2"/>
                <w:sz w:val="21"/>
                <w:szCs w:val="21"/>
                <w:lang w:val="en-US" w:eastAsia="zh-CN"/>
                <w14:textFill>
                  <w14:solidFill>
                    <w14:schemeClr w14:val="tx1"/>
                  </w14:solidFill>
                </w14:textFill>
              </w:rPr>
              <w:t>汽车罐车运输，配套密封式快速接头，</w:t>
            </w:r>
            <w:r>
              <w:rPr>
                <w:rFonts w:hint="eastAsia" w:ascii="Times New Roman" w:hAnsi="Times New Roman" w:cs="Times New Roman" w:eastAsiaTheme="majorEastAsia"/>
                <w:b w:val="0"/>
                <w:bCs/>
                <w:color w:val="000000" w:themeColor="text1"/>
                <w:spacing w:val="-4"/>
                <w:kern w:val="2"/>
                <w:sz w:val="21"/>
                <w:szCs w:val="21"/>
                <w:lang w:val="en-US" w:eastAsia="zh-CN"/>
                <w14:textFill>
                  <w14:solidFill>
                    <w14:schemeClr w14:val="tx1"/>
                  </w14:solidFill>
                </w14:textFill>
              </w:rPr>
              <w:t>废气收集措施</w:t>
            </w:r>
          </w:p>
        </w:tc>
        <w:tc>
          <w:tcPr>
            <w:tcW w:w="534" w:type="pct"/>
            <w:tcBorders>
              <w:tl2br w:val="nil"/>
              <w:tr2bl w:val="nil"/>
            </w:tcBorders>
            <w:shd w:val="clear" w:color="auto" w:fill="auto"/>
            <w:noWrap w:val="0"/>
            <w:vAlign w:val="center"/>
          </w:tcPr>
          <w:p w14:paraId="67EE9667">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default" w:ascii="Times New Roman" w:hAnsi="Times New Roman" w:eastAsia="宋体" w:cs="Times New Roman"/>
                <w:b w:val="0"/>
                <w:bCs/>
                <w:color w:val="auto"/>
                <w:sz w:val="21"/>
                <w:szCs w:val="21"/>
                <w:lang w:val="en-US" w:eastAsia="zh-CN" w:bidi="zh-CN"/>
              </w:rPr>
              <w:t>新建</w:t>
            </w:r>
          </w:p>
        </w:tc>
      </w:tr>
      <w:tr w14:paraId="626F7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56FB78DE">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shd w:val="clear" w:color="auto" w:fill="auto"/>
            <w:noWrap w:val="0"/>
            <w:vAlign w:val="center"/>
          </w:tcPr>
          <w:p w14:paraId="41D6004B">
            <w:pPr>
              <w:keepNext w:val="0"/>
              <w:keepLines w:val="0"/>
              <w:pageBreakBefore w:val="0"/>
              <w:widowControl/>
              <w:tabs>
                <w:tab w:val="left" w:pos="420"/>
              </w:tabs>
              <w:kinsoku/>
              <w:wordWrap/>
              <w:overflowPunct/>
              <w:topLinePunct w:val="0"/>
              <w:autoSpaceDE/>
              <w:autoSpaceDN/>
              <w:bidi w:val="0"/>
              <w:adjustRightInd w:val="0"/>
              <w:snapToGrid/>
              <w:spacing w:beforeAutospacing="0" w:afterAutospacing="0" w:line="240" w:lineRule="exact"/>
              <w:ind w:right="0" w:firstLine="0" w:firstLineChars="0"/>
              <w:jc w:val="center"/>
              <w:textAlignment w:val="auto"/>
              <w:outlineLvl w:val="9"/>
              <w:rPr>
                <w:rFonts w:hint="default" w:ascii="Times New Roman" w:hAnsi="Times New Roman" w:eastAsia="宋体" w:cs="Times New Roman"/>
                <w:b w:val="0"/>
                <w:bCs/>
                <w:color w:val="000000"/>
                <w:kern w:val="0"/>
                <w:sz w:val="21"/>
                <w:szCs w:val="21"/>
                <w:lang w:val="en-US" w:eastAsia="zh-CN" w:bidi="ar-SA"/>
              </w:rPr>
            </w:pPr>
            <w:r>
              <w:rPr>
                <w:rFonts w:hint="eastAsia" w:ascii="Times New Roman" w:hAnsi="Times New Roman" w:cs="Times New Roman"/>
                <w:b w:val="0"/>
                <w:bCs/>
                <w:color w:val="000000"/>
                <w:kern w:val="0"/>
                <w:sz w:val="21"/>
                <w:szCs w:val="21"/>
                <w:lang w:val="en-US" w:eastAsia="zh-CN"/>
              </w:rPr>
              <w:t>液氨储罐</w:t>
            </w:r>
          </w:p>
        </w:tc>
        <w:tc>
          <w:tcPr>
            <w:tcW w:w="3537" w:type="pct"/>
            <w:tcBorders>
              <w:tl2br w:val="nil"/>
              <w:tr2bl w:val="nil"/>
            </w:tcBorders>
            <w:shd w:val="clear" w:color="auto" w:fill="auto"/>
            <w:noWrap w:val="0"/>
            <w:vAlign w:val="center"/>
          </w:tcPr>
          <w:p w14:paraId="33A0BCC8">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bidi="zh-CN"/>
              </w:rPr>
            </w:pPr>
            <w:r>
              <w:rPr>
                <w:rFonts w:hint="eastAsia" w:ascii="Times New Roman" w:hAnsi="Times New Roman" w:cs="Times New Roman"/>
                <w:b w:val="0"/>
                <w:bCs/>
                <w:color w:val="auto"/>
                <w:sz w:val="21"/>
                <w:szCs w:val="21"/>
                <w:highlight w:val="none"/>
                <w:lang w:val="en-US" w:eastAsia="zh-CN" w:bidi="zh-CN"/>
              </w:rPr>
              <w:t>依托现有工程已建的1座60</w:t>
            </w:r>
            <w:r>
              <w:rPr>
                <w:rFonts w:hint="default" w:ascii="Times New Roman" w:hAnsi="Times New Roman" w:cs="Times New Roman"/>
                <w:b w:val="0"/>
                <w:bCs/>
                <w:sz w:val="21"/>
                <w:szCs w:val="21"/>
                <w:lang w:val="en-US" w:eastAsia="zh-CN"/>
              </w:rPr>
              <w:t>0m</w:t>
            </w:r>
            <w:r>
              <w:rPr>
                <w:rFonts w:hint="default" w:ascii="Times New Roman" w:hAnsi="Times New Roman" w:cs="Times New Roman"/>
                <w:b w:val="0"/>
                <w:bCs/>
                <w:sz w:val="21"/>
                <w:szCs w:val="21"/>
                <w:vertAlign w:val="superscript"/>
                <w:lang w:val="en-US" w:eastAsia="zh-CN"/>
              </w:rPr>
              <w:t>3</w:t>
            </w:r>
            <w:r>
              <w:rPr>
                <w:rFonts w:hint="eastAsia" w:ascii="Times New Roman" w:hAnsi="Times New Roman" w:cs="Times New Roman"/>
                <w:b w:val="0"/>
                <w:bCs/>
                <w:sz w:val="21"/>
                <w:szCs w:val="21"/>
                <w:vertAlign w:val="baseline"/>
                <w:lang w:val="en-US" w:eastAsia="zh-CN"/>
              </w:rPr>
              <w:t>液氨储罐，球罐，压力罐</w:t>
            </w:r>
          </w:p>
        </w:tc>
        <w:tc>
          <w:tcPr>
            <w:tcW w:w="534" w:type="pct"/>
            <w:tcBorders>
              <w:tl2br w:val="nil"/>
              <w:tr2bl w:val="nil"/>
            </w:tcBorders>
            <w:shd w:val="clear" w:color="auto" w:fill="auto"/>
            <w:noWrap w:val="0"/>
            <w:vAlign w:val="center"/>
          </w:tcPr>
          <w:p w14:paraId="00B180DB">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cs="Times New Roman"/>
                <w:b w:val="0"/>
                <w:bCs/>
                <w:color w:val="auto"/>
                <w:sz w:val="21"/>
                <w:szCs w:val="21"/>
                <w:lang w:val="en-US" w:eastAsia="zh-CN" w:bidi="zh-CN"/>
              </w:rPr>
              <w:t>依托现有工程</w:t>
            </w:r>
          </w:p>
        </w:tc>
      </w:tr>
      <w:tr w14:paraId="32A3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1F3055E0">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shd w:val="clear" w:color="auto" w:fill="auto"/>
            <w:noWrap w:val="0"/>
            <w:vAlign w:val="center"/>
          </w:tcPr>
          <w:p w14:paraId="19A7BFA4">
            <w:pPr>
              <w:keepNext w:val="0"/>
              <w:keepLines w:val="0"/>
              <w:pageBreakBefore w:val="0"/>
              <w:kinsoku/>
              <w:wordWrap/>
              <w:overflowPunct/>
              <w:topLinePunct w:val="0"/>
              <w:bidi w:val="0"/>
              <w:snapToGrid/>
              <w:spacing w:beforeAutospacing="0" w:afterAutospacing="0" w:line="240" w:lineRule="exact"/>
              <w:ind w:right="0"/>
              <w:jc w:val="center"/>
              <w:outlineLvl w:val="9"/>
              <w:rPr>
                <w:rFonts w:hint="eastAsia"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cs="Times New Roman"/>
                <w:b w:val="0"/>
                <w:bCs/>
                <w:color w:val="auto"/>
                <w:spacing w:val="-2"/>
                <w:sz w:val="21"/>
                <w:szCs w:val="21"/>
                <w:highlight w:val="none"/>
                <w:lang w:val="en-US" w:eastAsia="zh-CN"/>
              </w:rPr>
              <w:t>丁类库房</w:t>
            </w:r>
          </w:p>
        </w:tc>
        <w:tc>
          <w:tcPr>
            <w:tcW w:w="3537" w:type="pct"/>
            <w:tcBorders>
              <w:tl2br w:val="nil"/>
              <w:tr2bl w:val="nil"/>
            </w:tcBorders>
            <w:shd w:val="clear" w:color="auto" w:fill="auto"/>
            <w:noWrap w:val="0"/>
            <w:vAlign w:val="center"/>
          </w:tcPr>
          <w:p w14:paraId="2A9564E3">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eastAsia" w:ascii="Times New Roman" w:hAnsi="Times New Roman" w:eastAsia="宋体" w:cs="Times New Roman"/>
                <w:b w:val="0"/>
                <w:bCs/>
                <w:color w:val="auto"/>
                <w:sz w:val="21"/>
                <w:szCs w:val="21"/>
                <w:highlight w:val="none"/>
                <w:lang w:val="en-US" w:eastAsia="zh-CN" w:bidi="zh-CN"/>
              </w:rPr>
            </w:pPr>
            <w:r>
              <w:rPr>
                <w:rFonts w:hint="default" w:ascii="Times New Roman" w:hAnsi="Times New Roman" w:eastAsia="宋体" w:cs="Times New Roman"/>
                <w:b w:val="0"/>
                <w:bCs/>
                <w:color w:val="auto"/>
                <w:sz w:val="21"/>
                <w:szCs w:val="21"/>
                <w:highlight w:val="none"/>
                <w:lang w:val="en-US" w:eastAsia="zh-CN" w:bidi="zh-CN"/>
              </w:rPr>
              <w:t>1座，</w:t>
            </w:r>
            <w:r>
              <w:rPr>
                <w:rFonts w:hint="eastAsia" w:ascii="Times New Roman" w:hAnsi="Times New Roman" w:cs="Times New Roman"/>
                <w:b w:val="0"/>
                <w:bCs/>
                <w:color w:val="auto"/>
                <w:sz w:val="21"/>
                <w:szCs w:val="21"/>
                <w:highlight w:val="none"/>
                <w:lang w:val="en-US" w:eastAsia="zh-CN" w:bidi="zh-CN"/>
              </w:rPr>
              <w:t>占地面积7500m</w:t>
            </w:r>
            <w:r>
              <w:rPr>
                <w:rFonts w:hint="eastAsia" w:ascii="Times New Roman" w:hAnsi="Times New Roman" w:cs="Times New Roman"/>
                <w:b w:val="0"/>
                <w:bCs/>
                <w:color w:val="auto"/>
                <w:sz w:val="21"/>
                <w:szCs w:val="21"/>
                <w:highlight w:val="none"/>
                <w:vertAlign w:val="superscript"/>
                <w:lang w:val="en-US" w:eastAsia="zh-CN" w:bidi="zh-CN"/>
              </w:rPr>
              <w:t>2</w:t>
            </w:r>
            <w:r>
              <w:rPr>
                <w:rFonts w:hint="eastAsia" w:ascii="Times New Roman" w:hAnsi="Times New Roman" w:cs="Times New Roman"/>
                <w:b w:val="0"/>
                <w:bCs/>
                <w:color w:val="auto"/>
                <w:sz w:val="21"/>
                <w:szCs w:val="21"/>
                <w:highlight w:val="none"/>
                <w:lang w:val="en-US" w:eastAsia="zh-CN" w:bidi="zh-CN"/>
              </w:rPr>
              <w:t>，储存本项目固态LCDN产品、原料硅藻土</w:t>
            </w:r>
          </w:p>
        </w:tc>
        <w:tc>
          <w:tcPr>
            <w:tcW w:w="534" w:type="pct"/>
            <w:tcBorders>
              <w:tl2br w:val="nil"/>
              <w:tr2bl w:val="nil"/>
            </w:tcBorders>
            <w:shd w:val="clear" w:color="auto" w:fill="auto"/>
            <w:noWrap w:val="0"/>
            <w:vAlign w:val="center"/>
          </w:tcPr>
          <w:p w14:paraId="47374417">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eastAsia" w:ascii="Times New Roman" w:hAnsi="Times New Roman" w:eastAsia="宋体" w:cs="Times New Roman"/>
                <w:b w:val="0"/>
                <w:bCs/>
                <w:color w:val="auto"/>
                <w:sz w:val="21"/>
                <w:szCs w:val="21"/>
                <w:lang w:val="en-US" w:eastAsia="zh-CN" w:bidi="zh-CN"/>
              </w:rPr>
            </w:pPr>
            <w:r>
              <w:rPr>
                <w:rFonts w:hint="eastAsia" w:ascii="Times New Roman" w:hAnsi="Times New Roman" w:cs="Times New Roman"/>
                <w:b w:val="0"/>
                <w:bCs/>
                <w:color w:val="auto"/>
                <w:sz w:val="21"/>
                <w:szCs w:val="21"/>
                <w:lang w:val="en-US" w:eastAsia="zh-CN" w:bidi="zh-CN"/>
              </w:rPr>
              <w:t>依托现有工程</w:t>
            </w:r>
          </w:p>
        </w:tc>
      </w:tr>
      <w:tr w14:paraId="1A8D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tblHeader/>
          <w:jc w:val="center"/>
        </w:trPr>
        <w:tc>
          <w:tcPr>
            <w:tcW w:w="227" w:type="pct"/>
            <w:vMerge w:val="continue"/>
            <w:tcBorders>
              <w:tl2br w:val="nil"/>
              <w:tr2bl w:val="nil"/>
            </w:tcBorders>
            <w:noWrap w:val="0"/>
            <w:vAlign w:val="center"/>
          </w:tcPr>
          <w:p w14:paraId="69D90128">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shd w:val="clear" w:color="auto" w:fill="auto"/>
            <w:noWrap w:val="0"/>
            <w:vAlign w:val="center"/>
          </w:tcPr>
          <w:p w14:paraId="68D5912A">
            <w:pPr>
              <w:keepNext w:val="0"/>
              <w:keepLines w:val="0"/>
              <w:pageBreakBefore w:val="0"/>
              <w:kinsoku/>
              <w:wordWrap/>
              <w:overflowPunct/>
              <w:topLinePunct w:val="0"/>
              <w:bidi w:val="0"/>
              <w:snapToGrid/>
              <w:spacing w:beforeAutospacing="0" w:afterAutospacing="0" w:line="240" w:lineRule="exact"/>
              <w:ind w:right="0"/>
              <w:jc w:val="center"/>
              <w:outlineLvl w:val="9"/>
              <w:rPr>
                <w:rFonts w:hint="default"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cs="Times New Roman"/>
                <w:b w:val="0"/>
                <w:bCs/>
                <w:color w:val="auto"/>
                <w:spacing w:val="-2"/>
                <w:sz w:val="21"/>
                <w:szCs w:val="21"/>
                <w:highlight w:val="none"/>
                <w:lang w:val="en-US" w:eastAsia="zh-CN"/>
              </w:rPr>
              <w:t>甲类库房</w:t>
            </w:r>
          </w:p>
        </w:tc>
        <w:tc>
          <w:tcPr>
            <w:tcW w:w="3537" w:type="pct"/>
            <w:tcBorders>
              <w:tl2br w:val="nil"/>
              <w:tr2bl w:val="nil"/>
            </w:tcBorders>
            <w:shd w:val="clear" w:color="auto" w:fill="auto"/>
            <w:noWrap w:val="0"/>
            <w:vAlign w:val="center"/>
          </w:tcPr>
          <w:p w14:paraId="4EBE5EB1">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bidi="zh-CN"/>
              </w:rPr>
            </w:pPr>
            <w:r>
              <w:rPr>
                <w:rFonts w:hint="eastAsia" w:ascii="Times New Roman" w:hAnsi="Times New Roman" w:cs="Times New Roman"/>
                <w:b w:val="0"/>
                <w:bCs/>
                <w:color w:val="auto"/>
                <w:sz w:val="21"/>
                <w:szCs w:val="21"/>
                <w:highlight w:val="none"/>
                <w:lang w:val="en-US" w:eastAsia="zh-CN" w:bidi="zh-CN"/>
              </w:rPr>
              <w:t>1</w:t>
            </w:r>
            <w:r>
              <w:rPr>
                <w:rFonts w:hint="default" w:ascii="Times New Roman" w:hAnsi="Times New Roman" w:eastAsia="宋体" w:cs="Times New Roman"/>
                <w:b w:val="0"/>
                <w:bCs/>
                <w:color w:val="auto"/>
                <w:sz w:val="21"/>
                <w:szCs w:val="21"/>
                <w:highlight w:val="none"/>
                <w:lang w:val="en-US" w:eastAsia="zh-CN" w:bidi="zh-CN"/>
              </w:rPr>
              <w:t>座，</w:t>
            </w:r>
            <w:r>
              <w:rPr>
                <w:rFonts w:hint="eastAsia" w:ascii="Times New Roman" w:hAnsi="Times New Roman" w:cs="Times New Roman"/>
                <w:b w:val="0"/>
                <w:bCs/>
                <w:color w:val="auto"/>
                <w:sz w:val="21"/>
                <w:szCs w:val="21"/>
                <w:highlight w:val="none"/>
                <w:lang w:val="en-US" w:eastAsia="zh-CN" w:bidi="zh-CN"/>
              </w:rPr>
              <w:t>占地面积600m</w:t>
            </w:r>
            <w:r>
              <w:rPr>
                <w:rFonts w:hint="eastAsia" w:ascii="Times New Roman" w:hAnsi="Times New Roman" w:cs="Times New Roman"/>
                <w:b w:val="0"/>
                <w:bCs/>
                <w:color w:val="auto"/>
                <w:sz w:val="21"/>
                <w:szCs w:val="21"/>
                <w:highlight w:val="none"/>
                <w:vertAlign w:val="superscript"/>
                <w:lang w:val="en-US" w:eastAsia="zh-CN" w:bidi="zh-CN"/>
              </w:rPr>
              <w:t>2</w:t>
            </w:r>
            <w:r>
              <w:rPr>
                <w:rFonts w:hint="eastAsia" w:ascii="Times New Roman" w:hAnsi="Times New Roman" w:cs="Times New Roman"/>
                <w:b w:val="0"/>
                <w:bCs/>
                <w:color w:val="auto"/>
                <w:sz w:val="21"/>
                <w:szCs w:val="21"/>
                <w:highlight w:val="none"/>
                <w:lang w:val="en-US" w:eastAsia="zh-CN" w:bidi="zh-CN"/>
              </w:rPr>
              <w:t>，储存本项目原料加氢催化剂、片碱、硫酸等</w:t>
            </w:r>
          </w:p>
        </w:tc>
        <w:tc>
          <w:tcPr>
            <w:tcW w:w="534" w:type="pct"/>
            <w:tcBorders>
              <w:tl2br w:val="nil"/>
              <w:tr2bl w:val="nil"/>
            </w:tcBorders>
            <w:shd w:val="clear" w:color="auto" w:fill="auto"/>
            <w:noWrap w:val="0"/>
            <w:vAlign w:val="center"/>
          </w:tcPr>
          <w:p w14:paraId="39C0B0E7">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bidi="zh-CN"/>
              </w:rPr>
            </w:pPr>
            <w:r>
              <w:rPr>
                <w:rFonts w:hint="eastAsia" w:ascii="Times New Roman" w:hAnsi="Times New Roman" w:cs="Times New Roman"/>
                <w:b w:val="0"/>
                <w:bCs/>
                <w:color w:val="auto"/>
                <w:sz w:val="21"/>
                <w:szCs w:val="21"/>
                <w:lang w:val="en-US" w:eastAsia="zh-CN" w:bidi="zh-CN"/>
              </w:rPr>
              <w:t>依托现有工程</w:t>
            </w:r>
          </w:p>
        </w:tc>
      </w:tr>
      <w:tr w14:paraId="29A7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tblHeader/>
          <w:jc w:val="center"/>
        </w:trPr>
        <w:tc>
          <w:tcPr>
            <w:tcW w:w="227" w:type="pct"/>
            <w:vMerge w:val="restart"/>
            <w:tcBorders>
              <w:tl2br w:val="nil"/>
              <w:tr2bl w:val="nil"/>
            </w:tcBorders>
            <w:noWrap w:val="0"/>
            <w:vAlign w:val="center"/>
          </w:tcPr>
          <w:p w14:paraId="4FF544E0">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辅助</w:t>
            </w:r>
          </w:p>
          <w:p w14:paraId="349C39AB">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工程</w:t>
            </w:r>
          </w:p>
        </w:tc>
        <w:tc>
          <w:tcPr>
            <w:tcW w:w="700" w:type="pct"/>
            <w:gridSpan w:val="2"/>
            <w:tcBorders>
              <w:tl2br w:val="nil"/>
              <w:tr2bl w:val="nil"/>
            </w:tcBorders>
            <w:noWrap w:val="0"/>
            <w:vAlign w:val="center"/>
          </w:tcPr>
          <w:p w14:paraId="61CF9240">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default" w:ascii="Times New Roman" w:hAnsi="Times New Roman" w:eastAsia="宋体" w:cs="Times New Roman"/>
                <w:b w:val="0"/>
                <w:bCs/>
                <w:color w:val="auto"/>
                <w:sz w:val="21"/>
                <w:szCs w:val="21"/>
                <w:lang w:val="en-US" w:eastAsia="zh-CN" w:bidi="zh-CN"/>
              </w:rPr>
              <w:t>循环水站</w:t>
            </w:r>
          </w:p>
        </w:tc>
        <w:tc>
          <w:tcPr>
            <w:tcW w:w="3537" w:type="pct"/>
            <w:tcBorders>
              <w:tl2br w:val="nil"/>
              <w:tr2bl w:val="nil"/>
            </w:tcBorders>
            <w:noWrap w:val="0"/>
            <w:vAlign w:val="center"/>
          </w:tcPr>
          <w:p w14:paraId="5E10E3E8">
            <w:pPr>
              <w:keepNext w:val="0"/>
              <w:keepLines w:val="0"/>
              <w:pageBreakBefore w:val="0"/>
              <w:tabs>
                <w:tab w:val="left" w:pos="5580"/>
              </w:tabs>
              <w:kinsoku/>
              <w:wordWrap/>
              <w:overflowPunct/>
              <w:topLinePunct w:val="0"/>
              <w:bidi w:val="0"/>
              <w:snapToGrid/>
              <w:spacing w:beforeAutospacing="0" w:afterAutospacing="0" w:line="240" w:lineRule="exact"/>
              <w:ind w:right="0"/>
              <w:jc w:val="center"/>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cs="Times New Roman" w:eastAsiaTheme="majorEastAsia"/>
                <w:b w:val="0"/>
                <w:bCs/>
                <w:color w:val="000000" w:themeColor="text1"/>
                <w:spacing w:val="-4"/>
                <w:kern w:val="2"/>
                <w:sz w:val="21"/>
                <w:szCs w:val="21"/>
                <w:lang w:val="en-US" w:eastAsia="zh-CN"/>
                <w14:textFill>
                  <w14:solidFill>
                    <w14:schemeClr w14:val="tx1"/>
                  </w14:solidFill>
                </w14:textFill>
              </w:rPr>
              <w:t>依托现有工程3#动力站设置的12000t/h循环水系统及配套的加药设施</w:t>
            </w:r>
          </w:p>
        </w:tc>
        <w:tc>
          <w:tcPr>
            <w:tcW w:w="534" w:type="pct"/>
            <w:tcBorders>
              <w:tl2br w:val="nil"/>
              <w:tr2bl w:val="nil"/>
            </w:tcBorders>
            <w:shd w:val="clear" w:color="auto" w:fill="auto"/>
            <w:noWrap w:val="0"/>
            <w:vAlign w:val="center"/>
          </w:tcPr>
          <w:p w14:paraId="226B9429">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eastAsia" w:ascii="Times New Roman" w:hAnsi="Times New Roman" w:cs="Times New Roman"/>
                <w:b w:val="0"/>
                <w:bCs/>
                <w:color w:val="auto"/>
                <w:sz w:val="21"/>
                <w:szCs w:val="21"/>
                <w:lang w:val="en-US" w:eastAsia="zh-CN" w:bidi="zh-CN"/>
              </w:rPr>
              <w:t>依托现有工程</w:t>
            </w:r>
          </w:p>
        </w:tc>
      </w:tr>
      <w:tr w14:paraId="442C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5DB063DE">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noWrap w:val="0"/>
            <w:vAlign w:val="center"/>
          </w:tcPr>
          <w:p w14:paraId="129BBCB8">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FF0000"/>
                <w:sz w:val="21"/>
                <w:szCs w:val="21"/>
                <w:lang w:val="zh-CN" w:eastAsia="zh-CN" w:bidi="zh-CN"/>
              </w:rPr>
            </w:pPr>
            <w:r>
              <w:rPr>
                <w:rFonts w:hint="eastAsia" w:ascii="Times New Roman" w:hAnsi="Times New Roman" w:cs="Times New Roman"/>
                <w:b w:val="0"/>
                <w:bCs/>
                <w:color w:val="auto"/>
                <w:sz w:val="21"/>
                <w:szCs w:val="21"/>
                <w:lang w:val="en-US" w:eastAsia="zh-CN" w:bidi="zh-CN"/>
              </w:rPr>
              <w:t>纯水制备</w:t>
            </w:r>
            <w:r>
              <w:rPr>
                <w:rFonts w:hint="default" w:ascii="Times New Roman" w:hAnsi="Times New Roman" w:eastAsia="宋体" w:cs="Times New Roman"/>
                <w:b w:val="0"/>
                <w:bCs/>
                <w:color w:val="auto"/>
                <w:sz w:val="21"/>
                <w:szCs w:val="21"/>
                <w:lang w:val="en-US" w:eastAsia="zh-CN" w:bidi="zh-CN"/>
              </w:rPr>
              <w:t>站</w:t>
            </w:r>
          </w:p>
        </w:tc>
        <w:tc>
          <w:tcPr>
            <w:tcW w:w="3537" w:type="pct"/>
            <w:tcBorders>
              <w:tl2br w:val="nil"/>
              <w:tr2bl w:val="nil"/>
            </w:tcBorders>
            <w:noWrap w:val="0"/>
            <w:vAlign w:val="center"/>
          </w:tcPr>
          <w:p w14:paraId="0A3EE188">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FF0000"/>
                <w:sz w:val="21"/>
                <w:szCs w:val="21"/>
                <w:lang w:val="zh-CN" w:eastAsia="zh-CN" w:bidi="zh-CN"/>
              </w:rPr>
            </w:pPr>
            <w:r>
              <w:rPr>
                <w:rFonts w:hint="default" w:ascii="Times New Roman" w:hAnsi="Times New Roman" w:eastAsia="宋体" w:cs="Times New Roman"/>
                <w:b w:val="0"/>
                <w:bCs/>
                <w:color w:val="auto"/>
                <w:sz w:val="21"/>
                <w:szCs w:val="21"/>
                <w:lang w:val="en-US" w:eastAsia="zh-CN" w:bidi="zh-CN"/>
              </w:rPr>
              <w:t>依托</w:t>
            </w:r>
            <w:r>
              <w:rPr>
                <w:rFonts w:hint="eastAsia" w:ascii="Times New Roman" w:hAnsi="Times New Roman" w:cs="Times New Roman"/>
                <w:b w:val="0"/>
                <w:bCs/>
                <w:color w:val="auto"/>
                <w:sz w:val="21"/>
                <w:szCs w:val="21"/>
                <w:lang w:val="en-US" w:eastAsia="zh-CN" w:bidi="zh-CN"/>
              </w:rPr>
              <w:t>现有工程与</w:t>
            </w:r>
            <w:r>
              <w:rPr>
                <w:rFonts w:hint="default" w:ascii="Times New Roman" w:hAnsi="Times New Roman" w:eastAsia="宋体" w:cs="Times New Roman"/>
                <w:b w:val="0"/>
                <w:bCs/>
                <w:color w:val="auto"/>
                <w:sz w:val="21"/>
                <w:szCs w:val="21"/>
                <w:lang w:val="en-US" w:eastAsia="zh-CN" w:bidi="zh-CN"/>
              </w:rPr>
              <w:t>凯赛（乌苏）生物技术有限公</w:t>
            </w:r>
            <w:r>
              <w:rPr>
                <w:rFonts w:hint="eastAsia" w:ascii="Times New Roman" w:hAnsi="Times New Roman" w:cs="Times New Roman"/>
                <w:b w:val="0"/>
                <w:bCs/>
                <w:color w:val="auto"/>
                <w:sz w:val="21"/>
                <w:szCs w:val="21"/>
                <w:lang w:val="en-US" w:eastAsia="zh-CN" w:bidi="zh-CN"/>
              </w:rPr>
              <w:t>共建的</w:t>
            </w:r>
            <w:r>
              <w:rPr>
                <w:rFonts w:hint="default" w:ascii="Times New Roman" w:hAnsi="Times New Roman" w:eastAsia="宋体" w:cs="Times New Roman"/>
                <w:b w:val="0"/>
                <w:bCs/>
                <w:color w:val="auto"/>
                <w:sz w:val="21"/>
                <w:szCs w:val="21"/>
                <w:lang w:val="en-US" w:eastAsia="zh-CN" w:bidi="zh-CN"/>
              </w:rPr>
              <w:t>纯水系统</w:t>
            </w:r>
            <w:r>
              <w:rPr>
                <w:rFonts w:hint="eastAsia" w:ascii="Times New Roman" w:hAnsi="Times New Roman" w:cs="Times New Roman"/>
                <w:b w:val="0"/>
                <w:bCs/>
                <w:color w:val="auto"/>
                <w:sz w:val="21"/>
                <w:szCs w:val="21"/>
                <w:lang w:val="en-US" w:eastAsia="zh-CN" w:bidi="zh-CN"/>
              </w:rPr>
              <w:t>(（75m</w:t>
            </w:r>
            <w:r>
              <w:rPr>
                <w:rFonts w:hint="eastAsia" w:ascii="Times New Roman" w:hAnsi="Times New Roman" w:cs="Times New Roman"/>
                <w:b w:val="0"/>
                <w:bCs/>
                <w:color w:val="auto"/>
                <w:sz w:val="21"/>
                <w:szCs w:val="21"/>
                <w:vertAlign w:val="superscript"/>
                <w:lang w:val="en-US" w:eastAsia="zh-CN" w:bidi="zh-CN"/>
              </w:rPr>
              <w:t>3</w:t>
            </w:r>
            <w:r>
              <w:rPr>
                <w:rFonts w:hint="eastAsia" w:ascii="Times New Roman" w:hAnsi="Times New Roman" w:cs="Times New Roman"/>
                <w:b w:val="0"/>
                <w:bCs/>
                <w:color w:val="auto"/>
                <w:sz w:val="21"/>
                <w:szCs w:val="21"/>
                <w:lang w:val="en-US" w:eastAsia="zh-CN" w:bidi="zh-CN"/>
              </w:rPr>
              <w:t>/h）</w:t>
            </w:r>
            <w:r>
              <w:rPr>
                <w:rFonts w:hint="default" w:ascii="Times New Roman" w:hAnsi="Times New Roman" w:eastAsia="宋体" w:cs="Times New Roman"/>
                <w:b w:val="0"/>
                <w:bCs/>
                <w:color w:val="auto"/>
                <w:sz w:val="21"/>
                <w:szCs w:val="21"/>
                <w:lang w:val="en-US" w:eastAsia="zh-CN" w:bidi="zh-CN"/>
              </w:rPr>
              <w:t>为本项目提供纯水</w:t>
            </w:r>
          </w:p>
        </w:tc>
        <w:tc>
          <w:tcPr>
            <w:tcW w:w="534" w:type="pct"/>
            <w:tcBorders>
              <w:tl2br w:val="nil"/>
              <w:tr2bl w:val="nil"/>
            </w:tcBorders>
            <w:shd w:val="clear" w:color="auto" w:fill="auto"/>
            <w:noWrap w:val="0"/>
            <w:vAlign w:val="center"/>
          </w:tcPr>
          <w:p w14:paraId="3575E5A9">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eastAsia" w:ascii="Times New Roman" w:hAnsi="Times New Roman" w:cs="Times New Roman"/>
                <w:b w:val="0"/>
                <w:bCs/>
                <w:color w:val="auto"/>
                <w:sz w:val="21"/>
                <w:szCs w:val="21"/>
                <w:lang w:val="en-US" w:eastAsia="zh-CN" w:bidi="zh-CN"/>
              </w:rPr>
              <w:t>依托现有工程</w:t>
            </w:r>
          </w:p>
        </w:tc>
      </w:tr>
      <w:tr w14:paraId="69DA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21B88551">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noWrap w:val="0"/>
            <w:vAlign w:val="center"/>
          </w:tcPr>
          <w:p w14:paraId="02384FD2">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bidi="zh-CN"/>
              </w:rPr>
            </w:pPr>
            <w:r>
              <w:rPr>
                <w:rFonts w:hint="eastAsia" w:ascii="Times New Roman" w:hAnsi="Times New Roman" w:cs="Times New Roman"/>
                <w:b w:val="0"/>
                <w:bCs/>
                <w:color w:val="auto"/>
                <w:sz w:val="21"/>
                <w:szCs w:val="21"/>
                <w:lang w:val="en-US" w:eastAsia="zh-CN" w:bidi="zh-CN"/>
              </w:rPr>
              <w:t>制冷站</w:t>
            </w:r>
          </w:p>
        </w:tc>
        <w:tc>
          <w:tcPr>
            <w:tcW w:w="3537" w:type="pct"/>
            <w:tcBorders>
              <w:tl2br w:val="nil"/>
              <w:tr2bl w:val="nil"/>
            </w:tcBorders>
            <w:noWrap w:val="0"/>
            <w:vAlign w:val="center"/>
          </w:tcPr>
          <w:p w14:paraId="0DFC869B">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cs="Times New Roman"/>
                <w:b w:val="0"/>
                <w:bCs/>
                <w:color w:val="auto"/>
                <w:sz w:val="21"/>
                <w:szCs w:val="21"/>
                <w:lang w:val="en-US" w:eastAsia="zh-CN" w:bidi="zh-CN"/>
              </w:rPr>
              <w:t>依托</w:t>
            </w:r>
            <w:r>
              <w:rPr>
                <w:rFonts w:hint="default" w:ascii="Times New Roman" w:hAnsi="Times New Roman" w:cs="Times New Roman"/>
                <w:b w:val="0"/>
                <w:bCs/>
                <w:color w:val="auto"/>
                <w:sz w:val="21"/>
                <w:szCs w:val="21"/>
                <w:lang w:val="en-US" w:eastAsia="zh-CN" w:bidi="zh-CN"/>
              </w:rPr>
              <w:t>现有工程</w:t>
            </w:r>
            <w:r>
              <w:rPr>
                <w:rFonts w:hint="eastAsia" w:ascii="Times New Roman" w:hAnsi="Times New Roman" w:cs="Times New Roman"/>
                <w:b w:val="0"/>
                <w:bCs/>
                <w:color w:val="auto"/>
                <w:sz w:val="21"/>
                <w:szCs w:val="21"/>
                <w:lang w:val="en-US" w:eastAsia="zh-CN" w:bidi="zh-CN"/>
              </w:rPr>
              <w:t>制冷站1座1200m</w:t>
            </w:r>
            <w:r>
              <w:rPr>
                <w:rFonts w:hint="eastAsia" w:ascii="Times New Roman" w:hAnsi="Times New Roman" w:cs="Times New Roman"/>
                <w:b w:val="0"/>
                <w:bCs/>
                <w:color w:val="auto"/>
                <w:sz w:val="21"/>
                <w:szCs w:val="21"/>
                <w:vertAlign w:val="superscript"/>
                <w:lang w:val="en-US" w:eastAsia="zh-CN" w:bidi="zh-CN"/>
              </w:rPr>
              <w:t>3</w:t>
            </w:r>
            <w:r>
              <w:rPr>
                <w:rFonts w:hint="eastAsia" w:ascii="Times New Roman" w:hAnsi="Times New Roman" w:cs="Times New Roman"/>
                <w:b w:val="0"/>
                <w:bCs/>
                <w:color w:val="auto"/>
                <w:sz w:val="21"/>
                <w:szCs w:val="21"/>
                <w:lang w:val="en-US" w:eastAsia="zh-CN" w:bidi="zh-CN"/>
              </w:rPr>
              <w:t>/h</w:t>
            </w:r>
            <w:r>
              <w:rPr>
                <w:rFonts w:hint="default" w:ascii="Times New Roman" w:hAnsi="Times New Roman" w:cs="Times New Roman"/>
                <w:b w:val="0"/>
                <w:bCs/>
                <w:color w:val="auto"/>
                <w:sz w:val="21"/>
                <w:szCs w:val="21"/>
                <w:lang w:val="en-US" w:eastAsia="zh-CN" w:bidi="zh-CN"/>
              </w:rPr>
              <w:t>制冷机</w:t>
            </w:r>
            <w:r>
              <w:rPr>
                <w:rFonts w:hint="eastAsia" w:ascii="Times New Roman" w:hAnsi="Times New Roman" w:cs="Times New Roman"/>
                <w:b w:val="0"/>
                <w:bCs/>
                <w:color w:val="auto"/>
                <w:sz w:val="21"/>
                <w:szCs w:val="21"/>
                <w:lang w:val="en-US" w:eastAsia="zh-CN" w:bidi="zh-CN"/>
              </w:rPr>
              <w:t>提供冷冻水</w:t>
            </w:r>
          </w:p>
        </w:tc>
        <w:tc>
          <w:tcPr>
            <w:tcW w:w="534" w:type="pct"/>
            <w:tcBorders>
              <w:tl2br w:val="nil"/>
              <w:tr2bl w:val="nil"/>
            </w:tcBorders>
            <w:shd w:val="clear" w:color="auto" w:fill="auto"/>
            <w:noWrap w:val="0"/>
            <w:vAlign w:val="center"/>
          </w:tcPr>
          <w:p w14:paraId="6AA5729C">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eastAsia" w:ascii="Times New Roman" w:hAnsi="Times New Roman" w:cs="Times New Roman"/>
                <w:b w:val="0"/>
                <w:bCs/>
                <w:color w:val="auto"/>
                <w:sz w:val="21"/>
                <w:szCs w:val="21"/>
                <w:lang w:val="en-US" w:eastAsia="zh-CN" w:bidi="zh-CN"/>
              </w:rPr>
            </w:pPr>
            <w:r>
              <w:rPr>
                <w:rFonts w:hint="eastAsia" w:ascii="Times New Roman" w:hAnsi="Times New Roman" w:cs="Times New Roman"/>
                <w:b w:val="0"/>
                <w:bCs/>
                <w:color w:val="auto"/>
                <w:sz w:val="21"/>
                <w:szCs w:val="21"/>
                <w:lang w:val="en-US" w:eastAsia="zh-CN" w:bidi="zh-CN"/>
              </w:rPr>
              <w:t>依托现有工程</w:t>
            </w:r>
          </w:p>
        </w:tc>
      </w:tr>
      <w:tr w14:paraId="7BC1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6B721F45">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noWrap w:val="0"/>
            <w:vAlign w:val="center"/>
          </w:tcPr>
          <w:p w14:paraId="129F2655">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cs="Times New Roman"/>
                <w:b w:val="0"/>
                <w:bCs/>
                <w:color w:val="auto"/>
                <w:sz w:val="21"/>
                <w:szCs w:val="21"/>
                <w:lang w:val="en-US" w:eastAsia="zh-CN" w:bidi="zh-CN"/>
              </w:rPr>
              <w:t>供风系统</w:t>
            </w:r>
          </w:p>
        </w:tc>
        <w:tc>
          <w:tcPr>
            <w:tcW w:w="3537" w:type="pct"/>
            <w:tcBorders>
              <w:tl2br w:val="nil"/>
              <w:tr2bl w:val="nil"/>
            </w:tcBorders>
            <w:noWrap w:val="0"/>
            <w:vAlign w:val="center"/>
          </w:tcPr>
          <w:p w14:paraId="2E7DDA6A">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eastAsia" w:ascii="Times New Roman" w:hAnsi="Times New Roman" w:cs="Times New Roman"/>
                <w:b w:val="0"/>
                <w:bCs/>
                <w:color w:val="auto"/>
                <w:sz w:val="21"/>
                <w:szCs w:val="21"/>
                <w:lang w:val="en-US" w:eastAsia="zh-CN" w:bidi="zh-CN"/>
              </w:rPr>
              <w:t>依托</w:t>
            </w:r>
            <w:r>
              <w:rPr>
                <w:rFonts w:hint="default" w:ascii="Times New Roman" w:hAnsi="Times New Roman" w:cs="Times New Roman"/>
                <w:b w:val="0"/>
                <w:bCs/>
                <w:color w:val="auto"/>
                <w:sz w:val="21"/>
                <w:szCs w:val="21"/>
                <w:lang w:val="en-US" w:eastAsia="zh-CN" w:bidi="zh-CN"/>
              </w:rPr>
              <w:t>现有工程空压站</w:t>
            </w:r>
            <w:r>
              <w:rPr>
                <w:rFonts w:hint="eastAsia" w:ascii="Times New Roman" w:hAnsi="Times New Roman" w:cs="Times New Roman"/>
                <w:b w:val="0"/>
                <w:bCs/>
                <w:color w:val="auto"/>
                <w:sz w:val="21"/>
                <w:szCs w:val="21"/>
                <w:lang w:val="en-US" w:eastAsia="zh-CN" w:bidi="zh-CN"/>
              </w:rPr>
              <w:t>建设的</w:t>
            </w:r>
            <w:r>
              <w:rPr>
                <w:rFonts w:hint="default" w:ascii="Times New Roman" w:hAnsi="Times New Roman" w:cs="Times New Roman"/>
                <w:b w:val="0"/>
                <w:bCs/>
                <w:color w:val="auto"/>
                <w:sz w:val="21"/>
                <w:szCs w:val="21"/>
                <w:lang w:val="en-US" w:eastAsia="zh-CN" w:bidi="zh-CN"/>
              </w:rPr>
              <w:t>2台轴流空压机</w:t>
            </w:r>
            <w:r>
              <w:rPr>
                <w:rFonts w:hint="eastAsia" w:ascii="Times New Roman" w:hAnsi="Times New Roman" w:cs="Times New Roman"/>
                <w:b w:val="0"/>
                <w:bCs/>
                <w:color w:val="auto"/>
                <w:sz w:val="21"/>
                <w:szCs w:val="21"/>
                <w:lang w:val="en-US" w:eastAsia="zh-CN" w:bidi="zh-CN"/>
              </w:rPr>
              <w:t>提供</w:t>
            </w:r>
            <w:r>
              <w:rPr>
                <w:rFonts w:hint="default" w:ascii="Times New Roman" w:hAnsi="Times New Roman" w:cs="Times New Roman"/>
                <w:b w:val="0"/>
                <w:bCs/>
                <w:color w:val="auto"/>
                <w:sz w:val="21"/>
                <w:szCs w:val="21"/>
                <w:lang w:val="en-US" w:eastAsia="zh-CN" w:bidi="zh-CN"/>
              </w:rPr>
              <w:t>1.6MPa（G）仪表空气</w:t>
            </w:r>
            <w:r>
              <w:rPr>
                <w:rFonts w:hint="eastAsia" w:ascii="Times New Roman" w:hAnsi="Times New Roman" w:cs="Times New Roman"/>
                <w:b w:val="0"/>
                <w:bCs/>
                <w:color w:val="auto"/>
                <w:sz w:val="21"/>
                <w:szCs w:val="21"/>
                <w:lang w:val="en-US" w:eastAsia="zh-CN" w:bidi="zh-CN"/>
              </w:rPr>
              <w:t>，</w:t>
            </w:r>
            <w:r>
              <w:rPr>
                <w:rFonts w:hint="default" w:ascii="Times New Roman" w:hAnsi="Times New Roman" w:cs="Times New Roman"/>
                <w:b w:val="0"/>
                <w:bCs/>
                <w:color w:val="auto"/>
                <w:sz w:val="21"/>
                <w:szCs w:val="21"/>
                <w:lang w:val="en-US" w:eastAsia="zh-CN" w:bidi="zh-CN"/>
              </w:rPr>
              <w:t>单台流量92000Nm</w:t>
            </w:r>
            <w:r>
              <w:rPr>
                <w:rFonts w:hint="eastAsia" w:ascii="Times New Roman" w:hAnsi="Times New Roman" w:cs="Times New Roman"/>
                <w:b w:val="0"/>
                <w:bCs/>
                <w:color w:val="auto"/>
                <w:sz w:val="21"/>
                <w:szCs w:val="21"/>
                <w:vertAlign w:val="superscript"/>
                <w:lang w:val="en-US" w:eastAsia="zh-CN" w:bidi="zh-CN"/>
              </w:rPr>
              <w:t>3</w:t>
            </w:r>
            <w:r>
              <w:rPr>
                <w:rFonts w:hint="default" w:ascii="Times New Roman" w:hAnsi="Times New Roman" w:cs="Times New Roman"/>
                <w:b w:val="0"/>
                <w:bCs/>
                <w:color w:val="auto"/>
                <w:sz w:val="21"/>
                <w:szCs w:val="21"/>
                <w:lang w:val="en-US" w:eastAsia="zh-CN" w:bidi="zh-CN"/>
              </w:rPr>
              <w:t>/h</w:t>
            </w:r>
          </w:p>
        </w:tc>
        <w:tc>
          <w:tcPr>
            <w:tcW w:w="534" w:type="pct"/>
            <w:tcBorders>
              <w:tl2br w:val="nil"/>
              <w:tr2bl w:val="nil"/>
            </w:tcBorders>
            <w:shd w:val="clear" w:color="auto" w:fill="auto"/>
            <w:noWrap w:val="0"/>
            <w:vAlign w:val="center"/>
          </w:tcPr>
          <w:p w14:paraId="6FFDCC4E">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zh-CN" w:eastAsia="zh-CN" w:bidi="zh-CN"/>
              </w:rPr>
            </w:pPr>
            <w:r>
              <w:rPr>
                <w:rFonts w:hint="eastAsia" w:ascii="Times New Roman" w:hAnsi="Times New Roman" w:cs="Times New Roman"/>
                <w:b w:val="0"/>
                <w:bCs/>
                <w:color w:val="auto"/>
                <w:sz w:val="21"/>
                <w:szCs w:val="21"/>
                <w:lang w:val="en-US" w:eastAsia="zh-CN" w:bidi="zh-CN"/>
              </w:rPr>
              <w:t>依托现有工程</w:t>
            </w:r>
          </w:p>
        </w:tc>
      </w:tr>
      <w:tr w14:paraId="4B0C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7FDAE2F4">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noWrap w:val="0"/>
            <w:vAlign w:val="center"/>
          </w:tcPr>
          <w:p w14:paraId="1DCFD1AD">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eastAsia="宋体" w:cs="Times New Roman"/>
                <w:b w:val="0"/>
                <w:bCs/>
                <w:color w:val="auto"/>
                <w:sz w:val="21"/>
                <w:szCs w:val="21"/>
                <w:lang w:val="en-US" w:eastAsia="zh-CN" w:bidi="zh-CN"/>
              </w:rPr>
              <w:t>制氮站</w:t>
            </w:r>
          </w:p>
        </w:tc>
        <w:tc>
          <w:tcPr>
            <w:tcW w:w="3537" w:type="pct"/>
            <w:tcBorders>
              <w:tl2br w:val="nil"/>
              <w:tr2bl w:val="nil"/>
            </w:tcBorders>
            <w:noWrap w:val="0"/>
            <w:vAlign w:val="center"/>
          </w:tcPr>
          <w:p w14:paraId="251FC539">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eastAsia" w:ascii="Times New Roman" w:hAnsi="Times New Roman" w:eastAsia="宋体" w:cs="Times New Roman"/>
                <w:b w:val="0"/>
                <w:bCs/>
                <w:color w:val="auto"/>
                <w:sz w:val="21"/>
                <w:szCs w:val="21"/>
                <w:lang w:val="en-US" w:eastAsia="zh-CN" w:bidi="zh-CN"/>
              </w:rPr>
              <w:t>依托现有工程</w:t>
            </w:r>
            <w:r>
              <w:rPr>
                <w:rFonts w:hint="eastAsia" w:ascii="Times New Roman" w:hAnsi="Times New Roman" w:eastAsia="宋体" w:cs="Times New Roman"/>
                <w:b w:val="0"/>
                <w:bCs/>
                <w:color w:val="auto"/>
                <w:sz w:val="21"/>
                <w:szCs w:val="21"/>
                <w:lang w:val="zh-CN" w:eastAsia="zh-CN" w:bidi="zh-CN"/>
              </w:rPr>
              <w:t>氮气站</w:t>
            </w:r>
            <w:r>
              <w:rPr>
                <w:rFonts w:hint="eastAsia" w:ascii="Times New Roman" w:hAnsi="Times New Roman" w:eastAsia="宋体" w:cs="Times New Roman"/>
                <w:b w:val="0"/>
                <w:bCs/>
                <w:color w:val="auto"/>
                <w:sz w:val="21"/>
                <w:szCs w:val="21"/>
                <w:lang w:val="en-US" w:eastAsia="zh-CN" w:bidi="zh-CN"/>
              </w:rPr>
              <w:t>建设的</w:t>
            </w:r>
            <w:r>
              <w:rPr>
                <w:rFonts w:hint="eastAsia" w:ascii="Times New Roman" w:hAnsi="Times New Roman" w:eastAsia="宋体" w:cs="Times New Roman"/>
                <w:b w:val="0"/>
                <w:bCs/>
                <w:color w:val="auto"/>
                <w:sz w:val="21"/>
                <w:szCs w:val="21"/>
                <w:lang w:val="zh-CN" w:eastAsia="zh-CN" w:bidi="zh-CN"/>
              </w:rPr>
              <w:t>2套PSA制氮设备</w:t>
            </w:r>
            <w:r>
              <w:rPr>
                <w:rFonts w:hint="eastAsia" w:ascii="Times New Roman" w:hAnsi="Times New Roman" w:eastAsia="宋体" w:cs="Times New Roman"/>
                <w:b w:val="0"/>
                <w:bCs/>
                <w:color w:val="auto"/>
                <w:sz w:val="21"/>
                <w:szCs w:val="21"/>
                <w:lang w:val="en-US" w:eastAsia="zh-CN" w:bidi="zh-CN"/>
              </w:rPr>
              <w:t>提供</w:t>
            </w:r>
            <w:r>
              <w:rPr>
                <w:rFonts w:hint="default" w:ascii="Times New Roman" w:hAnsi="Times New Roman" w:eastAsia="宋体" w:cs="Times New Roman"/>
                <w:b w:val="0"/>
                <w:bCs/>
                <w:color w:val="auto"/>
                <w:sz w:val="21"/>
                <w:szCs w:val="21"/>
                <w:lang w:val="en-US" w:eastAsia="zh-CN" w:bidi="zh-CN"/>
              </w:rPr>
              <w:t>1.6MPa（G）氮气</w:t>
            </w:r>
            <w:r>
              <w:rPr>
                <w:rFonts w:hint="eastAsia" w:ascii="Times New Roman" w:hAnsi="Times New Roman" w:eastAsia="宋体" w:cs="Times New Roman"/>
                <w:b w:val="0"/>
                <w:bCs/>
                <w:color w:val="auto"/>
                <w:sz w:val="21"/>
                <w:szCs w:val="21"/>
                <w:lang w:val="en-US" w:eastAsia="zh-CN" w:bidi="zh-CN"/>
              </w:rPr>
              <w:t>，</w:t>
            </w:r>
            <w:r>
              <w:rPr>
                <w:rFonts w:hint="eastAsia" w:ascii="Times New Roman" w:hAnsi="Times New Roman" w:eastAsia="宋体" w:cs="Times New Roman"/>
                <w:b w:val="0"/>
                <w:bCs/>
                <w:color w:val="auto"/>
                <w:sz w:val="21"/>
                <w:szCs w:val="21"/>
                <w:lang w:val="zh-CN" w:eastAsia="zh-CN" w:bidi="zh-CN"/>
              </w:rPr>
              <w:t>单</w:t>
            </w:r>
            <w:r>
              <w:rPr>
                <w:rFonts w:hint="eastAsia" w:ascii="Times New Roman" w:hAnsi="Times New Roman" w:cs="Times New Roman"/>
                <w:b w:val="0"/>
                <w:bCs/>
                <w:color w:val="auto"/>
                <w:sz w:val="21"/>
                <w:szCs w:val="21"/>
                <w:lang w:val="en-US" w:eastAsia="zh-CN" w:bidi="zh-CN"/>
              </w:rPr>
              <w:t>套氮气产生</w:t>
            </w:r>
            <w:r>
              <w:rPr>
                <w:rFonts w:hint="eastAsia" w:ascii="Times New Roman" w:hAnsi="Times New Roman" w:eastAsia="宋体" w:cs="Times New Roman"/>
                <w:b w:val="0"/>
                <w:bCs/>
                <w:color w:val="auto"/>
                <w:sz w:val="21"/>
                <w:szCs w:val="21"/>
                <w:lang w:val="zh-CN" w:eastAsia="zh-CN" w:bidi="zh-CN"/>
              </w:rPr>
              <w:t>量1500Nm</w:t>
            </w:r>
            <w:r>
              <w:rPr>
                <w:rFonts w:hint="eastAsia" w:ascii="Times New Roman" w:hAnsi="Times New Roman" w:cs="Times New Roman"/>
                <w:b w:val="0"/>
                <w:bCs/>
                <w:color w:val="auto"/>
                <w:sz w:val="21"/>
                <w:szCs w:val="21"/>
                <w:vertAlign w:val="superscript"/>
                <w:lang w:val="en-US" w:eastAsia="zh-CN" w:bidi="zh-CN"/>
              </w:rPr>
              <w:t>3</w:t>
            </w:r>
            <w:r>
              <w:rPr>
                <w:rFonts w:hint="eastAsia" w:ascii="Times New Roman" w:hAnsi="Times New Roman" w:eastAsia="宋体" w:cs="Times New Roman"/>
                <w:b w:val="0"/>
                <w:bCs/>
                <w:color w:val="auto"/>
                <w:sz w:val="21"/>
                <w:szCs w:val="21"/>
                <w:lang w:val="zh-CN" w:eastAsia="zh-CN" w:bidi="zh-CN"/>
              </w:rPr>
              <w:t>/h</w:t>
            </w:r>
          </w:p>
        </w:tc>
        <w:tc>
          <w:tcPr>
            <w:tcW w:w="534" w:type="pct"/>
            <w:tcBorders>
              <w:tl2br w:val="nil"/>
              <w:tr2bl w:val="nil"/>
            </w:tcBorders>
            <w:shd w:val="clear" w:color="auto" w:fill="auto"/>
            <w:noWrap w:val="0"/>
            <w:vAlign w:val="center"/>
          </w:tcPr>
          <w:p w14:paraId="2691074E">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eastAsia" w:ascii="Times New Roman" w:hAnsi="Times New Roman" w:cs="Times New Roman"/>
                <w:b w:val="0"/>
                <w:bCs/>
                <w:color w:val="auto"/>
                <w:sz w:val="21"/>
                <w:szCs w:val="21"/>
                <w:lang w:val="en-US" w:eastAsia="zh-CN" w:bidi="zh-CN"/>
              </w:rPr>
            </w:pPr>
            <w:r>
              <w:rPr>
                <w:rFonts w:hint="eastAsia" w:ascii="Times New Roman" w:hAnsi="Times New Roman" w:cs="Times New Roman"/>
                <w:b w:val="0"/>
                <w:bCs/>
                <w:color w:val="auto"/>
                <w:sz w:val="21"/>
                <w:szCs w:val="21"/>
                <w:lang w:val="en-US" w:eastAsia="zh-CN" w:bidi="zh-CN"/>
              </w:rPr>
              <w:t>依托现有工程</w:t>
            </w:r>
          </w:p>
        </w:tc>
      </w:tr>
      <w:tr w14:paraId="06A8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40432667">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noWrap w:val="0"/>
            <w:vAlign w:val="center"/>
          </w:tcPr>
          <w:p w14:paraId="57EA84CB">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cs="Times New Roman"/>
                <w:b w:val="0"/>
                <w:bCs/>
                <w:color w:val="auto"/>
                <w:sz w:val="21"/>
                <w:szCs w:val="21"/>
                <w:lang w:val="en-US" w:eastAsia="zh-CN" w:bidi="zh-CN"/>
              </w:rPr>
              <w:t>天然气</w:t>
            </w:r>
            <w:r>
              <w:rPr>
                <w:rFonts w:hint="default" w:ascii="Times New Roman" w:hAnsi="Times New Roman" w:cs="Times New Roman"/>
                <w:b w:val="0"/>
                <w:bCs/>
                <w:color w:val="auto"/>
                <w:sz w:val="21"/>
                <w:szCs w:val="21"/>
                <w:lang w:val="en-US" w:eastAsia="zh-CN" w:bidi="zh-CN"/>
              </w:rPr>
              <w:t>导热油炉</w:t>
            </w:r>
            <w:r>
              <w:rPr>
                <w:rFonts w:hint="default" w:ascii="Times New Roman" w:hAnsi="Times New Roman" w:eastAsia="宋体" w:cs="Times New Roman"/>
                <w:b w:val="0"/>
                <w:bCs/>
                <w:color w:val="auto"/>
                <w:sz w:val="21"/>
                <w:szCs w:val="21"/>
                <w:lang w:val="en-US" w:eastAsia="zh-CN" w:bidi="zh-CN"/>
              </w:rPr>
              <w:t>房</w:t>
            </w:r>
          </w:p>
        </w:tc>
        <w:tc>
          <w:tcPr>
            <w:tcW w:w="3537" w:type="pct"/>
            <w:tcBorders>
              <w:tl2br w:val="nil"/>
              <w:tr2bl w:val="nil"/>
            </w:tcBorders>
            <w:noWrap w:val="0"/>
            <w:vAlign w:val="center"/>
          </w:tcPr>
          <w:p w14:paraId="2D3519F3">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default" w:ascii="Times New Roman" w:hAnsi="Times New Roman" w:cs="Times New Roman"/>
                <w:b w:val="0"/>
                <w:bCs/>
                <w:color w:val="auto"/>
                <w:sz w:val="21"/>
                <w:szCs w:val="21"/>
                <w:highlight w:val="none"/>
                <w:lang w:val="en-US" w:eastAsia="zh-CN" w:bidi="zh-CN"/>
              </w:rPr>
              <w:t>门式钢架结构，占地面积</w:t>
            </w:r>
            <w:r>
              <w:rPr>
                <w:rFonts w:hint="default" w:ascii="Times New Roman" w:hAnsi="Times New Roman" w:cs="Times New Roman"/>
                <w:b w:val="0"/>
                <w:bCs/>
                <w:sz w:val="21"/>
                <w:szCs w:val="21"/>
                <w:highlight w:val="none"/>
                <w:lang w:val="en-US" w:eastAsia="zh-CN"/>
              </w:rPr>
              <w:t>400m</w:t>
            </w:r>
            <w:r>
              <w:rPr>
                <w:rFonts w:hint="default" w:ascii="Times New Roman" w:hAnsi="Times New Roman" w:cs="Times New Roman"/>
                <w:b w:val="0"/>
                <w:bCs/>
                <w:sz w:val="21"/>
                <w:szCs w:val="21"/>
                <w:highlight w:val="none"/>
                <w:vertAlign w:val="superscript"/>
                <w:lang w:val="en-US" w:eastAsia="zh-CN"/>
              </w:rPr>
              <w:t>2</w:t>
            </w:r>
            <w:r>
              <w:rPr>
                <w:rFonts w:hint="default" w:ascii="Times New Roman" w:hAnsi="Times New Roman" w:cs="Times New Roman"/>
                <w:b w:val="0"/>
                <w:bCs/>
                <w:sz w:val="21"/>
                <w:szCs w:val="21"/>
                <w:highlight w:val="none"/>
                <w:lang w:val="en-US" w:eastAsia="zh-CN"/>
              </w:rPr>
              <w:t>，高度</w:t>
            </w:r>
            <w:r>
              <w:rPr>
                <w:rFonts w:hint="eastAsia" w:ascii="Times New Roman" w:hAnsi="Times New Roman" w:cs="Times New Roman"/>
                <w:b w:val="0"/>
                <w:bCs/>
                <w:sz w:val="21"/>
                <w:szCs w:val="21"/>
                <w:highlight w:val="none"/>
                <w:lang w:val="en-US" w:eastAsia="zh-CN"/>
              </w:rPr>
              <w:t>7.9</w:t>
            </w:r>
            <w:r>
              <w:rPr>
                <w:rFonts w:hint="default" w:ascii="Times New Roman" w:hAnsi="Times New Roman" w:cs="Times New Roman"/>
                <w:b w:val="0"/>
                <w:bCs/>
                <w:sz w:val="21"/>
                <w:szCs w:val="21"/>
                <w:highlight w:val="none"/>
                <w:lang w:val="en-US" w:eastAsia="zh-CN"/>
              </w:rPr>
              <w:t>m；</w:t>
            </w:r>
            <w:r>
              <w:rPr>
                <w:rFonts w:hint="default" w:ascii="Times New Roman" w:hAnsi="Times New Roman" w:cs="Times New Roman"/>
                <w:b w:val="0"/>
                <w:bCs/>
                <w:sz w:val="21"/>
                <w:szCs w:val="21"/>
                <w:lang w:val="en-US" w:eastAsia="zh-CN"/>
              </w:rPr>
              <w:t>主要建设</w:t>
            </w:r>
            <w:r>
              <w:rPr>
                <w:rFonts w:hint="eastAsia" w:ascii="Times New Roman" w:hAnsi="Times New Roman" w:cs="Times New Roman"/>
                <w:b w:val="0"/>
                <w:bCs/>
                <w:sz w:val="21"/>
                <w:szCs w:val="21"/>
                <w:lang w:val="en-US" w:eastAsia="zh-CN"/>
              </w:rPr>
              <w:t>2</w:t>
            </w:r>
            <w:r>
              <w:rPr>
                <w:rFonts w:hint="default" w:ascii="Times New Roman" w:hAnsi="Times New Roman" w:cs="Times New Roman"/>
                <w:b w:val="0"/>
                <w:bCs/>
                <w:sz w:val="21"/>
                <w:szCs w:val="21"/>
                <w:lang w:val="en-US" w:eastAsia="zh-CN"/>
              </w:rPr>
              <w:t>座4.1MW天然气导热油炉</w:t>
            </w:r>
            <w:r>
              <w:rPr>
                <w:rFonts w:hint="eastAsia" w:ascii="Times New Roman" w:hAnsi="Times New Roman" w:cs="Times New Roman"/>
                <w:b w:val="0"/>
                <w:bCs/>
                <w:sz w:val="21"/>
                <w:szCs w:val="21"/>
                <w:lang w:val="en-US" w:eastAsia="zh-CN"/>
              </w:rPr>
              <w:t>，分别为两条LCDN生产线提供导热油加热</w:t>
            </w:r>
          </w:p>
        </w:tc>
        <w:tc>
          <w:tcPr>
            <w:tcW w:w="534" w:type="pct"/>
            <w:tcBorders>
              <w:tl2br w:val="nil"/>
              <w:tr2bl w:val="nil"/>
            </w:tcBorders>
            <w:noWrap w:val="0"/>
            <w:vAlign w:val="center"/>
          </w:tcPr>
          <w:p w14:paraId="21834A9E">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default" w:ascii="Times New Roman" w:hAnsi="Times New Roman" w:eastAsia="宋体" w:cs="Times New Roman"/>
                <w:b w:val="0"/>
                <w:bCs/>
                <w:color w:val="auto"/>
                <w:sz w:val="21"/>
                <w:szCs w:val="21"/>
                <w:lang w:val="en-US" w:eastAsia="zh-CN" w:bidi="zh-CN"/>
              </w:rPr>
              <w:t>新建</w:t>
            </w:r>
          </w:p>
        </w:tc>
      </w:tr>
      <w:tr w14:paraId="14E3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446095AE">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noWrap w:val="0"/>
            <w:vAlign w:val="center"/>
          </w:tcPr>
          <w:p w14:paraId="398B6695">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eastAsia="宋体" w:cs="Times New Roman"/>
                <w:b w:val="0"/>
                <w:bCs/>
                <w:color w:val="auto"/>
                <w:sz w:val="21"/>
                <w:szCs w:val="21"/>
                <w:lang w:val="en-US" w:eastAsia="zh-CN" w:bidi="zh-CN"/>
              </w:rPr>
              <w:t>蒸汽系统</w:t>
            </w:r>
          </w:p>
        </w:tc>
        <w:tc>
          <w:tcPr>
            <w:tcW w:w="3537" w:type="pct"/>
            <w:tcBorders>
              <w:tl2br w:val="nil"/>
              <w:tr2bl w:val="nil"/>
            </w:tcBorders>
            <w:noWrap w:val="0"/>
            <w:vAlign w:val="center"/>
          </w:tcPr>
          <w:p w14:paraId="747807D7">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eastAsia="宋体" w:cs="Times New Roman"/>
                <w:b w:val="0"/>
                <w:bCs/>
                <w:color w:val="auto"/>
                <w:sz w:val="21"/>
                <w:szCs w:val="21"/>
                <w:lang w:val="en-US" w:eastAsia="zh-CN" w:bidi="zh-CN"/>
              </w:rPr>
              <w:t>蒸汽由</w:t>
            </w:r>
            <w:r>
              <w:rPr>
                <w:rFonts w:hint="eastAsia" w:ascii="Times New Roman" w:hAnsi="Times New Roman" w:cs="Times New Roman"/>
                <w:b w:val="0"/>
                <w:bCs/>
                <w:color w:val="auto"/>
                <w:sz w:val="21"/>
                <w:szCs w:val="21"/>
                <w:lang w:val="en-US" w:eastAsia="zh-CN" w:bidi="zh-CN"/>
              </w:rPr>
              <w:t>园区集中供热（</w:t>
            </w:r>
            <w:r>
              <w:rPr>
                <w:rFonts w:hint="eastAsia" w:ascii="Times New Roman" w:hAnsi="Times New Roman" w:eastAsia="宋体" w:cs="Times New Roman"/>
                <w:b w:val="0"/>
                <w:bCs/>
                <w:color w:val="auto"/>
                <w:sz w:val="21"/>
                <w:szCs w:val="21"/>
                <w:lang w:val="en-US" w:eastAsia="zh-CN" w:bidi="zh-CN"/>
              </w:rPr>
              <w:t>现有工程锅炉房</w:t>
            </w:r>
            <w:r>
              <w:rPr>
                <w:rFonts w:hint="eastAsia" w:ascii="Times New Roman" w:hAnsi="Times New Roman" w:cs="Times New Roman"/>
                <w:b w:val="0"/>
                <w:bCs/>
                <w:color w:val="auto"/>
                <w:sz w:val="21"/>
                <w:szCs w:val="21"/>
                <w:lang w:val="en-US" w:eastAsia="zh-CN" w:bidi="zh-CN"/>
              </w:rPr>
              <w:t>）</w:t>
            </w:r>
            <w:r>
              <w:rPr>
                <w:rFonts w:hint="eastAsia" w:ascii="Times New Roman" w:hAnsi="Times New Roman" w:eastAsia="宋体" w:cs="Times New Roman"/>
                <w:b w:val="0"/>
                <w:bCs/>
                <w:color w:val="auto"/>
                <w:sz w:val="21"/>
                <w:szCs w:val="21"/>
                <w:lang w:val="en-US" w:eastAsia="zh-CN" w:bidi="zh-CN"/>
              </w:rPr>
              <w:t>提供，内设5台75t/h</w:t>
            </w:r>
            <w:r>
              <w:rPr>
                <w:rFonts w:hint="eastAsia" w:ascii="Times New Roman" w:hAnsi="Times New Roman" w:eastAsia="宋体" w:cs="Times New Roman"/>
                <w:b w:val="0"/>
                <w:bCs/>
                <w:color w:val="auto"/>
                <w:sz w:val="21"/>
                <w:szCs w:val="21"/>
                <w:highlight w:val="none"/>
                <w:lang w:val="en-US" w:eastAsia="zh-CN" w:bidi="zh-CN"/>
              </w:rPr>
              <w:t>（4用1备）</w:t>
            </w:r>
            <w:r>
              <w:rPr>
                <w:rFonts w:hint="eastAsia" w:ascii="Times New Roman" w:hAnsi="Times New Roman" w:eastAsia="宋体" w:cs="Times New Roman"/>
                <w:b w:val="0"/>
                <w:bCs/>
                <w:color w:val="auto"/>
                <w:sz w:val="21"/>
                <w:szCs w:val="21"/>
                <w:lang w:val="en-US" w:eastAsia="zh-CN" w:bidi="zh-CN"/>
              </w:rPr>
              <w:t>蒸汽锅炉</w:t>
            </w:r>
          </w:p>
        </w:tc>
        <w:tc>
          <w:tcPr>
            <w:tcW w:w="534" w:type="pct"/>
            <w:tcBorders>
              <w:tl2br w:val="nil"/>
              <w:tr2bl w:val="nil"/>
            </w:tcBorders>
            <w:noWrap w:val="0"/>
            <w:vAlign w:val="center"/>
          </w:tcPr>
          <w:p w14:paraId="2C37DCD0">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cs="Times New Roman"/>
                <w:b w:val="0"/>
                <w:bCs/>
                <w:color w:val="auto"/>
                <w:sz w:val="21"/>
                <w:szCs w:val="21"/>
                <w:lang w:val="en-US" w:eastAsia="zh-CN" w:bidi="zh-CN"/>
              </w:rPr>
              <w:t>依托现有工程</w:t>
            </w:r>
          </w:p>
        </w:tc>
      </w:tr>
      <w:tr w14:paraId="603A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restart"/>
            <w:tcBorders>
              <w:tl2br w:val="nil"/>
              <w:tr2bl w:val="nil"/>
            </w:tcBorders>
            <w:noWrap w:val="0"/>
            <w:vAlign w:val="center"/>
          </w:tcPr>
          <w:p w14:paraId="2C18DBC0">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公用</w:t>
            </w:r>
          </w:p>
          <w:p w14:paraId="27676BA4">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工程</w:t>
            </w:r>
          </w:p>
        </w:tc>
        <w:tc>
          <w:tcPr>
            <w:tcW w:w="700" w:type="pct"/>
            <w:gridSpan w:val="2"/>
            <w:tcBorders>
              <w:tl2br w:val="nil"/>
              <w:tr2bl w:val="nil"/>
            </w:tcBorders>
            <w:noWrap w:val="0"/>
            <w:vAlign w:val="center"/>
          </w:tcPr>
          <w:p w14:paraId="3820FDF9">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zh-CN" w:eastAsia="zh-CN" w:bidi="zh-CN"/>
              </w:rPr>
            </w:pPr>
            <w:r>
              <w:rPr>
                <w:rFonts w:hint="default" w:ascii="Times New Roman" w:hAnsi="Times New Roman" w:eastAsia="宋体" w:cs="Times New Roman"/>
                <w:b w:val="0"/>
                <w:bCs/>
                <w:color w:val="auto"/>
                <w:sz w:val="21"/>
                <w:szCs w:val="21"/>
                <w:highlight w:val="none"/>
                <w:lang w:val="zh-CN" w:eastAsia="zh-CN" w:bidi="zh-CN"/>
              </w:rPr>
              <w:t>供水</w:t>
            </w:r>
          </w:p>
        </w:tc>
        <w:tc>
          <w:tcPr>
            <w:tcW w:w="3537" w:type="pct"/>
            <w:tcBorders>
              <w:tl2br w:val="nil"/>
              <w:tr2bl w:val="nil"/>
            </w:tcBorders>
            <w:noWrap w:val="0"/>
            <w:vAlign w:val="center"/>
          </w:tcPr>
          <w:p w14:paraId="7678F4C5">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zh-CN" w:eastAsia="zh-CN" w:bidi="zh-CN"/>
              </w:rPr>
            </w:pPr>
            <w:r>
              <w:rPr>
                <w:rFonts w:hint="eastAsia" w:ascii="Times New Roman" w:hAnsi="Times New Roman" w:eastAsia="宋体" w:cs="Times New Roman"/>
                <w:b w:val="0"/>
                <w:bCs/>
                <w:color w:val="auto"/>
                <w:sz w:val="21"/>
                <w:szCs w:val="21"/>
                <w:highlight w:val="none"/>
                <w:lang w:val="en-US" w:eastAsia="zh-CN" w:bidi="zh-CN"/>
              </w:rPr>
              <w:t>依托厂内现有给水系统，分为新鲜水系统、纯水系统和循环冷却水系统，</w:t>
            </w:r>
            <w:r>
              <w:rPr>
                <w:rFonts w:hint="default" w:ascii="Times New Roman" w:hAnsi="Times New Roman" w:eastAsia="宋体" w:cs="Times New Roman"/>
                <w:b w:val="0"/>
                <w:bCs/>
                <w:color w:val="auto"/>
                <w:sz w:val="21"/>
                <w:szCs w:val="21"/>
                <w:highlight w:val="none"/>
                <w:lang w:val="en-US" w:eastAsia="zh-CN" w:bidi="zh-CN"/>
              </w:rPr>
              <w:t>本项目配套建设相关管网设施</w:t>
            </w:r>
          </w:p>
        </w:tc>
        <w:tc>
          <w:tcPr>
            <w:tcW w:w="534" w:type="pct"/>
            <w:tcBorders>
              <w:tl2br w:val="nil"/>
              <w:tr2bl w:val="nil"/>
            </w:tcBorders>
            <w:noWrap w:val="0"/>
            <w:vAlign w:val="center"/>
          </w:tcPr>
          <w:p w14:paraId="307F4556">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eastAsia" w:ascii="Times New Roman" w:hAnsi="Times New Roman" w:cs="Times New Roman"/>
                <w:b w:val="0"/>
                <w:bCs/>
                <w:color w:val="auto"/>
                <w:sz w:val="21"/>
                <w:szCs w:val="21"/>
                <w:lang w:val="en-US" w:eastAsia="zh-CN" w:bidi="zh-CN"/>
              </w:rPr>
              <w:t>新建</w:t>
            </w:r>
          </w:p>
        </w:tc>
      </w:tr>
      <w:tr w14:paraId="7A72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tblHeader/>
          <w:jc w:val="center"/>
        </w:trPr>
        <w:tc>
          <w:tcPr>
            <w:tcW w:w="227" w:type="pct"/>
            <w:vMerge w:val="continue"/>
            <w:tcBorders>
              <w:tl2br w:val="nil"/>
              <w:tr2bl w:val="nil"/>
            </w:tcBorders>
            <w:noWrap w:val="0"/>
            <w:vAlign w:val="center"/>
          </w:tcPr>
          <w:p w14:paraId="1B27BD4E">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noWrap w:val="0"/>
            <w:vAlign w:val="center"/>
          </w:tcPr>
          <w:p w14:paraId="2F86C9E0">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zh-CN" w:eastAsia="zh-CN" w:bidi="zh-CN"/>
              </w:rPr>
            </w:pPr>
            <w:r>
              <w:rPr>
                <w:rFonts w:hint="default" w:ascii="Times New Roman" w:hAnsi="Times New Roman" w:eastAsia="宋体" w:cs="Times New Roman"/>
                <w:b w:val="0"/>
                <w:bCs/>
                <w:color w:val="auto"/>
                <w:sz w:val="21"/>
                <w:szCs w:val="21"/>
                <w:highlight w:val="none"/>
                <w:lang w:val="zh-CN" w:eastAsia="zh-CN" w:bidi="zh-CN"/>
              </w:rPr>
              <w:t>排水</w:t>
            </w:r>
          </w:p>
        </w:tc>
        <w:tc>
          <w:tcPr>
            <w:tcW w:w="3537" w:type="pct"/>
            <w:tcBorders>
              <w:tl2br w:val="nil"/>
              <w:tr2bl w:val="nil"/>
            </w:tcBorders>
            <w:noWrap w:val="0"/>
            <w:vAlign w:val="center"/>
          </w:tcPr>
          <w:p w14:paraId="74D5F572">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bidi="zh-CN"/>
              </w:rPr>
            </w:pPr>
            <w:r>
              <w:rPr>
                <w:rFonts w:hint="eastAsia" w:ascii="Times New Roman" w:hAnsi="Times New Roman" w:cs="Times New Roman"/>
                <w:b w:val="0"/>
                <w:bCs/>
                <w:color w:val="auto"/>
                <w:sz w:val="21"/>
                <w:szCs w:val="21"/>
                <w:highlight w:val="none"/>
                <w:lang w:val="en-US" w:eastAsia="zh-CN" w:bidi="zh-CN"/>
              </w:rPr>
              <w:t>本项目生活污水及生产废水进入厂区现有工程已建污水处理站处理，处理后废水与循环冷却水排水、纯水制备废水一同经厂区总排口排入园区污水管网</w:t>
            </w:r>
          </w:p>
        </w:tc>
        <w:tc>
          <w:tcPr>
            <w:tcW w:w="534" w:type="pct"/>
            <w:tcBorders>
              <w:tl2br w:val="nil"/>
              <w:tr2bl w:val="nil"/>
            </w:tcBorders>
            <w:noWrap w:val="0"/>
            <w:vAlign w:val="center"/>
          </w:tcPr>
          <w:p w14:paraId="3BA77BE0">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依托</w:t>
            </w:r>
            <w:r>
              <w:rPr>
                <w:rFonts w:hint="eastAsia" w:ascii="Times New Roman" w:hAnsi="Times New Roman" w:cs="Times New Roman"/>
                <w:b w:val="0"/>
                <w:bCs/>
                <w:color w:val="auto"/>
                <w:sz w:val="21"/>
                <w:szCs w:val="21"/>
                <w:lang w:val="en-US" w:eastAsia="zh-CN" w:bidi="zh-CN"/>
              </w:rPr>
              <w:t>现有工程</w:t>
            </w:r>
          </w:p>
        </w:tc>
      </w:tr>
      <w:tr w14:paraId="428A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04A5CDA9">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noWrap w:val="0"/>
            <w:vAlign w:val="center"/>
          </w:tcPr>
          <w:p w14:paraId="6EFF0166">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供电</w:t>
            </w:r>
          </w:p>
        </w:tc>
        <w:tc>
          <w:tcPr>
            <w:tcW w:w="3537" w:type="pct"/>
            <w:tcBorders>
              <w:tl2br w:val="nil"/>
              <w:tr2bl w:val="nil"/>
            </w:tcBorders>
            <w:noWrap w:val="0"/>
            <w:vAlign w:val="center"/>
          </w:tcPr>
          <w:p w14:paraId="1B6F689E">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b w:val="0"/>
                <w:bCs/>
                <w:color w:val="auto"/>
                <w:sz w:val="21"/>
                <w:szCs w:val="21"/>
                <w:lang w:val="zh-CN" w:eastAsia="zh-CN" w:bidi="zh-CN"/>
              </w:rPr>
            </w:pPr>
            <w:r>
              <w:rPr>
                <w:rFonts w:hint="eastAsia" w:ascii="Times New Roman" w:hAnsi="Times New Roman" w:eastAsia="宋体" w:cs="Times New Roman"/>
                <w:b w:val="0"/>
                <w:bCs/>
                <w:color w:val="auto"/>
                <w:sz w:val="21"/>
                <w:szCs w:val="21"/>
                <w:lang w:val="en-US" w:eastAsia="zh-CN" w:bidi="zh-CN"/>
              </w:rPr>
              <w:t>本次两回</w:t>
            </w:r>
            <w:r>
              <w:rPr>
                <w:rFonts w:hint="default" w:ascii="Times New Roman" w:hAnsi="Times New Roman" w:eastAsia="宋体" w:cs="Times New Roman"/>
                <w:b w:val="0"/>
                <w:bCs/>
                <w:color w:val="auto"/>
                <w:sz w:val="21"/>
                <w:szCs w:val="21"/>
                <w:lang w:val="en-US" w:eastAsia="zh-CN" w:bidi="zh-CN"/>
              </w:rPr>
              <w:t>10kV</w:t>
            </w:r>
            <w:r>
              <w:rPr>
                <w:rFonts w:hint="eastAsia" w:ascii="Times New Roman" w:hAnsi="Times New Roman" w:eastAsia="宋体" w:cs="Times New Roman"/>
                <w:b w:val="0"/>
                <w:bCs/>
                <w:color w:val="auto"/>
                <w:sz w:val="21"/>
                <w:szCs w:val="21"/>
                <w:lang w:val="en-US" w:eastAsia="zh-CN" w:bidi="zh-CN"/>
              </w:rPr>
              <w:t>电源进线引自就近园区</w:t>
            </w:r>
            <w:r>
              <w:rPr>
                <w:rFonts w:hint="default" w:ascii="Times New Roman" w:hAnsi="Times New Roman" w:eastAsia="宋体" w:cs="Times New Roman"/>
                <w:b w:val="0"/>
                <w:bCs/>
                <w:color w:val="auto"/>
                <w:sz w:val="21"/>
                <w:szCs w:val="21"/>
                <w:lang w:val="en-US" w:eastAsia="zh-CN" w:bidi="zh-CN"/>
              </w:rPr>
              <w:t>10kV</w:t>
            </w:r>
            <w:r>
              <w:rPr>
                <w:rFonts w:hint="eastAsia" w:ascii="Times New Roman" w:hAnsi="Times New Roman" w:eastAsia="宋体" w:cs="Times New Roman"/>
                <w:b w:val="0"/>
                <w:bCs/>
                <w:color w:val="auto"/>
                <w:sz w:val="21"/>
                <w:szCs w:val="21"/>
                <w:lang w:val="en-US" w:eastAsia="zh-CN" w:bidi="zh-CN"/>
              </w:rPr>
              <w:t>侧</w:t>
            </w:r>
            <w:r>
              <w:rPr>
                <w:rFonts w:hint="default" w:ascii="Times New Roman" w:hAnsi="Times New Roman" w:eastAsia="宋体" w:cs="Times New Roman"/>
                <w:b w:val="0"/>
                <w:bCs/>
                <w:color w:val="auto"/>
                <w:sz w:val="21"/>
                <w:szCs w:val="21"/>
                <w:lang w:val="en-US" w:eastAsia="zh-CN" w:bidi="zh-CN"/>
              </w:rPr>
              <w:t>I</w:t>
            </w:r>
            <w:r>
              <w:rPr>
                <w:rFonts w:hint="eastAsia" w:ascii="Times New Roman" w:hAnsi="Times New Roman" w:eastAsia="宋体" w:cs="Times New Roman"/>
                <w:b w:val="0"/>
                <w:bCs/>
                <w:color w:val="auto"/>
                <w:sz w:val="21"/>
                <w:szCs w:val="21"/>
                <w:lang w:val="en-US" w:eastAsia="zh-CN" w:bidi="zh-CN"/>
              </w:rPr>
              <w:t>、</w:t>
            </w:r>
            <w:r>
              <w:rPr>
                <w:rFonts w:hint="default" w:ascii="Times New Roman" w:hAnsi="Times New Roman" w:eastAsia="宋体" w:cs="Times New Roman"/>
                <w:b w:val="0"/>
                <w:bCs/>
                <w:color w:val="auto"/>
                <w:sz w:val="21"/>
                <w:szCs w:val="21"/>
                <w:lang w:val="en-US" w:eastAsia="zh-CN" w:bidi="zh-CN"/>
              </w:rPr>
              <w:t>II</w:t>
            </w:r>
            <w:r>
              <w:rPr>
                <w:rFonts w:hint="eastAsia" w:ascii="Times New Roman" w:hAnsi="Times New Roman" w:eastAsia="宋体" w:cs="Times New Roman"/>
                <w:b w:val="0"/>
                <w:bCs/>
                <w:color w:val="auto"/>
                <w:sz w:val="21"/>
                <w:szCs w:val="21"/>
                <w:lang w:val="en-US" w:eastAsia="zh-CN" w:bidi="zh-CN"/>
              </w:rPr>
              <w:t>段，每回电源应满足二级及以上用电负荷的需求。</w:t>
            </w:r>
          </w:p>
          <w:p w14:paraId="10D77E6F">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eastAsia="宋体" w:cs="Times New Roman"/>
                <w:b w:val="0"/>
                <w:bCs/>
                <w:color w:val="auto"/>
                <w:sz w:val="21"/>
                <w:szCs w:val="21"/>
                <w:lang w:val="en-US" w:eastAsia="zh-CN" w:bidi="zh-CN"/>
              </w:rPr>
              <w:t>本项目新建</w:t>
            </w:r>
            <w:r>
              <w:rPr>
                <w:rFonts w:hint="eastAsia" w:ascii="Times New Roman" w:hAnsi="Times New Roman" w:cs="Times New Roman"/>
                <w:b w:val="0"/>
                <w:bCs/>
                <w:color w:val="auto"/>
                <w:sz w:val="21"/>
                <w:szCs w:val="21"/>
                <w:lang w:val="en-US" w:eastAsia="zh-CN" w:bidi="zh-CN"/>
              </w:rPr>
              <w:t>1</w:t>
            </w:r>
            <w:r>
              <w:rPr>
                <w:rFonts w:hint="eastAsia" w:ascii="Times New Roman" w:hAnsi="Times New Roman" w:eastAsia="宋体" w:cs="Times New Roman"/>
                <w:b w:val="0"/>
                <w:bCs/>
                <w:color w:val="auto"/>
                <w:sz w:val="21"/>
                <w:szCs w:val="21"/>
                <w:lang w:val="en-US" w:eastAsia="zh-CN" w:bidi="zh-CN"/>
              </w:rPr>
              <w:t>座变配电室，变配电室内设置</w:t>
            </w:r>
            <w:r>
              <w:rPr>
                <w:rFonts w:hint="default" w:ascii="Times New Roman" w:hAnsi="Times New Roman" w:eastAsia="宋体" w:cs="Times New Roman"/>
                <w:b w:val="0"/>
                <w:bCs/>
                <w:color w:val="auto"/>
                <w:sz w:val="21"/>
                <w:szCs w:val="21"/>
                <w:lang w:val="en-US" w:eastAsia="zh-CN" w:bidi="zh-CN"/>
              </w:rPr>
              <w:t>10/0.4kV</w:t>
            </w:r>
            <w:r>
              <w:rPr>
                <w:rFonts w:hint="eastAsia" w:ascii="Times New Roman" w:hAnsi="Times New Roman" w:eastAsia="宋体" w:cs="Times New Roman"/>
                <w:b w:val="0"/>
                <w:bCs/>
                <w:color w:val="auto"/>
                <w:sz w:val="21"/>
                <w:szCs w:val="21"/>
                <w:lang w:val="en-US" w:eastAsia="zh-CN" w:bidi="zh-CN"/>
              </w:rPr>
              <w:t>变压器四台，每台容量</w:t>
            </w:r>
            <w:r>
              <w:rPr>
                <w:rFonts w:hint="default" w:ascii="Times New Roman" w:hAnsi="Times New Roman" w:eastAsia="宋体" w:cs="Times New Roman"/>
                <w:b w:val="0"/>
                <w:bCs/>
                <w:color w:val="auto"/>
                <w:sz w:val="21"/>
                <w:szCs w:val="21"/>
                <w:lang w:val="en-US" w:eastAsia="zh-CN" w:bidi="zh-CN"/>
              </w:rPr>
              <w:t>2500kVA</w:t>
            </w:r>
            <w:r>
              <w:rPr>
                <w:rFonts w:hint="eastAsia" w:ascii="Times New Roman" w:hAnsi="Times New Roman" w:eastAsia="宋体" w:cs="Times New Roman"/>
                <w:b w:val="0"/>
                <w:bCs/>
                <w:color w:val="auto"/>
                <w:sz w:val="21"/>
                <w:szCs w:val="21"/>
                <w:lang w:val="en-US" w:eastAsia="zh-CN" w:bidi="zh-CN"/>
              </w:rPr>
              <w:t>。</w:t>
            </w:r>
          </w:p>
        </w:tc>
        <w:tc>
          <w:tcPr>
            <w:tcW w:w="534" w:type="pct"/>
            <w:tcBorders>
              <w:tl2br w:val="nil"/>
              <w:tr2bl w:val="nil"/>
            </w:tcBorders>
            <w:noWrap w:val="0"/>
            <w:vAlign w:val="center"/>
          </w:tcPr>
          <w:p w14:paraId="277B0FB0">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cs="Times New Roman"/>
                <w:b w:val="0"/>
                <w:bCs/>
                <w:color w:val="auto"/>
                <w:sz w:val="21"/>
                <w:szCs w:val="21"/>
                <w:lang w:val="en-US" w:eastAsia="zh-CN" w:bidi="zh-CN"/>
              </w:rPr>
              <w:t>电源依托</w:t>
            </w:r>
            <w:r>
              <w:rPr>
                <w:rFonts w:hint="default" w:ascii="Times New Roman" w:hAnsi="Times New Roman" w:eastAsia="宋体" w:cs="Times New Roman"/>
                <w:b w:val="0"/>
                <w:bCs/>
                <w:color w:val="auto"/>
                <w:sz w:val="21"/>
                <w:szCs w:val="21"/>
                <w:lang w:val="zh-CN" w:eastAsia="zh-CN" w:bidi="zh-CN"/>
              </w:rPr>
              <w:t>园区</w:t>
            </w:r>
            <w:r>
              <w:rPr>
                <w:rFonts w:hint="eastAsia" w:ascii="Times New Roman" w:hAnsi="Times New Roman" w:cs="Times New Roman"/>
                <w:b w:val="0"/>
                <w:bCs/>
                <w:color w:val="auto"/>
                <w:sz w:val="21"/>
                <w:szCs w:val="21"/>
                <w:lang w:val="zh-CN" w:eastAsia="zh-CN" w:bidi="zh-CN"/>
              </w:rPr>
              <w:t>；</w:t>
            </w:r>
            <w:r>
              <w:rPr>
                <w:rFonts w:hint="eastAsia" w:ascii="Times New Roman" w:hAnsi="Times New Roman" w:cs="Times New Roman"/>
                <w:b w:val="0"/>
                <w:bCs/>
                <w:color w:val="auto"/>
                <w:sz w:val="21"/>
                <w:szCs w:val="21"/>
                <w:lang w:val="en-US" w:eastAsia="zh-CN" w:bidi="zh-CN"/>
              </w:rPr>
              <w:t>本项目新建变压器</w:t>
            </w:r>
          </w:p>
        </w:tc>
      </w:tr>
      <w:tr w14:paraId="3A5B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4C5291D1">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noWrap w:val="0"/>
            <w:vAlign w:val="center"/>
          </w:tcPr>
          <w:p w14:paraId="4289C9BE">
            <w:pPr>
              <w:keepNext w:val="0"/>
              <w:keepLines w:val="0"/>
              <w:pageBreakBefore w:val="0"/>
              <w:widowControl w:val="0"/>
              <w:tabs>
                <w:tab w:val="left" w:pos="420"/>
              </w:tabs>
              <w:kinsoku/>
              <w:wordWrap/>
              <w:overflowPunct/>
              <w:topLinePunct w:val="0"/>
              <w:autoSpaceDE/>
              <w:autoSpaceDN/>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eastAsia="宋体" w:cs="Times New Roman"/>
                <w:b w:val="0"/>
                <w:bCs/>
                <w:color w:val="auto"/>
                <w:sz w:val="21"/>
                <w:szCs w:val="21"/>
                <w:lang w:val="en-US" w:eastAsia="zh-CN" w:bidi="zh-CN"/>
              </w:rPr>
              <w:t>采暖通风</w:t>
            </w:r>
          </w:p>
        </w:tc>
        <w:tc>
          <w:tcPr>
            <w:tcW w:w="3537" w:type="pct"/>
            <w:tcBorders>
              <w:tl2br w:val="nil"/>
              <w:tr2bl w:val="nil"/>
            </w:tcBorders>
            <w:noWrap w:val="0"/>
            <w:vAlign w:val="center"/>
          </w:tcPr>
          <w:p w14:paraId="6C1FFB83">
            <w:pPr>
              <w:keepNext w:val="0"/>
              <w:keepLines w:val="0"/>
              <w:pageBreakBefore w:val="0"/>
              <w:widowControl w:val="0"/>
              <w:tabs>
                <w:tab w:val="left" w:pos="420"/>
              </w:tabs>
              <w:kinsoku/>
              <w:wordWrap/>
              <w:overflowPunct/>
              <w:topLinePunct w:val="0"/>
              <w:autoSpaceDE/>
              <w:autoSpaceDN/>
              <w:bidi w:val="0"/>
              <w:adjustRightInd/>
              <w:snapToGrid/>
              <w:spacing w:beforeAutospacing="0" w:afterAutospacing="0" w:line="240" w:lineRule="exact"/>
              <w:ind w:left="0" w:leftChars="0" w:right="0" w:firstLine="0" w:firstLineChars="0"/>
              <w:jc w:val="left"/>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eastAsia="宋体" w:cs="Times New Roman"/>
                <w:b w:val="0"/>
                <w:bCs/>
                <w:color w:val="auto"/>
                <w:sz w:val="21"/>
                <w:szCs w:val="21"/>
                <w:lang w:val="en-US" w:eastAsia="zh-CN" w:bidi="zh-CN"/>
              </w:rPr>
              <w:t>采暖由现有工程锅炉蒸汽减温减压后供给，根据不同的环境要求，建筑物需设置通风系统。通风以自然通风为主，当自然通风不能满足环境要求时，需设置机械通风。</w:t>
            </w:r>
            <w:r>
              <w:rPr>
                <w:rFonts w:hint="eastAsia" w:ascii="Times New Roman" w:hAnsi="Times New Roman" w:eastAsia="宋体" w:cs="Times New Roman"/>
                <w:b w:val="0"/>
                <w:bCs/>
                <w:color w:val="auto"/>
                <w:sz w:val="21"/>
                <w:szCs w:val="21"/>
                <w:lang w:val="zh-CN" w:eastAsia="zh-CN" w:bidi="zh-CN"/>
              </w:rPr>
              <w:t>对散发爆炸危险介质的建筑，选择防爆风机。通风、空调风管穿防火分区、楼板及通风设备机房处设防火阀。</w:t>
            </w:r>
          </w:p>
        </w:tc>
        <w:tc>
          <w:tcPr>
            <w:tcW w:w="534" w:type="pct"/>
            <w:tcBorders>
              <w:tl2br w:val="nil"/>
              <w:tr2bl w:val="nil"/>
            </w:tcBorders>
            <w:noWrap w:val="0"/>
            <w:vAlign w:val="center"/>
          </w:tcPr>
          <w:p w14:paraId="5DA7B10C">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cs="Times New Roman"/>
                <w:b w:val="0"/>
                <w:bCs/>
                <w:color w:val="auto"/>
                <w:sz w:val="21"/>
                <w:szCs w:val="21"/>
                <w:lang w:val="en-US" w:eastAsia="zh-CN" w:bidi="zh-CN"/>
              </w:rPr>
              <w:t>热源依托园区集中供热，其他管网及设备新建</w:t>
            </w:r>
          </w:p>
        </w:tc>
      </w:tr>
      <w:tr w14:paraId="4EFB1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3081C794">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noWrap w:val="0"/>
            <w:vAlign w:val="center"/>
          </w:tcPr>
          <w:p w14:paraId="3E548909">
            <w:pPr>
              <w:keepNext w:val="0"/>
              <w:keepLines w:val="0"/>
              <w:pageBreakBefore w:val="0"/>
              <w:widowControl w:val="0"/>
              <w:tabs>
                <w:tab w:val="left" w:pos="420"/>
              </w:tabs>
              <w:kinsoku/>
              <w:wordWrap/>
              <w:overflowPunct/>
              <w:topLinePunct w:val="0"/>
              <w:autoSpaceDE/>
              <w:autoSpaceDN/>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eastAsia="宋体" w:cs="Times New Roman"/>
                <w:b w:val="0"/>
                <w:bCs/>
                <w:color w:val="auto"/>
                <w:sz w:val="21"/>
                <w:szCs w:val="21"/>
                <w:lang w:val="en-US" w:eastAsia="zh-CN" w:bidi="zh-CN"/>
              </w:rPr>
              <w:t>消防</w:t>
            </w:r>
          </w:p>
        </w:tc>
        <w:tc>
          <w:tcPr>
            <w:tcW w:w="3537" w:type="pct"/>
            <w:tcBorders>
              <w:tl2br w:val="nil"/>
              <w:tr2bl w:val="nil"/>
            </w:tcBorders>
            <w:noWrap w:val="0"/>
            <w:vAlign w:val="center"/>
          </w:tcPr>
          <w:p w14:paraId="66304FDD">
            <w:pPr>
              <w:keepNext w:val="0"/>
              <w:keepLines w:val="0"/>
              <w:pageBreakBefore w:val="0"/>
              <w:widowControl w:val="0"/>
              <w:tabs>
                <w:tab w:val="left" w:pos="420"/>
              </w:tabs>
              <w:kinsoku/>
              <w:wordWrap/>
              <w:overflowPunct/>
              <w:topLinePunct w:val="0"/>
              <w:autoSpaceDE/>
              <w:autoSpaceDN/>
              <w:bidi w:val="0"/>
              <w:adjustRightInd/>
              <w:snapToGrid/>
              <w:spacing w:beforeAutospacing="0" w:afterAutospacing="0" w:line="240" w:lineRule="exact"/>
              <w:ind w:left="0" w:leftChars="0" w:right="0" w:firstLine="0" w:firstLineChars="0"/>
              <w:jc w:val="left"/>
              <w:textAlignment w:val="auto"/>
              <w:outlineLvl w:val="9"/>
              <w:rPr>
                <w:rFonts w:hint="eastAsia" w:ascii="Times New Roman" w:hAnsi="Times New Roman" w:eastAsia="宋体" w:cs="Times New Roman"/>
                <w:b w:val="0"/>
                <w:bCs/>
                <w:color w:val="auto"/>
                <w:sz w:val="21"/>
                <w:szCs w:val="21"/>
                <w:lang w:val="en-US" w:eastAsia="zh-CN" w:bidi="zh-CN"/>
              </w:rPr>
            </w:pPr>
            <w:r>
              <w:rPr>
                <w:rFonts w:hint="eastAsia" w:ascii="Times New Roman" w:hAnsi="Times New Roman" w:eastAsia="宋体" w:cs="Times New Roman"/>
                <w:b w:val="0"/>
                <w:bCs/>
                <w:color w:val="auto"/>
                <w:sz w:val="21"/>
                <w:szCs w:val="21"/>
                <w:lang w:val="en-US" w:eastAsia="zh-CN" w:bidi="zh-CN"/>
              </w:rPr>
              <w:t>依托现有工程消防设施。现有工程已建有完善的消防给水系统，包括消防水池及泵房。消防泵房位于厂区给水泵站内，包括消防加压泵、稳压装置、消防水池及辅助设施。消防泵房位于厂区中部，包括消防加压泵、稳压装置、消防水池及辅助设施。消防水池有效容量：</w:t>
            </w:r>
            <w:r>
              <w:rPr>
                <w:rFonts w:hint="default" w:ascii="Times New Roman" w:hAnsi="Times New Roman" w:eastAsia="宋体" w:cs="Times New Roman"/>
                <w:b w:val="0"/>
                <w:bCs/>
                <w:color w:val="auto"/>
                <w:sz w:val="21"/>
                <w:szCs w:val="21"/>
                <w:lang w:val="en-US" w:eastAsia="zh-CN" w:bidi="zh-CN"/>
              </w:rPr>
              <w:t>3600m</w:t>
            </w:r>
            <w:r>
              <w:rPr>
                <w:rFonts w:hint="eastAsia" w:ascii="Times New Roman" w:hAnsi="Times New Roman" w:eastAsia="宋体" w:cs="Times New Roman"/>
                <w:b w:val="0"/>
                <w:bCs/>
                <w:color w:val="auto"/>
                <w:sz w:val="21"/>
                <w:szCs w:val="21"/>
                <w:vertAlign w:val="superscript"/>
                <w:lang w:val="en-US" w:eastAsia="zh-CN" w:bidi="zh-CN"/>
              </w:rPr>
              <w:t>3</w:t>
            </w:r>
            <w:r>
              <w:rPr>
                <w:rFonts w:hint="eastAsia" w:ascii="Times New Roman" w:hAnsi="Times New Roman" w:eastAsia="宋体" w:cs="Times New Roman"/>
                <w:b w:val="0"/>
                <w:bCs/>
                <w:color w:val="auto"/>
                <w:sz w:val="21"/>
                <w:szCs w:val="21"/>
                <w:lang w:val="en-US" w:eastAsia="zh-CN" w:bidi="zh-CN"/>
              </w:rPr>
              <w:t>。消防泵房内消防设备包括：消防水泵</w:t>
            </w:r>
            <w:r>
              <w:rPr>
                <w:rFonts w:hint="default" w:ascii="Times New Roman" w:hAnsi="Times New Roman" w:eastAsia="宋体" w:cs="Times New Roman"/>
                <w:b w:val="0"/>
                <w:bCs/>
                <w:color w:val="auto"/>
                <w:sz w:val="21"/>
                <w:szCs w:val="21"/>
                <w:lang w:val="en-US" w:eastAsia="zh-CN" w:bidi="zh-CN"/>
              </w:rPr>
              <w:t>3</w:t>
            </w:r>
            <w:r>
              <w:rPr>
                <w:rFonts w:hint="eastAsia" w:ascii="Times New Roman" w:hAnsi="Times New Roman" w:eastAsia="宋体" w:cs="Times New Roman"/>
                <w:b w:val="0"/>
                <w:bCs/>
                <w:color w:val="auto"/>
                <w:sz w:val="21"/>
                <w:szCs w:val="21"/>
                <w:lang w:val="en-US" w:eastAsia="zh-CN" w:bidi="zh-CN"/>
              </w:rPr>
              <w:t>台（</w:t>
            </w:r>
            <w:r>
              <w:rPr>
                <w:rFonts w:hint="default" w:ascii="Times New Roman" w:hAnsi="Times New Roman" w:eastAsia="宋体" w:cs="Times New Roman"/>
                <w:b w:val="0"/>
                <w:bCs/>
                <w:color w:val="auto"/>
                <w:sz w:val="21"/>
                <w:szCs w:val="21"/>
                <w:lang w:val="en-US" w:eastAsia="zh-CN" w:bidi="zh-CN"/>
              </w:rPr>
              <w:t>2</w:t>
            </w:r>
            <w:r>
              <w:rPr>
                <w:rFonts w:hint="eastAsia" w:ascii="Times New Roman" w:hAnsi="Times New Roman" w:eastAsia="宋体" w:cs="Times New Roman"/>
                <w:b w:val="0"/>
                <w:bCs/>
                <w:color w:val="auto"/>
                <w:sz w:val="21"/>
                <w:szCs w:val="21"/>
                <w:lang w:val="en-US" w:eastAsia="zh-CN" w:bidi="zh-CN"/>
              </w:rPr>
              <w:t>开</w:t>
            </w:r>
            <w:r>
              <w:rPr>
                <w:rFonts w:hint="default" w:ascii="Times New Roman" w:hAnsi="Times New Roman" w:eastAsia="宋体" w:cs="Times New Roman"/>
                <w:b w:val="0"/>
                <w:bCs/>
                <w:color w:val="auto"/>
                <w:sz w:val="21"/>
                <w:szCs w:val="21"/>
                <w:lang w:val="en-US" w:eastAsia="zh-CN" w:bidi="zh-CN"/>
              </w:rPr>
              <w:t>1</w:t>
            </w:r>
            <w:r>
              <w:rPr>
                <w:rFonts w:hint="eastAsia" w:ascii="Times New Roman" w:hAnsi="Times New Roman" w:eastAsia="宋体" w:cs="Times New Roman"/>
                <w:b w:val="0"/>
                <w:bCs/>
                <w:color w:val="auto"/>
                <w:sz w:val="21"/>
                <w:szCs w:val="21"/>
                <w:lang w:val="en-US" w:eastAsia="zh-CN" w:bidi="zh-CN"/>
              </w:rPr>
              <w:t>备），单泵流量</w:t>
            </w:r>
            <w:r>
              <w:rPr>
                <w:rFonts w:hint="default" w:ascii="Times New Roman" w:hAnsi="Times New Roman" w:eastAsia="宋体" w:cs="Times New Roman"/>
                <w:b w:val="0"/>
                <w:bCs/>
                <w:color w:val="auto"/>
                <w:sz w:val="21"/>
                <w:szCs w:val="21"/>
                <w:lang w:val="en-US" w:eastAsia="zh-CN" w:bidi="zh-CN"/>
              </w:rPr>
              <w:t>200L/s</w:t>
            </w:r>
            <w:r>
              <w:rPr>
                <w:rFonts w:hint="eastAsia" w:ascii="Times New Roman" w:hAnsi="Times New Roman" w:eastAsia="宋体" w:cs="Times New Roman"/>
                <w:b w:val="0"/>
                <w:bCs/>
                <w:color w:val="auto"/>
                <w:sz w:val="21"/>
                <w:szCs w:val="21"/>
                <w:lang w:val="en-US" w:eastAsia="zh-CN" w:bidi="zh-CN"/>
              </w:rPr>
              <w:t>、扬程</w:t>
            </w:r>
            <w:r>
              <w:rPr>
                <w:rFonts w:hint="default" w:ascii="Times New Roman" w:hAnsi="Times New Roman" w:eastAsia="宋体" w:cs="Times New Roman"/>
                <w:b w:val="0"/>
                <w:bCs/>
                <w:color w:val="auto"/>
                <w:sz w:val="21"/>
                <w:szCs w:val="21"/>
                <w:lang w:val="en-US" w:eastAsia="zh-CN" w:bidi="zh-CN"/>
              </w:rPr>
              <w:t>95m</w:t>
            </w:r>
            <w:r>
              <w:rPr>
                <w:rFonts w:hint="eastAsia" w:ascii="Times New Roman" w:hAnsi="Times New Roman" w:eastAsia="宋体" w:cs="Times New Roman"/>
                <w:b w:val="0"/>
                <w:bCs/>
                <w:color w:val="auto"/>
                <w:sz w:val="21"/>
                <w:szCs w:val="21"/>
                <w:lang w:val="en-US" w:eastAsia="zh-CN" w:bidi="zh-CN"/>
              </w:rPr>
              <w:t>；消防稳压泵</w:t>
            </w:r>
            <w:r>
              <w:rPr>
                <w:rFonts w:hint="default" w:ascii="Times New Roman" w:hAnsi="Times New Roman" w:eastAsia="宋体" w:cs="Times New Roman"/>
                <w:b w:val="0"/>
                <w:bCs/>
                <w:color w:val="auto"/>
                <w:sz w:val="21"/>
                <w:szCs w:val="21"/>
                <w:lang w:val="en-US" w:eastAsia="zh-CN" w:bidi="zh-CN"/>
              </w:rPr>
              <w:t>2</w:t>
            </w:r>
            <w:r>
              <w:rPr>
                <w:rFonts w:hint="eastAsia" w:ascii="Times New Roman" w:hAnsi="Times New Roman" w:eastAsia="宋体" w:cs="Times New Roman"/>
                <w:b w:val="0"/>
                <w:bCs/>
                <w:color w:val="auto"/>
                <w:sz w:val="21"/>
                <w:szCs w:val="21"/>
                <w:lang w:val="en-US" w:eastAsia="zh-CN" w:bidi="zh-CN"/>
              </w:rPr>
              <w:t>台（</w:t>
            </w:r>
            <w:r>
              <w:rPr>
                <w:rFonts w:hint="default" w:ascii="Times New Roman" w:hAnsi="Times New Roman" w:eastAsia="宋体" w:cs="Times New Roman"/>
                <w:b w:val="0"/>
                <w:bCs/>
                <w:color w:val="auto"/>
                <w:sz w:val="21"/>
                <w:szCs w:val="21"/>
                <w:lang w:val="en-US" w:eastAsia="zh-CN" w:bidi="zh-CN"/>
              </w:rPr>
              <w:t>1</w:t>
            </w:r>
            <w:r>
              <w:rPr>
                <w:rFonts w:hint="eastAsia" w:ascii="Times New Roman" w:hAnsi="Times New Roman" w:eastAsia="宋体" w:cs="Times New Roman"/>
                <w:b w:val="0"/>
                <w:bCs/>
                <w:color w:val="auto"/>
                <w:sz w:val="21"/>
                <w:szCs w:val="21"/>
                <w:lang w:val="en-US" w:eastAsia="zh-CN" w:bidi="zh-CN"/>
              </w:rPr>
              <w:t>开</w:t>
            </w:r>
            <w:r>
              <w:rPr>
                <w:rFonts w:hint="default" w:ascii="Times New Roman" w:hAnsi="Times New Roman" w:eastAsia="宋体" w:cs="Times New Roman"/>
                <w:b w:val="0"/>
                <w:bCs/>
                <w:color w:val="auto"/>
                <w:sz w:val="21"/>
                <w:szCs w:val="21"/>
                <w:lang w:val="en-US" w:eastAsia="zh-CN" w:bidi="zh-CN"/>
              </w:rPr>
              <w:t>1</w:t>
            </w:r>
            <w:r>
              <w:rPr>
                <w:rFonts w:hint="eastAsia" w:ascii="Times New Roman" w:hAnsi="Times New Roman" w:eastAsia="宋体" w:cs="Times New Roman"/>
                <w:b w:val="0"/>
                <w:bCs/>
                <w:color w:val="auto"/>
                <w:sz w:val="21"/>
                <w:szCs w:val="21"/>
                <w:lang w:val="en-US" w:eastAsia="zh-CN" w:bidi="zh-CN"/>
              </w:rPr>
              <w:t>备），单泵流量</w:t>
            </w:r>
            <w:r>
              <w:rPr>
                <w:rFonts w:hint="default" w:ascii="Times New Roman" w:hAnsi="Times New Roman" w:eastAsia="宋体" w:cs="Times New Roman"/>
                <w:b w:val="0"/>
                <w:bCs/>
                <w:color w:val="auto"/>
                <w:sz w:val="21"/>
                <w:szCs w:val="21"/>
                <w:lang w:val="en-US" w:eastAsia="zh-CN" w:bidi="zh-CN"/>
              </w:rPr>
              <w:t>5L/s</w:t>
            </w:r>
            <w:r>
              <w:rPr>
                <w:rFonts w:hint="eastAsia" w:ascii="Times New Roman" w:hAnsi="Times New Roman" w:eastAsia="宋体" w:cs="Times New Roman"/>
                <w:b w:val="0"/>
                <w:bCs/>
                <w:color w:val="auto"/>
                <w:sz w:val="21"/>
                <w:szCs w:val="21"/>
                <w:lang w:val="en-US" w:eastAsia="zh-CN" w:bidi="zh-CN"/>
              </w:rPr>
              <w:t>、扬程</w:t>
            </w:r>
            <w:r>
              <w:rPr>
                <w:rFonts w:hint="default" w:ascii="Times New Roman" w:hAnsi="Times New Roman" w:eastAsia="宋体" w:cs="Times New Roman"/>
                <w:b w:val="0"/>
                <w:bCs/>
                <w:color w:val="auto"/>
                <w:sz w:val="21"/>
                <w:szCs w:val="21"/>
                <w:lang w:val="en-US" w:eastAsia="zh-CN" w:bidi="zh-CN"/>
              </w:rPr>
              <w:t>105m</w:t>
            </w:r>
            <w:r>
              <w:rPr>
                <w:rFonts w:hint="eastAsia" w:ascii="Times New Roman" w:hAnsi="Times New Roman" w:eastAsia="宋体" w:cs="Times New Roman"/>
                <w:b w:val="0"/>
                <w:bCs/>
                <w:color w:val="auto"/>
                <w:sz w:val="21"/>
                <w:szCs w:val="21"/>
                <w:lang w:val="en-US" w:eastAsia="zh-CN" w:bidi="zh-CN"/>
              </w:rPr>
              <w:t>，稳压罐有效容积</w:t>
            </w:r>
            <w:r>
              <w:rPr>
                <w:rFonts w:hint="default" w:ascii="Times New Roman" w:hAnsi="Times New Roman" w:eastAsia="宋体" w:cs="Times New Roman"/>
                <w:b w:val="0"/>
                <w:bCs/>
                <w:color w:val="auto"/>
                <w:sz w:val="21"/>
                <w:szCs w:val="21"/>
                <w:lang w:val="en-US" w:eastAsia="zh-CN" w:bidi="zh-CN"/>
              </w:rPr>
              <w:t>0.4m</w:t>
            </w:r>
            <w:r>
              <w:rPr>
                <w:rFonts w:hint="eastAsia" w:ascii="Times New Roman" w:hAnsi="Times New Roman" w:eastAsia="宋体" w:cs="Times New Roman"/>
                <w:b w:val="0"/>
                <w:bCs/>
                <w:color w:val="auto"/>
                <w:sz w:val="21"/>
                <w:szCs w:val="21"/>
                <w:vertAlign w:val="superscript"/>
                <w:lang w:val="en-US" w:eastAsia="zh-CN" w:bidi="zh-CN"/>
              </w:rPr>
              <w:t>3</w:t>
            </w:r>
            <w:r>
              <w:rPr>
                <w:rFonts w:hint="eastAsia" w:ascii="Times New Roman" w:hAnsi="Times New Roman" w:eastAsia="宋体" w:cs="Times New Roman"/>
                <w:b w:val="0"/>
                <w:bCs/>
                <w:color w:val="auto"/>
                <w:sz w:val="21"/>
                <w:szCs w:val="21"/>
                <w:lang w:val="en-US" w:eastAsia="zh-CN" w:bidi="zh-CN"/>
              </w:rPr>
              <w:t>。</w:t>
            </w:r>
          </w:p>
          <w:p w14:paraId="02DA9AA6">
            <w:pPr>
              <w:keepNext w:val="0"/>
              <w:keepLines w:val="0"/>
              <w:pageBreakBefore w:val="0"/>
              <w:widowControl/>
              <w:suppressLineNumbers w:val="0"/>
              <w:kinsoku/>
              <w:wordWrap/>
              <w:overflowPunct/>
              <w:topLinePunct w:val="0"/>
              <w:bidi w:val="0"/>
              <w:snapToGrid/>
              <w:spacing w:beforeAutospacing="0" w:afterAutospacing="0" w:line="240" w:lineRule="exact"/>
              <w:ind w:right="0"/>
              <w:jc w:val="left"/>
              <w:outlineLvl w:val="9"/>
              <w:rPr>
                <w:rFonts w:hint="default"/>
                <w:b w:val="0"/>
                <w:bCs/>
                <w:lang w:val="zh-CN" w:eastAsia="zh-CN"/>
              </w:rPr>
            </w:pPr>
            <w:r>
              <w:rPr>
                <w:rFonts w:hint="eastAsia" w:ascii="Times New Roman" w:hAnsi="Times New Roman" w:eastAsia="宋体" w:cs="Times New Roman"/>
                <w:b w:val="0"/>
                <w:bCs/>
                <w:color w:val="auto"/>
                <w:sz w:val="21"/>
                <w:szCs w:val="21"/>
                <w:lang w:val="en-US" w:eastAsia="zh-CN" w:bidi="zh-CN"/>
              </w:rPr>
              <w:t>本项目由新建装置东侧路边现有消防管网南北侧各接出一支</w:t>
            </w:r>
            <w:r>
              <w:rPr>
                <w:rFonts w:hint="default" w:ascii="Times New Roman" w:hAnsi="Times New Roman" w:eastAsia="宋体" w:cs="Times New Roman"/>
                <w:b w:val="0"/>
                <w:bCs/>
                <w:color w:val="auto"/>
                <w:sz w:val="21"/>
                <w:szCs w:val="21"/>
                <w:lang w:val="en-US" w:eastAsia="zh-CN" w:bidi="zh-CN"/>
              </w:rPr>
              <w:t>DN300</w:t>
            </w:r>
            <w:r>
              <w:rPr>
                <w:rFonts w:hint="eastAsia" w:ascii="Times New Roman" w:hAnsi="Times New Roman" w:eastAsia="宋体" w:cs="Times New Roman"/>
                <w:b w:val="0"/>
                <w:bCs/>
                <w:color w:val="auto"/>
                <w:sz w:val="21"/>
                <w:szCs w:val="21"/>
                <w:lang w:val="en-US" w:eastAsia="zh-CN" w:bidi="zh-CN"/>
              </w:rPr>
              <w:t>消防管线，沿新建装置周围做环状消防给水管道，管材采用无缝钢管。在沿线布置室外消火栓，室外消火栓考虑防冻措施。消火栓间距不大于</w:t>
            </w:r>
            <w:r>
              <w:rPr>
                <w:rFonts w:hint="default" w:ascii="Times New Roman" w:hAnsi="Times New Roman" w:eastAsia="宋体" w:cs="Times New Roman"/>
                <w:b w:val="0"/>
                <w:bCs/>
                <w:color w:val="auto"/>
                <w:sz w:val="21"/>
                <w:szCs w:val="21"/>
                <w:lang w:val="en-US" w:eastAsia="zh-CN" w:bidi="zh-CN"/>
              </w:rPr>
              <w:t>60</w:t>
            </w:r>
            <w:r>
              <w:rPr>
                <w:rFonts w:hint="eastAsia" w:ascii="Times New Roman" w:hAnsi="Times New Roman" w:eastAsia="宋体" w:cs="Times New Roman"/>
                <w:b w:val="0"/>
                <w:bCs/>
                <w:color w:val="auto"/>
                <w:sz w:val="21"/>
                <w:szCs w:val="21"/>
                <w:lang w:val="en-US" w:eastAsia="zh-CN" w:bidi="zh-CN"/>
              </w:rPr>
              <w:t>米，另在新建装置区高大框架和设备群设置消防水炮保护。</w:t>
            </w:r>
          </w:p>
        </w:tc>
        <w:tc>
          <w:tcPr>
            <w:tcW w:w="534" w:type="pct"/>
            <w:tcBorders>
              <w:tl2br w:val="nil"/>
              <w:tr2bl w:val="nil"/>
            </w:tcBorders>
            <w:noWrap w:val="0"/>
            <w:vAlign w:val="center"/>
          </w:tcPr>
          <w:p w14:paraId="6F855E08">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cs="Times New Roman"/>
                <w:b w:val="0"/>
                <w:bCs/>
                <w:color w:val="auto"/>
                <w:sz w:val="21"/>
                <w:szCs w:val="21"/>
                <w:lang w:val="en-US" w:eastAsia="zh-CN" w:bidi="zh-CN"/>
              </w:rPr>
              <w:t>消防水源依托现有工程；其他消防管道、消防栓等消防设施新建</w:t>
            </w:r>
          </w:p>
        </w:tc>
      </w:tr>
      <w:tr w14:paraId="405F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tblHeader/>
          <w:jc w:val="center"/>
        </w:trPr>
        <w:tc>
          <w:tcPr>
            <w:tcW w:w="227" w:type="pct"/>
            <w:vMerge w:val="continue"/>
            <w:tcBorders>
              <w:tl2br w:val="nil"/>
              <w:tr2bl w:val="nil"/>
            </w:tcBorders>
            <w:noWrap w:val="0"/>
            <w:vAlign w:val="center"/>
          </w:tcPr>
          <w:p w14:paraId="16E6D5F8">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noWrap w:val="0"/>
            <w:vAlign w:val="center"/>
          </w:tcPr>
          <w:p w14:paraId="50212D94">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default" w:ascii="Times New Roman" w:hAnsi="Times New Roman" w:eastAsia="宋体" w:cs="Times New Roman"/>
                <w:b w:val="0"/>
                <w:bCs/>
                <w:color w:val="auto"/>
                <w:sz w:val="21"/>
                <w:szCs w:val="21"/>
                <w:lang w:val="en-US" w:eastAsia="zh-CN" w:bidi="zh-CN"/>
              </w:rPr>
              <w:t>供气</w:t>
            </w:r>
          </w:p>
        </w:tc>
        <w:tc>
          <w:tcPr>
            <w:tcW w:w="3537" w:type="pct"/>
            <w:tcBorders>
              <w:tl2br w:val="nil"/>
              <w:tr2bl w:val="nil"/>
            </w:tcBorders>
            <w:noWrap w:val="0"/>
            <w:vAlign w:val="center"/>
          </w:tcPr>
          <w:p w14:paraId="03723452">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default" w:ascii="Times New Roman" w:hAnsi="Times New Roman" w:eastAsia="宋体" w:cs="Times New Roman"/>
                <w:b w:val="0"/>
                <w:bCs/>
                <w:color w:val="auto"/>
                <w:sz w:val="21"/>
                <w:szCs w:val="21"/>
                <w:lang w:val="en-US" w:eastAsia="zh-CN" w:bidi="zh-CN"/>
              </w:rPr>
              <w:t>本项目生产所需天然气由园区供气管网提供</w:t>
            </w:r>
            <w:r>
              <w:rPr>
                <w:rFonts w:hint="eastAsia" w:ascii="Times New Roman" w:hAnsi="Times New Roman" w:cs="Times New Roman"/>
                <w:b w:val="0"/>
                <w:bCs/>
                <w:color w:val="auto"/>
                <w:sz w:val="21"/>
                <w:szCs w:val="21"/>
                <w:lang w:val="en-US" w:eastAsia="zh-CN" w:bidi="zh-CN"/>
              </w:rPr>
              <w:t>，本项目在厂区内新建供气管道接入本项目厂区</w:t>
            </w:r>
          </w:p>
        </w:tc>
        <w:tc>
          <w:tcPr>
            <w:tcW w:w="534" w:type="pct"/>
            <w:tcBorders>
              <w:tl2br w:val="nil"/>
              <w:tr2bl w:val="nil"/>
            </w:tcBorders>
            <w:noWrap w:val="0"/>
            <w:vAlign w:val="center"/>
          </w:tcPr>
          <w:p w14:paraId="77E0724F">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bidi="zh-CN"/>
              </w:rPr>
            </w:pPr>
            <w:r>
              <w:rPr>
                <w:rFonts w:hint="eastAsia" w:ascii="Times New Roman" w:hAnsi="Times New Roman" w:cs="Times New Roman"/>
                <w:b w:val="0"/>
                <w:bCs/>
                <w:color w:val="auto"/>
                <w:sz w:val="21"/>
                <w:szCs w:val="21"/>
                <w:lang w:val="en-US" w:eastAsia="zh-CN" w:bidi="zh-CN"/>
              </w:rPr>
              <w:t>气源</w:t>
            </w:r>
            <w:r>
              <w:rPr>
                <w:rFonts w:hint="default" w:ascii="Times New Roman" w:hAnsi="Times New Roman" w:eastAsia="宋体" w:cs="Times New Roman"/>
                <w:b w:val="0"/>
                <w:bCs/>
                <w:color w:val="auto"/>
                <w:sz w:val="21"/>
                <w:szCs w:val="21"/>
                <w:lang w:val="zh-CN" w:eastAsia="zh-CN" w:bidi="zh-CN"/>
              </w:rPr>
              <w:t>依托园区</w:t>
            </w:r>
            <w:r>
              <w:rPr>
                <w:rFonts w:hint="eastAsia" w:ascii="Times New Roman" w:hAnsi="Times New Roman" w:cs="Times New Roman"/>
                <w:b w:val="0"/>
                <w:bCs/>
                <w:color w:val="auto"/>
                <w:sz w:val="21"/>
                <w:szCs w:val="21"/>
                <w:lang w:val="zh-CN" w:eastAsia="zh-CN" w:bidi="zh-CN"/>
              </w:rPr>
              <w:t>；</w:t>
            </w:r>
            <w:r>
              <w:rPr>
                <w:rFonts w:hint="eastAsia" w:ascii="Times New Roman" w:hAnsi="Times New Roman" w:cs="Times New Roman"/>
                <w:b w:val="0"/>
                <w:bCs/>
                <w:color w:val="auto"/>
                <w:sz w:val="21"/>
                <w:szCs w:val="21"/>
                <w:lang w:val="en-US" w:eastAsia="zh-CN" w:bidi="zh-CN"/>
              </w:rPr>
              <w:t>厂区内管道新建</w:t>
            </w:r>
          </w:p>
        </w:tc>
      </w:tr>
      <w:tr w14:paraId="4280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restart"/>
            <w:tcBorders>
              <w:tl2br w:val="nil"/>
              <w:tr2bl w:val="nil"/>
            </w:tcBorders>
            <w:noWrap w:val="0"/>
            <w:vAlign w:val="center"/>
          </w:tcPr>
          <w:p w14:paraId="7FC4E507">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环保</w:t>
            </w:r>
          </w:p>
          <w:p w14:paraId="57D3524F">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工程</w:t>
            </w:r>
          </w:p>
        </w:tc>
        <w:tc>
          <w:tcPr>
            <w:tcW w:w="700" w:type="pct"/>
            <w:gridSpan w:val="2"/>
            <w:tcBorders>
              <w:tl2br w:val="nil"/>
              <w:tr2bl w:val="nil"/>
            </w:tcBorders>
            <w:noWrap w:val="0"/>
            <w:vAlign w:val="center"/>
          </w:tcPr>
          <w:p w14:paraId="5D73045F">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zh-CN" w:eastAsia="zh-CN" w:bidi="zh-CN"/>
              </w:rPr>
            </w:pPr>
            <w:r>
              <w:rPr>
                <w:rFonts w:hint="default" w:ascii="Times New Roman" w:hAnsi="Times New Roman" w:eastAsia="宋体" w:cs="Times New Roman"/>
                <w:b w:val="0"/>
                <w:bCs/>
                <w:color w:val="auto"/>
                <w:sz w:val="21"/>
                <w:szCs w:val="21"/>
                <w:highlight w:val="none"/>
                <w:lang w:val="zh-CN" w:eastAsia="zh-CN" w:bidi="zh-CN"/>
              </w:rPr>
              <w:t>废气</w:t>
            </w:r>
          </w:p>
        </w:tc>
        <w:tc>
          <w:tcPr>
            <w:tcW w:w="3537" w:type="pct"/>
            <w:tcBorders>
              <w:tl2br w:val="nil"/>
              <w:tr2bl w:val="nil"/>
            </w:tcBorders>
            <w:noWrap w:val="0"/>
            <w:vAlign w:val="center"/>
          </w:tcPr>
          <w:p w14:paraId="25439171">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bidi="zh-CN"/>
              </w:rPr>
              <w:t>干燥废气</w:t>
            </w:r>
            <w:r>
              <w:rPr>
                <w:rFonts w:hint="default" w:ascii="Times New Roman" w:hAnsi="Times New Roman" w:eastAsia="宋体" w:cs="Times New Roman"/>
                <w:b w:val="0"/>
                <w:bCs/>
                <w:color w:val="auto"/>
                <w:sz w:val="21"/>
                <w:szCs w:val="21"/>
                <w:highlight w:val="none"/>
                <w:lang w:val="en-US" w:eastAsia="zh-CN" w:bidi="zh-CN"/>
              </w:rPr>
              <w:t>废气</w:t>
            </w:r>
            <w:r>
              <w:rPr>
                <w:rFonts w:hint="eastAsia" w:ascii="Times New Roman" w:hAnsi="Times New Roman" w:eastAsia="宋体" w:cs="Times New Roman"/>
                <w:b w:val="0"/>
                <w:bCs/>
                <w:color w:val="auto"/>
                <w:sz w:val="21"/>
                <w:szCs w:val="21"/>
                <w:highlight w:val="none"/>
                <w:lang w:val="en-US" w:eastAsia="zh-CN" w:bidi="zh-CN"/>
              </w:rPr>
              <w:t>经密闭管道</w:t>
            </w:r>
            <w:r>
              <w:rPr>
                <w:rFonts w:hint="default" w:ascii="Times New Roman" w:hAnsi="Times New Roman" w:eastAsia="宋体" w:cs="Times New Roman"/>
                <w:b w:val="0"/>
                <w:bCs/>
                <w:color w:val="auto"/>
                <w:sz w:val="21"/>
                <w:szCs w:val="21"/>
                <w:highlight w:val="none"/>
                <w:lang w:val="en-US" w:eastAsia="zh-CN" w:bidi="zh-CN"/>
              </w:rPr>
              <w:t>收集后</w:t>
            </w:r>
            <w:r>
              <w:rPr>
                <w:rFonts w:hint="eastAsia" w:ascii="Times New Roman" w:hAnsi="Times New Roman" w:eastAsia="宋体" w:cs="Times New Roman"/>
                <w:b w:val="0"/>
                <w:bCs/>
                <w:color w:val="auto"/>
                <w:sz w:val="21"/>
                <w:szCs w:val="21"/>
                <w:highlight w:val="none"/>
                <w:lang w:val="en-US" w:eastAsia="zh-CN" w:bidi="zh-CN"/>
              </w:rPr>
              <w:t>，进入1#尾气处理装置（一级水</w:t>
            </w:r>
            <w:r>
              <w:rPr>
                <w:rFonts w:hint="eastAsia" w:ascii="Times New Roman" w:hAnsi="Times New Roman" w:cs="Times New Roman"/>
                <w:b w:val="0"/>
                <w:bCs/>
                <w:color w:val="auto"/>
                <w:sz w:val="21"/>
                <w:szCs w:val="21"/>
                <w:highlight w:val="none"/>
                <w:lang w:val="en-US" w:eastAsia="zh-CN" w:bidi="zh-CN"/>
              </w:rPr>
              <w:t>吸收</w:t>
            </w:r>
            <w:r>
              <w:rPr>
                <w:rFonts w:hint="eastAsia" w:ascii="Times New Roman" w:hAnsi="Times New Roman" w:eastAsia="宋体" w:cs="Times New Roman"/>
                <w:b w:val="0"/>
                <w:bCs/>
                <w:color w:val="auto"/>
                <w:sz w:val="21"/>
                <w:szCs w:val="21"/>
                <w:highlight w:val="none"/>
                <w:lang w:val="en-US" w:eastAsia="zh-CN" w:bidi="zh-CN"/>
              </w:rPr>
              <w:t>+一级碱</w:t>
            </w:r>
            <w:r>
              <w:rPr>
                <w:rFonts w:hint="eastAsia" w:ascii="Times New Roman" w:hAnsi="Times New Roman" w:cs="Times New Roman"/>
                <w:b w:val="0"/>
                <w:bCs/>
                <w:color w:val="auto"/>
                <w:sz w:val="21"/>
                <w:szCs w:val="21"/>
                <w:highlight w:val="none"/>
                <w:lang w:val="en-US" w:eastAsia="zh-CN" w:bidi="zh-CN"/>
              </w:rPr>
              <w:t>吸收</w:t>
            </w:r>
            <w:r>
              <w:rPr>
                <w:rFonts w:hint="eastAsia" w:ascii="Times New Roman" w:hAnsi="Times New Roman" w:eastAsia="宋体" w:cs="Times New Roman"/>
                <w:b w:val="0"/>
                <w:bCs/>
                <w:color w:val="auto"/>
                <w:sz w:val="21"/>
                <w:szCs w:val="21"/>
                <w:highlight w:val="none"/>
                <w:lang w:val="en-US" w:eastAsia="zh-CN" w:bidi="zh-CN"/>
              </w:rPr>
              <w:t>）处理，最终经27m高排气筒排放；一级反应精馏真空不凝气</w:t>
            </w:r>
            <w:r>
              <w:rPr>
                <w:rFonts w:hint="eastAsia" w:ascii="Times New Roman" w:hAnsi="Times New Roman" w:cs="Times New Roman"/>
                <w:b w:val="0"/>
                <w:bCs/>
                <w:color w:val="auto"/>
                <w:sz w:val="21"/>
                <w:szCs w:val="21"/>
                <w:highlight w:val="none"/>
                <w:lang w:val="en-US" w:eastAsia="zh-CN" w:bidi="zh-CN"/>
              </w:rPr>
              <w:t>、二级反应精馏真空不凝气、储罐呼吸及装卸车废气</w:t>
            </w:r>
            <w:r>
              <w:rPr>
                <w:rFonts w:hint="eastAsia" w:ascii="Times New Roman" w:hAnsi="Times New Roman" w:eastAsia="宋体" w:cs="Times New Roman"/>
                <w:b w:val="0"/>
                <w:bCs/>
                <w:color w:val="auto"/>
                <w:sz w:val="21"/>
                <w:szCs w:val="21"/>
                <w:highlight w:val="none"/>
                <w:lang w:val="en-US" w:eastAsia="zh-CN" w:bidi="zh-CN"/>
              </w:rPr>
              <w:t>经密闭管道</w:t>
            </w:r>
            <w:r>
              <w:rPr>
                <w:rFonts w:hint="default" w:ascii="Times New Roman" w:hAnsi="Times New Roman" w:eastAsia="宋体" w:cs="Times New Roman"/>
                <w:b w:val="0"/>
                <w:bCs/>
                <w:color w:val="auto"/>
                <w:sz w:val="21"/>
                <w:szCs w:val="21"/>
                <w:highlight w:val="none"/>
                <w:lang w:val="en-US" w:eastAsia="zh-CN" w:bidi="zh-CN"/>
              </w:rPr>
              <w:t>收集后</w:t>
            </w:r>
            <w:r>
              <w:rPr>
                <w:rFonts w:hint="eastAsia" w:ascii="Times New Roman" w:hAnsi="Times New Roman" w:eastAsia="宋体" w:cs="Times New Roman"/>
                <w:b w:val="0"/>
                <w:bCs/>
                <w:color w:val="auto"/>
                <w:sz w:val="21"/>
                <w:szCs w:val="21"/>
                <w:highlight w:val="none"/>
                <w:lang w:val="en-US" w:eastAsia="zh-CN" w:bidi="zh-CN"/>
              </w:rPr>
              <w:t>，进入2#尾气处理装置（</w:t>
            </w:r>
            <w:r>
              <w:rPr>
                <w:rFonts w:hint="eastAsia" w:ascii="Times New Roman" w:hAnsi="Times New Roman" w:cs="Times New Roman"/>
                <w:b w:val="0"/>
                <w:bCs/>
                <w:color w:val="auto"/>
                <w:sz w:val="21"/>
                <w:szCs w:val="21"/>
                <w:highlight w:val="none"/>
                <w:lang w:val="en-US" w:eastAsia="zh-CN" w:bidi="zh-CN"/>
              </w:rPr>
              <w:t>两级冷凝+</w:t>
            </w:r>
            <w:r>
              <w:rPr>
                <w:rFonts w:hint="eastAsia" w:ascii="Times New Roman" w:hAnsi="Times New Roman" w:eastAsia="宋体" w:cs="Times New Roman"/>
                <w:b w:val="0"/>
                <w:bCs/>
                <w:color w:val="auto"/>
                <w:sz w:val="21"/>
                <w:szCs w:val="21"/>
                <w:highlight w:val="none"/>
                <w:lang w:val="en-US" w:eastAsia="zh-CN" w:bidi="zh-CN"/>
              </w:rPr>
              <w:t>一级水</w:t>
            </w:r>
            <w:r>
              <w:rPr>
                <w:rFonts w:hint="eastAsia" w:ascii="Times New Roman" w:hAnsi="Times New Roman" w:cs="Times New Roman"/>
                <w:b w:val="0"/>
                <w:bCs/>
                <w:color w:val="auto"/>
                <w:sz w:val="21"/>
                <w:szCs w:val="21"/>
                <w:highlight w:val="none"/>
                <w:lang w:val="en-US" w:eastAsia="zh-CN" w:bidi="zh-CN"/>
              </w:rPr>
              <w:t>吸收</w:t>
            </w:r>
            <w:r>
              <w:rPr>
                <w:rFonts w:hint="eastAsia" w:ascii="Times New Roman" w:hAnsi="Times New Roman" w:eastAsia="宋体" w:cs="Times New Roman"/>
                <w:b w:val="0"/>
                <w:bCs/>
                <w:color w:val="auto"/>
                <w:sz w:val="21"/>
                <w:szCs w:val="21"/>
                <w:highlight w:val="none"/>
                <w:lang w:val="en-US" w:eastAsia="zh-CN" w:bidi="zh-CN"/>
              </w:rPr>
              <w:t>+一级酸</w:t>
            </w:r>
            <w:r>
              <w:rPr>
                <w:rFonts w:hint="eastAsia" w:ascii="Times New Roman" w:hAnsi="Times New Roman" w:cs="Times New Roman"/>
                <w:b w:val="0"/>
                <w:bCs/>
                <w:color w:val="auto"/>
                <w:sz w:val="21"/>
                <w:szCs w:val="21"/>
                <w:highlight w:val="none"/>
                <w:lang w:val="en-US" w:eastAsia="zh-CN" w:bidi="zh-CN"/>
              </w:rPr>
              <w:t>吸收+两级活性炭吸附</w:t>
            </w:r>
            <w:r>
              <w:rPr>
                <w:rFonts w:hint="eastAsia" w:ascii="Times New Roman" w:hAnsi="Times New Roman" w:eastAsia="宋体" w:cs="Times New Roman"/>
                <w:b w:val="0"/>
                <w:bCs/>
                <w:color w:val="auto"/>
                <w:sz w:val="21"/>
                <w:szCs w:val="21"/>
                <w:highlight w:val="none"/>
                <w:lang w:val="en-US" w:eastAsia="zh-CN" w:bidi="zh-CN"/>
              </w:rPr>
              <w:t>）处理，最终通过1根27m高排气筒排放</w:t>
            </w:r>
            <w:r>
              <w:rPr>
                <w:rFonts w:hint="default" w:ascii="Times New Roman" w:hAnsi="Times New Roman" w:eastAsia="宋体" w:cs="Times New Roman"/>
                <w:b w:val="0"/>
                <w:bCs/>
                <w:color w:val="auto"/>
                <w:sz w:val="21"/>
                <w:szCs w:val="21"/>
                <w:highlight w:val="none"/>
                <w:lang w:val="en-US" w:eastAsia="zh-CN" w:bidi="zh-CN"/>
              </w:rPr>
              <w:t>；</w:t>
            </w:r>
            <w:r>
              <w:rPr>
                <w:rFonts w:hint="eastAsia" w:ascii="Times New Roman" w:hAnsi="Times New Roman" w:eastAsia="宋体" w:cs="Times New Roman"/>
                <w:b w:val="0"/>
                <w:bCs/>
                <w:color w:val="auto"/>
                <w:sz w:val="21"/>
                <w:szCs w:val="21"/>
                <w:highlight w:val="none"/>
                <w:lang w:val="en-US" w:eastAsia="zh-CN" w:bidi="zh-CN"/>
              </w:rPr>
              <w:t>乙醇回收不凝气及</w:t>
            </w:r>
            <w:r>
              <w:rPr>
                <w:rFonts w:hint="eastAsia" w:ascii="Times New Roman" w:hAnsi="Times New Roman" w:cs="Times New Roman"/>
                <w:b w:val="0"/>
                <w:bCs/>
                <w:color w:val="auto"/>
                <w:sz w:val="21"/>
                <w:szCs w:val="21"/>
                <w:highlight w:val="none"/>
                <w:lang w:val="en-US" w:eastAsia="zh-CN" w:bidi="zh-CN"/>
              </w:rPr>
              <w:t>成品处理废气</w:t>
            </w:r>
            <w:r>
              <w:rPr>
                <w:rFonts w:hint="eastAsia" w:ascii="Times New Roman" w:hAnsi="Times New Roman" w:eastAsia="宋体" w:cs="Times New Roman"/>
                <w:b w:val="0"/>
                <w:bCs/>
                <w:color w:val="auto"/>
                <w:sz w:val="21"/>
                <w:szCs w:val="21"/>
                <w:highlight w:val="none"/>
                <w:lang w:val="en-US" w:eastAsia="zh-CN" w:bidi="zh-CN"/>
              </w:rPr>
              <w:t>进入3#尾气处理装置（</w:t>
            </w:r>
            <w:r>
              <w:rPr>
                <w:rFonts w:hint="eastAsia" w:ascii="Times New Roman" w:hAnsi="Times New Roman" w:cs="Times New Roman"/>
                <w:b w:val="0"/>
                <w:bCs/>
                <w:color w:val="auto"/>
                <w:sz w:val="21"/>
                <w:szCs w:val="21"/>
                <w:highlight w:val="none"/>
                <w:lang w:val="en-US" w:eastAsia="zh-CN" w:bidi="zh-CN"/>
              </w:rPr>
              <w:t>两级水吸收+一级酸吸收</w:t>
            </w:r>
            <w:r>
              <w:rPr>
                <w:rFonts w:hint="eastAsia" w:ascii="Times New Roman" w:hAnsi="Times New Roman" w:eastAsia="宋体" w:cs="Times New Roman"/>
                <w:b w:val="0"/>
                <w:bCs/>
                <w:color w:val="auto"/>
                <w:sz w:val="21"/>
                <w:szCs w:val="21"/>
                <w:highlight w:val="none"/>
                <w:lang w:val="en-US" w:eastAsia="zh-CN" w:bidi="zh-CN"/>
              </w:rPr>
              <w:t>）处理，最终通过1根27m高排气筒排放；甲醇制氢解吸气与天然气一同进入1#导热油炉燃烧后，形成导热油炉废气，最终通过1根</w:t>
            </w:r>
            <w:r>
              <w:rPr>
                <w:rFonts w:hint="eastAsia" w:ascii="Times New Roman" w:hAnsi="Times New Roman" w:cs="Times New Roman"/>
                <w:b w:val="0"/>
                <w:bCs/>
                <w:color w:val="auto"/>
                <w:sz w:val="21"/>
                <w:szCs w:val="21"/>
                <w:highlight w:val="none"/>
                <w:lang w:val="en-US" w:eastAsia="zh-CN" w:bidi="zh-CN"/>
              </w:rPr>
              <w:t>2</w:t>
            </w:r>
            <w:r>
              <w:rPr>
                <w:rFonts w:hint="eastAsia" w:ascii="Times New Roman" w:hAnsi="Times New Roman" w:eastAsia="宋体" w:cs="Times New Roman"/>
                <w:b w:val="0"/>
                <w:bCs/>
                <w:color w:val="auto"/>
                <w:sz w:val="21"/>
                <w:szCs w:val="21"/>
                <w:highlight w:val="none"/>
                <w:lang w:val="en-US" w:eastAsia="zh-CN" w:bidi="zh-CN"/>
              </w:rPr>
              <w:t>5m高排气筒排放。</w:t>
            </w:r>
          </w:p>
        </w:tc>
        <w:tc>
          <w:tcPr>
            <w:tcW w:w="534" w:type="pct"/>
            <w:tcBorders>
              <w:tl2br w:val="nil"/>
              <w:tr2bl w:val="nil"/>
            </w:tcBorders>
            <w:noWrap w:val="0"/>
            <w:vAlign w:val="center"/>
          </w:tcPr>
          <w:p w14:paraId="1787C461">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zh-CN" w:eastAsia="zh-CN" w:bidi="zh-CN"/>
              </w:rPr>
            </w:pPr>
            <w:r>
              <w:rPr>
                <w:rFonts w:hint="default" w:ascii="Times New Roman" w:hAnsi="Times New Roman" w:eastAsia="宋体" w:cs="Times New Roman"/>
                <w:b w:val="0"/>
                <w:bCs/>
                <w:color w:val="auto"/>
                <w:sz w:val="21"/>
                <w:szCs w:val="21"/>
                <w:highlight w:val="none"/>
                <w:lang w:val="en-US" w:eastAsia="zh-CN" w:bidi="zh-CN"/>
              </w:rPr>
              <w:t>新建</w:t>
            </w:r>
          </w:p>
        </w:tc>
      </w:tr>
      <w:tr w14:paraId="1D04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5A535B4A">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noWrap w:val="0"/>
            <w:vAlign w:val="center"/>
          </w:tcPr>
          <w:p w14:paraId="48C27E6A">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zh-CN" w:eastAsia="zh-CN" w:bidi="zh-CN"/>
              </w:rPr>
            </w:pPr>
            <w:r>
              <w:rPr>
                <w:rFonts w:hint="default" w:ascii="Times New Roman" w:hAnsi="Times New Roman" w:eastAsia="宋体" w:cs="Times New Roman"/>
                <w:b w:val="0"/>
                <w:bCs/>
                <w:color w:val="auto"/>
                <w:sz w:val="21"/>
                <w:szCs w:val="21"/>
                <w:highlight w:val="none"/>
                <w:lang w:val="zh-CN" w:eastAsia="zh-CN" w:bidi="zh-CN"/>
              </w:rPr>
              <w:t>废水</w:t>
            </w:r>
          </w:p>
        </w:tc>
        <w:tc>
          <w:tcPr>
            <w:tcW w:w="3537" w:type="pct"/>
            <w:tcBorders>
              <w:tl2br w:val="nil"/>
              <w:tr2bl w:val="nil"/>
            </w:tcBorders>
            <w:noWrap w:val="0"/>
            <w:vAlign w:val="center"/>
          </w:tcPr>
          <w:p w14:paraId="10C9D80C">
            <w:pPr>
              <w:keepNext w:val="0"/>
              <w:keepLines w:val="0"/>
              <w:pageBreakBefore w:val="0"/>
              <w:widowControl/>
              <w:suppressLineNumbers w:val="0"/>
              <w:kinsoku/>
              <w:wordWrap/>
              <w:overflowPunct/>
              <w:topLinePunct w:val="0"/>
              <w:bidi w:val="0"/>
              <w:snapToGrid/>
              <w:spacing w:beforeAutospacing="0" w:afterAutospacing="0" w:line="240" w:lineRule="exact"/>
              <w:ind w:right="0"/>
              <w:jc w:val="left"/>
              <w:outlineLvl w:val="9"/>
              <w:rPr>
                <w:rFonts w:hint="default" w:ascii="Times New Roman" w:hAnsi="Times New Roman" w:eastAsia="宋体" w:cs="Times New Roman"/>
                <w:b w:val="0"/>
                <w:bCs/>
                <w:color w:val="auto"/>
                <w:sz w:val="21"/>
                <w:szCs w:val="21"/>
                <w:highlight w:val="none"/>
                <w:lang w:val="en-US" w:eastAsia="zh-CN" w:bidi="zh-CN"/>
              </w:rPr>
            </w:pPr>
            <w:r>
              <w:rPr>
                <w:rFonts w:hint="eastAsia" w:ascii="Times New Roman" w:hAnsi="Times New Roman" w:cs="Times New Roman"/>
                <w:b w:val="0"/>
                <w:bCs/>
                <w:color w:val="auto"/>
                <w:sz w:val="21"/>
                <w:szCs w:val="21"/>
                <w:highlight w:val="none"/>
                <w:lang w:val="en-US" w:eastAsia="zh-CN" w:bidi="zh-CN"/>
              </w:rPr>
              <w:t>本项目生活污水、生产废水进入厂区污水处理站处理，处理后废水与本项目纯水制备废水、循环冷却水排水一同经厂区废水总排口排入园区污水管网，废水总排口处浓</w:t>
            </w:r>
            <w:r>
              <w:rPr>
                <w:rFonts w:hint="eastAsia" w:ascii="Times New Roman" w:hAnsi="Times New Roman" w:eastAsia="宋体" w:cs="Times New Roman"/>
                <w:b w:val="0"/>
                <w:bCs/>
                <w:color w:val="auto"/>
                <w:sz w:val="21"/>
                <w:szCs w:val="21"/>
                <w:highlight w:val="none"/>
                <w:lang w:val="en-US" w:eastAsia="zh-CN" w:bidi="zh-CN"/>
              </w:rPr>
              <w:t>度满足《污水排入城镇下水道水质标准》</w:t>
            </w:r>
            <w:r>
              <w:rPr>
                <w:rFonts w:hint="default" w:ascii="Times New Roman" w:hAnsi="Times New Roman" w:eastAsia="宋体" w:cs="Times New Roman"/>
                <w:b w:val="0"/>
                <w:bCs/>
                <w:color w:val="auto"/>
                <w:sz w:val="21"/>
                <w:szCs w:val="21"/>
                <w:highlight w:val="none"/>
                <w:lang w:val="en-US" w:eastAsia="zh-CN" w:bidi="zh-CN"/>
              </w:rPr>
              <w:t>（GB/T31962-2015）表1B级限值</w:t>
            </w:r>
            <w:r>
              <w:rPr>
                <w:rFonts w:hint="eastAsia" w:ascii="Times New Roman" w:hAnsi="Times New Roman" w:eastAsia="宋体" w:cs="Times New Roman"/>
                <w:b w:val="0"/>
                <w:bCs/>
                <w:color w:val="auto"/>
                <w:sz w:val="21"/>
                <w:szCs w:val="21"/>
                <w:highlight w:val="none"/>
                <w:lang w:val="en-US" w:eastAsia="zh-CN" w:bidi="zh-CN"/>
              </w:rPr>
              <w:t>。</w:t>
            </w:r>
          </w:p>
        </w:tc>
        <w:tc>
          <w:tcPr>
            <w:tcW w:w="534" w:type="pct"/>
            <w:tcBorders>
              <w:tl2br w:val="nil"/>
              <w:tr2bl w:val="nil"/>
            </w:tcBorders>
            <w:noWrap w:val="0"/>
            <w:vAlign w:val="center"/>
          </w:tcPr>
          <w:p w14:paraId="1FBFFFC7">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bidi="zh-CN"/>
              </w:rPr>
            </w:pPr>
            <w:r>
              <w:rPr>
                <w:rFonts w:hint="eastAsia" w:ascii="Times New Roman" w:hAnsi="Times New Roman" w:cs="Times New Roman"/>
                <w:b w:val="0"/>
                <w:bCs/>
                <w:color w:val="auto"/>
                <w:sz w:val="21"/>
                <w:szCs w:val="21"/>
                <w:highlight w:val="none"/>
                <w:lang w:val="en-US" w:eastAsia="zh-CN" w:bidi="zh-CN"/>
              </w:rPr>
              <w:t>依托现有工程已建污水处理站</w:t>
            </w:r>
          </w:p>
        </w:tc>
      </w:tr>
      <w:tr w14:paraId="2FFE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014A5E30">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361" w:type="pct"/>
            <w:vMerge w:val="restart"/>
            <w:tcBorders>
              <w:tl2br w:val="nil"/>
              <w:tr2bl w:val="nil"/>
            </w:tcBorders>
            <w:noWrap w:val="0"/>
            <w:vAlign w:val="center"/>
          </w:tcPr>
          <w:p w14:paraId="72BED147">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固废</w:t>
            </w:r>
          </w:p>
        </w:tc>
        <w:tc>
          <w:tcPr>
            <w:tcW w:w="339" w:type="pct"/>
            <w:tcBorders>
              <w:tl2br w:val="nil"/>
              <w:tr2bl w:val="nil"/>
            </w:tcBorders>
            <w:noWrap w:val="0"/>
            <w:vAlign w:val="center"/>
          </w:tcPr>
          <w:p w14:paraId="32486D85">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一般固废</w:t>
            </w:r>
          </w:p>
        </w:tc>
        <w:tc>
          <w:tcPr>
            <w:tcW w:w="3537" w:type="pct"/>
            <w:tcBorders>
              <w:tl2br w:val="nil"/>
              <w:tr2bl w:val="nil"/>
            </w:tcBorders>
            <w:noWrap w:val="0"/>
            <w:vAlign w:val="center"/>
          </w:tcPr>
          <w:p w14:paraId="4D2CFC6E">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6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bidi="zh-CN"/>
              </w:rPr>
            </w:pPr>
            <w:r>
              <w:rPr>
                <w:rFonts w:hint="eastAsia" w:ascii="Times New Roman" w:hAnsi="Times New Roman" w:cs="Times New Roman"/>
                <w:b w:val="0"/>
                <w:bCs/>
                <w:color w:val="auto"/>
                <w:sz w:val="21"/>
                <w:szCs w:val="21"/>
                <w:highlight w:val="none"/>
                <w:lang w:val="en-US" w:eastAsia="zh-CN" w:bidi="zh-CN"/>
              </w:rPr>
              <w:t>废硅藻土、污水处理站污泥及硅藻土废包装材料属于一般固废，依托现有工程已建</w:t>
            </w:r>
            <w:r>
              <w:rPr>
                <w:rFonts w:hint="eastAsia" w:ascii="Times New Roman" w:hAnsi="Times New Roman" w:eastAsia="宋体" w:cs="Times New Roman"/>
                <w:b w:val="0"/>
                <w:bCs/>
                <w:color w:val="auto"/>
                <w:sz w:val="21"/>
                <w:szCs w:val="21"/>
                <w:highlight w:val="none"/>
                <w:lang w:val="en-US" w:eastAsia="zh-CN" w:bidi="zh-CN"/>
              </w:rPr>
              <w:t>一般工业固体废物贮存库暂存，定期清运至</w:t>
            </w:r>
            <w:r>
              <w:rPr>
                <w:rFonts w:hint="eastAsia" w:ascii="Times New Roman" w:hAnsi="Times New Roman" w:cs="Times New Roman"/>
                <w:sz w:val="21"/>
                <w:szCs w:val="21"/>
                <w:lang w:val="en-US" w:eastAsia="zh-CN"/>
              </w:rPr>
              <w:t>园区一般工业固废填埋场</w:t>
            </w:r>
            <w:r>
              <w:rPr>
                <w:rFonts w:hint="eastAsia" w:ascii="Times New Roman" w:hAnsi="Times New Roman" w:eastAsia="宋体" w:cs="Times New Roman"/>
                <w:sz w:val="21"/>
                <w:szCs w:val="21"/>
                <w:highlight w:val="none"/>
                <w:lang w:val="en-US" w:eastAsia="zh-CN"/>
              </w:rPr>
              <w:t>填埋处置</w:t>
            </w:r>
            <w:r>
              <w:rPr>
                <w:rFonts w:hint="eastAsia" w:ascii="Times New Roman" w:hAnsi="Times New Roman" w:eastAsia="宋体" w:cs="Times New Roman"/>
                <w:b w:val="0"/>
                <w:bCs/>
                <w:color w:val="auto"/>
                <w:sz w:val="21"/>
                <w:szCs w:val="21"/>
                <w:highlight w:val="none"/>
                <w:lang w:val="en-US" w:eastAsia="zh-CN" w:bidi="zh-CN"/>
              </w:rPr>
              <w:t>填埋处置。</w:t>
            </w:r>
          </w:p>
        </w:tc>
        <w:tc>
          <w:tcPr>
            <w:tcW w:w="534" w:type="pct"/>
            <w:tcBorders>
              <w:tl2br w:val="nil"/>
              <w:tr2bl w:val="nil"/>
            </w:tcBorders>
            <w:noWrap w:val="0"/>
            <w:vAlign w:val="center"/>
          </w:tcPr>
          <w:p w14:paraId="4BF8CC6A">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6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bidi="zh-CN"/>
              </w:rPr>
            </w:pPr>
            <w:r>
              <w:rPr>
                <w:rFonts w:hint="eastAsia" w:ascii="Times New Roman" w:hAnsi="Times New Roman" w:cs="Times New Roman"/>
                <w:b w:val="0"/>
                <w:bCs/>
                <w:color w:val="auto"/>
                <w:sz w:val="21"/>
                <w:szCs w:val="21"/>
                <w:highlight w:val="none"/>
                <w:lang w:val="en-US" w:eastAsia="zh-CN" w:bidi="zh-CN"/>
              </w:rPr>
              <w:t>依托现有工程</w:t>
            </w:r>
          </w:p>
        </w:tc>
      </w:tr>
      <w:tr w14:paraId="2A8D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67C0C8F6">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sz w:val="21"/>
                <w:szCs w:val="21"/>
              </w:rPr>
            </w:pPr>
          </w:p>
        </w:tc>
        <w:tc>
          <w:tcPr>
            <w:tcW w:w="361" w:type="pct"/>
            <w:vMerge w:val="continue"/>
            <w:tcBorders>
              <w:tl2br w:val="nil"/>
              <w:tr2bl w:val="nil"/>
            </w:tcBorders>
            <w:noWrap w:val="0"/>
            <w:vAlign w:val="center"/>
          </w:tcPr>
          <w:p w14:paraId="0DEF8D81">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339" w:type="pct"/>
            <w:tcBorders>
              <w:tl2br w:val="nil"/>
              <w:tr2bl w:val="nil"/>
            </w:tcBorders>
            <w:noWrap w:val="0"/>
            <w:vAlign w:val="center"/>
          </w:tcPr>
          <w:p w14:paraId="2F8F4FE5">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危险废物</w:t>
            </w:r>
          </w:p>
        </w:tc>
        <w:tc>
          <w:tcPr>
            <w:tcW w:w="3537" w:type="pct"/>
            <w:tcBorders>
              <w:tl2br w:val="nil"/>
              <w:tr2bl w:val="nil"/>
            </w:tcBorders>
            <w:noWrap w:val="0"/>
            <w:vAlign w:val="center"/>
          </w:tcPr>
          <w:p w14:paraId="755C198C">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60" w:lineRule="exact"/>
              <w:ind w:left="0" w:leftChars="0" w:right="0" w:firstLine="0" w:firstLineChars="0"/>
              <w:jc w:val="center"/>
              <w:textAlignment w:val="auto"/>
              <w:outlineLvl w:val="9"/>
              <w:rPr>
                <w:rFonts w:hint="default" w:ascii="Times New Roman" w:hAnsi="Times New Roman" w:eastAsia="宋体" w:cs="Times New Roman"/>
                <w:b w:val="0"/>
                <w:bCs/>
                <w:color w:val="FF0000"/>
                <w:sz w:val="21"/>
                <w:szCs w:val="21"/>
                <w:highlight w:val="none"/>
                <w:lang w:val="en-US" w:eastAsia="zh-CN" w:bidi="zh-CN"/>
              </w:rPr>
            </w:pPr>
            <w:r>
              <w:rPr>
                <w:rFonts w:hint="eastAsia" w:ascii="Times New Roman" w:hAnsi="Times New Roman" w:cs="Times New Roman"/>
                <w:b w:val="0"/>
                <w:bCs/>
                <w:color w:val="auto"/>
                <w:sz w:val="21"/>
                <w:szCs w:val="21"/>
                <w:highlight w:val="none"/>
                <w:lang w:val="en-US" w:eastAsia="zh-CN" w:bidi="zh-CN"/>
              </w:rPr>
              <w:t>废活性炭、废润滑油、废加氢催化剂、化学品废包装材料依托</w:t>
            </w:r>
            <w:r>
              <w:rPr>
                <w:rFonts w:hint="default" w:ascii="Times New Roman" w:hAnsi="Times New Roman" w:eastAsia="宋体" w:cs="Times New Roman"/>
                <w:b w:val="0"/>
                <w:bCs/>
                <w:color w:val="auto"/>
                <w:sz w:val="21"/>
                <w:szCs w:val="21"/>
                <w:highlight w:val="none"/>
                <w:lang w:val="en-US" w:eastAsia="zh-CN" w:bidi="zh-CN"/>
              </w:rPr>
              <w:t>现有工程</w:t>
            </w:r>
            <w:r>
              <w:rPr>
                <w:rFonts w:hint="eastAsia" w:ascii="Times New Roman" w:hAnsi="Times New Roman" w:cs="Times New Roman" w:eastAsiaTheme="majorEastAsia"/>
                <w:b w:val="0"/>
                <w:bCs/>
                <w:color w:val="000000"/>
                <w:kern w:val="2"/>
                <w:sz w:val="21"/>
                <w:szCs w:val="21"/>
                <w:highlight w:val="none"/>
                <w:lang w:val="en-US" w:eastAsia="zh-CN"/>
              </w:rPr>
              <w:t>已建</w:t>
            </w:r>
            <w:r>
              <w:rPr>
                <w:rFonts w:hint="default" w:ascii="Times New Roman" w:hAnsi="Times New Roman" w:cs="Times New Roman" w:eastAsiaTheme="majorEastAsia"/>
                <w:b w:val="0"/>
                <w:bCs/>
                <w:color w:val="000000"/>
                <w:kern w:val="2"/>
                <w:sz w:val="21"/>
                <w:szCs w:val="21"/>
                <w:highlight w:val="none"/>
                <w:lang w:eastAsia="zh-CN"/>
              </w:rPr>
              <w:t>危险废物贮存库</w:t>
            </w:r>
            <w:r>
              <w:rPr>
                <w:rFonts w:hint="default" w:ascii="Times New Roman" w:hAnsi="Times New Roman" w:eastAsia="宋体" w:cs="Times New Roman"/>
                <w:b w:val="0"/>
                <w:bCs/>
                <w:color w:val="auto"/>
                <w:sz w:val="21"/>
                <w:szCs w:val="21"/>
                <w:highlight w:val="none"/>
                <w:lang w:val="zh-CN" w:eastAsia="zh-CN" w:bidi="zh-CN"/>
              </w:rPr>
              <w:t>，</w:t>
            </w:r>
            <w:r>
              <w:rPr>
                <w:rFonts w:hint="default" w:ascii="Times New Roman" w:hAnsi="Times New Roman" w:eastAsia="宋体" w:cs="Times New Roman"/>
                <w:b w:val="0"/>
                <w:bCs/>
                <w:color w:val="auto"/>
                <w:sz w:val="21"/>
                <w:szCs w:val="21"/>
                <w:highlight w:val="none"/>
                <w:lang w:val="en-US" w:eastAsia="zh-CN" w:bidi="zh-CN"/>
              </w:rPr>
              <w:t>分类</w:t>
            </w:r>
            <w:r>
              <w:rPr>
                <w:rFonts w:hint="default" w:ascii="Times New Roman" w:hAnsi="Times New Roman" w:eastAsia="宋体" w:cs="Times New Roman"/>
                <w:b w:val="0"/>
                <w:bCs/>
                <w:color w:val="auto"/>
                <w:sz w:val="21"/>
                <w:szCs w:val="21"/>
                <w:highlight w:val="none"/>
                <w:lang w:val="zh-CN" w:eastAsia="zh-CN" w:bidi="zh-CN"/>
              </w:rPr>
              <w:t>定期</w:t>
            </w:r>
            <w:r>
              <w:rPr>
                <w:rFonts w:hint="default" w:ascii="Times New Roman" w:hAnsi="Times New Roman" w:eastAsia="宋体" w:cs="Times New Roman"/>
                <w:b w:val="0"/>
                <w:bCs/>
                <w:color w:val="auto"/>
                <w:sz w:val="21"/>
                <w:szCs w:val="21"/>
                <w:highlight w:val="none"/>
                <w:lang w:val="en-US" w:eastAsia="zh-CN" w:bidi="zh-CN"/>
              </w:rPr>
              <w:t>委托</w:t>
            </w:r>
            <w:r>
              <w:rPr>
                <w:rFonts w:hint="default" w:ascii="Times New Roman" w:hAnsi="Times New Roman" w:eastAsia="宋体" w:cs="Times New Roman"/>
                <w:b w:val="0"/>
                <w:bCs/>
                <w:color w:val="auto"/>
                <w:sz w:val="21"/>
                <w:szCs w:val="21"/>
                <w:highlight w:val="none"/>
                <w:lang w:val="zh-CN" w:eastAsia="zh-CN" w:bidi="zh-CN"/>
              </w:rPr>
              <w:t>有资质的单位</w:t>
            </w:r>
            <w:r>
              <w:rPr>
                <w:rFonts w:hint="default" w:ascii="Times New Roman" w:hAnsi="Times New Roman" w:eastAsia="宋体" w:cs="Times New Roman"/>
                <w:b w:val="0"/>
                <w:bCs/>
                <w:color w:val="auto"/>
                <w:sz w:val="21"/>
                <w:szCs w:val="21"/>
                <w:highlight w:val="none"/>
                <w:lang w:val="en-US" w:eastAsia="zh-CN" w:bidi="zh-CN"/>
              </w:rPr>
              <w:t>运输处置</w:t>
            </w:r>
            <w:r>
              <w:rPr>
                <w:rFonts w:hint="eastAsia" w:ascii="Times New Roman" w:hAnsi="Times New Roman" w:cs="Times New Roman"/>
                <w:b w:val="0"/>
                <w:bCs/>
                <w:color w:val="auto"/>
                <w:sz w:val="21"/>
                <w:szCs w:val="21"/>
                <w:highlight w:val="none"/>
                <w:lang w:val="en-US" w:eastAsia="zh-CN" w:bidi="zh-CN"/>
              </w:rPr>
              <w:t>；废变压吸附剂、废甲醇制氢催化剂、废导热油在检修期产生，不在厂区内贮存，定期交由有资质单位处理。</w:t>
            </w:r>
          </w:p>
        </w:tc>
        <w:tc>
          <w:tcPr>
            <w:tcW w:w="534" w:type="pct"/>
            <w:tcBorders>
              <w:tl2br w:val="nil"/>
              <w:tr2bl w:val="nil"/>
            </w:tcBorders>
            <w:noWrap w:val="0"/>
            <w:vAlign w:val="center"/>
          </w:tcPr>
          <w:p w14:paraId="6249AE41">
            <w:pPr>
              <w:keepNext w:val="0"/>
              <w:keepLines w:val="0"/>
              <w:pageBreakBefore w:val="0"/>
              <w:widowControl w:val="0"/>
              <w:kinsoku/>
              <w:wordWrap/>
              <w:overflowPunct/>
              <w:topLinePunct w:val="0"/>
              <w:autoSpaceDE w:val="0"/>
              <w:autoSpaceDN w:val="0"/>
              <w:bidi w:val="0"/>
              <w:adjustRightInd/>
              <w:snapToGrid/>
              <w:spacing w:beforeAutospacing="0" w:afterAutospacing="0" w:line="26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eastAsia="宋体" w:cs="Times New Roman"/>
                <w:b w:val="0"/>
                <w:bCs/>
                <w:color w:val="auto"/>
                <w:sz w:val="21"/>
                <w:szCs w:val="21"/>
                <w:highlight w:val="none"/>
                <w:lang w:val="en-US" w:eastAsia="zh-CN" w:bidi="zh-CN"/>
              </w:rPr>
              <w:t>依托</w:t>
            </w:r>
            <w:r>
              <w:rPr>
                <w:rFonts w:hint="default" w:ascii="Times New Roman" w:hAnsi="Times New Roman" w:cs="Times New Roman"/>
                <w:b w:val="0"/>
                <w:bCs/>
                <w:color w:val="auto"/>
                <w:sz w:val="21"/>
                <w:szCs w:val="21"/>
                <w:highlight w:val="none"/>
                <w:lang w:val="en-US" w:eastAsia="zh-CN" w:bidi="zh-CN"/>
              </w:rPr>
              <w:t>现有工程</w:t>
            </w:r>
          </w:p>
        </w:tc>
      </w:tr>
      <w:tr w14:paraId="2FE1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5002114F">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sz w:val="21"/>
                <w:szCs w:val="21"/>
              </w:rPr>
            </w:pPr>
          </w:p>
        </w:tc>
        <w:tc>
          <w:tcPr>
            <w:tcW w:w="361" w:type="pct"/>
            <w:vMerge w:val="continue"/>
            <w:tcBorders>
              <w:tl2br w:val="nil"/>
              <w:tr2bl w:val="nil"/>
            </w:tcBorders>
            <w:noWrap w:val="0"/>
            <w:vAlign w:val="center"/>
          </w:tcPr>
          <w:p w14:paraId="78C48D8D">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339" w:type="pct"/>
            <w:tcBorders>
              <w:tl2br w:val="nil"/>
              <w:tr2bl w:val="nil"/>
            </w:tcBorders>
            <w:noWrap w:val="0"/>
            <w:vAlign w:val="center"/>
          </w:tcPr>
          <w:p w14:paraId="706C89A2">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生活垃圾</w:t>
            </w:r>
          </w:p>
        </w:tc>
        <w:tc>
          <w:tcPr>
            <w:tcW w:w="3537" w:type="pct"/>
            <w:tcBorders>
              <w:tl2br w:val="nil"/>
              <w:tr2bl w:val="nil"/>
            </w:tcBorders>
            <w:noWrap w:val="0"/>
            <w:vAlign w:val="center"/>
          </w:tcPr>
          <w:p w14:paraId="6C99B604">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eastAsia" w:ascii="Times New Roman" w:hAnsi="Times New Roman" w:eastAsia="宋体" w:cs="Times New Roman"/>
                <w:b w:val="0"/>
                <w:bCs/>
                <w:color w:val="auto"/>
                <w:sz w:val="21"/>
                <w:szCs w:val="21"/>
                <w:lang w:val="en-US" w:eastAsia="zh-CN" w:bidi="zh-CN"/>
              </w:rPr>
              <w:t>新增少量生活垃圾，依托现有设施分类收集，委托园区环卫定期清运</w:t>
            </w:r>
          </w:p>
        </w:tc>
        <w:tc>
          <w:tcPr>
            <w:tcW w:w="534" w:type="pct"/>
            <w:tcBorders>
              <w:tl2br w:val="nil"/>
              <w:tr2bl w:val="nil"/>
            </w:tcBorders>
            <w:noWrap w:val="0"/>
            <w:vAlign w:val="center"/>
          </w:tcPr>
          <w:p w14:paraId="56A975B1">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en-US" w:eastAsia="zh-CN" w:bidi="zh-CN"/>
              </w:rPr>
              <w:t>依托</w:t>
            </w:r>
            <w:r>
              <w:rPr>
                <w:rFonts w:hint="default" w:ascii="Times New Roman" w:hAnsi="Times New Roman" w:cs="Times New Roman"/>
                <w:b w:val="0"/>
                <w:bCs/>
                <w:color w:val="auto"/>
                <w:sz w:val="21"/>
                <w:szCs w:val="21"/>
                <w:lang w:val="en-US" w:eastAsia="zh-CN" w:bidi="zh-CN"/>
              </w:rPr>
              <w:t>现有工程</w:t>
            </w:r>
          </w:p>
        </w:tc>
      </w:tr>
      <w:tr w14:paraId="22C5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39" w:hRule="atLeast"/>
          <w:tblHeader/>
          <w:jc w:val="center"/>
        </w:trPr>
        <w:tc>
          <w:tcPr>
            <w:tcW w:w="227" w:type="pct"/>
            <w:vMerge w:val="continue"/>
            <w:tcBorders>
              <w:tl2br w:val="nil"/>
              <w:tr2bl w:val="nil"/>
            </w:tcBorders>
            <w:noWrap w:val="0"/>
            <w:vAlign w:val="center"/>
          </w:tcPr>
          <w:p w14:paraId="550E7BF7">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p>
        </w:tc>
        <w:tc>
          <w:tcPr>
            <w:tcW w:w="700" w:type="pct"/>
            <w:gridSpan w:val="2"/>
            <w:tcBorders>
              <w:tl2br w:val="nil"/>
              <w:tr2bl w:val="nil"/>
            </w:tcBorders>
            <w:noWrap w:val="0"/>
            <w:vAlign w:val="center"/>
          </w:tcPr>
          <w:p w14:paraId="37C7192D">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zh-CN" w:eastAsia="zh-CN" w:bidi="zh-CN"/>
              </w:rPr>
              <w:t>噪声</w:t>
            </w:r>
          </w:p>
        </w:tc>
        <w:tc>
          <w:tcPr>
            <w:tcW w:w="3537" w:type="pct"/>
            <w:tcBorders>
              <w:tl2br w:val="nil"/>
              <w:tr2bl w:val="nil"/>
            </w:tcBorders>
            <w:noWrap w:val="0"/>
            <w:vAlign w:val="center"/>
          </w:tcPr>
          <w:p w14:paraId="375AE6DD">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highlight w:val="none"/>
                <w:lang w:val="zh-CN" w:eastAsia="zh-CN" w:bidi="zh-CN"/>
              </w:rPr>
              <w:t>选用低噪声燃烧器</w:t>
            </w:r>
            <w:r>
              <w:rPr>
                <w:rFonts w:hint="default" w:ascii="Times New Roman" w:hAnsi="Times New Roman" w:cs="Times New Roman"/>
                <w:b w:val="0"/>
                <w:bCs/>
                <w:color w:val="auto"/>
                <w:sz w:val="21"/>
                <w:szCs w:val="21"/>
                <w:highlight w:val="none"/>
                <w:lang w:val="zh-CN" w:eastAsia="zh-CN" w:bidi="zh-CN"/>
              </w:rPr>
              <w:t>、</w:t>
            </w:r>
            <w:r>
              <w:rPr>
                <w:rFonts w:hint="eastAsia" w:ascii="Times New Roman" w:hAnsi="Times New Roman" w:cs="Times New Roman"/>
                <w:b w:val="0"/>
                <w:bCs/>
                <w:color w:val="auto"/>
                <w:sz w:val="21"/>
                <w:szCs w:val="21"/>
                <w:highlight w:val="none"/>
                <w:lang w:val="en-US" w:eastAsia="zh-CN" w:bidi="zh-CN"/>
              </w:rPr>
              <w:t>泵、风机、压缩机、搅拌器</w:t>
            </w:r>
            <w:r>
              <w:rPr>
                <w:rFonts w:hint="default" w:ascii="Times New Roman" w:hAnsi="Times New Roman" w:cs="Times New Roman"/>
                <w:b w:val="0"/>
                <w:bCs/>
                <w:color w:val="auto"/>
                <w:sz w:val="21"/>
                <w:szCs w:val="21"/>
                <w:highlight w:val="none"/>
                <w:lang w:val="en-US" w:eastAsia="zh-CN" w:bidi="zh-CN"/>
              </w:rPr>
              <w:t>等</w:t>
            </w:r>
            <w:r>
              <w:rPr>
                <w:rFonts w:hint="default" w:ascii="Times New Roman" w:hAnsi="Times New Roman" w:eastAsia="宋体" w:cs="Times New Roman"/>
                <w:b w:val="0"/>
                <w:bCs/>
                <w:color w:val="auto"/>
                <w:sz w:val="21"/>
                <w:szCs w:val="21"/>
                <w:highlight w:val="none"/>
                <w:lang w:val="zh-CN" w:eastAsia="zh-CN" w:bidi="zh-CN"/>
              </w:rPr>
              <w:t>设备，加强厂区绿化，设备设置</w:t>
            </w:r>
            <w:r>
              <w:rPr>
                <w:rFonts w:hint="eastAsia" w:ascii="Times New Roman" w:hAnsi="Times New Roman" w:cs="Times New Roman"/>
                <w:b w:val="0"/>
                <w:bCs/>
                <w:color w:val="auto"/>
                <w:sz w:val="21"/>
                <w:szCs w:val="21"/>
                <w:highlight w:val="none"/>
                <w:lang w:val="en-US" w:eastAsia="zh-CN" w:bidi="zh-CN"/>
              </w:rPr>
              <w:t>消声</w:t>
            </w:r>
            <w:r>
              <w:rPr>
                <w:rFonts w:hint="default" w:ascii="Times New Roman" w:hAnsi="Times New Roman" w:eastAsia="宋体" w:cs="Times New Roman"/>
                <w:b w:val="0"/>
                <w:bCs/>
                <w:color w:val="auto"/>
                <w:sz w:val="21"/>
                <w:szCs w:val="21"/>
                <w:highlight w:val="none"/>
                <w:lang w:val="zh-CN" w:eastAsia="zh-CN" w:bidi="zh-CN"/>
              </w:rPr>
              <w:t>、减振设施，机泵尽量安装在室内，设备定期维护和保养</w:t>
            </w:r>
          </w:p>
        </w:tc>
        <w:tc>
          <w:tcPr>
            <w:tcW w:w="534" w:type="pct"/>
            <w:tcBorders>
              <w:tl2br w:val="nil"/>
              <w:tr2bl w:val="nil"/>
            </w:tcBorders>
            <w:noWrap w:val="0"/>
            <w:vAlign w:val="center"/>
          </w:tcPr>
          <w:p w14:paraId="5899433D">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firstLine="0" w:firstLineChars="0"/>
              <w:jc w:val="center"/>
              <w:textAlignment w:val="auto"/>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eastAsia="宋体" w:cs="Times New Roman"/>
                <w:b w:val="0"/>
                <w:bCs/>
                <w:color w:val="auto"/>
                <w:sz w:val="21"/>
                <w:szCs w:val="21"/>
                <w:lang w:val="en-US" w:eastAsia="zh-CN" w:bidi="zh-CN"/>
              </w:rPr>
              <w:t>新建</w:t>
            </w:r>
          </w:p>
        </w:tc>
      </w:tr>
      <w:tr w14:paraId="45DE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restart"/>
            <w:tcBorders>
              <w:tl2br w:val="nil"/>
              <w:tr2bl w:val="nil"/>
            </w:tcBorders>
            <w:noWrap w:val="0"/>
            <w:vAlign w:val="center"/>
          </w:tcPr>
          <w:p w14:paraId="546AFAC1">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环境风险</w:t>
            </w:r>
          </w:p>
        </w:tc>
        <w:tc>
          <w:tcPr>
            <w:tcW w:w="700" w:type="pct"/>
            <w:gridSpan w:val="2"/>
            <w:tcBorders>
              <w:tl2br w:val="nil"/>
              <w:tr2bl w:val="nil"/>
            </w:tcBorders>
            <w:noWrap w:val="0"/>
            <w:vAlign w:val="center"/>
          </w:tcPr>
          <w:p w14:paraId="5A510568">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sz w:val="21"/>
                <w:szCs w:val="21"/>
              </w:rPr>
              <w:t>三级防控措施</w:t>
            </w:r>
          </w:p>
        </w:tc>
        <w:tc>
          <w:tcPr>
            <w:tcW w:w="3537" w:type="pct"/>
            <w:tcBorders>
              <w:tl2br w:val="nil"/>
              <w:tr2bl w:val="nil"/>
            </w:tcBorders>
            <w:noWrap w:val="0"/>
            <w:vAlign w:val="center"/>
          </w:tcPr>
          <w:p w14:paraId="7D10D43C">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kern w:val="0"/>
                <w:sz w:val="21"/>
                <w:szCs w:val="21"/>
              </w:rPr>
            </w:pPr>
            <w:r>
              <w:rPr>
                <w:rFonts w:hint="default" w:ascii="Times New Roman" w:hAnsi="Times New Roman" w:cs="Times New Roman"/>
                <w:b w:val="0"/>
                <w:bCs/>
                <w:color w:val="auto"/>
                <w:sz w:val="21"/>
                <w:szCs w:val="21"/>
              </w:rPr>
              <w:t>本项目完善厂内三级防控措施，</w:t>
            </w:r>
            <w:r>
              <w:rPr>
                <w:rFonts w:hint="eastAsia" w:ascii="Times New Roman" w:hAnsi="Times New Roman" w:cs="Times New Roman"/>
                <w:b w:val="0"/>
                <w:bCs/>
                <w:color w:val="auto"/>
                <w:sz w:val="21"/>
                <w:szCs w:val="21"/>
                <w:lang w:val="en-US" w:eastAsia="zh-CN"/>
              </w:rPr>
              <w:t>包含</w:t>
            </w:r>
            <w:r>
              <w:rPr>
                <w:rFonts w:hint="default" w:ascii="Times New Roman" w:hAnsi="Times New Roman" w:cs="Times New Roman"/>
                <w:b w:val="0"/>
                <w:bCs/>
                <w:color w:val="auto"/>
                <w:sz w:val="21"/>
                <w:szCs w:val="21"/>
              </w:rPr>
              <w:t>罐区围堰、有毒气体检测装置、消防报警系统</w:t>
            </w:r>
            <w:r>
              <w:rPr>
                <w:rFonts w:hint="eastAsia" w:ascii="Times New Roman" w:hAnsi="Times New Roman" w:cs="Times New Roman"/>
                <w:b w:val="0"/>
                <w:bCs/>
                <w:color w:val="auto"/>
                <w:sz w:val="21"/>
                <w:szCs w:val="21"/>
                <w:lang w:eastAsia="zh-CN"/>
              </w:rPr>
              <w:t>、</w:t>
            </w:r>
            <w:r>
              <w:rPr>
                <w:rFonts w:hint="default" w:ascii="Times New Roman" w:hAnsi="Times New Roman" w:cs="Times New Roman"/>
                <w:b w:val="0"/>
                <w:bCs/>
                <w:color w:val="auto"/>
                <w:sz w:val="21"/>
                <w:szCs w:val="21"/>
              </w:rPr>
              <w:t>事故池、排污沟、导雨管等。</w:t>
            </w:r>
          </w:p>
        </w:tc>
        <w:tc>
          <w:tcPr>
            <w:tcW w:w="534" w:type="pct"/>
            <w:tcBorders>
              <w:tl2br w:val="nil"/>
              <w:tr2bl w:val="nil"/>
            </w:tcBorders>
            <w:noWrap w:val="0"/>
            <w:vAlign w:val="center"/>
          </w:tcPr>
          <w:p w14:paraId="6226B2EE">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cs="Times New Roman"/>
                <w:b w:val="0"/>
                <w:bCs/>
                <w:sz w:val="21"/>
                <w:szCs w:val="21"/>
              </w:rPr>
              <w:t>依托</w:t>
            </w:r>
            <w:r>
              <w:rPr>
                <w:rFonts w:hint="default" w:ascii="Times New Roman" w:hAnsi="Times New Roman" w:cs="Times New Roman"/>
                <w:b w:val="0"/>
                <w:bCs/>
                <w:sz w:val="21"/>
                <w:szCs w:val="21"/>
                <w:lang w:val="en-US" w:eastAsia="zh-CN"/>
              </w:rPr>
              <w:t>现有工程</w:t>
            </w:r>
            <w:r>
              <w:rPr>
                <w:rFonts w:hint="default" w:ascii="Times New Roman" w:hAnsi="Times New Roman" w:cs="Times New Roman"/>
                <w:b w:val="0"/>
                <w:bCs/>
                <w:sz w:val="21"/>
                <w:szCs w:val="21"/>
              </w:rPr>
              <w:t>+新建</w:t>
            </w:r>
          </w:p>
        </w:tc>
      </w:tr>
      <w:tr w14:paraId="507D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12E1DB81">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p>
        </w:tc>
        <w:tc>
          <w:tcPr>
            <w:tcW w:w="700" w:type="pct"/>
            <w:gridSpan w:val="2"/>
            <w:tcBorders>
              <w:tl2br w:val="nil"/>
              <w:tr2bl w:val="nil"/>
            </w:tcBorders>
            <w:noWrap w:val="0"/>
            <w:vAlign w:val="center"/>
          </w:tcPr>
          <w:p w14:paraId="2F1E014A">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sz w:val="21"/>
                <w:szCs w:val="21"/>
              </w:rPr>
              <w:t>储罐区围堰</w:t>
            </w:r>
          </w:p>
        </w:tc>
        <w:tc>
          <w:tcPr>
            <w:tcW w:w="3537" w:type="pct"/>
            <w:tcBorders>
              <w:tl2br w:val="nil"/>
              <w:tr2bl w:val="nil"/>
            </w:tcBorders>
            <w:noWrap w:val="0"/>
            <w:vAlign w:val="center"/>
          </w:tcPr>
          <w:p w14:paraId="1187A379">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kern w:val="0"/>
                <w:sz w:val="21"/>
                <w:szCs w:val="21"/>
              </w:rPr>
            </w:pPr>
            <w:r>
              <w:rPr>
                <w:rFonts w:hint="default" w:ascii="Times New Roman" w:hAnsi="Times New Roman" w:cs="Times New Roman"/>
                <w:b w:val="0"/>
                <w:bCs/>
                <w:color w:val="auto"/>
                <w:sz w:val="21"/>
                <w:szCs w:val="21"/>
              </w:rPr>
              <w:t>储罐区周边设置不低于1.2m围堰，设排水设施通往事故池</w:t>
            </w:r>
          </w:p>
        </w:tc>
        <w:tc>
          <w:tcPr>
            <w:tcW w:w="534" w:type="pct"/>
            <w:tcBorders>
              <w:tl2br w:val="nil"/>
              <w:tr2bl w:val="nil"/>
            </w:tcBorders>
            <w:noWrap w:val="0"/>
            <w:vAlign w:val="center"/>
          </w:tcPr>
          <w:p w14:paraId="61B91E28">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cs="Times New Roman"/>
                <w:b w:val="0"/>
                <w:bCs/>
                <w:sz w:val="21"/>
                <w:szCs w:val="21"/>
              </w:rPr>
              <w:t>新建</w:t>
            </w:r>
          </w:p>
        </w:tc>
      </w:tr>
      <w:tr w14:paraId="45B7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3741238E">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p>
        </w:tc>
        <w:tc>
          <w:tcPr>
            <w:tcW w:w="700" w:type="pct"/>
            <w:gridSpan w:val="2"/>
            <w:tcBorders>
              <w:tl2br w:val="nil"/>
              <w:tr2bl w:val="nil"/>
            </w:tcBorders>
            <w:noWrap w:val="0"/>
            <w:vAlign w:val="center"/>
          </w:tcPr>
          <w:p w14:paraId="25DAB7F3">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sz w:val="21"/>
                <w:szCs w:val="21"/>
              </w:rPr>
              <w:t>装置区导流</w:t>
            </w:r>
          </w:p>
        </w:tc>
        <w:tc>
          <w:tcPr>
            <w:tcW w:w="3537" w:type="pct"/>
            <w:tcBorders>
              <w:tl2br w:val="nil"/>
              <w:tr2bl w:val="nil"/>
            </w:tcBorders>
            <w:noWrap w:val="0"/>
            <w:vAlign w:val="center"/>
          </w:tcPr>
          <w:p w14:paraId="1CE187F4">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kern w:val="0"/>
                <w:sz w:val="21"/>
                <w:szCs w:val="21"/>
              </w:rPr>
            </w:pPr>
            <w:r>
              <w:rPr>
                <w:rFonts w:hint="default" w:ascii="Times New Roman" w:hAnsi="Times New Roman" w:cs="Times New Roman"/>
                <w:b w:val="0"/>
                <w:bCs/>
                <w:color w:val="auto"/>
                <w:sz w:val="21"/>
                <w:szCs w:val="21"/>
              </w:rPr>
              <w:t>装置区周边设置截水沟和集水设施，可将事故废水和消防废水通入事故池</w:t>
            </w:r>
          </w:p>
        </w:tc>
        <w:tc>
          <w:tcPr>
            <w:tcW w:w="534" w:type="pct"/>
            <w:tcBorders>
              <w:tl2br w:val="nil"/>
              <w:tr2bl w:val="nil"/>
            </w:tcBorders>
            <w:noWrap w:val="0"/>
            <w:vAlign w:val="center"/>
          </w:tcPr>
          <w:p w14:paraId="370DC65D">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cs="Times New Roman"/>
                <w:b w:val="0"/>
                <w:bCs/>
                <w:sz w:val="21"/>
                <w:szCs w:val="21"/>
              </w:rPr>
              <w:t>新建</w:t>
            </w:r>
          </w:p>
        </w:tc>
      </w:tr>
      <w:tr w14:paraId="3744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15547172">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p>
        </w:tc>
        <w:tc>
          <w:tcPr>
            <w:tcW w:w="700" w:type="pct"/>
            <w:gridSpan w:val="2"/>
            <w:tcBorders>
              <w:tl2br w:val="nil"/>
              <w:tr2bl w:val="nil"/>
            </w:tcBorders>
            <w:noWrap w:val="0"/>
            <w:vAlign w:val="center"/>
          </w:tcPr>
          <w:p w14:paraId="7EBC3EE2">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sz w:val="21"/>
                <w:szCs w:val="21"/>
              </w:rPr>
              <w:t>分区防渗</w:t>
            </w:r>
          </w:p>
        </w:tc>
        <w:tc>
          <w:tcPr>
            <w:tcW w:w="3537" w:type="pct"/>
            <w:tcBorders>
              <w:tl2br w:val="nil"/>
              <w:tr2bl w:val="nil"/>
            </w:tcBorders>
            <w:noWrap w:val="0"/>
            <w:vAlign w:val="center"/>
          </w:tcPr>
          <w:p w14:paraId="1371B0A1">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kern w:val="0"/>
                <w:sz w:val="21"/>
                <w:szCs w:val="21"/>
              </w:rPr>
            </w:pPr>
            <w:r>
              <w:rPr>
                <w:rFonts w:hint="default" w:ascii="Times New Roman" w:hAnsi="Times New Roman" w:cs="Times New Roman"/>
                <w:b w:val="0"/>
                <w:bCs/>
                <w:sz w:val="21"/>
                <w:szCs w:val="21"/>
              </w:rPr>
              <w:t>本项目储罐区基础、吸收塔基础设为重点防渗区，装置区为一般防渗区</w:t>
            </w:r>
          </w:p>
        </w:tc>
        <w:tc>
          <w:tcPr>
            <w:tcW w:w="534" w:type="pct"/>
            <w:tcBorders>
              <w:tl2br w:val="nil"/>
              <w:tr2bl w:val="nil"/>
            </w:tcBorders>
            <w:noWrap w:val="0"/>
            <w:vAlign w:val="center"/>
          </w:tcPr>
          <w:p w14:paraId="196B818A">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cs="Times New Roman"/>
                <w:b w:val="0"/>
                <w:bCs/>
                <w:sz w:val="21"/>
                <w:szCs w:val="21"/>
              </w:rPr>
              <w:t>新建</w:t>
            </w:r>
          </w:p>
        </w:tc>
      </w:tr>
      <w:tr w14:paraId="5DFD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31094355">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p>
        </w:tc>
        <w:tc>
          <w:tcPr>
            <w:tcW w:w="700" w:type="pct"/>
            <w:gridSpan w:val="2"/>
            <w:tcBorders>
              <w:tl2br w:val="nil"/>
              <w:tr2bl w:val="nil"/>
            </w:tcBorders>
            <w:noWrap w:val="0"/>
            <w:vAlign w:val="center"/>
          </w:tcPr>
          <w:p w14:paraId="3A11B7F7">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sz w:val="21"/>
                <w:szCs w:val="21"/>
              </w:rPr>
              <w:t>事故池</w:t>
            </w:r>
          </w:p>
        </w:tc>
        <w:tc>
          <w:tcPr>
            <w:tcW w:w="3537" w:type="pct"/>
            <w:tcBorders>
              <w:tl2br w:val="nil"/>
              <w:tr2bl w:val="nil"/>
            </w:tcBorders>
            <w:noWrap w:val="0"/>
            <w:vAlign w:val="center"/>
          </w:tcPr>
          <w:p w14:paraId="32CEA2E8">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kern w:val="0"/>
                <w:sz w:val="21"/>
                <w:szCs w:val="21"/>
              </w:rPr>
            </w:pPr>
            <w:r>
              <w:rPr>
                <w:rFonts w:hint="default" w:ascii="Times New Roman" w:hAnsi="Times New Roman" w:cs="Times New Roman"/>
                <w:b w:val="0"/>
                <w:bCs/>
                <w:sz w:val="21"/>
                <w:szCs w:val="21"/>
              </w:rPr>
              <w:t>依托厂内现有</w:t>
            </w:r>
            <w:r>
              <w:rPr>
                <w:rFonts w:hint="default" w:ascii="Times New Roman" w:hAnsi="Times New Roman" w:cs="Times New Roman"/>
                <w:b w:val="0"/>
                <w:bCs/>
                <w:sz w:val="21"/>
                <w:szCs w:val="21"/>
                <w:lang w:val="en-US" w:eastAsia="zh-CN"/>
              </w:rPr>
              <w:t>1</w:t>
            </w:r>
            <w:r>
              <w:rPr>
                <w:rFonts w:hint="default" w:ascii="Times New Roman" w:hAnsi="Times New Roman" w:cs="Times New Roman"/>
                <w:b w:val="0"/>
                <w:bCs/>
                <w:sz w:val="21"/>
                <w:szCs w:val="21"/>
              </w:rPr>
              <w:t>座1000m</w:t>
            </w:r>
            <w:r>
              <w:rPr>
                <w:rFonts w:hint="default" w:ascii="Times New Roman" w:hAnsi="Times New Roman" w:cs="Times New Roman"/>
                <w:b w:val="0"/>
                <w:bCs/>
                <w:sz w:val="21"/>
                <w:szCs w:val="21"/>
                <w:vertAlign w:val="superscript"/>
                <w:lang w:val="en-US" w:eastAsia="zh-CN"/>
              </w:rPr>
              <w:t>3</w:t>
            </w:r>
            <w:r>
              <w:rPr>
                <w:rFonts w:hint="default" w:ascii="Times New Roman" w:hAnsi="Times New Roman" w:cs="Times New Roman"/>
                <w:b w:val="0"/>
                <w:bCs/>
                <w:sz w:val="21"/>
                <w:szCs w:val="21"/>
              </w:rPr>
              <w:t>事故池和</w:t>
            </w:r>
            <w:r>
              <w:rPr>
                <w:rFonts w:hint="default" w:ascii="Times New Roman" w:hAnsi="Times New Roman" w:cs="Times New Roman"/>
                <w:b w:val="0"/>
                <w:bCs/>
                <w:sz w:val="21"/>
                <w:szCs w:val="21"/>
                <w:lang w:val="en-US" w:eastAsia="zh-CN"/>
              </w:rPr>
              <w:t>1</w:t>
            </w:r>
            <w:r>
              <w:rPr>
                <w:rFonts w:hint="default" w:ascii="Times New Roman" w:hAnsi="Times New Roman" w:cs="Times New Roman"/>
                <w:b w:val="0"/>
                <w:bCs/>
                <w:sz w:val="21"/>
                <w:szCs w:val="21"/>
              </w:rPr>
              <w:t>座6000m</w:t>
            </w:r>
            <w:r>
              <w:rPr>
                <w:rFonts w:hint="default" w:ascii="Times New Roman" w:hAnsi="Times New Roman" w:cs="Times New Roman"/>
                <w:b w:val="0"/>
                <w:bCs/>
                <w:sz w:val="21"/>
                <w:szCs w:val="21"/>
                <w:vertAlign w:val="superscript"/>
                <w:lang w:val="en-US" w:eastAsia="zh-CN"/>
              </w:rPr>
              <w:t>3</w:t>
            </w:r>
            <w:r>
              <w:rPr>
                <w:rFonts w:hint="default" w:ascii="Times New Roman" w:hAnsi="Times New Roman" w:cs="Times New Roman"/>
                <w:b w:val="0"/>
                <w:bCs/>
                <w:sz w:val="21"/>
                <w:szCs w:val="21"/>
              </w:rPr>
              <w:t>事故池，用于紧急情况下收纳泄漏废液和消防废水</w:t>
            </w:r>
          </w:p>
        </w:tc>
        <w:tc>
          <w:tcPr>
            <w:tcW w:w="534" w:type="pct"/>
            <w:tcBorders>
              <w:tl2br w:val="nil"/>
              <w:tr2bl w:val="nil"/>
            </w:tcBorders>
            <w:noWrap w:val="0"/>
            <w:vAlign w:val="center"/>
          </w:tcPr>
          <w:p w14:paraId="1FF835D9">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cs="Times New Roman"/>
                <w:b w:val="0"/>
                <w:bCs/>
                <w:sz w:val="21"/>
                <w:szCs w:val="21"/>
              </w:rPr>
              <w:t>依托</w:t>
            </w:r>
            <w:r>
              <w:rPr>
                <w:rFonts w:hint="default" w:ascii="Times New Roman" w:hAnsi="Times New Roman" w:cs="Times New Roman"/>
                <w:b w:val="0"/>
                <w:bCs/>
                <w:sz w:val="21"/>
                <w:szCs w:val="21"/>
                <w:lang w:val="en-US" w:eastAsia="zh-CN"/>
              </w:rPr>
              <w:t>现有工程</w:t>
            </w:r>
          </w:p>
        </w:tc>
      </w:tr>
      <w:tr w14:paraId="7B4C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4ED3DD18">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p>
        </w:tc>
        <w:tc>
          <w:tcPr>
            <w:tcW w:w="700" w:type="pct"/>
            <w:gridSpan w:val="2"/>
            <w:tcBorders>
              <w:tl2br w:val="nil"/>
              <w:tr2bl w:val="nil"/>
            </w:tcBorders>
            <w:noWrap w:val="0"/>
            <w:vAlign w:val="center"/>
          </w:tcPr>
          <w:p w14:paraId="7F0C9A1A">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sz w:val="21"/>
                <w:szCs w:val="21"/>
              </w:rPr>
              <w:t>危险废物贮存库</w:t>
            </w:r>
          </w:p>
        </w:tc>
        <w:tc>
          <w:tcPr>
            <w:tcW w:w="3537" w:type="pct"/>
            <w:tcBorders>
              <w:tl2br w:val="nil"/>
              <w:tr2bl w:val="nil"/>
            </w:tcBorders>
            <w:noWrap w:val="0"/>
            <w:vAlign w:val="center"/>
          </w:tcPr>
          <w:p w14:paraId="28097FC5">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kern w:val="0"/>
                <w:sz w:val="21"/>
                <w:szCs w:val="21"/>
              </w:rPr>
            </w:pPr>
            <w:r>
              <w:rPr>
                <w:rFonts w:hint="default" w:ascii="Times New Roman" w:hAnsi="Times New Roman" w:cs="Times New Roman"/>
                <w:b w:val="0"/>
                <w:bCs/>
                <w:sz w:val="21"/>
                <w:szCs w:val="21"/>
              </w:rPr>
              <w:t>本项目产生的危险废物，依托现有占地800m</w:t>
            </w:r>
            <w:r>
              <w:rPr>
                <w:rFonts w:hint="default" w:ascii="Times New Roman" w:hAnsi="Times New Roman" w:cs="Times New Roman"/>
                <w:b w:val="0"/>
                <w:bCs/>
                <w:sz w:val="21"/>
                <w:szCs w:val="21"/>
                <w:vertAlign w:val="superscript"/>
                <w:lang w:val="en-US" w:eastAsia="zh-CN"/>
              </w:rPr>
              <w:t>2</w:t>
            </w:r>
            <w:r>
              <w:rPr>
                <w:rFonts w:hint="default" w:ascii="Times New Roman" w:hAnsi="Times New Roman" w:cs="Times New Roman"/>
                <w:b w:val="0"/>
                <w:bCs/>
                <w:sz w:val="21"/>
                <w:szCs w:val="21"/>
              </w:rPr>
              <w:t>的危险废物贮存库暂存，定期委托有资质的单位处理</w:t>
            </w:r>
          </w:p>
        </w:tc>
        <w:tc>
          <w:tcPr>
            <w:tcW w:w="534" w:type="pct"/>
            <w:tcBorders>
              <w:tl2br w:val="nil"/>
              <w:tr2bl w:val="nil"/>
            </w:tcBorders>
            <w:noWrap w:val="0"/>
            <w:vAlign w:val="center"/>
          </w:tcPr>
          <w:p w14:paraId="339C138B">
            <w:pPr>
              <w:keepNext w:val="0"/>
              <w:keepLines w:val="0"/>
              <w:pageBreakBefore w:val="0"/>
              <w:widowControl w:val="0"/>
              <w:kinsoku/>
              <w:wordWrap/>
              <w:overflowPunct/>
              <w:topLinePunct w:val="0"/>
              <w:bidi w:val="0"/>
              <w:adjustRightInd/>
              <w:snapToGrid/>
              <w:spacing w:before="0" w:beforeLines="0" w:beforeAutospacing="0" w:after="0" w:afterLines="0" w:afterAutospacing="0" w:line="240" w:lineRule="exact"/>
              <w:ind w:left="0" w:leftChars="0" w:right="0" w:firstLine="0" w:firstLineChars="0"/>
              <w:jc w:val="center"/>
              <w:textAlignment w:val="center"/>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cs="Times New Roman"/>
                <w:b w:val="0"/>
                <w:bCs/>
                <w:sz w:val="21"/>
                <w:szCs w:val="21"/>
              </w:rPr>
              <w:t>依托</w:t>
            </w:r>
            <w:r>
              <w:rPr>
                <w:rFonts w:hint="default" w:ascii="Times New Roman" w:hAnsi="Times New Roman" w:cs="Times New Roman"/>
                <w:b w:val="0"/>
                <w:bCs/>
                <w:sz w:val="21"/>
                <w:szCs w:val="21"/>
                <w:lang w:val="en-US" w:eastAsia="zh-CN"/>
              </w:rPr>
              <w:t>现有工程</w:t>
            </w:r>
          </w:p>
        </w:tc>
      </w:tr>
      <w:tr w14:paraId="21B7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jc w:val="center"/>
        </w:trPr>
        <w:tc>
          <w:tcPr>
            <w:tcW w:w="227" w:type="pct"/>
            <w:vMerge w:val="continue"/>
            <w:tcBorders>
              <w:tl2br w:val="nil"/>
              <w:tr2bl w:val="nil"/>
            </w:tcBorders>
            <w:noWrap w:val="0"/>
            <w:vAlign w:val="center"/>
          </w:tcPr>
          <w:p w14:paraId="68A83DAA">
            <w:pPr>
              <w:keepNext w:val="0"/>
              <w:keepLines w:val="0"/>
              <w:pageBreakBefore w:val="0"/>
              <w:widowControl w:val="0"/>
              <w:tabs>
                <w:tab w:val="left" w:pos="420"/>
              </w:tabs>
              <w:kinsoku/>
              <w:wordWrap/>
              <w:overflowPunct/>
              <w:topLinePunct w:val="0"/>
              <w:autoSpaceDE w:val="0"/>
              <w:autoSpaceDN w:val="0"/>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p>
        </w:tc>
        <w:tc>
          <w:tcPr>
            <w:tcW w:w="700" w:type="pct"/>
            <w:gridSpan w:val="2"/>
            <w:tcBorders>
              <w:tl2br w:val="nil"/>
              <w:tr2bl w:val="nil"/>
            </w:tcBorders>
            <w:noWrap w:val="0"/>
            <w:vAlign w:val="center"/>
          </w:tcPr>
          <w:p w14:paraId="46A20B0C">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0" w:lineRule="exact"/>
              <w:ind w:left="0" w:leftChars="0" w:right="0" w:firstLine="0" w:firstLineChars="0"/>
              <w:jc w:val="center"/>
              <w:textAlignment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sz w:val="21"/>
                <w:szCs w:val="21"/>
              </w:rPr>
              <w:t>火灾报警</w:t>
            </w:r>
          </w:p>
        </w:tc>
        <w:tc>
          <w:tcPr>
            <w:tcW w:w="3537" w:type="pct"/>
            <w:tcBorders>
              <w:tl2br w:val="nil"/>
              <w:tr2bl w:val="nil"/>
            </w:tcBorders>
            <w:noWrap w:val="0"/>
            <w:vAlign w:val="center"/>
          </w:tcPr>
          <w:p w14:paraId="06200F44">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0" w:lineRule="exact"/>
              <w:ind w:left="0" w:leftChars="0" w:right="0" w:firstLine="0" w:firstLineChars="0"/>
              <w:jc w:val="center"/>
              <w:textAlignment w:val="center"/>
              <w:outlineLvl w:val="9"/>
              <w:rPr>
                <w:rFonts w:hint="default" w:ascii="Times New Roman" w:hAnsi="Times New Roman" w:eastAsia="宋体" w:cs="Times New Roman"/>
                <w:b w:val="0"/>
                <w:bCs/>
                <w:color w:val="auto"/>
                <w:kern w:val="0"/>
                <w:sz w:val="21"/>
                <w:szCs w:val="21"/>
              </w:rPr>
            </w:pPr>
            <w:r>
              <w:rPr>
                <w:rFonts w:hint="default" w:ascii="Times New Roman" w:hAnsi="Times New Roman" w:cs="Times New Roman"/>
                <w:b w:val="0"/>
                <w:bCs/>
                <w:sz w:val="21"/>
                <w:szCs w:val="21"/>
              </w:rPr>
              <w:t>装置区设置火灾自动报警系统、工业电视监控系统</w:t>
            </w:r>
          </w:p>
        </w:tc>
        <w:tc>
          <w:tcPr>
            <w:tcW w:w="534" w:type="pct"/>
            <w:tcBorders>
              <w:tl2br w:val="nil"/>
              <w:tr2bl w:val="nil"/>
            </w:tcBorders>
            <w:noWrap w:val="0"/>
            <w:vAlign w:val="center"/>
          </w:tcPr>
          <w:p w14:paraId="7B165299">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0" w:lineRule="exact"/>
              <w:ind w:left="0" w:leftChars="0" w:right="0" w:firstLine="0" w:firstLineChars="0"/>
              <w:jc w:val="center"/>
              <w:textAlignment w:val="center"/>
              <w:outlineLvl w:val="9"/>
              <w:rPr>
                <w:rFonts w:hint="default" w:ascii="Times New Roman" w:hAnsi="Times New Roman" w:eastAsia="宋体" w:cs="Times New Roman"/>
                <w:b w:val="0"/>
                <w:bCs/>
                <w:color w:val="auto"/>
                <w:sz w:val="21"/>
                <w:szCs w:val="21"/>
                <w:lang w:val="zh-CN" w:eastAsia="zh-CN" w:bidi="zh-CN"/>
              </w:rPr>
            </w:pPr>
            <w:r>
              <w:rPr>
                <w:rFonts w:hint="default" w:ascii="Times New Roman" w:hAnsi="Times New Roman" w:cs="Times New Roman"/>
                <w:b w:val="0"/>
                <w:bCs/>
                <w:sz w:val="21"/>
                <w:szCs w:val="21"/>
              </w:rPr>
              <w:t>新建</w:t>
            </w:r>
          </w:p>
        </w:tc>
      </w:tr>
    </w:tbl>
    <w:p w14:paraId="60BF6B47">
      <w:pPr>
        <w:spacing w:line="240" w:lineRule="auto"/>
        <w:rPr>
          <w:rFonts w:hint="eastAsia" w:ascii="Times New Roman" w:hAnsi="Times New Roman" w:eastAsia="宋体" w:cs="Times New Roman"/>
          <w:color w:val="FF0000"/>
          <w:kern w:val="2"/>
          <w:sz w:val="24"/>
          <w:szCs w:val="24"/>
          <w:lang w:eastAsia="zh-CN"/>
        </w:rPr>
        <w:sectPr>
          <w:headerReference r:id="rId8" w:type="default"/>
          <w:footerReference r:id="rId9" w:type="default"/>
          <w:pgSz w:w="11906" w:h="16838"/>
          <w:pgMar w:top="1800" w:right="1440" w:bottom="1800" w:left="1440" w:header="850" w:footer="1247" w:gutter="0"/>
          <w:pgBorders>
            <w:top w:val="none" w:sz="0" w:space="0"/>
            <w:left w:val="none" w:sz="0" w:space="0"/>
            <w:bottom w:val="none" w:sz="0" w:space="0"/>
            <w:right w:val="none" w:sz="0" w:space="0"/>
          </w:pgBorders>
          <w:pgNumType w:fmt="decimal"/>
          <w:cols w:space="425" w:num="1"/>
          <w:docGrid w:type="lines" w:linePitch="326" w:charSpace="0"/>
        </w:sectPr>
      </w:pPr>
    </w:p>
    <w:p w14:paraId="5A20CDBE">
      <w:pPr>
        <w:spacing w:line="360" w:lineRule="auto"/>
        <w:rPr>
          <w:rFonts w:hint="eastAsia" w:ascii="Times New Roman" w:hAnsi="Times New Roman" w:eastAsia="宋体" w:cs="Times New Roman"/>
          <w:color w:val="FF0000"/>
          <w:kern w:val="2"/>
          <w:sz w:val="24"/>
          <w:szCs w:val="24"/>
          <w:lang w:val="en-US" w:eastAsia="zh-CN"/>
        </w:rPr>
      </w:pPr>
      <w:r>
        <w:rPr>
          <w:rFonts w:hint="eastAsia" w:ascii="Times New Roman" w:hAnsi="Times New Roman" w:eastAsia="宋体" w:cs="Times New Roman"/>
          <w:color w:val="FF0000"/>
          <w:kern w:val="2"/>
          <w:sz w:val="24"/>
          <w:szCs w:val="24"/>
          <w:lang w:val="en-US" w:eastAsia="zh-CN"/>
        </w:rPr>
        <w:t>（2）供电</w:t>
      </w:r>
    </w:p>
    <w:p w14:paraId="3B7F19CE">
      <w:pPr>
        <w:spacing w:line="360" w:lineRule="auto"/>
        <w:jc w:val="center"/>
        <w:rPr>
          <w:rFonts w:hint="eastAsia" w:ascii="Times New Roman" w:hAnsi="Times New Roman" w:eastAsia="宋体" w:cs="Times New Roman"/>
          <w:b/>
          <w:bCs/>
          <w:color w:val="FF0000"/>
          <w:kern w:val="2"/>
          <w:sz w:val="24"/>
          <w:szCs w:val="24"/>
          <w:lang w:val="en-US" w:eastAsia="zh-CN"/>
        </w:rPr>
      </w:pPr>
      <w:r>
        <w:rPr>
          <w:rFonts w:hint="eastAsia" w:ascii="Times New Roman" w:hAnsi="Times New Roman" w:eastAsia="宋体" w:cs="Times New Roman"/>
          <w:b/>
          <w:bCs/>
          <w:color w:val="FF0000"/>
          <w:kern w:val="2"/>
          <w:sz w:val="24"/>
          <w:szCs w:val="24"/>
          <w:lang w:val="en-US" w:eastAsia="zh-CN"/>
        </w:rPr>
        <w:t>表5.2-1  本项目公用工程与园区依托关系一览表</w:t>
      </w:r>
    </w:p>
    <w:tbl>
      <w:tblPr>
        <w:tblStyle w:val="2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4523"/>
        <w:gridCol w:w="1269"/>
        <w:gridCol w:w="1470"/>
      </w:tblGrid>
      <w:tr w14:paraId="2BE2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34" w:type="pct"/>
            <w:vAlign w:val="center"/>
          </w:tcPr>
          <w:p w14:paraId="160DD9E4">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基础设施</w:t>
            </w:r>
          </w:p>
        </w:tc>
        <w:tc>
          <w:tcPr>
            <w:tcW w:w="2656" w:type="pct"/>
            <w:vAlign w:val="center"/>
          </w:tcPr>
          <w:p w14:paraId="2C6CC27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规划情况</w:t>
            </w:r>
          </w:p>
        </w:tc>
        <w:tc>
          <w:tcPr>
            <w:tcW w:w="745" w:type="pct"/>
            <w:vAlign w:val="center"/>
          </w:tcPr>
          <w:p w14:paraId="636C2EE2">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运行情况</w:t>
            </w:r>
          </w:p>
        </w:tc>
        <w:tc>
          <w:tcPr>
            <w:tcW w:w="863" w:type="pct"/>
            <w:vAlign w:val="center"/>
          </w:tcPr>
          <w:p w14:paraId="484F7908">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依托关系</w:t>
            </w:r>
          </w:p>
        </w:tc>
      </w:tr>
      <w:tr w14:paraId="171C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34" w:type="pct"/>
            <w:vAlign w:val="center"/>
          </w:tcPr>
          <w:p w14:paraId="3CE103EA">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道路</w:t>
            </w:r>
          </w:p>
        </w:tc>
        <w:tc>
          <w:tcPr>
            <w:tcW w:w="2656" w:type="pct"/>
            <w:vAlign w:val="center"/>
          </w:tcPr>
          <w:p w14:paraId="1F600752">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道路交通系统</w:t>
            </w:r>
          </w:p>
        </w:tc>
        <w:tc>
          <w:tcPr>
            <w:tcW w:w="745" w:type="pct"/>
            <w:vAlign w:val="center"/>
          </w:tcPr>
          <w:p w14:paraId="42058A10">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已投运多年</w:t>
            </w:r>
          </w:p>
        </w:tc>
        <w:tc>
          <w:tcPr>
            <w:tcW w:w="863" w:type="pct"/>
            <w:vAlign w:val="center"/>
          </w:tcPr>
          <w:p w14:paraId="698E6745">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可依托</w:t>
            </w:r>
          </w:p>
        </w:tc>
      </w:tr>
      <w:tr w14:paraId="08E9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34" w:type="pct"/>
            <w:vAlign w:val="center"/>
          </w:tcPr>
          <w:p w14:paraId="41F189CB">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给水</w:t>
            </w:r>
          </w:p>
        </w:tc>
        <w:tc>
          <w:tcPr>
            <w:tcW w:w="2656" w:type="pct"/>
            <w:vAlign w:val="center"/>
          </w:tcPr>
          <w:p w14:paraId="6A401B1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lang w:val="de-DE"/>
              </w:rPr>
              <w:t>由园区净水厂供水，</w:t>
            </w:r>
            <w:r>
              <w:rPr>
                <w:rFonts w:hint="default" w:ascii="Times New Roman" w:hAnsi="Times New Roman" w:cs="Times New Roman"/>
                <w:color w:val="FF0000"/>
                <w:sz w:val="21"/>
                <w:szCs w:val="21"/>
              </w:rPr>
              <w:t>供水管网覆盖项目区</w:t>
            </w:r>
          </w:p>
        </w:tc>
        <w:tc>
          <w:tcPr>
            <w:tcW w:w="745" w:type="pct"/>
            <w:vAlign w:val="center"/>
          </w:tcPr>
          <w:p w14:paraId="385B51B7">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已投运多年</w:t>
            </w:r>
          </w:p>
        </w:tc>
        <w:tc>
          <w:tcPr>
            <w:tcW w:w="863" w:type="pct"/>
            <w:vAlign w:val="center"/>
          </w:tcPr>
          <w:p w14:paraId="225A9A98">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可依托</w:t>
            </w:r>
          </w:p>
        </w:tc>
      </w:tr>
      <w:tr w14:paraId="14AD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34" w:type="pct"/>
            <w:vAlign w:val="center"/>
          </w:tcPr>
          <w:p w14:paraId="02D86258">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排水</w:t>
            </w:r>
          </w:p>
        </w:tc>
        <w:tc>
          <w:tcPr>
            <w:tcW w:w="2656" w:type="pct"/>
            <w:tcMar>
              <w:left w:w="0" w:type="dxa"/>
              <w:right w:w="0" w:type="dxa"/>
            </w:tcMar>
            <w:vAlign w:val="center"/>
          </w:tcPr>
          <w:p w14:paraId="4241694A">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lang w:val="de-DE"/>
              </w:rPr>
            </w:pPr>
            <w:r>
              <w:rPr>
                <w:rFonts w:hint="default" w:ascii="Times New Roman" w:hAnsi="Times New Roman" w:cs="Times New Roman"/>
                <w:color w:val="FF0000"/>
                <w:sz w:val="21"/>
                <w:szCs w:val="21"/>
              </w:rPr>
              <w:t>排水管网覆盖园区，污水处理厂处理规模2万m</w:t>
            </w:r>
            <w:r>
              <w:rPr>
                <w:rFonts w:hint="default" w:ascii="Times New Roman" w:hAnsi="Times New Roman" w:cs="Times New Roman"/>
                <w:color w:val="FF0000"/>
                <w:sz w:val="21"/>
                <w:szCs w:val="21"/>
                <w:vertAlign w:val="superscript"/>
              </w:rPr>
              <w:t>3</w:t>
            </w:r>
            <w:r>
              <w:rPr>
                <w:rFonts w:hint="default" w:ascii="Times New Roman" w:hAnsi="Times New Roman" w:cs="Times New Roman"/>
                <w:color w:val="FF0000"/>
                <w:sz w:val="21"/>
                <w:szCs w:val="21"/>
              </w:rPr>
              <w:t>/d</w:t>
            </w:r>
          </w:p>
        </w:tc>
        <w:tc>
          <w:tcPr>
            <w:tcW w:w="745" w:type="pct"/>
            <w:vAlign w:val="center"/>
          </w:tcPr>
          <w:p w14:paraId="627112E0">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已投运多年</w:t>
            </w:r>
          </w:p>
        </w:tc>
        <w:tc>
          <w:tcPr>
            <w:tcW w:w="863" w:type="pct"/>
            <w:vAlign w:val="center"/>
          </w:tcPr>
          <w:p w14:paraId="26EE07CC">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可依托</w:t>
            </w:r>
          </w:p>
        </w:tc>
      </w:tr>
      <w:tr w14:paraId="45F9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34" w:type="pct"/>
            <w:vAlign w:val="center"/>
          </w:tcPr>
          <w:p w14:paraId="6FF344F0">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供气</w:t>
            </w:r>
          </w:p>
        </w:tc>
        <w:tc>
          <w:tcPr>
            <w:tcW w:w="2656" w:type="pct"/>
            <w:tcMar>
              <w:left w:w="0" w:type="dxa"/>
              <w:right w:w="0" w:type="dxa"/>
            </w:tcMar>
            <w:vAlign w:val="center"/>
          </w:tcPr>
          <w:p w14:paraId="62A8AFF5">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园区天然气门站已建成</w:t>
            </w:r>
          </w:p>
        </w:tc>
        <w:tc>
          <w:tcPr>
            <w:tcW w:w="745" w:type="pct"/>
            <w:vAlign w:val="center"/>
          </w:tcPr>
          <w:p w14:paraId="7C73451C">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已投运多年</w:t>
            </w:r>
          </w:p>
        </w:tc>
        <w:tc>
          <w:tcPr>
            <w:tcW w:w="863" w:type="pct"/>
            <w:vAlign w:val="center"/>
          </w:tcPr>
          <w:p w14:paraId="6D2F2DB8">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本项目不涉及</w:t>
            </w:r>
          </w:p>
        </w:tc>
      </w:tr>
      <w:tr w14:paraId="3289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pct"/>
            <w:vAlign w:val="center"/>
          </w:tcPr>
          <w:p w14:paraId="05A16415">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供电</w:t>
            </w:r>
          </w:p>
        </w:tc>
        <w:tc>
          <w:tcPr>
            <w:tcW w:w="2656" w:type="pct"/>
            <w:vAlign w:val="center"/>
          </w:tcPr>
          <w:p w14:paraId="1B89259D">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园区电网</w:t>
            </w:r>
          </w:p>
        </w:tc>
        <w:tc>
          <w:tcPr>
            <w:tcW w:w="745" w:type="pct"/>
            <w:vAlign w:val="center"/>
          </w:tcPr>
          <w:p w14:paraId="7774C369">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已投运多年</w:t>
            </w:r>
          </w:p>
        </w:tc>
        <w:tc>
          <w:tcPr>
            <w:tcW w:w="863" w:type="pct"/>
            <w:vAlign w:val="center"/>
          </w:tcPr>
          <w:p w14:paraId="5579890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可依托</w:t>
            </w:r>
          </w:p>
        </w:tc>
      </w:tr>
      <w:tr w14:paraId="2324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pct"/>
            <w:vAlign w:val="center"/>
          </w:tcPr>
          <w:p w14:paraId="6E86BDB6">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蒸汽</w:t>
            </w:r>
          </w:p>
        </w:tc>
        <w:tc>
          <w:tcPr>
            <w:tcW w:w="2656" w:type="pct"/>
            <w:vAlign w:val="center"/>
          </w:tcPr>
          <w:p w14:paraId="4228D23F">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利用现有凯赛锅炉集中供热</w:t>
            </w:r>
          </w:p>
        </w:tc>
        <w:tc>
          <w:tcPr>
            <w:tcW w:w="745" w:type="pct"/>
            <w:vAlign w:val="center"/>
          </w:tcPr>
          <w:p w14:paraId="3316A0B7">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已投运多年</w:t>
            </w:r>
          </w:p>
        </w:tc>
        <w:tc>
          <w:tcPr>
            <w:tcW w:w="863" w:type="pct"/>
            <w:vAlign w:val="center"/>
          </w:tcPr>
          <w:p w14:paraId="0620608E">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可依托</w:t>
            </w:r>
          </w:p>
        </w:tc>
      </w:tr>
    </w:tbl>
    <w:p w14:paraId="56CF93AD">
      <w:pPr>
        <w:widowControl/>
        <w:numPr>
          <w:ilvl w:val="0"/>
          <w:numId w:val="0"/>
        </w:numPr>
        <w:bidi w:val="0"/>
        <w:snapToGrid w:val="0"/>
        <w:spacing w:line="360" w:lineRule="auto"/>
        <w:ind w:left="0" w:leftChars="0" w:firstLine="0" w:firstLineChars="0"/>
        <w:jc w:val="left"/>
        <w:outlineLvl w:val="1"/>
        <w:rPr>
          <w:rFonts w:hint="eastAsia" w:ascii="Times New Roman" w:hAnsi="Times New Roman" w:eastAsia="宋体" w:cs="Times New Roman"/>
          <w:b/>
          <w:bCs/>
          <w:color w:val="FF0000"/>
          <w:kern w:val="0"/>
          <w:sz w:val="30"/>
          <w:szCs w:val="32"/>
          <w:highlight w:val="none"/>
          <w:lang w:val="en-US" w:eastAsia="zh-CN" w:bidi="ar-SA"/>
        </w:rPr>
      </w:pPr>
      <w:bookmarkStart w:id="35" w:name="_Toc24386"/>
      <w:bookmarkStart w:id="36" w:name="_Toc20001"/>
      <w:r>
        <w:rPr>
          <w:rFonts w:hint="eastAsia" w:ascii="Times New Roman" w:hAnsi="Times New Roman" w:eastAsia="宋体" w:cs="Times New Roman"/>
          <w:b/>
          <w:bCs/>
          <w:color w:val="FF0000"/>
          <w:kern w:val="0"/>
          <w:sz w:val="30"/>
          <w:szCs w:val="32"/>
          <w:highlight w:val="none"/>
          <w:lang w:val="en-US" w:eastAsia="zh-CN" w:bidi="ar-SA"/>
        </w:rPr>
        <w:t>5.3区域污染源调查</w:t>
      </w:r>
      <w:bookmarkEnd w:id="35"/>
      <w:bookmarkEnd w:id="36"/>
    </w:p>
    <w:p w14:paraId="74612B96">
      <w:pPr>
        <w:spacing w:line="360" w:lineRule="auto"/>
        <w:ind w:firstLine="480" w:firstLineChars="200"/>
        <w:rPr>
          <w:rFonts w:hint="eastAsia" w:ascii="Times New Roman" w:hAnsi="Times New Roman" w:eastAsia="宋体" w:cs="Times New Roman"/>
          <w:color w:val="FF0000"/>
          <w:kern w:val="2"/>
          <w:sz w:val="24"/>
          <w:szCs w:val="24"/>
          <w:lang w:val="en-US" w:eastAsia="zh-CN"/>
        </w:rPr>
      </w:pPr>
      <w:r>
        <w:rPr>
          <w:rFonts w:hint="eastAsia" w:ascii="Times New Roman" w:hAnsi="Times New Roman" w:cs="Times New Roman"/>
          <w:color w:val="FF0000"/>
          <w:kern w:val="2"/>
          <w:sz w:val="24"/>
          <w:szCs w:val="24"/>
          <w:lang w:val="en-US" w:eastAsia="zh-CN"/>
        </w:rPr>
        <w:t>区域</w:t>
      </w:r>
      <w:r>
        <w:rPr>
          <w:rFonts w:hint="eastAsia" w:ascii="Times New Roman" w:hAnsi="Times New Roman" w:eastAsia="宋体" w:cs="Times New Roman"/>
          <w:color w:val="FF0000"/>
          <w:kern w:val="2"/>
          <w:sz w:val="24"/>
          <w:szCs w:val="24"/>
          <w:lang w:val="en-US" w:eastAsia="zh-CN"/>
        </w:rPr>
        <w:t>已建及在建企业的三废排放基本情况见表5.3-1、表5.3-2、表5.3-3。</w:t>
      </w:r>
    </w:p>
    <w:p w14:paraId="4ED20E3B">
      <w:pPr>
        <w:spacing w:line="360" w:lineRule="auto"/>
        <w:jc w:val="center"/>
        <w:rPr>
          <w:rFonts w:hint="eastAsia" w:ascii="Times New Roman" w:hAnsi="Times New Roman" w:eastAsia="宋体" w:cs="Times New Roman"/>
          <w:b/>
          <w:bCs/>
          <w:color w:val="FF0000"/>
          <w:kern w:val="2"/>
          <w:sz w:val="24"/>
          <w:szCs w:val="24"/>
          <w:lang w:val="en-US" w:eastAsia="zh-CN"/>
        </w:rPr>
      </w:pPr>
      <w:r>
        <w:rPr>
          <w:rFonts w:hint="eastAsia" w:ascii="Times New Roman" w:hAnsi="Times New Roman" w:eastAsia="宋体" w:cs="Times New Roman"/>
          <w:b/>
          <w:bCs/>
          <w:color w:val="FF0000"/>
          <w:kern w:val="2"/>
          <w:sz w:val="24"/>
          <w:szCs w:val="24"/>
          <w:lang w:val="en-US" w:eastAsia="zh-CN"/>
        </w:rPr>
        <w:t>表5.3-1  园区内现有企业废气排放情况</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3" w:type="dxa"/>
          <w:bottom w:w="28" w:type="dxa"/>
          <w:right w:w="23" w:type="dxa"/>
        </w:tblCellMar>
      </w:tblPr>
      <w:tblGrid>
        <w:gridCol w:w="559"/>
        <w:gridCol w:w="677"/>
        <w:gridCol w:w="2345"/>
        <w:gridCol w:w="2409"/>
        <w:gridCol w:w="2357"/>
      </w:tblGrid>
      <w:tr w14:paraId="4CB6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559" w:hRule="atLeast"/>
          <w:jc w:val="center"/>
        </w:trPr>
        <w:tc>
          <w:tcPr>
            <w:tcW w:w="335" w:type="pct"/>
            <w:vAlign w:val="center"/>
          </w:tcPr>
          <w:p w14:paraId="6B78C745">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序号</w:t>
            </w:r>
          </w:p>
        </w:tc>
        <w:tc>
          <w:tcPr>
            <w:tcW w:w="405" w:type="pct"/>
            <w:vAlign w:val="center"/>
          </w:tcPr>
          <w:p w14:paraId="13819A1B">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项目区</w:t>
            </w:r>
          </w:p>
        </w:tc>
        <w:tc>
          <w:tcPr>
            <w:tcW w:w="1404" w:type="pct"/>
            <w:vAlign w:val="center"/>
          </w:tcPr>
          <w:p w14:paraId="6E01B0FB">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名称</w:t>
            </w:r>
          </w:p>
        </w:tc>
        <w:tc>
          <w:tcPr>
            <w:tcW w:w="1442" w:type="pct"/>
            <w:vAlign w:val="center"/>
          </w:tcPr>
          <w:p w14:paraId="51EF8FB5">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废气排放情况（t/a）</w:t>
            </w:r>
          </w:p>
        </w:tc>
        <w:tc>
          <w:tcPr>
            <w:tcW w:w="1411" w:type="pct"/>
            <w:vAlign w:val="center"/>
          </w:tcPr>
          <w:p w14:paraId="6E68FCC6">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治理措施</w:t>
            </w:r>
          </w:p>
        </w:tc>
      </w:tr>
      <w:tr w14:paraId="5394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802" w:hRule="atLeast"/>
          <w:jc w:val="center"/>
        </w:trPr>
        <w:tc>
          <w:tcPr>
            <w:tcW w:w="335" w:type="pct"/>
            <w:vAlign w:val="center"/>
          </w:tcPr>
          <w:p w14:paraId="05B3E0C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1</w:t>
            </w:r>
          </w:p>
        </w:tc>
        <w:tc>
          <w:tcPr>
            <w:tcW w:w="405" w:type="pct"/>
            <w:vMerge w:val="restart"/>
            <w:vAlign w:val="center"/>
          </w:tcPr>
          <w:p w14:paraId="60C2061B">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园区现有企业</w:t>
            </w:r>
          </w:p>
        </w:tc>
        <w:tc>
          <w:tcPr>
            <w:tcW w:w="1404" w:type="pct"/>
            <w:vAlign w:val="center"/>
          </w:tcPr>
          <w:p w14:paraId="0E712A48">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乌苏宏江燃气有限公司</w:t>
            </w:r>
          </w:p>
        </w:tc>
        <w:tc>
          <w:tcPr>
            <w:tcW w:w="1442" w:type="pct"/>
            <w:vAlign w:val="center"/>
          </w:tcPr>
          <w:p w14:paraId="266FB1EC">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SO</w:t>
            </w:r>
            <w:r>
              <w:rPr>
                <w:rFonts w:hint="default" w:ascii="Times New Roman" w:hAnsi="Times New Roman" w:cs="Times New Roman"/>
                <w:color w:val="FF0000"/>
                <w:sz w:val="21"/>
                <w:szCs w:val="21"/>
                <w:vertAlign w:val="subscript"/>
              </w:rPr>
              <w:t>2</w:t>
            </w:r>
            <w:r>
              <w:rPr>
                <w:rFonts w:hint="default" w:ascii="Times New Roman" w:hAnsi="Times New Roman" w:cs="Times New Roman"/>
                <w:color w:val="FF0000"/>
                <w:sz w:val="21"/>
                <w:szCs w:val="21"/>
              </w:rPr>
              <w:t>：5.2、NO</w:t>
            </w:r>
            <w:r>
              <w:rPr>
                <w:rFonts w:hint="default" w:ascii="Times New Roman" w:hAnsi="Times New Roman" w:cs="Times New Roman"/>
                <w:color w:val="FF0000"/>
                <w:sz w:val="21"/>
                <w:szCs w:val="21"/>
                <w:vertAlign w:val="subscript"/>
              </w:rPr>
              <w:t>X</w:t>
            </w:r>
            <w:r>
              <w:rPr>
                <w:rFonts w:hint="default" w:ascii="Times New Roman" w:hAnsi="Times New Roman" w:cs="Times New Roman"/>
                <w:color w:val="FF0000"/>
                <w:sz w:val="21"/>
                <w:szCs w:val="21"/>
              </w:rPr>
              <w:t>：0.19、颗粒物：7.88、VOCs：0.074</w:t>
            </w:r>
          </w:p>
        </w:tc>
        <w:tc>
          <w:tcPr>
            <w:tcW w:w="1411" w:type="pct"/>
            <w:vAlign w:val="center"/>
          </w:tcPr>
          <w:p w14:paraId="2609733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厨房油烟机</w:t>
            </w:r>
          </w:p>
        </w:tc>
      </w:tr>
      <w:tr w14:paraId="36EC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538" w:hRule="atLeast"/>
          <w:jc w:val="center"/>
        </w:trPr>
        <w:tc>
          <w:tcPr>
            <w:tcW w:w="335" w:type="pct"/>
            <w:vAlign w:val="center"/>
          </w:tcPr>
          <w:p w14:paraId="130B34A9">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2</w:t>
            </w:r>
          </w:p>
        </w:tc>
        <w:tc>
          <w:tcPr>
            <w:tcW w:w="405" w:type="pct"/>
            <w:vMerge w:val="continue"/>
            <w:vAlign w:val="center"/>
          </w:tcPr>
          <w:p w14:paraId="2FEFFB6E">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p>
        </w:tc>
        <w:tc>
          <w:tcPr>
            <w:tcW w:w="1404" w:type="pct"/>
            <w:vAlign w:val="center"/>
          </w:tcPr>
          <w:p w14:paraId="248D821B">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乌苏恒帆棉纺织有限公司</w:t>
            </w:r>
          </w:p>
        </w:tc>
        <w:tc>
          <w:tcPr>
            <w:tcW w:w="1442" w:type="pct"/>
            <w:vAlign w:val="center"/>
          </w:tcPr>
          <w:p w14:paraId="63C502CC">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颗粒物：9.27</w:t>
            </w:r>
          </w:p>
        </w:tc>
        <w:tc>
          <w:tcPr>
            <w:tcW w:w="1411" w:type="pct"/>
            <w:vAlign w:val="center"/>
          </w:tcPr>
          <w:p w14:paraId="180946C5">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袋式除尘和筒式一体化除尘器+15m排气筒处理</w:t>
            </w:r>
          </w:p>
        </w:tc>
      </w:tr>
      <w:tr w14:paraId="76B8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538" w:hRule="atLeast"/>
          <w:jc w:val="center"/>
        </w:trPr>
        <w:tc>
          <w:tcPr>
            <w:tcW w:w="335" w:type="pct"/>
            <w:vAlign w:val="center"/>
          </w:tcPr>
          <w:p w14:paraId="31CDEBC7">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3</w:t>
            </w:r>
          </w:p>
        </w:tc>
        <w:tc>
          <w:tcPr>
            <w:tcW w:w="405" w:type="pct"/>
            <w:vMerge w:val="continue"/>
            <w:vAlign w:val="center"/>
          </w:tcPr>
          <w:p w14:paraId="43DB0A28">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p>
        </w:tc>
        <w:tc>
          <w:tcPr>
            <w:tcW w:w="1404" w:type="pct"/>
            <w:vAlign w:val="center"/>
          </w:tcPr>
          <w:p w14:paraId="45218AB4">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乌苏市锐泰毛纺织有限公司</w:t>
            </w:r>
          </w:p>
        </w:tc>
        <w:tc>
          <w:tcPr>
            <w:tcW w:w="1442" w:type="pct"/>
            <w:vAlign w:val="center"/>
          </w:tcPr>
          <w:p w14:paraId="32D303FE">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颗粒物：1.8</w:t>
            </w:r>
          </w:p>
        </w:tc>
        <w:tc>
          <w:tcPr>
            <w:tcW w:w="1411" w:type="pct"/>
            <w:vAlign w:val="center"/>
          </w:tcPr>
          <w:p w14:paraId="644CF0A0">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污水站设吸收塔，分拣毛尘采用集气罩+螺旋除尘器+15m排气筒处理</w:t>
            </w:r>
          </w:p>
        </w:tc>
      </w:tr>
      <w:tr w14:paraId="1041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538" w:hRule="atLeast"/>
          <w:jc w:val="center"/>
        </w:trPr>
        <w:tc>
          <w:tcPr>
            <w:tcW w:w="335" w:type="pct"/>
            <w:vAlign w:val="center"/>
          </w:tcPr>
          <w:p w14:paraId="113CD5B3">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4</w:t>
            </w:r>
          </w:p>
        </w:tc>
        <w:tc>
          <w:tcPr>
            <w:tcW w:w="405" w:type="pct"/>
            <w:vMerge w:val="continue"/>
            <w:vAlign w:val="center"/>
          </w:tcPr>
          <w:p w14:paraId="65DEFCA2">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p>
        </w:tc>
        <w:tc>
          <w:tcPr>
            <w:tcW w:w="1404" w:type="pct"/>
            <w:vAlign w:val="center"/>
          </w:tcPr>
          <w:p w14:paraId="368EAD1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新疆聚鑫隆纸业有限公司</w:t>
            </w:r>
          </w:p>
        </w:tc>
        <w:tc>
          <w:tcPr>
            <w:tcW w:w="1442" w:type="pct"/>
            <w:vAlign w:val="center"/>
          </w:tcPr>
          <w:p w14:paraId="1A923354">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SO</w:t>
            </w:r>
            <w:r>
              <w:rPr>
                <w:rFonts w:hint="default" w:ascii="Times New Roman" w:hAnsi="Times New Roman" w:cs="Times New Roman"/>
                <w:color w:val="FF0000"/>
                <w:sz w:val="21"/>
                <w:szCs w:val="21"/>
                <w:vertAlign w:val="subscript"/>
              </w:rPr>
              <w:t>2</w:t>
            </w:r>
            <w:r>
              <w:rPr>
                <w:rFonts w:hint="default" w:ascii="Times New Roman" w:hAnsi="Times New Roman" w:cs="Times New Roman"/>
                <w:color w:val="FF0000"/>
                <w:sz w:val="21"/>
                <w:szCs w:val="21"/>
              </w:rPr>
              <w:t>：22.7、NO</w:t>
            </w:r>
            <w:r>
              <w:rPr>
                <w:rFonts w:hint="default" w:ascii="Times New Roman" w:hAnsi="Times New Roman" w:cs="Times New Roman"/>
                <w:color w:val="FF0000"/>
                <w:sz w:val="21"/>
                <w:szCs w:val="21"/>
                <w:vertAlign w:val="subscript"/>
              </w:rPr>
              <w:t>X</w:t>
            </w:r>
            <w:r>
              <w:rPr>
                <w:rFonts w:hint="default" w:ascii="Times New Roman" w:hAnsi="Times New Roman" w:cs="Times New Roman"/>
                <w:color w:val="FF0000"/>
                <w:sz w:val="21"/>
                <w:szCs w:val="21"/>
              </w:rPr>
              <w:t>：64.7、颗粒物：7.14</w:t>
            </w:r>
          </w:p>
        </w:tc>
        <w:tc>
          <w:tcPr>
            <w:tcW w:w="1411" w:type="pct"/>
            <w:vAlign w:val="center"/>
          </w:tcPr>
          <w:p w14:paraId="75C7E24C">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锅炉烟气采用袋式除尘+钠法双碱法脱硫+45m烟囱排放，污水站恶臭采用活性炭吸附法</w:t>
            </w:r>
          </w:p>
        </w:tc>
      </w:tr>
      <w:tr w14:paraId="63BA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538" w:hRule="atLeast"/>
          <w:jc w:val="center"/>
        </w:trPr>
        <w:tc>
          <w:tcPr>
            <w:tcW w:w="335" w:type="pct"/>
            <w:shd w:val="clear" w:color="auto" w:fill="auto"/>
            <w:vAlign w:val="center"/>
          </w:tcPr>
          <w:p w14:paraId="45C987D4">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rPr>
              <w:t>5</w:t>
            </w:r>
          </w:p>
        </w:tc>
        <w:tc>
          <w:tcPr>
            <w:tcW w:w="405" w:type="pct"/>
            <w:vMerge w:val="continue"/>
            <w:vAlign w:val="center"/>
          </w:tcPr>
          <w:p w14:paraId="3FD697B0">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p>
        </w:tc>
        <w:tc>
          <w:tcPr>
            <w:tcW w:w="1404" w:type="pct"/>
            <w:vAlign w:val="center"/>
          </w:tcPr>
          <w:p w14:paraId="54A653F7">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eastAsia="宋体" w:cs="Times New Roman"/>
                <w:color w:val="FF0000"/>
                <w:sz w:val="21"/>
                <w:szCs w:val="21"/>
                <w:lang w:eastAsia="zh-CN"/>
              </w:rPr>
              <w:t>塔城地区乌苏市西区污水处理厂建设项目二期工程</w:t>
            </w:r>
          </w:p>
        </w:tc>
        <w:tc>
          <w:tcPr>
            <w:tcW w:w="1442" w:type="pct"/>
            <w:vAlign w:val="center"/>
          </w:tcPr>
          <w:p w14:paraId="0856B1B9">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氨气：0.541、硫化氢：0.021</w:t>
            </w:r>
          </w:p>
        </w:tc>
        <w:tc>
          <w:tcPr>
            <w:tcW w:w="1411" w:type="pct"/>
            <w:vAlign w:val="center"/>
          </w:tcPr>
          <w:p w14:paraId="211FA19A">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default" w:ascii="Times New Roman" w:hAnsi="Times New Roman" w:eastAsia="宋体" w:cs="Times New Roman"/>
                <w:color w:val="FF0000"/>
                <w:sz w:val="21"/>
                <w:szCs w:val="21"/>
                <w:lang w:val="en-US" w:eastAsia="zh-CN"/>
              </w:rPr>
              <w:t>经1套生物除臭设施处理后通过1根30m排气筒排放</w:t>
            </w:r>
          </w:p>
        </w:tc>
      </w:tr>
      <w:tr w14:paraId="4393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538" w:hRule="atLeast"/>
          <w:jc w:val="center"/>
        </w:trPr>
        <w:tc>
          <w:tcPr>
            <w:tcW w:w="335" w:type="pct"/>
            <w:shd w:val="clear" w:color="auto" w:fill="auto"/>
            <w:vAlign w:val="center"/>
          </w:tcPr>
          <w:p w14:paraId="3DF2E747">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eastAsia"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rPr>
              <w:t>6</w:t>
            </w:r>
          </w:p>
        </w:tc>
        <w:tc>
          <w:tcPr>
            <w:tcW w:w="405" w:type="pct"/>
            <w:vMerge w:val="continue"/>
            <w:vAlign w:val="center"/>
          </w:tcPr>
          <w:p w14:paraId="47BCA166">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p>
        </w:tc>
        <w:tc>
          <w:tcPr>
            <w:tcW w:w="1404" w:type="pct"/>
            <w:vAlign w:val="center"/>
          </w:tcPr>
          <w:p w14:paraId="40F1EA6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eastAsia"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凯赛（乌苏）生物技术有限公司</w:t>
            </w:r>
          </w:p>
        </w:tc>
        <w:tc>
          <w:tcPr>
            <w:tcW w:w="1442" w:type="pct"/>
            <w:vAlign w:val="center"/>
          </w:tcPr>
          <w:p w14:paraId="750C1AD8">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lang w:val="en-US"/>
              </w:rPr>
            </w:pPr>
            <w:r>
              <w:rPr>
                <w:rFonts w:hint="default" w:ascii="Times New Roman" w:hAnsi="Times New Roman" w:cs="Times New Roman"/>
                <w:color w:val="FF0000"/>
                <w:sz w:val="21"/>
                <w:szCs w:val="21"/>
              </w:rPr>
              <w:t>SO</w:t>
            </w:r>
            <w:r>
              <w:rPr>
                <w:rFonts w:hint="default" w:ascii="Times New Roman" w:hAnsi="Times New Roman" w:cs="Times New Roman"/>
                <w:color w:val="FF0000"/>
                <w:sz w:val="21"/>
                <w:szCs w:val="21"/>
                <w:vertAlign w:val="subscript"/>
              </w:rPr>
              <w:t>2</w:t>
            </w:r>
            <w:r>
              <w:rPr>
                <w:rFonts w:hint="default" w:ascii="Times New Roman" w:hAnsi="Times New Roman" w:cs="Times New Roman"/>
                <w:color w:val="FF0000"/>
                <w:sz w:val="21"/>
                <w:szCs w:val="21"/>
              </w:rPr>
              <w:t>：</w:t>
            </w:r>
            <w:r>
              <w:rPr>
                <w:rFonts w:hint="eastAsia" w:ascii="Times New Roman" w:hAnsi="Times New Roman" w:cs="Times New Roman"/>
                <w:color w:val="FF0000"/>
                <w:sz w:val="21"/>
                <w:szCs w:val="21"/>
                <w:lang w:val="en-US" w:eastAsia="zh-CN"/>
              </w:rPr>
              <w:t>2.664</w:t>
            </w:r>
            <w:r>
              <w:rPr>
                <w:rFonts w:hint="default" w:ascii="Times New Roman" w:hAnsi="Times New Roman" w:cs="Times New Roman"/>
                <w:color w:val="FF0000"/>
                <w:sz w:val="21"/>
                <w:szCs w:val="21"/>
              </w:rPr>
              <w:t>、NO</w:t>
            </w:r>
            <w:r>
              <w:rPr>
                <w:rFonts w:hint="default" w:ascii="Times New Roman" w:hAnsi="Times New Roman" w:cs="Times New Roman"/>
                <w:color w:val="FF0000"/>
                <w:sz w:val="21"/>
                <w:szCs w:val="21"/>
                <w:vertAlign w:val="subscript"/>
              </w:rPr>
              <w:t>X</w:t>
            </w:r>
            <w:r>
              <w:rPr>
                <w:rFonts w:hint="default" w:ascii="Times New Roman" w:hAnsi="Times New Roman" w:cs="Times New Roman"/>
                <w:color w:val="FF0000"/>
                <w:sz w:val="21"/>
                <w:szCs w:val="21"/>
              </w:rPr>
              <w:t>：</w:t>
            </w:r>
            <w:r>
              <w:rPr>
                <w:rFonts w:hint="eastAsia" w:ascii="Times New Roman" w:hAnsi="Times New Roman" w:cs="Times New Roman"/>
                <w:color w:val="FF0000"/>
                <w:sz w:val="21"/>
                <w:szCs w:val="21"/>
                <w:lang w:val="en-US" w:eastAsia="zh-CN"/>
              </w:rPr>
              <w:t>3.68</w:t>
            </w:r>
            <w:r>
              <w:rPr>
                <w:rFonts w:hint="default" w:ascii="Times New Roman" w:hAnsi="Times New Roman" w:cs="Times New Roman"/>
                <w:color w:val="FF0000"/>
                <w:sz w:val="21"/>
                <w:szCs w:val="21"/>
              </w:rPr>
              <w:t>、颗粒物：</w:t>
            </w:r>
            <w:r>
              <w:rPr>
                <w:rFonts w:hint="eastAsia" w:ascii="Times New Roman" w:hAnsi="Times New Roman" w:cs="Times New Roman"/>
                <w:color w:val="FF0000"/>
                <w:sz w:val="21"/>
                <w:szCs w:val="21"/>
                <w:lang w:val="en-US" w:eastAsia="zh-CN"/>
              </w:rPr>
              <w:t>4.808、VOCs56.33</w:t>
            </w:r>
          </w:p>
        </w:tc>
        <w:tc>
          <w:tcPr>
            <w:tcW w:w="1411" w:type="pct"/>
            <w:vAlign w:val="center"/>
          </w:tcPr>
          <w:p w14:paraId="4E1F82B2">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烷烃罐区废气采用活性炭吸附；成品干燥废气采用袋式除尘器预处理，处理后废气与其他废气均采用</w:t>
            </w:r>
            <w:r>
              <w:rPr>
                <w:rFonts w:hint="eastAsia" w:ascii="Times New Roman" w:hAnsi="Times New Roman" w:eastAsia="宋体" w:cs="Times New Roman"/>
                <w:b w:val="0"/>
                <w:bCs w:val="0"/>
                <w:color w:val="FF0000"/>
                <w:spacing w:val="-6"/>
                <w:sz w:val="21"/>
                <w:szCs w:val="21"/>
                <w:lang w:val="en-US" w:eastAsia="zh-CN"/>
              </w:rPr>
              <w:t>水吸收/酸吸收/碱吸收工艺</w:t>
            </w:r>
          </w:p>
        </w:tc>
      </w:tr>
      <w:tr w14:paraId="03DC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538" w:hRule="atLeast"/>
          <w:jc w:val="center"/>
        </w:trPr>
        <w:tc>
          <w:tcPr>
            <w:tcW w:w="335" w:type="pct"/>
            <w:vAlign w:val="center"/>
          </w:tcPr>
          <w:p w14:paraId="2B42E1C0">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7</w:t>
            </w:r>
          </w:p>
        </w:tc>
        <w:tc>
          <w:tcPr>
            <w:tcW w:w="405" w:type="pct"/>
            <w:vMerge w:val="continue"/>
            <w:vAlign w:val="center"/>
          </w:tcPr>
          <w:p w14:paraId="35882695">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p>
        </w:tc>
        <w:tc>
          <w:tcPr>
            <w:tcW w:w="1404" w:type="pct"/>
            <w:vAlign w:val="center"/>
          </w:tcPr>
          <w:p w14:paraId="21EA70BF">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rPr>
            </w:pPr>
            <w:r>
              <w:rPr>
                <w:rFonts w:hint="eastAsia" w:ascii="Times New Roman" w:hAnsi="Times New Roman" w:cs="Times New Roman"/>
                <w:color w:val="FF0000"/>
                <w:sz w:val="21"/>
                <w:szCs w:val="21"/>
                <w:lang w:val="en-US" w:eastAsia="zh-CN"/>
              </w:rPr>
              <w:t>凯赛（乌苏）生物材料有限公司</w:t>
            </w:r>
          </w:p>
        </w:tc>
        <w:tc>
          <w:tcPr>
            <w:tcW w:w="1442" w:type="pct"/>
            <w:vAlign w:val="center"/>
          </w:tcPr>
          <w:p w14:paraId="53E663C4">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cs="Times New Roman"/>
                <w:color w:val="FF0000"/>
                <w:sz w:val="21"/>
                <w:szCs w:val="21"/>
                <w:lang w:val="en-US"/>
              </w:rPr>
            </w:pPr>
            <w:r>
              <w:rPr>
                <w:rFonts w:hint="default" w:ascii="Times New Roman" w:hAnsi="Times New Roman" w:cs="Times New Roman"/>
                <w:color w:val="FF0000"/>
                <w:sz w:val="21"/>
                <w:szCs w:val="21"/>
              </w:rPr>
              <w:t>SO</w:t>
            </w:r>
            <w:r>
              <w:rPr>
                <w:rFonts w:hint="default" w:ascii="Times New Roman" w:hAnsi="Times New Roman" w:cs="Times New Roman"/>
                <w:color w:val="FF0000"/>
                <w:sz w:val="21"/>
                <w:szCs w:val="21"/>
                <w:vertAlign w:val="subscript"/>
              </w:rPr>
              <w:t>2</w:t>
            </w:r>
            <w:r>
              <w:rPr>
                <w:rFonts w:hint="default" w:ascii="Times New Roman" w:hAnsi="Times New Roman" w:cs="Times New Roman"/>
                <w:color w:val="FF0000"/>
                <w:sz w:val="21"/>
                <w:szCs w:val="21"/>
              </w:rPr>
              <w:t>：</w:t>
            </w:r>
            <w:r>
              <w:rPr>
                <w:rFonts w:hint="eastAsia" w:ascii="Times New Roman" w:hAnsi="Times New Roman" w:cs="Times New Roman"/>
                <w:color w:val="FF0000"/>
                <w:sz w:val="21"/>
                <w:szCs w:val="21"/>
                <w:lang w:val="en-US" w:eastAsia="zh-CN"/>
              </w:rPr>
              <w:t>40.2215</w:t>
            </w:r>
            <w:r>
              <w:rPr>
                <w:rFonts w:hint="default" w:ascii="Times New Roman" w:hAnsi="Times New Roman" w:cs="Times New Roman"/>
                <w:color w:val="FF0000"/>
                <w:sz w:val="21"/>
                <w:szCs w:val="21"/>
              </w:rPr>
              <w:t>、NO</w:t>
            </w:r>
            <w:r>
              <w:rPr>
                <w:rFonts w:hint="default" w:ascii="Times New Roman" w:hAnsi="Times New Roman" w:cs="Times New Roman"/>
                <w:color w:val="FF0000"/>
                <w:sz w:val="21"/>
                <w:szCs w:val="21"/>
                <w:vertAlign w:val="subscript"/>
              </w:rPr>
              <w:t>X</w:t>
            </w:r>
            <w:r>
              <w:rPr>
                <w:rFonts w:hint="default" w:ascii="Times New Roman" w:hAnsi="Times New Roman" w:cs="Times New Roman"/>
                <w:color w:val="FF0000"/>
                <w:sz w:val="21"/>
                <w:szCs w:val="21"/>
              </w:rPr>
              <w:t>：</w:t>
            </w:r>
            <w:r>
              <w:rPr>
                <w:rFonts w:hint="eastAsia" w:ascii="Times New Roman" w:hAnsi="Times New Roman" w:cs="Times New Roman"/>
                <w:color w:val="FF0000"/>
                <w:sz w:val="21"/>
                <w:szCs w:val="21"/>
                <w:lang w:val="en-US" w:eastAsia="zh-CN"/>
              </w:rPr>
              <w:t>27.3258</w:t>
            </w:r>
            <w:r>
              <w:rPr>
                <w:rFonts w:hint="default" w:ascii="Times New Roman" w:hAnsi="Times New Roman" w:cs="Times New Roman"/>
                <w:color w:val="FF0000"/>
                <w:sz w:val="21"/>
                <w:szCs w:val="21"/>
              </w:rPr>
              <w:t>、颗粒物：</w:t>
            </w:r>
            <w:r>
              <w:rPr>
                <w:rFonts w:hint="eastAsia" w:ascii="Times New Roman" w:hAnsi="Times New Roman" w:cs="Times New Roman"/>
                <w:color w:val="FF0000"/>
                <w:sz w:val="21"/>
                <w:szCs w:val="21"/>
                <w:lang w:val="en-US" w:eastAsia="zh-CN"/>
              </w:rPr>
              <w:t>31.9121、VOCs7.636</w:t>
            </w:r>
          </w:p>
        </w:tc>
        <w:tc>
          <w:tcPr>
            <w:tcW w:w="1411" w:type="pct"/>
            <w:vAlign w:val="center"/>
          </w:tcPr>
          <w:p w14:paraId="1E6E3E20">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锅炉废气采用</w:t>
            </w:r>
            <w:r>
              <w:rPr>
                <w:rFonts w:hint="default" w:ascii="Times New Roman" w:hAnsi="Times New Roman" w:eastAsia="宋体" w:cs="Times New Roman"/>
                <w:b w:val="0"/>
                <w:bCs w:val="0"/>
                <w:color w:val="FF0000"/>
                <w:spacing w:val="-4"/>
                <w:sz w:val="21"/>
                <w:szCs w:val="21"/>
              </w:rPr>
              <w:t>SNCR+SCR</w:t>
            </w:r>
            <w:r>
              <w:rPr>
                <w:rFonts w:hint="default" w:ascii="Times New Roman" w:hAnsi="Times New Roman" w:eastAsia="宋体" w:cs="Times New Roman"/>
                <w:b w:val="0"/>
                <w:bCs w:val="0"/>
                <w:color w:val="FF0000"/>
                <w:spacing w:val="-38"/>
                <w:sz w:val="21"/>
                <w:szCs w:val="21"/>
              </w:rPr>
              <w:t xml:space="preserve"> </w:t>
            </w:r>
            <w:r>
              <w:rPr>
                <w:rFonts w:hint="default" w:ascii="Times New Roman" w:hAnsi="Times New Roman" w:eastAsia="宋体" w:cs="Times New Roman"/>
                <w:b w:val="0"/>
                <w:bCs w:val="0"/>
                <w:color w:val="FF0000"/>
                <w:spacing w:val="-4"/>
                <w:sz w:val="21"/>
                <w:szCs w:val="21"/>
              </w:rPr>
              <w:t>脱硝+电</w:t>
            </w:r>
            <w:r>
              <w:rPr>
                <w:rFonts w:hint="default" w:ascii="Times New Roman" w:hAnsi="Times New Roman" w:eastAsia="宋体" w:cs="Times New Roman"/>
                <w:b w:val="0"/>
                <w:bCs w:val="0"/>
                <w:color w:val="FF0000"/>
                <w:spacing w:val="-3"/>
                <w:sz w:val="21"/>
                <w:szCs w:val="21"/>
              </w:rPr>
              <w:t>袋复合除尘+氨法</w:t>
            </w:r>
            <w:r>
              <w:rPr>
                <w:rFonts w:hint="default" w:ascii="Times New Roman" w:hAnsi="Times New Roman" w:eastAsia="宋体" w:cs="Times New Roman"/>
                <w:b w:val="0"/>
                <w:bCs w:val="0"/>
                <w:color w:val="FF0000"/>
                <w:spacing w:val="-6"/>
                <w:sz w:val="21"/>
                <w:szCs w:val="21"/>
              </w:rPr>
              <w:t>脱硫</w:t>
            </w:r>
            <w:r>
              <w:rPr>
                <w:rFonts w:hint="eastAsia" w:ascii="Times New Roman" w:hAnsi="Times New Roman" w:eastAsia="宋体" w:cs="Times New Roman"/>
                <w:b w:val="0"/>
                <w:bCs w:val="0"/>
                <w:color w:val="FF0000"/>
                <w:spacing w:val="-6"/>
                <w:sz w:val="21"/>
                <w:szCs w:val="21"/>
                <w:lang w:eastAsia="zh-CN"/>
              </w:rPr>
              <w:t>；</w:t>
            </w:r>
            <w:r>
              <w:rPr>
                <w:rFonts w:hint="eastAsia" w:ascii="Times New Roman" w:hAnsi="Times New Roman" w:eastAsia="宋体" w:cs="Times New Roman"/>
                <w:b w:val="0"/>
                <w:bCs w:val="0"/>
                <w:color w:val="FF0000"/>
                <w:spacing w:val="-6"/>
                <w:sz w:val="21"/>
                <w:szCs w:val="21"/>
                <w:lang w:val="en-US" w:eastAsia="zh-CN"/>
              </w:rPr>
              <w:t>污水处理站废气采用生物除臭；含尘废气采用袋式除尘器；危废库废气及酸碱罐区废气采用活性炭吸附；其他废气采用水吸收/酸吸收/碱吸收工艺</w:t>
            </w:r>
          </w:p>
        </w:tc>
      </w:tr>
    </w:tbl>
    <w:p w14:paraId="2CFEF309">
      <w:pPr>
        <w:spacing w:line="360" w:lineRule="auto"/>
        <w:jc w:val="center"/>
        <w:rPr>
          <w:rFonts w:hint="eastAsia" w:ascii="Times New Roman" w:hAnsi="Times New Roman" w:eastAsia="宋体" w:cs="Times New Roman"/>
          <w:b/>
          <w:bCs/>
          <w:color w:val="FF0000"/>
          <w:kern w:val="2"/>
          <w:sz w:val="24"/>
          <w:szCs w:val="24"/>
          <w:lang w:val="en-US" w:eastAsia="zh-CN"/>
        </w:rPr>
      </w:pPr>
    </w:p>
    <w:p w14:paraId="4AFB5F70">
      <w:pPr>
        <w:spacing w:line="360" w:lineRule="auto"/>
        <w:jc w:val="center"/>
        <w:rPr>
          <w:rFonts w:hint="eastAsia" w:ascii="Times New Roman" w:hAnsi="Times New Roman" w:eastAsia="宋体" w:cs="Times New Roman"/>
          <w:b/>
          <w:bCs/>
          <w:color w:val="FF0000"/>
          <w:kern w:val="2"/>
          <w:sz w:val="24"/>
          <w:szCs w:val="24"/>
          <w:lang w:val="en-US" w:eastAsia="zh-CN"/>
        </w:rPr>
      </w:pPr>
    </w:p>
    <w:p w14:paraId="0BD548F9">
      <w:pPr>
        <w:spacing w:line="360" w:lineRule="auto"/>
        <w:jc w:val="center"/>
        <w:rPr>
          <w:rFonts w:hint="eastAsia" w:ascii="Times New Roman" w:hAnsi="Times New Roman" w:eastAsia="宋体" w:cs="Times New Roman"/>
          <w:b/>
          <w:bCs/>
          <w:color w:val="FF0000"/>
          <w:kern w:val="2"/>
          <w:sz w:val="24"/>
          <w:szCs w:val="24"/>
          <w:lang w:val="en-US" w:eastAsia="zh-CN"/>
        </w:rPr>
      </w:pPr>
    </w:p>
    <w:p w14:paraId="3A0EB71F">
      <w:pPr>
        <w:spacing w:line="360" w:lineRule="auto"/>
        <w:jc w:val="center"/>
        <w:rPr>
          <w:rFonts w:hint="eastAsia" w:ascii="Times New Roman" w:hAnsi="Times New Roman" w:eastAsia="宋体" w:cs="Times New Roman"/>
          <w:b/>
          <w:bCs/>
          <w:color w:val="FF0000"/>
          <w:kern w:val="2"/>
          <w:sz w:val="24"/>
          <w:szCs w:val="24"/>
          <w:lang w:val="en-US" w:eastAsia="zh-CN"/>
        </w:rPr>
      </w:pPr>
      <w:r>
        <w:rPr>
          <w:rFonts w:hint="eastAsia" w:ascii="Times New Roman" w:hAnsi="Times New Roman" w:eastAsia="宋体" w:cs="Times New Roman"/>
          <w:b/>
          <w:bCs/>
          <w:color w:val="FF0000"/>
          <w:kern w:val="2"/>
          <w:sz w:val="24"/>
          <w:szCs w:val="24"/>
          <w:lang w:val="en-US" w:eastAsia="zh-CN"/>
        </w:rPr>
        <w:t>表5.3-2   园区内现有企业废水排放情况</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3" w:type="dxa"/>
          <w:bottom w:w="28" w:type="dxa"/>
          <w:right w:w="23" w:type="dxa"/>
        </w:tblCellMar>
      </w:tblPr>
      <w:tblGrid>
        <w:gridCol w:w="534"/>
        <w:gridCol w:w="708"/>
        <w:gridCol w:w="1214"/>
        <w:gridCol w:w="3798"/>
        <w:gridCol w:w="2093"/>
      </w:tblGrid>
      <w:tr w14:paraId="7A41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449" w:hRule="atLeast"/>
          <w:jc w:val="center"/>
        </w:trPr>
        <w:tc>
          <w:tcPr>
            <w:tcW w:w="320" w:type="pct"/>
            <w:vAlign w:val="center"/>
          </w:tcPr>
          <w:p w14:paraId="6193FF45">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序号</w:t>
            </w:r>
          </w:p>
        </w:tc>
        <w:tc>
          <w:tcPr>
            <w:tcW w:w="424" w:type="pct"/>
            <w:vAlign w:val="center"/>
          </w:tcPr>
          <w:p w14:paraId="05B4E033">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项目区</w:t>
            </w:r>
          </w:p>
        </w:tc>
        <w:tc>
          <w:tcPr>
            <w:tcW w:w="727" w:type="pct"/>
            <w:vAlign w:val="center"/>
          </w:tcPr>
          <w:p w14:paraId="0709A7BF">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名称</w:t>
            </w:r>
          </w:p>
        </w:tc>
        <w:tc>
          <w:tcPr>
            <w:tcW w:w="2274" w:type="pct"/>
            <w:vAlign w:val="center"/>
          </w:tcPr>
          <w:p w14:paraId="18750C1A">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治理措施</w:t>
            </w:r>
          </w:p>
        </w:tc>
        <w:tc>
          <w:tcPr>
            <w:tcW w:w="1253" w:type="pct"/>
            <w:vAlign w:val="center"/>
          </w:tcPr>
          <w:p w14:paraId="5D5E0062">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排放去向</w:t>
            </w:r>
          </w:p>
        </w:tc>
      </w:tr>
      <w:tr w14:paraId="0966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392" w:hRule="atLeast"/>
          <w:jc w:val="center"/>
        </w:trPr>
        <w:tc>
          <w:tcPr>
            <w:tcW w:w="320" w:type="pct"/>
            <w:vAlign w:val="center"/>
          </w:tcPr>
          <w:p w14:paraId="42955F7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1</w:t>
            </w:r>
          </w:p>
        </w:tc>
        <w:tc>
          <w:tcPr>
            <w:tcW w:w="424" w:type="pct"/>
            <w:vMerge w:val="restart"/>
            <w:vAlign w:val="center"/>
          </w:tcPr>
          <w:p w14:paraId="777B536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园区现有企业</w:t>
            </w:r>
          </w:p>
        </w:tc>
        <w:tc>
          <w:tcPr>
            <w:tcW w:w="727" w:type="pct"/>
            <w:vAlign w:val="center"/>
          </w:tcPr>
          <w:p w14:paraId="513AAE9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乌苏宏江燃气有限公司</w:t>
            </w:r>
          </w:p>
        </w:tc>
        <w:tc>
          <w:tcPr>
            <w:tcW w:w="2274" w:type="pct"/>
            <w:vAlign w:val="center"/>
          </w:tcPr>
          <w:p w14:paraId="5347D41B">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压缩机冷却循环过程产生的废水为清净下水，用于项目区绿化与泼洒抑尘；生活污水、脱水过程产生的废水经无害化处理后排入化粪池内进行处理</w:t>
            </w:r>
          </w:p>
        </w:tc>
        <w:tc>
          <w:tcPr>
            <w:tcW w:w="1253" w:type="pct"/>
            <w:vAlign w:val="center"/>
          </w:tcPr>
          <w:p w14:paraId="05A0EB13">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排入下水管网</w:t>
            </w:r>
          </w:p>
        </w:tc>
      </w:tr>
      <w:tr w14:paraId="7367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854" w:hRule="atLeast"/>
          <w:jc w:val="center"/>
        </w:trPr>
        <w:tc>
          <w:tcPr>
            <w:tcW w:w="320" w:type="pct"/>
            <w:vAlign w:val="center"/>
          </w:tcPr>
          <w:p w14:paraId="4DBF6A22">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2</w:t>
            </w:r>
          </w:p>
        </w:tc>
        <w:tc>
          <w:tcPr>
            <w:tcW w:w="424" w:type="pct"/>
            <w:vMerge w:val="continue"/>
            <w:vAlign w:val="center"/>
          </w:tcPr>
          <w:p w14:paraId="43576FB2">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p>
        </w:tc>
        <w:tc>
          <w:tcPr>
            <w:tcW w:w="727" w:type="pct"/>
            <w:vAlign w:val="center"/>
          </w:tcPr>
          <w:p w14:paraId="0C64D53C">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乌苏恒帆棉纺织有限公司</w:t>
            </w:r>
          </w:p>
        </w:tc>
        <w:tc>
          <w:tcPr>
            <w:tcW w:w="2274" w:type="pct"/>
            <w:vAlign w:val="center"/>
          </w:tcPr>
          <w:p w14:paraId="135522E9">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一体化污水处理装置，要求生活污水在经过处理后达到《污水综合排放标准》（GB8978-1996）的二级标准</w:t>
            </w:r>
          </w:p>
        </w:tc>
        <w:tc>
          <w:tcPr>
            <w:tcW w:w="1253" w:type="pct"/>
            <w:vAlign w:val="center"/>
          </w:tcPr>
          <w:p w14:paraId="4428FC64">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生活污水根据需要用于厂内绿化或排入下水管网</w:t>
            </w:r>
          </w:p>
        </w:tc>
      </w:tr>
      <w:tr w14:paraId="601D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392" w:hRule="atLeast"/>
          <w:jc w:val="center"/>
        </w:trPr>
        <w:tc>
          <w:tcPr>
            <w:tcW w:w="320" w:type="pct"/>
            <w:vAlign w:val="center"/>
          </w:tcPr>
          <w:p w14:paraId="60FCD3FB">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3</w:t>
            </w:r>
          </w:p>
        </w:tc>
        <w:tc>
          <w:tcPr>
            <w:tcW w:w="424" w:type="pct"/>
            <w:vMerge w:val="continue"/>
            <w:vAlign w:val="center"/>
          </w:tcPr>
          <w:p w14:paraId="5E5D27E9">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p>
        </w:tc>
        <w:tc>
          <w:tcPr>
            <w:tcW w:w="727" w:type="pct"/>
            <w:vAlign w:val="center"/>
          </w:tcPr>
          <w:p w14:paraId="36D10CC8">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乌苏市疆宇毛纺织有限公司</w:t>
            </w:r>
          </w:p>
        </w:tc>
        <w:tc>
          <w:tcPr>
            <w:tcW w:w="2274" w:type="pct"/>
            <w:vAlign w:val="center"/>
          </w:tcPr>
          <w:p w14:paraId="0CE42728">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物化处理+生化处理+深度处理</w:t>
            </w:r>
          </w:p>
        </w:tc>
        <w:tc>
          <w:tcPr>
            <w:tcW w:w="1253" w:type="pct"/>
            <w:vAlign w:val="center"/>
          </w:tcPr>
          <w:p w14:paraId="27BEDC7C">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部分回用，其余处理达标后排下水管网</w:t>
            </w:r>
          </w:p>
        </w:tc>
      </w:tr>
      <w:tr w14:paraId="485E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392" w:hRule="atLeast"/>
          <w:jc w:val="center"/>
        </w:trPr>
        <w:tc>
          <w:tcPr>
            <w:tcW w:w="320" w:type="pct"/>
            <w:vAlign w:val="center"/>
          </w:tcPr>
          <w:p w14:paraId="5E6BA835">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4</w:t>
            </w:r>
          </w:p>
        </w:tc>
        <w:tc>
          <w:tcPr>
            <w:tcW w:w="424" w:type="pct"/>
            <w:vMerge w:val="continue"/>
            <w:vAlign w:val="center"/>
          </w:tcPr>
          <w:p w14:paraId="6320EB38">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p>
        </w:tc>
        <w:tc>
          <w:tcPr>
            <w:tcW w:w="727" w:type="pct"/>
            <w:vAlign w:val="center"/>
          </w:tcPr>
          <w:p w14:paraId="00ECA7C0">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新疆聚鑫隆纸业有限公司</w:t>
            </w:r>
          </w:p>
        </w:tc>
        <w:tc>
          <w:tcPr>
            <w:tcW w:w="2274" w:type="pct"/>
            <w:vAlign w:val="center"/>
          </w:tcPr>
          <w:p w14:paraId="11EC3384">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斜筛+高效浅层气浮处理生产废水；集成式生物化粪池收集生活污水</w:t>
            </w:r>
          </w:p>
        </w:tc>
        <w:tc>
          <w:tcPr>
            <w:tcW w:w="1253" w:type="pct"/>
            <w:vAlign w:val="center"/>
          </w:tcPr>
          <w:p w14:paraId="2D80FC5D">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生产废水回用，生活污水经处理后绿化</w:t>
            </w:r>
          </w:p>
        </w:tc>
      </w:tr>
      <w:tr w14:paraId="67D5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392" w:hRule="atLeast"/>
          <w:jc w:val="center"/>
        </w:trPr>
        <w:tc>
          <w:tcPr>
            <w:tcW w:w="320" w:type="pct"/>
            <w:shd w:val="clear" w:color="auto" w:fill="auto"/>
            <w:vAlign w:val="center"/>
          </w:tcPr>
          <w:p w14:paraId="14EAA13A">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rPr>
              <w:t>5</w:t>
            </w:r>
          </w:p>
        </w:tc>
        <w:tc>
          <w:tcPr>
            <w:tcW w:w="424" w:type="pct"/>
            <w:vMerge w:val="continue"/>
            <w:vAlign w:val="center"/>
          </w:tcPr>
          <w:p w14:paraId="417A52E4">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p>
        </w:tc>
        <w:tc>
          <w:tcPr>
            <w:tcW w:w="727" w:type="pct"/>
            <w:vAlign w:val="center"/>
          </w:tcPr>
          <w:p w14:paraId="7B2AA89A">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eastAsia="宋体" w:cs="Times New Roman"/>
                <w:color w:val="FF0000"/>
                <w:sz w:val="21"/>
                <w:szCs w:val="21"/>
                <w:lang w:eastAsia="zh-CN"/>
              </w:rPr>
              <w:t>塔城地区乌苏市西区污水处理厂建设项目二期工程</w:t>
            </w:r>
          </w:p>
        </w:tc>
        <w:tc>
          <w:tcPr>
            <w:tcW w:w="2274" w:type="pct"/>
            <w:vAlign w:val="center"/>
          </w:tcPr>
          <w:p w14:paraId="31733BA8">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项目自身为污水处理项目，采用“</w:t>
            </w:r>
            <w:r>
              <w:rPr>
                <w:rFonts w:hint="default" w:ascii="Times New Roman" w:hAnsi="Times New Roman" w:eastAsia="宋体" w:cs="Times New Roman"/>
                <w:color w:val="FF0000"/>
                <w:sz w:val="21"/>
                <w:szCs w:val="21"/>
                <w:lang w:val="en-US" w:eastAsia="zh-CN"/>
              </w:rPr>
              <w:t>调节池→一级除硬混凝沉淀池→pH调节池→水解酸化→一级AAO生化→二沉池→二级AAO生化→软化除硬高密池→臭氧氧化→曝气生物滤池→一级多介质过滤→一级超滤→一级RO→软化除硬→二级多介质过滤→二级超滤→螯合树脂→脱碳塔→二级RO→浓水→MVR</w:t>
            </w:r>
            <w:r>
              <w:rPr>
                <w:rFonts w:hint="eastAsia" w:ascii="Times New Roman" w:hAnsi="Times New Roman" w:eastAsia="宋体" w:cs="Times New Roman"/>
                <w:color w:val="FF0000"/>
                <w:sz w:val="21"/>
                <w:szCs w:val="21"/>
                <w:lang w:val="en-US" w:eastAsia="zh-CN"/>
              </w:rPr>
              <w:t>”污水处理工艺</w:t>
            </w:r>
          </w:p>
        </w:tc>
        <w:tc>
          <w:tcPr>
            <w:tcW w:w="1253" w:type="pct"/>
            <w:vAlign w:val="center"/>
          </w:tcPr>
          <w:p w14:paraId="4F853463">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处理后尾水排入尾水库，用于</w:t>
            </w:r>
            <w:r>
              <w:rPr>
                <w:rFonts w:hint="default" w:ascii="Times New Roman" w:hAnsi="Times New Roman" w:cs="Times New Roman"/>
                <w:color w:val="FF0000"/>
                <w:kern w:val="2"/>
                <w:sz w:val="24"/>
                <w:szCs w:val="24"/>
                <w:lang w:val="en-US" w:eastAsia="zh-CN"/>
              </w:rPr>
              <w:t>用于荒漠植被的恢复和灌溉用水</w:t>
            </w:r>
          </w:p>
        </w:tc>
      </w:tr>
      <w:tr w14:paraId="6C811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392" w:hRule="atLeast"/>
          <w:jc w:val="center"/>
        </w:trPr>
        <w:tc>
          <w:tcPr>
            <w:tcW w:w="320" w:type="pct"/>
            <w:shd w:val="clear" w:color="auto" w:fill="auto"/>
            <w:vAlign w:val="center"/>
          </w:tcPr>
          <w:p w14:paraId="0494C42F">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eastAsia"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rPr>
              <w:t>6</w:t>
            </w:r>
          </w:p>
        </w:tc>
        <w:tc>
          <w:tcPr>
            <w:tcW w:w="424" w:type="pct"/>
            <w:vMerge w:val="continue"/>
            <w:vAlign w:val="center"/>
          </w:tcPr>
          <w:p w14:paraId="0CE794DA">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p>
        </w:tc>
        <w:tc>
          <w:tcPr>
            <w:tcW w:w="727" w:type="pct"/>
            <w:shd w:val="clear" w:color="auto" w:fill="auto"/>
            <w:vAlign w:val="center"/>
          </w:tcPr>
          <w:p w14:paraId="5A25B7A5">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rPr>
              <w:t>凯赛（乌苏）生物技术有限公司</w:t>
            </w:r>
          </w:p>
        </w:tc>
        <w:tc>
          <w:tcPr>
            <w:tcW w:w="2274" w:type="pct"/>
            <w:vAlign w:val="center"/>
          </w:tcPr>
          <w:p w14:paraId="7ABB5D29">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eastAsia"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w:t>
            </w:r>
          </w:p>
        </w:tc>
        <w:tc>
          <w:tcPr>
            <w:tcW w:w="1253" w:type="pct"/>
            <w:vAlign w:val="center"/>
          </w:tcPr>
          <w:p w14:paraId="1243039C">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现有工程废水依托凯赛（乌苏）生物材料有限公司厂区污水处理站处理，在建工程废水直接进入乌苏市</w:t>
            </w:r>
            <w:r>
              <w:rPr>
                <w:rFonts w:hint="default" w:ascii="Times New Roman" w:hAnsi="Times New Roman" w:eastAsia="宋体" w:cs="Times New Roman"/>
                <w:color w:val="FF0000"/>
                <w:sz w:val="21"/>
                <w:szCs w:val="21"/>
                <w:lang w:val="en-US" w:eastAsia="zh-CN"/>
              </w:rPr>
              <w:t>西区污水厂二期</w:t>
            </w:r>
            <w:r>
              <w:rPr>
                <w:rFonts w:hint="eastAsia" w:ascii="Times New Roman" w:hAnsi="Times New Roman" w:eastAsia="宋体" w:cs="Times New Roman"/>
                <w:color w:val="FF0000"/>
                <w:sz w:val="21"/>
                <w:szCs w:val="21"/>
                <w:lang w:val="en-US" w:eastAsia="zh-CN"/>
              </w:rPr>
              <w:t>工程处理</w:t>
            </w:r>
          </w:p>
        </w:tc>
      </w:tr>
      <w:tr w14:paraId="6115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392" w:hRule="atLeast"/>
          <w:jc w:val="center"/>
        </w:trPr>
        <w:tc>
          <w:tcPr>
            <w:tcW w:w="320" w:type="pct"/>
            <w:vAlign w:val="center"/>
          </w:tcPr>
          <w:p w14:paraId="50552698">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7</w:t>
            </w:r>
          </w:p>
        </w:tc>
        <w:tc>
          <w:tcPr>
            <w:tcW w:w="424" w:type="pct"/>
            <w:vMerge w:val="continue"/>
            <w:vAlign w:val="center"/>
          </w:tcPr>
          <w:p w14:paraId="0D610CEA">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p>
        </w:tc>
        <w:tc>
          <w:tcPr>
            <w:tcW w:w="727" w:type="pct"/>
            <w:shd w:val="clear" w:color="auto" w:fill="auto"/>
            <w:vAlign w:val="center"/>
          </w:tcPr>
          <w:p w14:paraId="6BC6687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rPr>
              <w:t>凯赛（乌苏）生物材料有限公司</w:t>
            </w:r>
          </w:p>
        </w:tc>
        <w:tc>
          <w:tcPr>
            <w:tcW w:w="2274" w:type="pct"/>
            <w:vAlign w:val="center"/>
          </w:tcPr>
          <w:p w14:paraId="693F2B68">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eastAsia"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污水处理站采用</w:t>
            </w:r>
            <w:r>
              <w:rPr>
                <w:rFonts w:hint="eastAsia" w:ascii="Times New Roman" w:hAnsi="Times New Roman" w:cs="Times New Roman"/>
                <w:color w:val="FF0000"/>
                <w:sz w:val="21"/>
                <w:szCs w:val="21"/>
                <w:highlight w:val="none"/>
                <w:vertAlign w:val="baseline"/>
                <w:lang w:val="en-US" w:eastAsia="zh-CN" w:bidi="ar-SA"/>
              </w:rPr>
              <w:t>中和沉淀+</w:t>
            </w:r>
            <w:r>
              <w:rPr>
                <w:rFonts w:hint="eastAsia" w:ascii="Times New Roman" w:hAnsi="Times New Roman" w:eastAsia="宋体" w:cs="Times New Roman"/>
                <w:color w:val="FF0000"/>
                <w:sz w:val="21"/>
                <w:szCs w:val="21"/>
                <w:highlight w:val="none"/>
                <w:vertAlign w:val="baseline"/>
                <w:lang w:val="en-US" w:eastAsia="zh-CN" w:bidi="ar-SA"/>
              </w:rPr>
              <w:t>水解酸化+A2O工艺进行处理，污水处理站后半段设置有MBR+RO+MVR装置用于应急备用</w:t>
            </w:r>
          </w:p>
        </w:tc>
        <w:tc>
          <w:tcPr>
            <w:tcW w:w="1253" w:type="pct"/>
            <w:vAlign w:val="center"/>
          </w:tcPr>
          <w:p w14:paraId="503A750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eastAsia" w:ascii="Times New Roman" w:hAnsi="Times New Roman" w:cs="Times New Roman"/>
                <w:color w:val="FF0000"/>
                <w:sz w:val="21"/>
                <w:szCs w:val="21"/>
                <w:lang w:val="en-US" w:eastAsia="zh-CN"/>
              </w:rPr>
              <w:t>进入乌苏市西区污水处理厂处理</w:t>
            </w:r>
          </w:p>
        </w:tc>
      </w:tr>
    </w:tbl>
    <w:p w14:paraId="626E663E">
      <w:pPr>
        <w:spacing w:line="360" w:lineRule="auto"/>
        <w:jc w:val="center"/>
        <w:rPr>
          <w:rFonts w:hint="eastAsia" w:ascii="Times New Roman" w:hAnsi="Times New Roman" w:eastAsia="宋体" w:cs="Times New Roman"/>
          <w:b/>
          <w:bCs/>
          <w:color w:val="FF0000"/>
          <w:kern w:val="2"/>
          <w:sz w:val="24"/>
          <w:szCs w:val="24"/>
          <w:lang w:val="en-US" w:eastAsia="zh-CN"/>
        </w:rPr>
      </w:pPr>
      <w:r>
        <w:rPr>
          <w:rFonts w:hint="eastAsia" w:ascii="Times New Roman" w:hAnsi="Times New Roman" w:eastAsia="宋体" w:cs="Times New Roman"/>
          <w:b/>
          <w:bCs/>
          <w:color w:val="FF0000"/>
          <w:kern w:val="2"/>
          <w:sz w:val="24"/>
          <w:szCs w:val="24"/>
          <w:lang w:val="en-US" w:eastAsia="zh-CN"/>
        </w:rPr>
        <w:t xml:space="preserve">表5.3-3  园区内企业固废排放表 </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3" w:type="dxa"/>
          <w:bottom w:w="28" w:type="dxa"/>
          <w:right w:w="23" w:type="dxa"/>
        </w:tblCellMar>
      </w:tblPr>
      <w:tblGrid>
        <w:gridCol w:w="568"/>
        <w:gridCol w:w="825"/>
        <w:gridCol w:w="2201"/>
        <w:gridCol w:w="1114"/>
        <w:gridCol w:w="885"/>
        <w:gridCol w:w="2754"/>
      </w:tblGrid>
      <w:tr w14:paraId="78C6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93" w:hRule="atLeast"/>
          <w:jc w:val="center"/>
        </w:trPr>
        <w:tc>
          <w:tcPr>
            <w:tcW w:w="340" w:type="pct"/>
            <w:vMerge w:val="restart"/>
            <w:vAlign w:val="center"/>
          </w:tcPr>
          <w:p w14:paraId="4055558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序号</w:t>
            </w:r>
          </w:p>
        </w:tc>
        <w:tc>
          <w:tcPr>
            <w:tcW w:w="494" w:type="pct"/>
            <w:vMerge w:val="restart"/>
            <w:vAlign w:val="center"/>
          </w:tcPr>
          <w:p w14:paraId="24BE0ECE">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项目区</w:t>
            </w:r>
          </w:p>
        </w:tc>
        <w:tc>
          <w:tcPr>
            <w:tcW w:w="1318" w:type="pct"/>
            <w:vMerge w:val="restart"/>
            <w:vAlign w:val="center"/>
          </w:tcPr>
          <w:p w14:paraId="2A4ABF9E">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名称</w:t>
            </w:r>
          </w:p>
        </w:tc>
        <w:tc>
          <w:tcPr>
            <w:tcW w:w="1197" w:type="pct"/>
            <w:gridSpan w:val="2"/>
            <w:vAlign w:val="center"/>
          </w:tcPr>
          <w:p w14:paraId="10A5CE84">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固废产生情况</w:t>
            </w:r>
          </w:p>
        </w:tc>
        <w:tc>
          <w:tcPr>
            <w:tcW w:w="1649" w:type="pct"/>
            <w:vMerge w:val="restart"/>
            <w:vAlign w:val="center"/>
          </w:tcPr>
          <w:p w14:paraId="43F067AF">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备注</w:t>
            </w:r>
          </w:p>
        </w:tc>
      </w:tr>
      <w:tr w14:paraId="27C5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93" w:hRule="atLeast"/>
          <w:jc w:val="center"/>
        </w:trPr>
        <w:tc>
          <w:tcPr>
            <w:tcW w:w="340" w:type="pct"/>
            <w:vMerge w:val="continue"/>
            <w:vAlign w:val="center"/>
          </w:tcPr>
          <w:p w14:paraId="70658BC4">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p>
        </w:tc>
        <w:tc>
          <w:tcPr>
            <w:tcW w:w="494" w:type="pct"/>
            <w:vMerge w:val="continue"/>
            <w:vAlign w:val="center"/>
          </w:tcPr>
          <w:p w14:paraId="02AFCF20">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p>
        </w:tc>
        <w:tc>
          <w:tcPr>
            <w:tcW w:w="1318" w:type="pct"/>
            <w:vMerge w:val="continue"/>
            <w:vAlign w:val="center"/>
          </w:tcPr>
          <w:p w14:paraId="2DA9A7E9">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p>
        </w:tc>
        <w:tc>
          <w:tcPr>
            <w:tcW w:w="667" w:type="pct"/>
            <w:vAlign w:val="center"/>
          </w:tcPr>
          <w:p w14:paraId="609B72B5">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一般固废</w:t>
            </w:r>
          </w:p>
        </w:tc>
        <w:tc>
          <w:tcPr>
            <w:tcW w:w="530" w:type="pct"/>
            <w:vAlign w:val="center"/>
          </w:tcPr>
          <w:p w14:paraId="468C6B29">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危险废物</w:t>
            </w:r>
          </w:p>
        </w:tc>
        <w:tc>
          <w:tcPr>
            <w:tcW w:w="1649" w:type="pct"/>
            <w:vMerge w:val="continue"/>
            <w:vAlign w:val="center"/>
          </w:tcPr>
          <w:p w14:paraId="13F7E2D5">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p>
        </w:tc>
      </w:tr>
      <w:tr w14:paraId="730C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73" w:hRule="atLeast"/>
          <w:jc w:val="center"/>
        </w:trPr>
        <w:tc>
          <w:tcPr>
            <w:tcW w:w="340" w:type="pct"/>
            <w:vAlign w:val="center"/>
          </w:tcPr>
          <w:p w14:paraId="681D920C">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1</w:t>
            </w:r>
          </w:p>
        </w:tc>
        <w:tc>
          <w:tcPr>
            <w:tcW w:w="494" w:type="pct"/>
            <w:vMerge w:val="restart"/>
            <w:vAlign w:val="center"/>
          </w:tcPr>
          <w:p w14:paraId="5178BE0F">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园区现有企业</w:t>
            </w:r>
          </w:p>
        </w:tc>
        <w:tc>
          <w:tcPr>
            <w:tcW w:w="1318" w:type="pct"/>
            <w:vAlign w:val="center"/>
          </w:tcPr>
          <w:p w14:paraId="20202E47">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乌苏宏江燃气有限公司</w:t>
            </w:r>
          </w:p>
        </w:tc>
        <w:tc>
          <w:tcPr>
            <w:tcW w:w="667" w:type="pct"/>
            <w:vAlign w:val="center"/>
          </w:tcPr>
          <w:p w14:paraId="0D9C11B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eastAsia"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w:t>
            </w:r>
          </w:p>
        </w:tc>
        <w:tc>
          <w:tcPr>
            <w:tcW w:w="530" w:type="pct"/>
            <w:vAlign w:val="center"/>
          </w:tcPr>
          <w:p w14:paraId="375F7A1C">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1</w:t>
            </w:r>
          </w:p>
        </w:tc>
        <w:tc>
          <w:tcPr>
            <w:tcW w:w="1649" w:type="pct"/>
            <w:vAlign w:val="center"/>
          </w:tcPr>
          <w:p w14:paraId="64DC5099">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压缩机含油废水</w:t>
            </w:r>
          </w:p>
        </w:tc>
      </w:tr>
      <w:tr w14:paraId="5FD7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73" w:hRule="atLeast"/>
          <w:jc w:val="center"/>
        </w:trPr>
        <w:tc>
          <w:tcPr>
            <w:tcW w:w="340" w:type="pct"/>
            <w:vAlign w:val="center"/>
          </w:tcPr>
          <w:p w14:paraId="504389CD">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2</w:t>
            </w:r>
          </w:p>
        </w:tc>
        <w:tc>
          <w:tcPr>
            <w:tcW w:w="494" w:type="pct"/>
            <w:vMerge w:val="continue"/>
            <w:vAlign w:val="center"/>
          </w:tcPr>
          <w:p w14:paraId="4A0A5583">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p>
        </w:tc>
        <w:tc>
          <w:tcPr>
            <w:tcW w:w="1318" w:type="pct"/>
            <w:vAlign w:val="center"/>
          </w:tcPr>
          <w:p w14:paraId="097F6CD8">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乌苏恒帆棉纺织有限公司</w:t>
            </w:r>
          </w:p>
        </w:tc>
        <w:tc>
          <w:tcPr>
            <w:tcW w:w="667" w:type="pct"/>
            <w:vAlign w:val="center"/>
          </w:tcPr>
          <w:p w14:paraId="787F3D4F">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83.16</w:t>
            </w:r>
          </w:p>
        </w:tc>
        <w:tc>
          <w:tcPr>
            <w:tcW w:w="530" w:type="pct"/>
            <w:vAlign w:val="center"/>
          </w:tcPr>
          <w:p w14:paraId="445FEB4C">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eastAsia"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w:t>
            </w:r>
          </w:p>
        </w:tc>
        <w:tc>
          <w:tcPr>
            <w:tcW w:w="1649" w:type="pct"/>
            <w:vAlign w:val="center"/>
          </w:tcPr>
          <w:p w14:paraId="2ED29628">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棉絮和棉尘</w:t>
            </w:r>
          </w:p>
        </w:tc>
      </w:tr>
      <w:tr w14:paraId="438C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73" w:hRule="atLeast"/>
          <w:jc w:val="center"/>
        </w:trPr>
        <w:tc>
          <w:tcPr>
            <w:tcW w:w="340" w:type="pct"/>
            <w:vAlign w:val="center"/>
          </w:tcPr>
          <w:p w14:paraId="60648B59">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3</w:t>
            </w:r>
          </w:p>
        </w:tc>
        <w:tc>
          <w:tcPr>
            <w:tcW w:w="494" w:type="pct"/>
            <w:vMerge w:val="continue"/>
            <w:vAlign w:val="center"/>
          </w:tcPr>
          <w:p w14:paraId="0C42D0D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p>
        </w:tc>
        <w:tc>
          <w:tcPr>
            <w:tcW w:w="1318" w:type="pct"/>
            <w:vAlign w:val="center"/>
          </w:tcPr>
          <w:p w14:paraId="7A51A296">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乌苏市疆宇毛纺织有限公司</w:t>
            </w:r>
          </w:p>
        </w:tc>
        <w:tc>
          <w:tcPr>
            <w:tcW w:w="667" w:type="pct"/>
            <w:vAlign w:val="center"/>
          </w:tcPr>
          <w:p w14:paraId="28D74B55">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10801</w:t>
            </w:r>
          </w:p>
        </w:tc>
        <w:tc>
          <w:tcPr>
            <w:tcW w:w="530" w:type="pct"/>
            <w:vAlign w:val="center"/>
          </w:tcPr>
          <w:p w14:paraId="6671B2A6">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eastAsia"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w:t>
            </w:r>
          </w:p>
        </w:tc>
        <w:tc>
          <w:tcPr>
            <w:tcW w:w="1649" w:type="pct"/>
            <w:vAlign w:val="center"/>
          </w:tcPr>
          <w:p w14:paraId="32DF820B">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羊毛杂质、羊毛絮、污水站污泥浮渣、废离子交换树脂</w:t>
            </w:r>
          </w:p>
        </w:tc>
      </w:tr>
      <w:tr w14:paraId="361C7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73" w:hRule="atLeast"/>
          <w:jc w:val="center"/>
        </w:trPr>
        <w:tc>
          <w:tcPr>
            <w:tcW w:w="340" w:type="pct"/>
            <w:vAlign w:val="center"/>
          </w:tcPr>
          <w:p w14:paraId="1D782F3E">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4</w:t>
            </w:r>
          </w:p>
        </w:tc>
        <w:tc>
          <w:tcPr>
            <w:tcW w:w="494" w:type="pct"/>
            <w:vMerge w:val="continue"/>
            <w:vAlign w:val="center"/>
          </w:tcPr>
          <w:p w14:paraId="7CA304BA">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p>
        </w:tc>
        <w:tc>
          <w:tcPr>
            <w:tcW w:w="1318" w:type="pct"/>
            <w:shd w:val="clear" w:color="auto" w:fill="auto"/>
            <w:vAlign w:val="center"/>
          </w:tcPr>
          <w:p w14:paraId="4A56E337">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FF0000"/>
                <w:sz w:val="21"/>
                <w:szCs w:val="21"/>
              </w:rPr>
              <w:t>新疆聚鑫隆纸业有限公司</w:t>
            </w:r>
          </w:p>
        </w:tc>
        <w:tc>
          <w:tcPr>
            <w:tcW w:w="667" w:type="pct"/>
            <w:shd w:val="clear" w:color="auto" w:fill="auto"/>
            <w:vAlign w:val="center"/>
          </w:tcPr>
          <w:p w14:paraId="73FC8080">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FF0000"/>
                <w:sz w:val="21"/>
                <w:szCs w:val="21"/>
              </w:rPr>
              <w:t>22542</w:t>
            </w:r>
          </w:p>
        </w:tc>
        <w:tc>
          <w:tcPr>
            <w:tcW w:w="530" w:type="pct"/>
            <w:shd w:val="clear" w:color="auto" w:fill="auto"/>
            <w:vAlign w:val="center"/>
          </w:tcPr>
          <w:p w14:paraId="59649DEC">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eastAsia"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rPr>
              <w:t>/</w:t>
            </w:r>
          </w:p>
        </w:tc>
        <w:tc>
          <w:tcPr>
            <w:tcW w:w="1649" w:type="pct"/>
            <w:shd w:val="clear" w:color="auto" w:fill="auto"/>
            <w:vAlign w:val="center"/>
          </w:tcPr>
          <w:p w14:paraId="361D09E2">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FF0000"/>
                <w:sz w:val="21"/>
                <w:szCs w:val="21"/>
              </w:rPr>
              <w:t>锅炉灰渣、分拣废物、制浆泥渣、污水处理污泥、脱硫石膏</w:t>
            </w:r>
          </w:p>
        </w:tc>
      </w:tr>
      <w:tr w14:paraId="405C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73" w:hRule="atLeast"/>
          <w:jc w:val="center"/>
        </w:trPr>
        <w:tc>
          <w:tcPr>
            <w:tcW w:w="340" w:type="pct"/>
            <w:shd w:val="clear" w:color="auto" w:fill="auto"/>
            <w:vAlign w:val="center"/>
          </w:tcPr>
          <w:p w14:paraId="68200B22">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rPr>
              <w:t>5</w:t>
            </w:r>
          </w:p>
        </w:tc>
        <w:tc>
          <w:tcPr>
            <w:tcW w:w="494" w:type="pct"/>
            <w:vMerge w:val="continue"/>
            <w:vAlign w:val="center"/>
          </w:tcPr>
          <w:p w14:paraId="7F17E04B">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p>
        </w:tc>
        <w:tc>
          <w:tcPr>
            <w:tcW w:w="1318" w:type="pct"/>
            <w:shd w:val="clear" w:color="auto" w:fill="auto"/>
            <w:vAlign w:val="center"/>
          </w:tcPr>
          <w:p w14:paraId="12212008">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default" w:ascii="Times New Roman" w:hAnsi="Times New Roman" w:eastAsia="宋体" w:cs="Times New Roman"/>
                <w:color w:val="FF0000"/>
                <w:sz w:val="21"/>
                <w:szCs w:val="21"/>
                <w:lang w:eastAsia="zh-CN"/>
              </w:rPr>
              <w:t>塔城地区乌苏市西区污水处理厂建设项目二期工程</w:t>
            </w:r>
          </w:p>
        </w:tc>
        <w:tc>
          <w:tcPr>
            <w:tcW w:w="667" w:type="pct"/>
            <w:shd w:val="clear" w:color="auto" w:fill="auto"/>
            <w:vAlign w:val="center"/>
          </w:tcPr>
          <w:p w14:paraId="4458EEC5">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36794.9</w:t>
            </w:r>
          </w:p>
        </w:tc>
        <w:tc>
          <w:tcPr>
            <w:tcW w:w="530" w:type="pct"/>
            <w:shd w:val="clear" w:color="auto" w:fill="auto"/>
            <w:vAlign w:val="center"/>
          </w:tcPr>
          <w:p w14:paraId="010E07B2">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lang w:val="en-US" w:eastAsia="zh-CN"/>
              </w:rPr>
              <w:t>65.54</w:t>
            </w:r>
          </w:p>
        </w:tc>
        <w:tc>
          <w:tcPr>
            <w:tcW w:w="1649" w:type="pct"/>
            <w:shd w:val="clear" w:color="auto" w:fill="auto"/>
            <w:vAlign w:val="center"/>
          </w:tcPr>
          <w:p w14:paraId="7D598575">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栅渣、污泥、杂盐、废试剂瓶和检测废液、废矿物油及包装桶、废膜，其中污泥、杂盐及废膜在项目运行后进行危险特性鉴别，鉴别结果出具之前，按照危废进行管理</w:t>
            </w:r>
          </w:p>
        </w:tc>
      </w:tr>
      <w:tr w14:paraId="381EA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73" w:hRule="atLeast"/>
          <w:jc w:val="center"/>
        </w:trPr>
        <w:tc>
          <w:tcPr>
            <w:tcW w:w="340" w:type="pct"/>
            <w:shd w:val="clear" w:color="auto" w:fill="auto"/>
            <w:vAlign w:val="center"/>
          </w:tcPr>
          <w:p w14:paraId="6CCDDBDE">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eastAsia"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rPr>
              <w:t>6</w:t>
            </w:r>
          </w:p>
        </w:tc>
        <w:tc>
          <w:tcPr>
            <w:tcW w:w="494" w:type="pct"/>
            <w:vMerge w:val="continue"/>
            <w:vAlign w:val="center"/>
          </w:tcPr>
          <w:p w14:paraId="3ED04F62">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p>
        </w:tc>
        <w:tc>
          <w:tcPr>
            <w:tcW w:w="1318" w:type="pct"/>
            <w:shd w:val="clear" w:color="auto" w:fill="auto"/>
            <w:vAlign w:val="center"/>
          </w:tcPr>
          <w:p w14:paraId="21D963C3">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rPr>
              <w:t>凯赛（乌苏）生物技术有限公司</w:t>
            </w:r>
          </w:p>
        </w:tc>
        <w:tc>
          <w:tcPr>
            <w:tcW w:w="667" w:type="pct"/>
            <w:vAlign w:val="center"/>
          </w:tcPr>
          <w:p w14:paraId="0998904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33175.68</w:t>
            </w:r>
          </w:p>
        </w:tc>
        <w:tc>
          <w:tcPr>
            <w:tcW w:w="530" w:type="pct"/>
            <w:vAlign w:val="center"/>
          </w:tcPr>
          <w:p w14:paraId="45B0FBF9">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lang w:val="en-US" w:eastAsia="zh-CN"/>
              </w:rPr>
              <w:t>892</w:t>
            </w:r>
          </w:p>
        </w:tc>
        <w:tc>
          <w:tcPr>
            <w:tcW w:w="1649" w:type="pct"/>
            <w:vAlign w:val="center"/>
          </w:tcPr>
          <w:p w14:paraId="01853660">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菌体污泥、废活性炭、废润滑油等</w:t>
            </w:r>
          </w:p>
        </w:tc>
      </w:tr>
      <w:tr w14:paraId="1BF5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3" w:type="dxa"/>
            <w:bottom w:w="28" w:type="dxa"/>
            <w:right w:w="23" w:type="dxa"/>
          </w:tblCellMar>
        </w:tblPrEx>
        <w:trPr>
          <w:trHeight w:val="273" w:hRule="atLeast"/>
          <w:jc w:val="center"/>
        </w:trPr>
        <w:tc>
          <w:tcPr>
            <w:tcW w:w="340" w:type="pct"/>
            <w:vAlign w:val="center"/>
          </w:tcPr>
          <w:p w14:paraId="0483894E">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7</w:t>
            </w:r>
          </w:p>
        </w:tc>
        <w:tc>
          <w:tcPr>
            <w:tcW w:w="494" w:type="pct"/>
            <w:vMerge w:val="continue"/>
            <w:vAlign w:val="center"/>
          </w:tcPr>
          <w:p w14:paraId="4537193A">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p>
        </w:tc>
        <w:tc>
          <w:tcPr>
            <w:tcW w:w="1318" w:type="pct"/>
            <w:shd w:val="clear" w:color="auto" w:fill="auto"/>
            <w:vAlign w:val="center"/>
          </w:tcPr>
          <w:p w14:paraId="6DCFA022">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outlineLvl w:val="9"/>
              <w:rPr>
                <w:rFonts w:hint="default" w:ascii="Times New Roman" w:hAnsi="Times New Roman" w:eastAsia="宋体" w:cs="Times New Roman"/>
                <w:color w:val="FF0000"/>
                <w:sz w:val="21"/>
                <w:szCs w:val="21"/>
                <w:lang w:val="en-US" w:eastAsia="zh-CN" w:bidi="ar-SA"/>
              </w:rPr>
            </w:pPr>
            <w:r>
              <w:rPr>
                <w:rFonts w:hint="eastAsia" w:ascii="Times New Roman" w:hAnsi="Times New Roman" w:cs="Times New Roman"/>
                <w:color w:val="FF0000"/>
                <w:sz w:val="21"/>
                <w:szCs w:val="21"/>
                <w:lang w:val="en-US" w:eastAsia="zh-CN"/>
              </w:rPr>
              <w:t>凯赛（乌苏）生物材料有限公司</w:t>
            </w:r>
          </w:p>
        </w:tc>
        <w:tc>
          <w:tcPr>
            <w:tcW w:w="667" w:type="pct"/>
            <w:vAlign w:val="center"/>
          </w:tcPr>
          <w:p w14:paraId="513F1EED">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cs="Times New Roman"/>
                <w:color w:val="FF0000"/>
                <w:sz w:val="21"/>
                <w:szCs w:val="21"/>
              </w:rPr>
            </w:pPr>
            <w:r>
              <w:rPr>
                <w:rFonts w:hint="eastAsia" w:ascii="Times New Roman" w:hAnsi="Times New Roman" w:cs="Times New Roman"/>
                <w:color w:val="FF0000"/>
                <w:sz w:val="21"/>
                <w:szCs w:val="21"/>
                <w:highlight w:val="none"/>
                <w:lang w:val="en-US" w:eastAsia="zh-CN"/>
              </w:rPr>
              <w:t>86441.99</w:t>
            </w:r>
          </w:p>
        </w:tc>
        <w:tc>
          <w:tcPr>
            <w:tcW w:w="530" w:type="pct"/>
            <w:vAlign w:val="center"/>
          </w:tcPr>
          <w:p w14:paraId="7D925D8F">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eastAsia"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highlight w:val="none"/>
                <w:lang w:val="en-US" w:eastAsia="zh-CN"/>
              </w:rPr>
              <w:t>54.2995</w:t>
            </w:r>
          </w:p>
        </w:tc>
        <w:tc>
          <w:tcPr>
            <w:tcW w:w="1649" w:type="pct"/>
            <w:vAlign w:val="center"/>
          </w:tcPr>
          <w:p w14:paraId="731C33A1">
            <w:pPr>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污水处理站污泥、锅炉灰渣、菌体污泥、脱硫石膏、废絮凝剂、玉米原料杂质、废树脂、废包装物、废催化剂等</w:t>
            </w:r>
          </w:p>
        </w:tc>
      </w:tr>
    </w:tbl>
    <w:p w14:paraId="7B8E597B">
      <w:pPr>
        <w:pageBreakBefore w:val="0"/>
        <w:widowControl/>
        <w:kinsoku/>
        <w:wordWrap/>
        <w:topLinePunct w:val="0"/>
        <w:autoSpaceDE/>
        <w:autoSpaceDN/>
        <w:bidi w:val="0"/>
        <w:adjustRightInd/>
        <w:snapToGrid/>
        <w:spacing w:line="360" w:lineRule="auto"/>
        <w:jc w:val="center"/>
        <w:outlineLvl w:val="0"/>
        <w:rPr>
          <w:rFonts w:hint="default" w:ascii="Times New Roman" w:hAnsi="Times New Roman" w:eastAsia="宋体" w:cs="Times New Roman"/>
          <w:b/>
          <w:kern w:val="2"/>
          <w:sz w:val="32"/>
          <w:szCs w:val="32"/>
          <w:lang w:val="en-US" w:eastAsia="zh-CN" w:bidi="ar-SA"/>
        </w:rPr>
      </w:pPr>
      <w:bookmarkStart w:id="37" w:name="_Toc24572"/>
      <w:r>
        <w:rPr>
          <w:rFonts w:hint="eastAsia" w:ascii="Times New Roman" w:hAnsi="Times New Roman" w:cs="Times New Roman"/>
          <w:b/>
          <w:kern w:val="2"/>
          <w:sz w:val="32"/>
          <w:szCs w:val="32"/>
          <w:lang w:val="en-US" w:eastAsia="zh-CN" w:bidi="ar-SA"/>
        </w:rPr>
        <w:t xml:space="preserve">第八章  </w:t>
      </w:r>
      <w:r>
        <w:rPr>
          <w:rFonts w:hint="default" w:ascii="Times New Roman" w:hAnsi="Times New Roman" w:eastAsia="宋体" w:cs="Times New Roman"/>
          <w:b/>
          <w:kern w:val="2"/>
          <w:sz w:val="32"/>
          <w:szCs w:val="32"/>
          <w:lang w:val="en-US" w:eastAsia="zh-CN" w:bidi="ar-SA"/>
        </w:rPr>
        <w:t>环境保护措施及其可行性分析</w:t>
      </w:r>
      <w:bookmarkEnd w:id="37"/>
    </w:p>
    <w:p w14:paraId="546B3C2D">
      <w:pPr>
        <w:widowControl w:val="0"/>
        <w:spacing w:after="0"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根据国家有关环保法规要求，该项目必须执行</w:t>
      </w:r>
      <w:r>
        <w:rPr>
          <w:rFonts w:hint="eastAsia" w:ascii="Times New Roman" w:hAnsi="Times New Roman"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三同时</w:t>
      </w:r>
      <w:r>
        <w:rPr>
          <w:rFonts w:hint="eastAsia" w:ascii="Times New Roman" w:hAnsi="Times New Roman"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项目投产后，其污染物排放必须达到国家和地方规定的标准和符合环境保护有关法规。本章主要对本项目设计采取的各项环境保护措施从技术可行性、可靠性和经济合理性等方面进行分析论证并提出改善意见，以便在项目实施过程中采用经济合理的污染防治工艺和设施，确保项目排污得到有效控制并达到相关要求。</w:t>
      </w:r>
    </w:p>
    <w:p w14:paraId="665E00CE">
      <w:pPr>
        <w:keepNext w:val="0"/>
        <w:keepLines w:val="0"/>
        <w:widowControl w:val="0"/>
        <w:bidi w:val="0"/>
        <w:spacing w:before="120" w:after="120" w:line="360" w:lineRule="auto"/>
        <w:jc w:val="both"/>
        <w:outlineLvl w:val="1"/>
        <w:rPr>
          <w:rFonts w:hint="default" w:ascii="Times New Roman" w:hAnsi="Times New Roman" w:eastAsia="宋体" w:cs="Times New Roman"/>
          <w:b/>
          <w:bCs/>
          <w:kern w:val="2"/>
          <w:sz w:val="30"/>
          <w:szCs w:val="30"/>
          <w:lang w:val="en-US" w:eastAsia="zh-CN" w:bidi="ar-SA"/>
        </w:rPr>
      </w:pPr>
      <w:bookmarkStart w:id="38" w:name="_Toc32024"/>
      <w:bookmarkStart w:id="39" w:name="_Toc474770783"/>
      <w:bookmarkStart w:id="40" w:name="_Toc16843"/>
      <w:bookmarkStart w:id="41" w:name="_Toc7729"/>
      <w:bookmarkStart w:id="42" w:name="_Toc14347"/>
      <w:bookmarkStart w:id="43" w:name="_Toc28790"/>
      <w:r>
        <w:rPr>
          <w:rFonts w:hint="eastAsia" w:ascii="Times New Roman" w:hAnsi="Times New Roman" w:cs="Times New Roman"/>
          <w:b/>
          <w:bCs/>
          <w:kern w:val="2"/>
          <w:sz w:val="30"/>
          <w:szCs w:val="30"/>
          <w:lang w:val="en-US" w:eastAsia="zh-CN" w:bidi="ar-SA"/>
        </w:rPr>
        <w:t>8</w:t>
      </w:r>
      <w:r>
        <w:rPr>
          <w:rFonts w:hint="default" w:ascii="Times New Roman" w:hAnsi="Times New Roman" w:eastAsia="宋体" w:cs="Times New Roman"/>
          <w:b/>
          <w:bCs/>
          <w:kern w:val="2"/>
          <w:sz w:val="30"/>
          <w:szCs w:val="30"/>
          <w:lang w:val="en-US" w:eastAsia="zh-CN" w:bidi="ar-SA"/>
        </w:rPr>
        <w:t>.1施工期污染防治措施分析</w:t>
      </w:r>
      <w:bookmarkEnd w:id="38"/>
      <w:bookmarkEnd w:id="39"/>
      <w:bookmarkEnd w:id="40"/>
      <w:bookmarkEnd w:id="41"/>
      <w:bookmarkEnd w:id="42"/>
      <w:bookmarkEnd w:id="43"/>
    </w:p>
    <w:p w14:paraId="0E620549">
      <w:pPr>
        <w:keepNext w:val="0"/>
        <w:keepLines w:val="0"/>
        <w:widowControl w:val="0"/>
        <w:bidi w:val="0"/>
        <w:spacing w:before="0" w:after="0" w:line="360" w:lineRule="auto"/>
        <w:jc w:val="both"/>
        <w:outlineLvl w:val="2"/>
        <w:rPr>
          <w:rFonts w:hint="default" w:ascii="Times New Roman" w:hAnsi="Times New Roman" w:eastAsia="宋体" w:cs="Times New Roman"/>
          <w:b/>
          <w:bCs/>
          <w:kern w:val="2"/>
          <w:sz w:val="28"/>
          <w:szCs w:val="28"/>
          <w:lang w:val="en-US" w:eastAsia="zh-CN" w:bidi="ar-SA"/>
        </w:rPr>
      </w:pPr>
      <w:r>
        <w:rPr>
          <w:rFonts w:hint="eastAsia" w:ascii="Times New Roman" w:hAnsi="Times New Roman" w:cs="Times New Roman"/>
          <w:b/>
          <w:bCs/>
          <w:kern w:val="2"/>
          <w:sz w:val="28"/>
          <w:szCs w:val="28"/>
          <w:lang w:val="en-US" w:eastAsia="zh-CN" w:bidi="ar-SA"/>
        </w:rPr>
        <w:t>8</w:t>
      </w:r>
      <w:r>
        <w:rPr>
          <w:rFonts w:hint="default" w:ascii="Times New Roman" w:hAnsi="Times New Roman" w:eastAsia="宋体" w:cs="Times New Roman"/>
          <w:b/>
          <w:bCs/>
          <w:kern w:val="2"/>
          <w:sz w:val="28"/>
          <w:szCs w:val="28"/>
          <w:lang w:val="en-US" w:eastAsia="zh-CN" w:bidi="ar-SA"/>
        </w:rPr>
        <w:t>.1.1施工期环境空气污染防治对策</w:t>
      </w:r>
    </w:p>
    <w:p w14:paraId="2F5C33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rPr>
        <w:t>（1）</w:t>
      </w:r>
      <w:r>
        <w:rPr>
          <w:rFonts w:hint="default" w:ascii="Times New Roman" w:hAnsi="Times New Roman" w:eastAsia="宋体" w:cs="Times New Roman"/>
          <w:color w:val="000000"/>
          <w:kern w:val="2"/>
          <w:sz w:val="24"/>
          <w:szCs w:val="24"/>
          <w:highlight w:val="none"/>
          <w:lang w:val="en-US" w:eastAsia="zh-CN"/>
        </w:rPr>
        <w:t>施工扬尘</w:t>
      </w:r>
      <w:r>
        <w:rPr>
          <w:rFonts w:hint="eastAsia" w:ascii="Times New Roman" w:hAnsi="Times New Roman" w:eastAsia="宋体" w:cs="Times New Roman"/>
          <w:color w:val="000000"/>
          <w:kern w:val="2"/>
          <w:sz w:val="24"/>
          <w:szCs w:val="24"/>
          <w:highlight w:val="none"/>
          <w:lang w:val="en-US" w:eastAsia="zh-CN"/>
        </w:rPr>
        <w:t>防治措施</w:t>
      </w:r>
    </w:p>
    <w:p w14:paraId="7DC57A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rPr>
        <w:t>施工期间扬尘影响范围较小，重污染带位于施工场地内，针对施工阶段的施工安排随机性较强等情况，建设单位采取以下措施以减轻其影响：</w:t>
      </w:r>
    </w:p>
    <w:p w14:paraId="6D1C97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rPr>
        <w:t>①</w:t>
      </w:r>
      <w:r>
        <w:rPr>
          <w:rFonts w:hint="default" w:ascii="Times New Roman" w:hAnsi="Times New Roman" w:eastAsia="宋体" w:cs="Times New Roman"/>
          <w:color w:val="000000"/>
          <w:kern w:val="2"/>
          <w:sz w:val="24"/>
          <w:szCs w:val="24"/>
          <w:highlight w:val="none"/>
          <w:lang w:val="en-US" w:eastAsia="zh-CN"/>
        </w:rPr>
        <w:t>加强施工扬尘监管，积极推进绿色施工，建设工程施工现场应</w:t>
      </w:r>
      <w:r>
        <w:rPr>
          <w:rFonts w:hint="eastAsia" w:ascii="Times New Roman" w:hAnsi="Times New Roman" w:eastAsia="宋体" w:cs="Times New Roman"/>
          <w:color w:val="000000"/>
          <w:kern w:val="2"/>
          <w:sz w:val="24"/>
          <w:szCs w:val="24"/>
          <w:highlight w:val="none"/>
          <w:lang w:val="en-US" w:eastAsia="zh-CN"/>
        </w:rPr>
        <w:t>对分输站</w:t>
      </w:r>
      <w:r>
        <w:rPr>
          <w:rFonts w:hint="default" w:ascii="Times New Roman" w:hAnsi="Times New Roman" w:eastAsia="宋体" w:cs="Times New Roman"/>
          <w:color w:val="000000"/>
          <w:kern w:val="2"/>
          <w:sz w:val="24"/>
          <w:szCs w:val="24"/>
          <w:highlight w:val="none"/>
          <w:lang w:val="en-US" w:eastAsia="zh-CN"/>
        </w:rPr>
        <w:t>设置</w:t>
      </w:r>
      <w:r>
        <w:rPr>
          <w:rFonts w:hint="eastAsia" w:ascii="Times New Roman" w:hAnsi="Times New Roman" w:eastAsia="宋体" w:cs="Times New Roman"/>
          <w:color w:val="000000"/>
          <w:kern w:val="2"/>
          <w:sz w:val="24"/>
          <w:szCs w:val="24"/>
          <w:highlight w:val="none"/>
          <w:lang w:val="en-US" w:eastAsia="zh-CN"/>
        </w:rPr>
        <w:t>全封闭</w:t>
      </w:r>
      <w:r>
        <w:rPr>
          <w:rFonts w:hint="default" w:ascii="Times New Roman" w:hAnsi="Times New Roman" w:eastAsia="宋体" w:cs="Times New Roman"/>
          <w:color w:val="000000"/>
          <w:kern w:val="2"/>
          <w:sz w:val="24"/>
          <w:szCs w:val="24"/>
          <w:highlight w:val="none"/>
          <w:lang w:val="en-US" w:eastAsia="zh-CN"/>
        </w:rPr>
        <w:t>围挡墙，围挡高度不得低于1.8m，严禁敞开式作业，施工现场道路应进行地面硬化。推行道路机械化清扫等低尘作业方式。</w:t>
      </w:r>
    </w:p>
    <w:p w14:paraId="7D70A9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rPr>
        <w:t>②</w:t>
      </w:r>
      <w:r>
        <w:rPr>
          <w:rFonts w:hint="default" w:ascii="Times New Roman" w:hAnsi="Times New Roman" w:eastAsia="宋体" w:cs="Times New Roman"/>
          <w:color w:val="000000"/>
          <w:kern w:val="2"/>
          <w:sz w:val="24"/>
          <w:szCs w:val="24"/>
          <w:highlight w:val="none"/>
          <w:lang w:val="en-US" w:eastAsia="zh-CN"/>
        </w:rPr>
        <w:t>为防止材料运输中产生道路扬尘，应定时对道路洒水抑尘。施工运输车辆行驶</w:t>
      </w:r>
      <w:r>
        <w:rPr>
          <w:rFonts w:hint="eastAsia" w:ascii="Times New Roman" w:hAnsi="Times New Roman" w:eastAsia="宋体" w:cs="Times New Roman"/>
          <w:color w:val="000000"/>
          <w:kern w:val="2"/>
          <w:sz w:val="24"/>
          <w:szCs w:val="24"/>
          <w:highlight w:val="none"/>
          <w:lang w:val="en-US" w:eastAsia="zh-CN"/>
        </w:rPr>
        <w:t>限制车速</w:t>
      </w:r>
      <w:r>
        <w:rPr>
          <w:rFonts w:hint="default" w:ascii="Times New Roman" w:hAnsi="Times New Roman" w:eastAsia="宋体" w:cs="Times New Roman"/>
          <w:color w:val="000000"/>
          <w:kern w:val="2"/>
          <w:sz w:val="24"/>
          <w:szCs w:val="24"/>
          <w:highlight w:val="none"/>
          <w:lang w:val="en-US" w:eastAsia="zh-CN"/>
        </w:rPr>
        <w:t>，同时有利于施工现场安全。卸料时，应尽量降低高度，采取洒水抑尘措施。</w:t>
      </w:r>
    </w:p>
    <w:p w14:paraId="6C6D04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rPr>
        <w:t>③</w:t>
      </w:r>
      <w:r>
        <w:rPr>
          <w:rFonts w:hint="default" w:ascii="Times New Roman" w:hAnsi="Times New Roman" w:eastAsia="宋体" w:cs="Times New Roman"/>
          <w:color w:val="000000"/>
          <w:kern w:val="2"/>
          <w:sz w:val="24"/>
          <w:szCs w:val="24"/>
          <w:highlight w:val="none"/>
          <w:lang w:val="en-US" w:eastAsia="zh-CN" w:bidi="ar-SA"/>
        </w:rPr>
        <w:t>禁止露天堆放建筑材料，细颗粒散料要在施工场地做临时材料库进行封闭保存，搬运时轻拿轻放，防止包装袋破裂。</w:t>
      </w:r>
      <w:r>
        <w:rPr>
          <w:rFonts w:hint="default" w:ascii="Times New Roman" w:hAnsi="Times New Roman" w:eastAsia="宋体" w:cs="Times New Roman"/>
          <w:color w:val="000000"/>
          <w:kern w:val="2"/>
          <w:sz w:val="24"/>
          <w:szCs w:val="24"/>
          <w:highlight w:val="none"/>
          <w:lang w:val="en-US" w:eastAsia="zh-CN"/>
        </w:rPr>
        <w:t>风速过大时停止施工作业，并对堆放的砂石等建筑材料进行</w:t>
      </w:r>
      <w:r>
        <w:rPr>
          <w:rFonts w:hint="eastAsia" w:ascii="Times New Roman" w:hAnsi="Times New Roman" w:eastAsia="宋体" w:cs="Times New Roman"/>
          <w:color w:val="000000"/>
          <w:kern w:val="2"/>
          <w:sz w:val="24"/>
          <w:szCs w:val="24"/>
          <w:highlight w:val="none"/>
          <w:lang w:val="en-US" w:eastAsia="zh-CN"/>
        </w:rPr>
        <w:t>篷布遮盖</w:t>
      </w:r>
      <w:r>
        <w:rPr>
          <w:rFonts w:hint="default" w:ascii="Times New Roman" w:hAnsi="Times New Roman" w:eastAsia="宋体" w:cs="Times New Roman"/>
          <w:color w:val="000000"/>
          <w:kern w:val="2"/>
          <w:sz w:val="24"/>
          <w:szCs w:val="24"/>
          <w:highlight w:val="none"/>
          <w:lang w:val="en-US" w:eastAsia="zh-CN"/>
        </w:rPr>
        <w:t>处理。</w:t>
      </w:r>
    </w:p>
    <w:p w14:paraId="442EA2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rPr>
        <w:t>④</w:t>
      </w:r>
      <w:r>
        <w:rPr>
          <w:rFonts w:hint="default" w:ascii="Times New Roman" w:hAnsi="Times New Roman" w:eastAsia="宋体" w:cs="Times New Roman"/>
          <w:color w:val="000000"/>
          <w:kern w:val="2"/>
          <w:sz w:val="24"/>
          <w:szCs w:val="24"/>
          <w:highlight w:val="none"/>
          <w:lang w:val="en-US" w:eastAsia="zh-CN" w:bidi="ar-SA"/>
        </w:rPr>
        <w:t>施工现场道路经常清扫，干旱季节要洒水。限制进出施工现场运输车辆的行驶速度，而且对运输水泥、土方和施工垃圾等易产生扬尘的车辆要严密遮盖，避免沿途</w:t>
      </w:r>
      <w:r>
        <w:rPr>
          <w:rFonts w:hint="eastAsia" w:ascii="Times New Roman" w:hAnsi="Times New Roman" w:cs="Times New Roman"/>
          <w:color w:val="000000"/>
          <w:kern w:val="2"/>
          <w:sz w:val="24"/>
          <w:szCs w:val="24"/>
          <w:highlight w:val="none"/>
          <w:lang w:val="en-US" w:eastAsia="zh-CN" w:bidi="ar-SA"/>
        </w:rPr>
        <w:t>洒落</w:t>
      </w:r>
      <w:r>
        <w:rPr>
          <w:rFonts w:hint="default" w:ascii="Times New Roman" w:hAnsi="Times New Roman" w:eastAsia="宋体" w:cs="Times New Roman"/>
          <w:color w:val="000000"/>
          <w:kern w:val="2"/>
          <w:sz w:val="24"/>
          <w:szCs w:val="24"/>
          <w:highlight w:val="none"/>
          <w:lang w:val="en-US" w:eastAsia="zh-CN" w:bidi="ar-SA"/>
        </w:rPr>
        <w:t>。在运送建筑垃圾出施工现场应对车辆进行必要的清洁处理，以免对周围环境造成二次污染。</w:t>
      </w:r>
    </w:p>
    <w:p w14:paraId="6D6558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rPr>
        <w:t>⑤</w:t>
      </w:r>
      <w:r>
        <w:rPr>
          <w:rFonts w:hint="default" w:ascii="Times New Roman" w:hAnsi="Times New Roman" w:eastAsia="宋体" w:cs="Times New Roman"/>
          <w:color w:val="000000"/>
          <w:kern w:val="2"/>
          <w:sz w:val="24"/>
          <w:szCs w:val="24"/>
          <w:highlight w:val="none"/>
          <w:lang w:val="en-US" w:eastAsia="zh-CN" w:bidi="ar-SA"/>
        </w:rPr>
        <w:t>合理选择堆场，不宜设置在厂区的上风向；保护施工区的工作环境，做到文明施工。</w:t>
      </w:r>
    </w:p>
    <w:p w14:paraId="306E4A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rPr>
        <w:t>⑥</w:t>
      </w:r>
      <w:r>
        <w:rPr>
          <w:rFonts w:hint="default" w:ascii="Times New Roman" w:hAnsi="Times New Roman" w:eastAsia="宋体" w:cs="Times New Roman"/>
          <w:color w:val="000000"/>
          <w:kern w:val="2"/>
          <w:sz w:val="24"/>
          <w:szCs w:val="24"/>
          <w:highlight w:val="none"/>
          <w:lang w:val="en-US" w:eastAsia="zh-CN"/>
        </w:rPr>
        <w:t>施工现场扬尘防治</w:t>
      </w:r>
      <w:r>
        <w:rPr>
          <w:rFonts w:hint="eastAsia" w:ascii="Times New Roman" w:hAnsi="Times New Roman" w:eastAsia="宋体" w:cs="宋体"/>
          <w:color w:val="000000"/>
          <w:kern w:val="0"/>
          <w:sz w:val="24"/>
          <w:szCs w:val="24"/>
          <w:highlight w:val="none"/>
          <w:lang w:val="en-US" w:eastAsia="zh-CN" w:bidi="ar"/>
        </w:rPr>
        <w:t>做到工地周边围挡、物料堆放覆盖、土方开挖湿法作业、路面硬化、出入车辆清洗、渣土车辆密闭运输</w:t>
      </w:r>
      <w:r>
        <w:rPr>
          <w:rFonts w:hint="eastAsia" w:ascii="Times New Roman" w:hAnsi="Times New Roman" w:cs="宋体"/>
          <w:color w:val="000000"/>
          <w:kern w:val="0"/>
          <w:sz w:val="24"/>
          <w:szCs w:val="24"/>
          <w:highlight w:val="none"/>
          <w:lang w:val="en-US" w:eastAsia="zh-CN" w:bidi="ar"/>
        </w:rPr>
        <w:t>“</w:t>
      </w:r>
      <w:r>
        <w:rPr>
          <w:rFonts w:hint="eastAsia" w:ascii="Times New Roman" w:hAnsi="Times New Roman" w:eastAsia="宋体" w:cs="宋体"/>
          <w:color w:val="000000"/>
          <w:kern w:val="0"/>
          <w:sz w:val="24"/>
          <w:szCs w:val="24"/>
          <w:highlight w:val="none"/>
          <w:lang w:val="en-US" w:eastAsia="zh-CN" w:bidi="ar"/>
        </w:rPr>
        <w:t>六个百分百</w:t>
      </w:r>
      <w:r>
        <w:rPr>
          <w:rFonts w:hint="eastAsia" w:ascii="Times New Roman" w:hAnsi="Times New Roman" w:cs="宋体"/>
          <w:color w:val="000000"/>
          <w:kern w:val="0"/>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rPr>
        <w:t>。</w:t>
      </w:r>
    </w:p>
    <w:p w14:paraId="07C1A4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rPr>
        <w:t>在严格落实以上措施后，施工期产生的扬尘污染将得到有效控制，对施工</w:t>
      </w:r>
      <w:r>
        <w:rPr>
          <w:rFonts w:hint="default" w:ascii="Times New Roman" w:hAnsi="Times New Roman" w:eastAsia="宋体" w:cs="Times New Roman"/>
          <w:color w:val="000000"/>
          <w:spacing w:val="-6"/>
          <w:kern w:val="2"/>
          <w:sz w:val="24"/>
          <w:szCs w:val="24"/>
          <w:highlight w:val="none"/>
          <w:lang w:val="en-US" w:eastAsia="zh-CN"/>
        </w:rPr>
        <w:t>人员以及周边居民的影响基本在人们可接受范围之内，对区域大气环境影响不大。</w:t>
      </w:r>
    </w:p>
    <w:p w14:paraId="419D5D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rPr>
        <w:t>（2）</w:t>
      </w:r>
      <w:r>
        <w:rPr>
          <w:rFonts w:hint="default" w:ascii="Times New Roman" w:hAnsi="Times New Roman" w:eastAsia="宋体" w:cs="Times New Roman"/>
          <w:color w:val="000000"/>
          <w:kern w:val="2"/>
          <w:sz w:val="24"/>
          <w:szCs w:val="24"/>
          <w:highlight w:val="none"/>
          <w:lang w:val="en-US" w:eastAsia="zh-CN"/>
        </w:rPr>
        <w:t>施工机械、车辆尾气</w:t>
      </w:r>
      <w:r>
        <w:rPr>
          <w:rFonts w:hint="eastAsia" w:ascii="Times New Roman" w:hAnsi="Times New Roman" w:eastAsia="宋体" w:cs="Times New Roman"/>
          <w:color w:val="000000"/>
          <w:kern w:val="2"/>
          <w:sz w:val="24"/>
          <w:szCs w:val="24"/>
          <w:highlight w:val="none"/>
          <w:lang w:val="en-US" w:eastAsia="zh-CN"/>
        </w:rPr>
        <w:t>防治措施</w:t>
      </w:r>
    </w:p>
    <w:p w14:paraId="54D2AC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rPr>
        <w:t>施工机械、车辆以柴油为燃料，会产生一定量的废气，主要污染物为CO、NOx</w:t>
      </w:r>
      <w:r>
        <w:rPr>
          <w:rFonts w:hint="eastAsia" w:ascii="Times New Roman" w:hAnsi="Times New Roman" w:eastAsia="宋体" w:cs="Times New Roman"/>
          <w:color w:val="000000"/>
          <w:kern w:val="2"/>
          <w:sz w:val="24"/>
          <w:szCs w:val="24"/>
          <w:highlight w:val="none"/>
          <w:lang w:val="en-US" w:eastAsia="zh-CN"/>
        </w:rPr>
        <w:t>、THC</w:t>
      </w:r>
      <w:r>
        <w:rPr>
          <w:rFonts w:hint="default" w:ascii="Times New Roman" w:hAnsi="Times New Roman" w:eastAsia="宋体" w:cs="Times New Roman"/>
          <w:color w:val="000000"/>
          <w:kern w:val="2"/>
          <w:sz w:val="24"/>
          <w:szCs w:val="24"/>
          <w:highlight w:val="none"/>
          <w:lang w:val="en-US" w:eastAsia="zh-CN"/>
        </w:rPr>
        <w:t>等，建设单位拟采取以下措施，减小尾气对大气环境的影响：使用符合国家标准的工程车辆及施工机械，淘汰老、旧车辆及施工机械，使用符合燃油标号的油料；更新控制</w:t>
      </w:r>
      <w:r>
        <w:rPr>
          <w:rFonts w:hint="eastAsia" w:ascii="Times New Roman" w:hAnsi="Times New Roman" w:cs="Times New Roman"/>
          <w:color w:val="000000"/>
          <w:kern w:val="2"/>
          <w:sz w:val="24"/>
          <w:szCs w:val="24"/>
          <w:highlight w:val="none"/>
          <w:lang w:val="en-US" w:eastAsia="zh-CN"/>
        </w:rPr>
        <w:t>排放</w:t>
      </w:r>
      <w:r>
        <w:rPr>
          <w:rFonts w:hint="default" w:ascii="Times New Roman" w:hAnsi="Times New Roman" w:eastAsia="宋体" w:cs="Times New Roman"/>
          <w:color w:val="000000"/>
          <w:kern w:val="2"/>
          <w:sz w:val="24"/>
          <w:szCs w:val="24"/>
          <w:highlight w:val="none"/>
          <w:lang w:val="en-US" w:eastAsia="zh-CN"/>
        </w:rPr>
        <w:t>装置，使用新型节油净化器和燃油增效剂，达到净化空气作用的同时又节省了燃油；为了保证尾气达标排放，所有燃油机械及运输车辆需安装尾气净化器；定期对施工机械进行维修、保养，始终保持发动机处于良好的状况，降低尾气中有害成分的浓度。</w:t>
      </w:r>
    </w:p>
    <w:p w14:paraId="31F39581">
      <w:pPr>
        <w:keepNext w:val="0"/>
        <w:keepLines w:val="0"/>
        <w:widowControl w:val="0"/>
        <w:bidi w:val="0"/>
        <w:spacing w:before="0" w:after="0" w:line="360" w:lineRule="auto"/>
        <w:jc w:val="both"/>
        <w:outlineLvl w:val="2"/>
        <w:rPr>
          <w:rFonts w:hint="default" w:ascii="Times New Roman" w:hAnsi="Times New Roman" w:eastAsia="宋体" w:cs="Times New Roman"/>
          <w:b/>
          <w:bCs/>
          <w:kern w:val="2"/>
          <w:sz w:val="28"/>
          <w:szCs w:val="28"/>
          <w:lang w:val="en-US" w:eastAsia="zh-CN" w:bidi="ar-SA"/>
        </w:rPr>
      </w:pPr>
      <w:r>
        <w:rPr>
          <w:rFonts w:hint="eastAsia" w:ascii="Times New Roman" w:hAnsi="Times New Roman" w:cs="Times New Roman"/>
          <w:b/>
          <w:bCs/>
          <w:kern w:val="2"/>
          <w:sz w:val="28"/>
          <w:szCs w:val="28"/>
          <w:lang w:val="en-US" w:eastAsia="zh-CN" w:bidi="ar-SA"/>
        </w:rPr>
        <w:t>8</w:t>
      </w:r>
      <w:r>
        <w:rPr>
          <w:rFonts w:hint="default" w:ascii="Times New Roman" w:hAnsi="Times New Roman" w:eastAsia="宋体" w:cs="Times New Roman"/>
          <w:b/>
          <w:bCs/>
          <w:kern w:val="2"/>
          <w:sz w:val="28"/>
          <w:szCs w:val="28"/>
          <w:lang w:val="en-US" w:eastAsia="zh-CN" w:bidi="ar-SA"/>
        </w:rPr>
        <w:t>.1.2施工期水污染防治对策</w:t>
      </w:r>
    </w:p>
    <w:p w14:paraId="05BE0A01">
      <w:pPr>
        <w:widowControl w:val="0"/>
        <w:spacing w:after="0"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（1）对施工的主要污水排放要进行控制和处理；建设单位和施工单位要重视施工污水排放的管理，杜绝不处理和无组织排放；</w:t>
      </w:r>
    </w:p>
    <w:p w14:paraId="77FB023E">
      <w:pPr>
        <w:widowControl w:val="0"/>
        <w:spacing w:after="0"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（2）施工人员生活污水排入</w:t>
      </w:r>
      <w:r>
        <w:rPr>
          <w:rFonts w:hint="eastAsia" w:ascii="Times New Roman" w:hAnsi="Times New Roman" w:cs="Times New Roman"/>
          <w:color w:val="000000"/>
          <w:kern w:val="2"/>
          <w:sz w:val="24"/>
          <w:szCs w:val="24"/>
          <w:highlight w:val="none"/>
          <w:lang w:val="en-US" w:eastAsia="zh-CN"/>
        </w:rPr>
        <w:t>依托现有工程污水处理站处理后</w:t>
      </w:r>
      <w:r>
        <w:rPr>
          <w:rFonts w:hint="default" w:ascii="Times New Roman" w:hAnsi="Times New Roman" w:eastAsia="宋体" w:cs="Times New Roman"/>
          <w:color w:val="000000"/>
          <w:kern w:val="2"/>
          <w:sz w:val="24"/>
          <w:szCs w:val="24"/>
          <w:highlight w:val="none"/>
        </w:rPr>
        <w:t>排入</w:t>
      </w:r>
      <w:r>
        <w:rPr>
          <w:rFonts w:hint="eastAsia" w:ascii="Times New Roman" w:hAnsi="Times New Roman" w:cs="Times New Roman"/>
          <w:color w:val="000000"/>
          <w:kern w:val="2"/>
          <w:sz w:val="24"/>
          <w:szCs w:val="24"/>
          <w:highlight w:val="none"/>
          <w:lang w:val="en-US" w:eastAsia="zh-CN"/>
        </w:rPr>
        <w:t>园区管网</w:t>
      </w:r>
      <w:r>
        <w:rPr>
          <w:rFonts w:hint="eastAsia" w:ascii="Times New Roman" w:hAnsi="Times New Roman" w:eastAsia="宋体" w:cs="Times New Roman"/>
          <w:color w:val="000000"/>
          <w:kern w:val="2"/>
          <w:sz w:val="24"/>
          <w:szCs w:val="24"/>
          <w:highlight w:val="none"/>
          <w:lang w:val="en-US" w:eastAsia="zh-CN"/>
        </w:rPr>
        <w:t>，</w:t>
      </w:r>
      <w:r>
        <w:rPr>
          <w:rFonts w:hint="eastAsia" w:ascii="Times New Roman" w:hAnsi="Times New Roman" w:cs="Times New Roman"/>
          <w:color w:val="000000"/>
          <w:kern w:val="2"/>
          <w:sz w:val="24"/>
          <w:szCs w:val="24"/>
          <w:highlight w:val="none"/>
          <w:lang w:val="en-US" w:eastAsia="zh-CN"/>
        </w:rPr>
        <w:t>最终由乌苏市西区</w:t>
      </w:r>
      <w:r>
        <w:rPr>
          <w:rFonts w:hint="eastAsia" w:ascii="Times New Roman" w:hAnsi="Times New Roman" w:eastAsia="宋体" w:cs="Times New Roman"/>
          <w:color w:val="000000"/>
          <w:kern w:val="2"/>
          <w:sz w:val="24"/>
          <w:szCs w:val="24"/>
          <w:highlight w:val="none"/>
          <w:lang w:val="en-US" w:eastAsia="zh-CN"/>
        </w:rPr>
        <w:t>污水处理厂处理</w:t>
      </w:r>
      <w:r>
        <w:rPr>
          <w:rFonts w:hint="default" w:ascii="Times New Roman" w:hAnsi="Times New Roman" w:eastAsia="宋体" w:cs="Times New Roman"/>
          <w:color w:val="auto"/>
          <w:kern w:val="2"/>
          <w:sz w:val="24"/>
          <w:szCs w:val="24"/>
          <w:highlight w:val="none"/>
          <w:lang w:val="en-US" w:eastAsia="zh-CN" w:bidi="ar-SA"/>
        </w:rPr>
        <w:t>；生产废水中含泥沙污水排入沉淀池，经沉淀后回用与施工现场降尘。</w:t>
      </w:r>
    </w:p>
    <w:p w14:paraId="7BA226CC">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（3）</w:t>
      </w:r>
      <w:r>
        <w:rPr>
          <w:rFonts w:hint="eastAsia" w:ascii="Times New Roman" w:hAnsi="Times New Roman" w:eastAsia="宋体" w:cs="Times New Roman"/>
          <w:color w:val="000000"/>
          <w:kern w:val="2"/>
          <w:sz w:val="24"/>
          <w:szCs w:val="24"/>
          <w:highlight w:val="none"/>
          <w:lang w:val="en-US" w:eastAsia="zh-CN" w:bidi="ar-SA"/>
        </w:rPr>
        <w:t>严禁各类废水未经处理直接外排，对各污水处理设施采取防渗等措施，避免对地下水造成影响。</w:t>
      </w:r>
    </w:p>
    <w:p w14:paraId="5E1C4A16">
      <w:pPr>
        <w:keepNext w:val="0"/>
        <w:keepLines w:val="0"/>
        <w:widowControl w:val="0"/>
        <w:bidi w:val="0"/>
        <w:spacing w:before="0" w:after="0" w:line="360" w:lineRule="auto"/>
        <w:jc w:val="both"/>
        <w:outlineLvl w:val="2"/>
        <w:rPr>
          <w:rFonts w:hint="default" w:ascii="Times New Roman" w:hAnsi="Times New Roman" w:eastAsia="宋体" w:cs="Times New Roman"/>
          <w:b/>
          <w:bCs/>
          <w:kern w:val="2"/>
          <w:sz w:val="28"/>
          <w:szCs w:val="28"/>
          <w:lang w:val="en-US" w:eastAsia="zh-CN" w:bidi="ar-SA"/>
        </w:rPr>
      </w:pPr>
      <w:r>
        <w:rPr>
          <w:rFonts w:hint="eastAsia" w:ascii="Times New Roman" w:hAnsi="Times New Roman" w:cs="Times New Roman"/>
          <w:b/>
          <w:bCs/>
          <w:kern w:val="2"/>
          <w:sz w:val="28"/>
          <w:szCs w:val="28"/>
          <w:lang w:val="en-US" w:eastAsia="zh-CN" w:bidi="ar-SA"/>
        </w:rPr>
        <w:t>8</w:t>
      </w:r>
      <w:r>
        <w:rPr>
          <w:rFonts w:hint="default" w:ascii="Times New Roman" w:hAnsi="Times New Roman" w:eastAsia="宋体" w:cs="Times New Roman"/>
          <w:b/>
          <w:bCs/>
          <w:kern w:val="2"/>
          <w:sz w:val="28"/>
          <w:szCs w:val="28"/>
          <w:lang w:val="en-US" w:eastAsia="zh-CN" w:bidi="ar-SA"/>
        </w:rPr>
        <w:t>.1.3施工期噪声污染防治对策</w:t>
      </w:r>
    </w:p>
    <w:p w14:paraId="53FC5864">
      <w:pPr>
        <w:widowControl w:val="0"/>
        <w:spacing w:after="0"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本项目施工中噪声污染防治应从施工机械、运输工具、施工方法及对施工人员采取保护为原则，噪声控制要严格按《建筑施工噪声排放标准》</w:t>
      </w:r>
      <w:r>
        <w:rPr>
          <w:rFonts w:hint="eastAsia" w:ascii="Times New Roman" w:hAnsi="Times New Roman"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GB12523-20</w:t>
      </w:r>
      <w:r>
        <w:rPr>
          <w:rFonts w:hint="eastAsia" w:ascii="Times New Roman" w:hAnsi="Times New Roman" w:cs="Times New Roman"/>
          <w:color w:val="000000"/>
          <w:kern w:val="2"/>
          <w:sz w:val="24"/>
          <w:szCs w:val="24"/>
          <w:highlight w:val="none"/>
          <w:lang w:val="en-US" w:eastAsia="zh-CN" w:bidi="ar-SA"/>
        </w:rPr>
        <w:t>25）</w:t>
      </w:r>
      <w:r>
        <w:rPr>
          <w:rFonts w:hint="default" w:ascii="Times New Roman" w:hAnsi="Times New Roman" w:eastAsia="宋体" w:cs="Times New Roman"/>
          <w:color w:val="000000"/>
          <w:kern w:val="2"/>
          <w:sz w:val="24"/>
          <w:szCs w:val="24"/>
          <w:highlight w:val="none"/>
          <w:lang w:val="en-US" w:eastAsia="zh-CN" w:bidi="ar-SA"/>
        </w:rPr>
        <w:t>执行，尽量减少施工噪声对施工人员及周围环境的影响。</w:t>
      </w:r>
    </w:p>
    <w:p w14:paraId="09E30557">
      <w:pPr>
        <w:widowControl w:val="0"/>
        <w:numPr>
          <w:ilvl w:val="0"/>
          <w:numId w:val="3"/>
        </w:numPr>
        <w:spacing w:after="0"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合理安排施工机械的使用，减少或限制高噪声设备的使用时间，加强各种施工机械的维修保养，噪声较大的作业安排在白天进行。</w:t>
      </w:r>
    </w:p>
    <w:p w14:paraId="26116D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rPr>
        <w:t>（2）针对具体机械设备采取多种措施降噪</w:t>
      </w:r>
      <w:r>
        <w:rPr>
          <w:rFonts w:hint="eastAsia" w:ascii="Times New Roman" w:hAnsi="Times New Roman" w:eastAsia="宋体" w:cs="Times New Roman"/>
          <w:color w:val="000000"/>
          <w:kern w:val="2"/>
          <w:sz w:val="24"/>
          <w:szCs w:val="24"/>
          <w:highlight w:val="none"/>
          <w:lang w:val="en-US" w:eastAsia="zh-CN"/>
        </w:rPr>
        <w:t>：</w:t>
      </w:r>
    </w:p>
    <w:p w14:paraId="549BB3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rPr>
        <w:t>①固定机械设备与挖土、运土机械，如挖土机、推土机等，对于位置固定的这些机械设备，如不能在操作间工作的，可适当建立临时单面声屏障</w:t>
      </w:r>
      <w:r>
        <w:rPr>
          <w:rFonts w:hint="eastAsia" w:ascii="Times New Roman" w:hAnsi="Times New Roman" w:eastAsia="宋体" w:cs="Times New Roman"/>
          <w:color w:val="000000"/>
          <w:kern w:val="2"/>
          <w:sz w:val="24"/>
          <w:szCs w:val="24"/>
          <w:highlight w:val="none"/>
          <w:lang w:val="en-US" w:eastAsia="zh-CN"/>
        </w:rPr>
        <w:t>；</w:t>
      </w:r>
    </w:p>
    <w:p w14:paraId="0772A1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rPr>
        <w:t>②通过</w:t>
      </w:r>
      <w:r>
        <w:rPr>
          <w:rFonts w:hint="eastAsia" w:ascii="Times New Roman" w:hAnsi="Times New Roman" w:cs="Times New Roman"/>
          <w:color w:val="000000"/>
          <w:kern w:val="2"/>
          <w:sz w:val="24"/>
          <w:szCs w:val="24"/>
          <w:highlight w:val="none"/>
          <w:lang w:val="en-US" w:eastAsia="zh-CN"/>
        </w:rPr>
        <w:t>消声器</w:t>
      </w:r>
      <w:r>
        <w:rPr>
          <w:rFonts w:hint="default" w:ascii="Times New Roman" w:hAnsi="Times New Roman" w:eastAsia="宋体" w:cs="Times New Roman"/>
          <w:color w:val="000000"/>
          <w:kern w:val="2"/>
          <w:sz w:val="24"/>
          <w:szCs w:val="24"/>
          <w:highlight w:val="none"/>
          <w:lang w:val="en-US" w:eastAsia="zh-CN"/>
        </w:rPr>
        <w:t>和</w:t>
      </w:r>
      <w:r>
        <w:rPr>
          <w:rFonts w:hint="eastAsia" w:ascii="Times New Roman" w:hAnsi="Times New Roman" w:cs="Times New Roman"/>
          <w:color w:val="000000"/>
          <w:kern w:val="2"/>
          <w:sz w:val="24"/>
          <w:szCs w:val="24"/>
          <w:highlight w:val="none"/>
          <w:lang w:val="en-US" w:eastAsia="zh-CN"/>
        </w:rPr>
        <w:t>基础减振</w:t>
      </w:r>
      <w:r>
        <w:rPr>
          <w:rFonts w:hint="default" w:ascii="Times New Roman" w:hAnsi="Times New Roman" w:eastAsia="宋体" w:cs="Times New Roman"/>
          <w:color w:val="000000"/>
          <w:kern w:val="2"/>
          <w:sz w:val="24"/>
          <w:szCs w:val="24"/>
          <w:highlight w:val="none"/>
          <w:lang w:val="en-US" w:eastAsia="zh-CN"/>
        </w:rPr>
        <w:t>的方法降低噪声；空压机、发电机等高噪声设备，采用固定式或活动式隔声罩或隔声屏障进行局部遮挡</w:t>
      </w:r>
      <w:r>
        <w:rPr>
          <w:rFonts w:hint="eastAsia" w:ascii="Times New Roman" w:hAnsi="Times New Roman" w:eastAsia="宋体" w:cs="Times New Roman"/>
          <w:color w:val="000000"/>
          <w:kern w:val="2"/>
          <w:sz w:val="24"/>
          <w:szCs w:val="24"/>
          <w:highlight w:val="none"/>
          <w:lang w:val="en-US" w:eastAsia="zh-CN"/>
        </w:rPr>
        <w:t>；</w:t>
      </w:r>
    </w:p>
    <w:p w14:paraId="1B591C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rPr>
        <w:t>③加强对设备的维护、养护，闲置设备应立即关闭</w:t>
      </w:r>
      <w:r>
        <w:rPr>
          <w:rFonts w:hint="eastAsia" w:ascii="Times New Roman" w:hAnsi="Times New Roman" w:eastAsia="宋体" w:cs="Times New Roman"/>
          <w:color w:val="000000"/>
          <w:kern w:val="2"/>
          <w:sz w:val="24"/>
          <w:szCs w:val="24"/>
          <w:highlight w:val="none"/>
          <w:lang w:val="en-US" w:eastAsia="zh-CN"/>
        </w:rPr>
        <w:t>；</w:t>
      </w:r>
    </w:p>
    <w:p w14:paraId="1A041F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rPr>
        <w:t>④加强施工管理，降低人为噪声影响加强施工期间的车辆、人员调度和管理，按操作规范操作机械设备避免操作过程中减少碰撞噪声，并对工人进行环保方面的教育。尽量少用哨子</w:t>
      </w:r>
      <w:r>
        <w:rPr>
          <w:rFonts w:hint="eastAsia" w:ascii="Times New Roman" w:hAnsi="Times New Roman" w:cs="Times New Roman"/>
          <w:color w:val="000000"/>
          <w:kern w:val="2"/>
          <w:sz w:val="24"/>
          <w:szCs w:val="24"/>
          <w:highlight w:val="none"/>
          <w:lang w:val="en-US" w:eastAsia="zh-CN"/>
        </w:rPr>
        <w:t>、电</w:t>
      </w:r>
      <w:r>
        <w:rPr>
          <w:rFonts w:hint="default" w:ascii="Times New Roman" w:hAnsi="Times New Roman" w:eastAsia="宋体" w:cs="Times New Roman"/>
          <w:color w:val="000000"/>
          <w:kern w:val="2"/>
          <w:sz w:val="24"/>
          <w:szCs w:val="24"/>
          <w:highlight w:val="none"/>
          <w:lang w:val="en-US" w:eastAsia="zh-CN"/>
        </w:rPr>
        <w:t>钟等指挥作业。在</w:t>
      </w:r>
      <w:r>
        <w:rPr>
          <w:rFonts w:hint="eastAsia" w:ascii="Times New Roman" w:hAnsi="Times New Roman" w:cs="Times New Roman"/>
          <w:color w:val="000000"/>
          <w:kern w:val="2"/>
          <w:sz w:val="24"/>
          <w:szCs w:val="24"/>
          <w:highlight w:val="none"/>
          <w:lang w:val="en-US" w:eastAsia="zh-CN"/>
        </w:rPr>
        <w:t>装卸过程</w:t>
      </w:r>
      <w:r>
        <w:rPr>
          <w:rFonts w:hint="default" w:ascii="Times New Roman" w:hAnsi="Times New Roman" w:eastAsia="宋体" w:cs="Times New Roman"/>
          <w:color w:val="000000"/>
          <w:kern w:val="2"/>
          <w:sz w:val="24"/>
          <w:szCs w:val="24"/>
          <w:highlight w:val="none"/>
          <w:lang w:val="en-US" w:eastAsia="zh-CN"/>
        </w:rPr>
        <w:t>中，禁止野蛮作业，减少作业噪声</w:t>
      </w:r>
      <w:r>
        <w:rPr>
          <w:rFonts w:hint="eastAsia" w:ascii="Times New Roman" w:hAnsi="Times New Roman" w:eastAsia="宋体" w:cs="Times New Roman"/>
          <w:color w:val="000000"/>
          <w:kern w:val="2"/>
          <w:sz w:val="24"/>
          <w:szCs w:val="24"/>
          <w:highlight w:val="none"/>
          <w:lang w:val="en-US" w:eastAsia="zh-CN"/>
        </w:rPr>
        <w:t>；</w:t>
      </w:r>
    </w:p>
    <w:p w14:paraId="15F60E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（3）合理安排运输车辆的路线和行驶速度。运输车辆的进出应确定固定运输路线</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rPr>
        <w:t>尽量减少夜间运输，经过村庄路段时尽量减少或杜绝鸣笛；适当限制大型载重车的车速，尤其进入噪声敏感区时应限速</w:t>
      </w:r>
      <w:r>
        <w:rPr>
          <w:rFonts w:hint="eastAsia" w:ascii="Times New Roman" w:hAnsi="Times New Roman" w:eastAsia="宋体" w:cs="Times New Roman"/>
          <w:color w:val="000000"/>
          <w:kern w:val="2"/>
          <w:sz w:val="24"/>
          <w:szCs w:val="24"/>
          <w:highlight w:val="none"/>
          <w:lang w:val="en-US" w:eastAsia="zh-CN"/>
        </w:rPr>
        <w:t>。</w:t>
      </w:r>
    </w:p>
    <w:p w14:paraId="134BFD4A">
      <w:pPr>
        <w:keepNext w:val="0"/>
        <w:keepLines w:val="0"/>
        <w:widowControl w:val="0"/>
        <w:bidi w:val="0"/>
        <w:spacing w:before="0" w:after="0" w:line="360" w:lineRule="auto"/>
        <w:jc w:val="both"/>
        <w:outlineLvl w:val="2"/>
        <w:rPr>
          <w:rFonts w:hint="default" w:ascii="Times New Roman" w:hAnsi="Times New Roman" w:eastAsia="宋体" w:cs="Times New Roman"/>
          <w:b/>
          <w:bCs/>
          <w:kern w:val="2"/>
          <w:sz w:val="28"/>
          <w:szCs w:val="28"/>
          <w:lang w:val="en-US" w:eastAsia="zh-CN" w:bidi="ar-SA"/>
        </w:rPr>
      </w:pPr>
      <w:r>
        <w:rPr>
          <w:rFonts w:hint="eastAsia" w:ascii="Times New Roman" w:hAnsi="Times New Roman" w:cs="Times New Roman"/>
          <w:b/>
          <w:bCs/>
          <w:kern w:val="2"/>
          <w:sz w:val="28"/>
          <w:szCs w:val="28"/>
          <w:lang w:val="en-US" w:eastAsia="zh-CN" w:bidi="ar-SA"/>
        </w:rPr>
        <w:t>8</w:t>
      </w:r>
      <w:r>
        <w:rPr>
          <w:rFonts w:hint="default" w:ascii="Times New Roman" w:hAnsi="Times New Roman" w:eastAsia="宋体" w:cs="Times New Roman"/>
          <w:b/>
          <w:bCs/>
          <w:kern w:val="2"/>
          <w:sz w:val="28"/>
          <w:szCs w:val="28"/>
          <w:lang w:val="en-US" w:eastAsia="zh-CN" w:bidi="ar-SA"/>
        </w:rPr>
        <w:t>.1.4施工期固体废物处置措施</w:t>
      </w:r>
    </w:p>
    <w:p w14:paraId="483FBA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施工期固体废弃物主要</w:t>
      </w:r>
      <w:r>
        <w:rPr>
          <w:rFonts w:hint="eastAsia"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建筑垃圾</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、施工人员产生的生活垃圾等。施工过程中的</w:t>
      </w:r>
      <w:r>
        <w:rPr>
          <w:rFonts w:hint="eastAsia"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挖方</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若遇大风天气易产生风蚀扬尘污染周围大气环境；在雨季易随降水产生地面径流，造成水土流失；施工人员的生活垃圾若不及时清运处理，则会腐烂变质、滋生苍蝇蚊虫、产生恶臭、传染疾病，从而给周围环境和作业人员健康带来不利影响。</w:t>
      </w:r>
      <w:r>
        <w:rPr>
          <w:rFonts w:hint="eastAsia"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本项目厂区地块平坦，施工过程中能做到挖填平衡，无弃土产生。</w:t>
      </w:r>
    </w:p>
    <w:p w14:paraId="707A97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为了减少固体废物对环境产生不良影响，评价要求项目在施工期应严格采取如下污染控制措施：</w:t>
      </w:r>
    </w:p>
    <w:p w14:paraId="0B5BDD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（1）施工期产生的</w:t>
      </w:r>
      <w:r>
        <w:rPr>
          <w:rFonts w:hint="eastAsia"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挖方</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用于道路铺垫，</w:t>
      </w:r>
      <w:r>
        <w:rPr>
          <w:rFonts w:hint="eastAsia"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施工作业带</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平整。</w:t>
      </w:r>
      <w:r>
        <w:rPr>
          <w:rFonts w:hint="eastAsia"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挖方未回填之前进行堆放时应</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加盖防尘网，做到及时清理以减缓对区域环境空气的影响。</w:t>
      </w:r>
    </w:p>
    <w:p w14:paraId="66D41C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（2）施工期生活垃圾集中收集，日产日清，严禁随处堆放</w:t>
      </w:r>
      <w:r>
        <w:rPr>
          <w:rFonts w:hint="eastAsia"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，委托园区环卫部门定期清运</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w:t>
      </w:r>
    </w:p>
    <w:p w14:paraId="305213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（3）加强施工管理，合理安排施工进度，建筑垃圾由建设单位</w:t>
      </w:r>
      <w:r>
        <w:rPr>
          <w:rFonts w:hint="eastAsia"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拉</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运至</w:t>
      </w:r>
      <w:r>
        <w:rPr>
          <w:rFonts w:hint="eastAsia"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园区指定的建筑垃圾堆放场所，</w:t>
      </w:r>
      <w:r>
        <w:rPr>
          <w:rFonts w:hint="eastAsia" w:ascii="Times New Roman" w:hAnsi="Times New Roman" w:eastAsia="宋体" w:cs="Times New Roman"/>
          <w:color w:val="000000"/>
          <w:kern w:val="2"/>
          <w:sz w:val="24"/>
          <w:szCs w:val="20"/>
          <w:highlight w:val="none"/>
          <w:lang w:val="en-US" w:eastAsia="zh-CN"/>
        </w:rPr>
        <w:t>部分废塑料、废弃钢筋和钢板等可回收固废，分类收集后外售回收单位处置</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w:t>
      </w:r>
    </w:p>
    <w:p w14:paraId="4C77A0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采取上述措施后，施工期固体废物均可得到妥善处置，因此不会对周围环境产生明显影响。</w:t>
      </w:r>
    </w:p>
    <w:p w14:paraId="20399E6E">
      <w:pPr>
        <w:pStyle w:val="33"/>
        <w:rPr>
          <w:rFonts w:hint="default"/>
          <w:lang w:val="en-US" w:eastAsia="zh-CN"/>
        </w:rPr>
      </w:pPr>
    </w:p>
    <w:p w14:paraId="59C25BC0">
      <w:pPr>
        <w:keepNext w:val="0"/>
        <w:keepLines w:val="0"/>
        <w:widowControl w:val="0"/>
        <w:bidi w:val="0"/>
        <w:spacing w:before="0" w:after="0" w:line="360" w:lineRule="auto"/>
        <w:jc w:val="both"/>
        <w:outlineLvl w:val="2"/>
        <w:rPr>
          <w:rFonts w:hint="default" w:ascii="Times New Roman" w:hAnsi="Times New Roman" w:eastAsia="宋体" w:cs="Times New Roman"/>
          <w:b/>
          <w:bCs/>
          <w:kern w:val="2"/>
          <w:sz w:val="28"/>
          <w:szCs w:val="28"/>
          <w:lang w:val="en-US" w:eastAsia="zh-CN" w:bidi="ar-SA"/>
        </w:rPr>
      </w:pPr>
      <w:r>
        <w:rPr>
          <w:rFonts w:hint="eastAsia" w:ascii="Times New Roman" w:hAnsi="Times New Roman" w:cs="Times New Roman"/>
          <w:b/>
          <w:bCs/>
          <w:kern w:val="2"/>
          <w:sz w:val="28"/>
          <w:szCs w:val="28"/>
          <w:lang w:val="en-US" w:eastAsia="zh-CN" w:bidi="ar-SA"/>
        </w:rPr>
        <w:t>8</w:t>
      </w:r>
      <w:r>
        <w:rPr>
          <w:rFonts w:hint="default" w:ascii="Times New Roman" w:hAnsi="Times New Roman" w:eastAsia="宋体" w:cs="Times New Roman"/>
          <w:b/>
          <w:bCs/>
          <w:kern w:val="2"/>
          <w:sz w:val="28"/>
          <w:szCs w:val="28"/>
          <w:lang w:val="en-US" w:eastAsia="zh-CN" w:bidi="ar-SA"/>
        </w:rPr>
        <w:t>.1.5施工期生态环境保护措施</w:t>
      </w:r>
    </w:p>
    <w:p w14:paraId="5EA496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rPr>
        <w:t>施工期对当地生态环境的破坏主要表现在土建施工时对土地扰动作用，造成植被的破坏、短期内使水土流失加剧，对局部生态环境有不利影响。</w:t>
      </w:r>
    </w:p>
    <w:p w14:paraId="7E52B1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rPr>
        <w:t>（1）</w:t>
      </w:r>
      <w:r>
        <w:rPr>
          <w:rFonts w:hint="default" w:ascii="Times New Roman" w:hAnsi="Times New Roman" w:eastAsia="宋体" w:cs="Times New Roman"/>
          <w:color w:val="000000"/>
          <w:kern w:val="2"/>
          <w:sz w:val="24"/>
          <w:szCs w:val="24"/>
          <w:highlight w:val="none"/>
          <w:lang w:val="en-US" w:eastAsia="zh-CN"/>
        </w:rPr>
        <w:t>植被的保护与恢复措施</w:t>
      </w:r>
    </w:p>
    <w:p w14:paraId="51659E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rPr>
        <w:t>施工期土方等严禁就地倾倒覆压植被，同时采取护坡、挡土墙等防护措施。严格划定施工范围和人员、车辆的行走路线，避免对施工范围之外的区域的植被造成碾压和破坏。</w:t>
      </w:r>
    </w:p>
    <w:p w14:paraId="795DD7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rPr>
        <w:t>对施工范围内的地表植被，施工前应先剥离移地养护保存，以便施工中或施工后恢复利用。在</w:t>
      </w:r>
      <w:r>
        <w:rPr>
          <w:rFonts w:hint="eastAsia" w:ascii="Times New Roman" w:hAnsi="Times New Roman" w:cs="Times New Roman"/>
          <w:color w:val="000000"/>
          <w:kern w:val="2"/>
          <w:sz w:val="24"/>
          <w:szCs w:val="24"/>
          <w:highlight w:val="none"/>
          <w:lang w:val="en-US" w:eastAsia="zh-CN"/>
        </w:rPr>
        <w:t>“</w:t>
      </w:r>
      <w:r>
        <w:rPr>
          <w:rFonts w:hint="default" w:ascii="Times New Roman" w:hAnsi="Times New Roman" w:eastAsia="宋体" w:cs="Times New Roman"/>
          <w:color w:val="000000"/>
          <w:kern w:val="2"/>
          <w:sz w:val="24"/>
          <w:szCs w:val="24"/>
          <w:highlight w:val="none"/>
          <w:lang w:val="en-US" w:eastAsia="zh-CN"/>
        </w:rPr>
        <w:t>适地适树、适地适草</w:t>
      </w:r>
      <w:r>
        <w:rPr>
          <w:rFonts w:hint="eastAsia" w:ascii="Times New Roman" w:hAnsi="Times New Roman" w:cs="Times New Roman"/>
          <w:color w:val="000000"/>
          <w:kern w:val="2"/>
          <w:sz w:val="24"/>
          <w:szCs w:val="24"/>
          <w:highlight w:val="none"/>
          <w:lang w:val="en-US" w:eastAsia="zh-CN"/>
        </w:rPr>
        <w:t>”</w:t>
      </w:r>
      <w:r>
        <w:rPr>
          <w:rFonts w:hint="default" w:ascii="Times New Roman" w:hAnsi="Times New Roman" w:eastAsia="宋体" w:cs="Times New Roman"/>
          <w:color w:val="000000"/>
          <w:kern w:val="2"/>
          <w:sz w:val="24"/>
          <w:szCs w:val="24"/>
          <w:highlight w:val="none"/>
          <w:lang w:val="en-US" w:eastAsia="zh-CN"/>
        </w:rPr>
        <w:t>的原则下，树种、草种应以选择当地优良的乡土树种草种为主，保证绿化栽植的成活率，并通过建立外来物种环境影响评价制度和加强外来物种引进的监管工作等来防止外来物种的入侵，保护本地物种。</w:t>
      </w:r>
    </w:p>
    <w:p w14:paraId="262304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rPr>
        <w:t>（2）动物的保护措施</w:t>
      </w:r>
    </w:p>
    <w:p w14:paraId="2329DB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rPr>
        <w:t>做好保护野生动物的宣传工作，提高施工人员的保护意识，严格遵守《中华人民共和国野生动物保护法》，严禁在施工</w:t>
      </w:r>
      <w:r>
        <w:rPr>
          <w:rFonts w:hint="eastAsia" w:ascii="Times New Roman" w:hAnsi="Times New Roman" w:cs="Times New Roman"/>
          <w:color w:val="000000"/>
          <w:kern w:val="2"/>
          <w:sz w:val="24"/>
          <w:szCs w:val="24"/>
          <w:highlight w:val="none"/>
          <w:lang w:val="en-US" w:eastAsia="zh-CN"/>
        </w:rPr>
        <w:t>期间</w:t>
      </w:r>
      <w:r>
        <w:rPr>
          <w:rFonts w:hint="default" w:ascii="Times New Roman" w:hAnsi="Times New Roman" w:eastAsia="宋体" w:cs="Times New Roman"/>
          <w:color w:val="000000"/>
          <w:kern w:val="2"/>
          <w:sz w:val="24"/>
          <w:szCs w:val="24"/>
          <w:highlight w:val="none"/>
          <w:lang w:val="en-US" w:eastAsia="zh-CN"/>
        </w:rPr>
        <w:t>捕猎野生动物尤其是国家级野生保护动物及列入</w:t>
      </w:r>
      <w:r>
        <w:rPr>
          <w:rFonts w:hint="eastAsia" w:ascii="Times New Roman" w:hAnsi="Times New Roman" w:eastAsia="宋体" w:cs="Times New Roman"/>
          <w:color w:val="000000"/>
          <w:kern w:val="2"/>
          <w:sz w:val="24"/>
          <w:szCs w:val="24"/>
          <w:highlight w:val="none"/>
          <w:lang w:val="en-US" w:eastAsia="zh-CN"/>
        </w:rPr>
        <w:t>自治区</w:t>
      </w:r>
      <w:r>
        <w:rPr>
          <w:rFonts w:hint="default" w:ascii="Times New Roman" w:hAnsi="Times New Roman" w:eastAsia="宋体" w:cs="Times New Roman"/>
          <w:color w:val="000000"/>
          <w:kern w:val="2"/>
          <w:sz w:val="24"/>
          <w:szCs w:val="24"/>
          <w:highlight w:val="none"/>
          <w:lang w:val="en-US" w:eastAsia="zh-CN"/>
        </w:rPr>
        <w:t>的野生保护动物，严禁捕杀鸟类。</w:t>
      </w:r>
    </w:p>
    <w:p w14:paraId="1B770F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rPr>
        <w:t>优选施工时间，在不影响工程进度的前提下，尽量避开野生动物活动的高峰时段。施工期间加强堆料场防护，加强施工人员的各类卫生管理，避免生活垃圾、生活污水的直接排放，减少污染，最大限度保护动物生境。</w:t>
      </w:r>
    </w:p>
    <w:p w14:paraId="5DAE12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rPr>
        <w:t>（3）</w:t>
      </w:r>
      <w:r>
        <w:rPr>
          <w:rFonts w:hint="default" w:ascii="Times New Roman" w:hAnsi="Times New Roman" w:eastAsia="宋体" w:cs="Times New Roman"/>
          <w:color w:val="000000"/>
          <w:kern w:val="2"/>
          <w:sz w:val="24"/>
          <w:szCs w:val="24"/>
          <w:highlight w:val="none"/>
          <w:lang w:val="en-US" w:eastAsia="zh-CN"/>
        </w:rPr>
        <w:t>水土流失的防治对策措施</w:t>
      </w:r>
    </w:p>
    <w:p w14:paraId="176A0A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rPr>
        <w:t>在地面施工过程中，应避免在大风季节以及暴雨时节作业。对施工破坏区，施工完毕，要及时平整土地，并种植适宜的植物，以防止发生新的水土流失。</w:t>
      </w:r>
    </w:p>
    <w:p w14:paraId="4F6263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rPr>
        <w:t>施工结束后，施工</w:t>
      </w:r>
      <w:r>
        <w:rPr>
          <w:rFonts w:hint="eastAsia" w:ascii="宋体" w:hAnsi="宋体" w:eastAsia="宋体" w:cs="Times New Roman"/>
          <w:color w:val="000000"/>
          <w:kern w:val="2"/>
          <w:sz w:val="24"/>
          <w:szCs w:val="24"/>
          <w:highlight w:val="none"/>
          <w:lang w:val="en-US" w:eastAsia="zh-CN"/>
        </w:rPr>
        <w:t>作业带</w:t>
      </w:r>
      <w:r>
        <w:rPr>
          <w:rFonts w:hint="default" w:ascii="Times New Roman" w:hAnsi="Times New Roman" w:eastAsia="宋体" w:cs="Times New Roman"/>
          <w:color w:val="000000"/>
          <w:kern w:val="2"/>
          <w:sz w:val="24"/>
          <w:szCs w:val="24"/>
          <w:highlight w:val="none"/>
          <w:lang w:val="en-US" w:eastAsia="zh-CN"/>
        </w:rPr>
        <w:t>等应及时进行水土保持工作。及时在开挖面和存放地的裸露土地上恢复植被，恢复土地的使用条件，及时归还当地恢复利用。对于的确需要在坡度大于15°的地区施工区域，施工时应及时在坡脚处设置草袋挡土墙挡护或坡面种植草本植物等防护措施加以防护，以减少水土流失现象发生。</w:t>
      </w:r>
    </w:p>
    <w:p w14:paraId="7E7C13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000000"/>
          <w:kern w:val="2"/>
          <w:sz w:val="24"/>
          <w:szCs w:val="24"/>
          <w:highlight w:val="none"/>
          <w:lang w:val="en-US" w:eastAsia="zh-CN"/>
        </w:rPr>
        <w:t>禁止在工程征地范围外、植被良好的地区进行取土石活动，以减少水土流失损坏面积。</w:t>
      </w:r>
    </w:p>
    <w:p w14:paraId="5EE9FB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rPr>
        <w:t>（4）防沙治沙</w:t>
      </w:r>
    </w:p>
    <w:p w14:paraId="458147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rPr>
        <w:t>本工程在防沙、治沙方面，坚持</w:t>
      </w:r>
      <w:r>
        <w:rPr>
          <w:rFonts w:hint="eastAsia" w:ascii="Times New Roman" w:hAnsi="Times New Roman" w:cs="Times New Roman"/>
          <w:color w:val="000000"/>
          <w:kern w:val="2"/>
          <w:sz w:val="24"/>
          <w:szCs w:val="24"/>
          <w:highlight w:val="none"/>
          <w:lang w:val="en-US" w:eastAsia="zh-CN"/>
        </w:rPr>
        <w:t>“</w:t>
      </w:r>
      <w:r>
        <w:rPr>
          <w:rFonts w:hint="eastAsia" w:ascii="Times New Roman" w:hAnsi="Times New Roman" w:eastAsia="宋体" w:cs="Times New Roman"/>
          <w:color w:val="000000"/>
          <w:kern w:val="2"/>
          <w:sz w:val="24"/>
          <w:szCs w:val="24"/>
          <w:highlight w:val="none"/>
          <w:lang w:val="en-US" w:eastAsia="zh-CN"/>
        </w:rPr>
        <w:t>因地制宜、因害设防、保护优先、综合治理</w:t>
      </w:r>
      <w:r>
        <w:rPr>
          <w:rFonts w:hint="eastAsia" w:ascii="Times New Roman" w:hAnsi="Times New Roman" w:cs="Times New Roman"/>
          <w:color w:val="000000"/>
          <w:kern w:val="2"/>
          <w:sz w:val="24"/>
          <w:szCs w:val="24"/>
          <w:highlight w:val="none"/>
          <w:lang w:val="en-US" w:eastAsia="zh-CN"/>
        </w:rPr>
        <w:t>”</w:t>
      </w:r>
      <w:r>
        <w:rPr>
          <w:rFonts w:hint="eastAsia" w:ascii="Times New Roman" w:hAnsi="Times New Roman" w:eastAsia="宋体" w:cs="Times New Roman"/>
          <w:color w:val="000000"/>
          <w:kern w:val="2"/>
          <w:sz w:val="24"/>
          <w:szCs w:val="24"/>
          <w:highlight w:val="none"/>
          <w:lang w:val="en-US" w:eastAsia="zh-CN"/>
        </w:rPr>
        <w:t xml:space="preserve">的原则，坚持宜乔则乔、宜灌则灌、宜草则草，采取以林草植被建设为主的综合措施，加强地表覆盖，减少尘源。具体措施有： </w:t>
      </w:r>
    </w:p>
    <w:p w14:paraId="2757F5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rPr>
        <w:t xml:space="preserve">①严禁在非施工地段随意踩踏、占用，破坏地表植被和稳定的结皮层。施工结束后，对施工场地及时进行清理、平整，减少沙物质来源。 </w:t>
      </w:r>
    </w:p>
    <w:p w14:paraId="55B976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rPr>
        <w:t xml:space="preserve">②工程所在区域多为裸地。为保护土地资源，在施工前，对管线所处位置进行表土剥离，剥离的表土作为后期生态恢复；禁止随意剥离工程占地以外的剥离砾石。 </w:t>
      </w:r>
    </w:p>
    <w:p w14:paraId="56A37A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rPr>
        <w:t>③植物措施：本工程管线施工区域在选址选线阶段尽量选择在植被稀少或荒漠的区域布点，采取少占地、少破坏植被的原则，缩小施工范围；植被覆盖度高的区域，采取分层开挖、分层回填措施，避免破坏区域土壤肥力；工程施工结束后采取自然恢复的方式对区域植被进行恢复。</w:t>
      </w:r>
    </w:p>
    <w:p w14:paraId="78501696">
      <w:pPr>
        <w:widowControl w:val="0"/>
        <w:spacing w:after="0"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rPr>
        <w:t>本工程需严格按照《中华人民共和国防沙治沙法》有关规定，落实防沙治沙措施，控制土地沙漠化的扩展，对于自然恢复条件不好且易发生沙化的地段，根据实际情况对地表进行人工固沙处理，最大限度减少对植物和野生动物生存环境的践踏破坏。本工程防沙治沙措施实施后，预计区域植被覆盖度能维持现状，避免区域土地沙化</w:t>
      </w:r>
      <w:r>
        <w:rPr>
          <w:rFonts w:hint="default" w:ascii="Times New Roman" w:hAnsi="Times New Roman" w:eastAsia="宋体" w:cs="Times New Roman"/>
          <w:color w:val="000000"/>
          <w:kern w:val="2"/>
          <w:sz w:val="24"/>
          <w:szCs w:val="24"/>
          <w:highlight w:val="none"/>
          <w:lang w:val="en-US" w:eastAsia="zh-CN" w:bidi="ar-SA"/>
        </w:rPr>
        <w:t>。</w:t>
      </w:r>
    </w:p>
    <w:p w14:paraId="15F6B5B9">
      <w:pPr>
        <w:widowControl w:val="0"/>
        <w:spacing w:before="0" w:after="0" w:line="360" w:lineRule="auto"/>
        <w:jc w:val="both"/>
        <w:outlineLvl w:val="1"/>
        <w:rPr>
          <w:rFonts w:hint="default" w:ascii="Times New Roman" w:hAnsi="Times New Roman" w:eastAsia="宋体" w:cs="Times New Roman"/>
          <w:b/>
          <w:bCs/>
          <w:kern w:val="2"/>
          <w:sz w:val="30"/>
          <w:szCs w:val="30"/>
          <w:lang w:val="en-US" w:eastAsia="zh-CN" w:bidi="ar-SA"/>
        </w:rPr>
      </w:pPr>
      <w:bookmarkStart w:id="44" w:name="_Toc472451914"/>
      <w:bookmarkStart w:id="45" w:name="_Toc25424"/>
      <w:bookmarkStart w:id="46" w:name="_Toc229909584"/>
      <w:bookmarkStart w:id="47" w:name="_Toc15877"/>
      <w:bookmarkStart w:id="48" w:name="_Toc13576"/>
      <w:bookmarkStart w:id="49" w:name="_Toc7011"/>
      <w:bookmarkStart w:id="50" w:name="_Toc337673492"/>
      <w:bookmarkStart w:id="51" w:name="_Toc13584"/>
      <w:bookmarkStart w:id="52" w:name="_Toc29485"/>
      <w:bookmarkStart w:id="53" w:name="_Toc107575304"/>
      <w:bookmarkStart w:id="54" w:name="_Toc183085732"/>
      <w:bookmarkStart w:id="55" w:name="_Toc196218616"/>
      <w:bookmarkStart w:id="56" w:name="_Toc183085458"/>
      <w:r>
        <w:rPr>
          <w:rFonts w:hint="eastAsia" w:ascii="Times New Roman" w:hAnsi="Times New Roman" w:cs="Times New Roman"/>
          <w:b/>
          <w:bCs/>
          <w:kern w:val="2"/>
          <w:sz w:val="30"/>
          <w:szCs w:val="30"/>
          <w:lang w:val="en-US" w:eastAsia="zh-CN" w:bidi="ar-SA"/>
        </w:rPr>
        <w:t>8</w:t>
      </w:r>
      <w:r>
        <w:rPr>
          <w:rFonts w:hint="default" w:ascii="Times New Roman" w:hAnsi="Times New Roman" w:eastAsia="宋体" w:cs="Times New Roman"/>
          <w:b/>
          <w:bCs/>
          <w:kern w:val="2"/>
          <w:sz w:val="30"/>
          <w:szCs w:val="30"/>
          <w:lang w:val="en-US" w:eastAsia="zh-CN" w:bidi="ar-SA"/>
        </w:rPr>
        <w:t>.2运营期</w:t>
      </w:r>
      <w:bookmarkEnd w:id="44"/>
      <w:bookmarkEnd w:id="45"/>
      <w:bookmarkEnd w:id="46"/>
      <w:bookmarkEnd w:id="47"/>
      <w:bookmarkEnd w:id="48"/>
      <w:bookmarkEnd w:id="49"/>
      <w:bookmarkEnd w:id="50"/>
      <w:bookmarkEnd w:id="51"/>
      <w:r>
        <w:rPr>
          <w:rFonts w:hint="default" w:ascii="Times New Roman" w:hAnsi="Times New Roman" w:eastAsia="宋体" w:cs="Times New Roman"/>
          <w:b/>
          <w:bCs/>
          <w:kern w:val="2"/>
          <w:sz w:val="28"/>
          <w:szCs w:val="28"/>
          <w:lang w:val="en-US" w:eastAsia="zh-CN" w:bidi="ar-SA"/>
        </w:rPr>
        <w:t>大气污染防治</w:t>
      </w:r>
      <w:r>
        <w:rPr>
          <w:rFonts w:hint="eastAsia" w:ascii="Times New Roman" w:hAnsi="Times New Roman" w:eastAsia="宋体" w:cs="Times New Roman"/>
          <w:b/>
          <w:bCs/>
          <w:kern w:val="2"/>
          <w:sz w:val="28"/>
          <w:szCs w:val="28"/>
          <w:lang w:val="en-US" w:eastAsia="zh-CN" w:bidi="ar-SA"/>
        </w:rPr>
        <w:t>措施</w:t>
      </w:r>
      <w:bookmarkEnd w:id="52"/>
    </w:p>
    <w:p w14:paraId="2DE1FF29">
      <w:pPr>
        <w:keepNext w:val="0"/>
        <w:keepLines w:val="0"/>
        <w:widowControl w:val="0"/>
        <w:bidi w:val="0"/>
        <w:spacing w:before="0" w:after="0" w:line="360" w:lineRule="auto"/>
        <w:jc w:val="both"/>
        <w:outlineLvl w:val="2"/>
        <w:rPr>
          <w:rFonts w:hint="default" w:ascii="Times New Roman" w:hAnsi="Times New Roman" w:eastAsia="宋体" w:cs="Times New Roman"/>
          <w:b/>
          <w:bCs/>
          <w:sz w:val="28"/>
          <w:szCs w:val="28"/>
          <w:lang w:val="en-US" w:eastAsia="zh-CN" w:bidi="ar-SA"/>
        </w:rPr>
      </w:pPr>
      <w:bookmarkStart w:id="57" w:name="_Toc25505"/>
      <w:bookmarkStart w:id="58" w:name="_Toc8404"/>
      <w:bookmarkStart w:id="59" w:name="_Toc229909585"/>
      <w:r>
        <w:rPr>
          <w:rFonts w:hint="eastAsia" w:ascii="Times New Roman" w:hAnsi="Times New Roman" w:cs="Times New Roman"/>
          <w:b/>
          <w:bCs/>
          <w:sz w:val="28"/>
          <w:szCs w:val="28"/>
          <w:lang w:val="en-US" w:eastAsia="zh-CN" w:bidi="ar-SA"/>
        </w:rPr>
        <w:t>8.</w:t>
      </w:r>
      <w:r>
        <w:rPr>
          <w:rFonts w:hint="eastAsia" w:ascii="Times New Roman" w:hAnsi="Times New Roman" w:eastAsia="宋体" w:cs="Times New Roman"/>
          <w:b/>
          <w:bCs/>
          <w:sz w:val="28"/>
          <w:szCs w:val="28"/>
          <w:lang w:val="en-US" w:eastAsia="zh-CN" w:bidi="ar-SA"/>
        </w:rPr>
        <w:t>2</w:t>
      </w:r>
      <w:r>
        <w:rPr>
          <w:rFonts w:hint="default" w:ascii="Times New Roman" w:hAnsi="Times New Roman" w:eastAsia="宋体" w:cs="Times New Roman"/>
          <w:b/>
          <w:bCs/>
          <w:sz w:val="28"/>
          <w:szCs w:val="28"/>
          <w:lang w:val="en-US" w:eastAsia="zh-CN" w:bidi="ar-SA"/>
        </w:rPr>
        <w:t>.1废气源头控制</w:t>
      </w:r>
    </w:p>
    <w:p w14:paraId="310E69A2">
      <w:pPr>
        <w:widowControl w:val="0"/>
        <w:spacing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本着提升设备水平，提高系统的密闭性，减少无组织排放，从源头控制减少废气产生。因此本项目在工艺设计时，根据项目的特点，尤其注重生产线上的设备的优化选型，特别注意在需要时的密闭无泄漏的设备选型及其</w:t>
      </w:r>
      <w:r>
        <w:rPr>
          <w:rFonts w:hint="eastAsia" w:ascii="Times New Roman" w:hAnsi="Times New Roman" w:cs="Times New Roman"/>
          <w:color w:val="000000"/>
          <w:kern w:val="2"/>
          <w:sz w:val="24"/>
          <w:szCs w:val="24"/>
          <w:highlight w:val="none"/>
          <w:lang w:val="en-US" w:eastAsia="zh-CN" w:bidi="ar-SA"/>
        </w:rPr>
        <w:t>他</w:t>
      </w:r>
      <w:r>
        <w:rPr>
          <w:rFonts w:hint="default" w:ascii="Times New Roman" w:hAnsi="Times New Roman" w:eastAsia="宋体" w:cs="Times New Roman"/>
          <w:color w:val="000000"/>
          <w:kern w:val="2"/>
          <w:sz w:val="24"/>
          <w:szCs w:val="24"/>
          <w:highlight w:val="none"/>
          <w:lang w:val="en-US" w:eastAsia="zh-CN" w:bidi="ar-SA"/>
        </w:rPr>
        <w:t>各环节的密闭设计，做到关键设备及其环节的</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管道化、密闭化、自动化、信息化</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kern w:val="2"/>
          <w:sz w:val="24"/>
          <w:szCs w:val="24"/>
          <w:highlight w:val="none"/>
          <w:lang w:val="en-US" w:eastAsia="zh-CN" w:bidi="ar-SA"/>
        </w:rPr>
        <w:t>等要求，力争使生产过程中废气产生及排放量降至最低。</w:t>
      </w:r>
    </w:p>
    <w:p w14:paraId="47730F04">
      <w:pPr>
        <w:widowControl w:val="0"/>
        <w:spacing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本项目对工艺废气的控制措施如下：</w:t>
      </w:r>
    </w:p>
    <w:p w14:paraId="17D7C6F8">
      <w:pPr>
        <w:widowControl w:val="0"/>
        <w:spacing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•采取垂直布置流程减少物料输送过程废气排放，减少无组织排放。</w:t>
      </w:r>
    </w:p>
    <w:p w14:paraId="78C20765">
      <w:pPr>
        <w:widowControl w:val="0"/>
        <w:spacing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•采用密闭式反应装置，反应过程尽量不打开</w:t>
      </w:r>
      <w:r>
        <w:rPr>
          <w:rFonts w:hint="eastAsia" w:ascii="Times New Roman" w:hAnsi="Times New Roman" w:eastAsia="宋体" w:cs="Times New Roman"/>
          <w:color w:val="000000"/>
          <w:kern w:val="2"/>
          <w:sz w:val="24"/>
          <w:szCs w:val="24"/>
          <w:highlight w:val="none"/>
          <w:lang w:val="en-US" w:eastAsia="zh-CN" w:bidi="ar-SA"/>
        </w:rPr>
        <w:t>反应器</w:t>
      </w:r>
      <w:r>
        <w:rPr>
          <w:rFonts w:hint="default" w:ascii="Times New Roman" w:hAnsi="Times New Roman" w:eastAsia="宋体" w:cs="Times New Roman"/>
          <w:color w:val="000000"/>
          <w:kern w:val="2"/>
          <w:sz w:val="24"/>
          <w:szCs w:val="24"/>
          <w:highlight w:val="none"/>
          <w:lang w:val="en-US" w:eastAsia="zh-CN" w:bidi="ar-SA"/>
        </w:rPr>
        <w:t>等设施，防止废气泄漏。</w:t>
      </w:r>
      <w:r>
        <w:rPr>
          <w:rFonts w:hint="eastAsia" w:ascii="Times New Roman" w:hAnsi="Times New Roman" w:eastAsia="宋体" w:cs="Times New Roman"/>
          <w:color w:val="000000"/>
          <w:kern w:val="2"/>
          <w:sz w:val="24"/>
          <w:szCs w:val="24"/>
          <w:highlight w:val="none"/>
          <w:lang w:val="en-US" w:eastAsia="zh-CN" w:bidi="ar-SA"/>
        </w:rPr>
        <w:t>反应器</w:t>
      </w:r>
      <w:r>
        <w:rPr>
          <w:rFonts w:hint="default" w:ascii="Times New Roman" w:hAnsi="Times New Roman" w:eastAsia="宋体" w:cs="Times New Roman"/>
          <w:color w:val="000000"/>
          <w:kern w:val="2"/>
          <w:sz w:val="24"/>
          <w:szCs w:val="24"/>
          <w:highlight w:val="none"/>
          <w:lang w:val="en-US" w:eastAsia="zh-CN" w:bidi="ar-SA"/>
        </w:rPr>
        <w:t>采用底部给料或使用浸入管，顶部添加液体宜采用导管贴壁给料。</w:t>
      </w:r>
    </w:p>
    <w:p w14:paraId="09CB604C">
      <w:pPr>
        <w:widowControl w:val="0"/>
        <w:spacing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•固体物料设置密闭投料器，减少废气无组织排放。</w:t>
      </w:r>
    </w:p>
    <w:p w14:paraId="1F3740EB">
      <w:pPr>
        <w:widowControl w:val="0"/>
        <w:spacing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w:t>
      </w:r>
      <w:r>
        <w:rPr>
          <w:rFonts w:hint="eastAsia" w:ascii="Times New Roman" w:hAnsi="Times New Roman" w:cs="Times New Roman"/>
          <w:color w:val="000000"/>
          <w:kern w:val="2"/>
          <w:sz w:val="24"/>
          <w:szCs w:val="24"/>
          <w:highlight w:val="none"/>
          <w:lang w:val="en-US" w:eastAsia="zh-CN" w:bidi="ar-SA"/>
        </w:rPr>
        <w:t>周转量</w:t>
      </w:r>
      <w:r>
        <w:rPr>
          <w:rFonts w:hint="default" w:ascii="Times New Roman" w:hAnsi="Times New Roman" w:eastAsia="宋体" w:cs="Times New Roman"/>
          <w:color w:val="000000"/>
          <w:kern w:val="2"/>
          <w:sz w:val="24"/>
          <w:szCs w:val="24"/>
          <w:highlight w:val="none"/>
          <w:lang w:val="en-US" w:eastAsia="zh-CN" w:bidi="ar-SA"/>
        </w:rPr>
        <w:t>大的液体物料如</w:t>
      </w:r>
      <w:r>
        <w:rPr>
          <w:rFonts w:hint="eastAsia" w:ascii="Times New Roman" w:hAnsi="Times New Roman" w:cs="Times New Roman"/>
          <w:color w:val="000000"/>
          <w:kern w:val="2"/>
          <w:sz w:val="24"/>
          <w:szCs w:val="24"/>
          <w:highlight w:val="none"/>
          <w:lang w:val="en-US" w:eastAsia="zh-CN" w:bidi="ar-SA"/>
        </w:rPr>
        <w:t>甲醇、乙醇、LCDN</w:t>
      </w:r>
      <w:r>
        <w:rPr>
          <w:rFonts w:hint="eastAsia" w:ascii="Times New Roman" w:hAnsi="Times New Roman" w:eastAsia="宋体" w:cs="Times New Roman"/>
          <w:color w:val="000000"/>
          <w:kern w:val="2"/>
          <w:sz w:val="24"/>
          <w:szCs w:val="24"/>
          <w:highlight w:val="none"/>
          <w:lang w:val="en-US" w:eastAsia="zh-CN" w:bidi="ar-SA"/>
        </w:rPr>
        <w:t>等</w:t>
      </w:r>
      <w:r>
        <w:rPr>
          <w:rFonts w:hint="default" w:ascii="Times New Roman" w:hAnsi="Times New Roman" w:eastAsia="宋体" w:cs="Times New Roman"/>
          <w:color w:val="000000"/>
          <w:kern w:val="2"/>
          <w:sz w:val="24"/>
          <w:szCs w:val="24"/>
          <w:highlight w:val="none"/>
          <w:lang w:val="en-US" w:eastAsia="zh-CN" w:bidi="ar-SA"/>
        </w:rPr>
        <w:t>采用储罐化储存和管道化输送，建立储罐氮封系统基本</w:t>
      </w:r>
      <w:r>
        <w:rPr>
          <w:rFonts w:hint="eastAsia" w:ascii="Times New Roman" w:hAnsi="Times New Roman" w:cs="Times New Roman"/>
          <w:color w:val="000000"/>
          <w:kern w:val="2"/>
          <w:sz w:val="24"/>
          <w:szCs w:val="24"/>
          <w:highlight w:val="none"/>
          <w:lang w:val="en-US" w:eastAsia="zh-CN" w:bidi="ar-SA"/>
        </w:rPr>
        <w:t>消除了</w:t>
      </w:r>
      <w:r>
        <w:rPr>
          <w:rFonts w:hint="default" w:ascii="Times New Roman" w:hAnsi="Times New Roman" w:eastAsia="宋体" w:cs="Times New Roman"/>
          <w:color w:val="000000"/>
          <w:kern w:val="2"/>
          <w:sz w:val="24"/>
          <w:szCs w:val="24"/>
          <w:highlight w:val="none"/>
          <w:lang w:val="en-US" w:eastAsia="zh-CN" w:bidi="ar-SA"/>
        </w:rPr>
        <w:t>呼吸排放。</w:t>
      </w:r>
    </w:p>
    <w:p w14:paraId="3550C4EA">
      <w:pPr>
        <w:widowControl w:val="0"/>
        <w:spacing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•物料的转釜操作采用泵设备输送，排气接入废气处理系统。</w:t>
      </w:r>
    </w:p>
    <w:p w14:paraId="0CD8F326">
      <w:pPr>
        <w:keepNext w:val="0"/>
        <w:keepLines w:val="0"/>
        <w:widowControl w:val="0"/>
        <w:bidi w:val="0"/>
        <w:spacing w:before="0" w:after="0" w:line="360" w:lineRule="auto"/>
        <w:jc w:val="both"/>
        <w:outlineLvl w:val="2"/>
        <w:rPr>
          <w:rFonts w:hint="default" w:ascii="Times New Roman" w:hAnsi="Times New Roman" w:eastAsia="宋体" w:cs="Times New Roman"/>
          <w:b/>
          <w:bCs/>
          <w:sz w:val="28"/>
          <w:szCs w:val="28"/>
          <w:lang w:val="en-US" w:eastAsia="zh-CN" w:bidi="ar-SA"/>
        </w:rPr>
      </w:pPr>
      <w:r>
        <w:rPr>
          <w:rFonts w:hint="eastAsia" w:ascii="Times New Roman" w:hAnsi="Times New Roman" w:cs="Times New Roman"/>
          <w:b/>
          <w:bCs/>
          <w:sz w:val="28"/>
          <w:szCs w:val="28"/>
          <w:lang w:val="en-US" w:eastAsia="zh-CN" w:bidi="ar-SA"/>
        </w:rPr>
        <w:t>8.</w:t>
      </w:r>
      <w:r>
        <w:rPr>
          <w:rFonts w:hint="eastAsia" w:ascii="Times New Roman" w:hAnsi="Times New Roman" w:eastAsia="宋体" w:cs="Times New Roman"/>
          <w:b/>
          <w:bCs/>
          <w:sz w:val="28"/>
          <w:szCs w:val="28"/>
          <w:lang w:val="en-US" w:eastAsia="zh-CN" w:bidi="ar-SA"/>
        </w:rPr>
        <w:t>2</w:t>
      </w:r>
      <w:r>
        <w:rPr>
          <w:rFonts w:hint="default" w:ascii="Times New Roman" w:hAnsi="Times New Roman" w:eastAsia="宋体" w:cs="Times New Roman"/>
          <w:b/>
          <w:bCs/>
          <w:sz w:val="28"/>
          <w:szCs w:val="28"/>
          <w:lang w:val="en-US" w:eastAsia="zh-CN" w:bidi="ar-SA"/>
        </w:rPr>
        <w:t>.</w:t>
      </w:r>
      <w:r>
        <w:rPr>
          <w:rFonts w:hint="eastAsia" w:ascii="Times New Roman" w:hAnsi="Times New Roman" w:cs="Times New Roman"/>
          <w:b/>
          <w:bCs/>
          <w:sz w:val="28"/>
          <w:szCs w:val="28"/>
          <w:lang w:val="en-US" w:eastAsia="zh-CN" w:bidi="ar-SA"/>
        </w:rPr>
        <w:t>2</w:t>
      </w:r>
      <w:r>
        <w:rPr>
          <w:rFonts w:hint="default" w:ascii="Times New Roman" w:hAnsi="Times New Roman" w:eastAsia="宋体" w:cs="Times New Roman"/>
          <w:b/>
          <w:bCs/>
          <w:sz w:val="28"/>
          <w:szCs w:val="28"/>
          <w:lang w:val="en-US" w:eastAsia="zh-CN" w:bidi="ar-SA"/>
        </w:rPr>
        <w:t>有组织废气防治措施及可行性</w:t>
      </w:r>
    </w:p>
    <w:bookmarkEnd w:id="53"/>
    <w:bookmarkEnd w:id="54"/>
    <w:bookmarkEnd w:id="55"/>
    <w:bookmarkEnd w:id="56"/>
    <w:bookmarkEnd w:id="57"/>
    <w:bookmarkEnd w:id="58"/>
    <w:bookmarkEnd w:id="59"/>
    <w:p w14:paraId="3E8BA049">
      <w:pPr>
        <w:widowControl w:val="0"/>
        <w:numPr>
          <w:ilvl w:val="0"/>
          <w:numId w:val="0"/>
        </w:numPr>
        <w:spacing w:after="0" w:line="360" w:lineRule="auto"/>
        <w:ind w:firstLine="480"/>
        <w:jc w:val="both"/>
        <w:rPr>
          <w:rFonts w:hint="eastAsia" w:ascii="Times New Roman" w:hAnsi="Times New Roman" w:eastAsia="宋体" w:cs="Times New Roman"/>
          <w:color w:val="000000"/>
          <w:kern w:val="2"/>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rPr>
        <w:t>本项目有组织</w:t>
      </w:r>
      <w:r>
        <w:rPr>
          <w:rFonts w:hint="eastAsia" w:ascii="Times New Roman" w:hAnsi="Times New Roman" w:cs="Times New Roman"/>
          <w:color w:val="000000"/>
          <w:kern w:val="2"/>
          <w:sz w:val="24"/>
          <w:szCs w:val="24"/>
          <w:highlight w:val="none"/>
          <w:lang w:val="en-US" w:eastAsia="zh-CN"/>
        </w:rPr>
        <w:t>废气防治措施</w:t>
      </w:r>
      <w:r>
        <w:rPr>
          <w:rFonts w:hint="eastAsia" w:ascii="Times New Roman" w:hAnsi="Times New Roman" w:eastAsia="宋体" w:cs="Times New Roman"/>
          <w:color w:val="000000"/>
          <w:kern w:val="2"/>
          <w:sz w:val="24"/>
          <w:szCs w:val="24"/>
          <w:highlight w:val="none"/>
          <w:lang w:val="en-US" w:eastAsia="zh-CN"/>
        </w:rPr>
        <w:t>主要有：</w:t>
      </w:r>
    </w:p>
    <w:p w14:paraId="79DE704A">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（1）含尘废气处理措施</w:t>
      </w:r>
    </w:p>
    <w:p w14:paraId="2C276963">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根据工程分析，本项目含尘废气主要有干燥废气、成品处理废气。干燥废气主要污染物为颗粒物，成品处理废气主要污染物为颗粒物及少量非甲烷总烃。</w:t>
      </w:r>
    </w:p>
    <w:p w14:paraId="3FE07EA6">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干燥废气经设备自带袋式除尘器处理后进入尾气处理装置处理，其中干燥废气进入1#尾气处理装置（一级水吸收+一级碱吸收）处理后，通过1根27m高排气筒排放，废气中颗粒物排放浓度为6.8mg/m</w:t>
      </w:r>
      <w:r>
        <w:rPr>
          <w:rFonts w:hint="eastAsia" w:ascii="Times New Roman" w:hAnsi="Times New Roman" w:cs="Times New Roman"/>
          <w:color w:val="000000"/>
          <w:kern w:val="2"/>
          <w:sz w:val="24"/>
          <w:szCs w:val="24"/>
          <w:highlight w:val="none"/>
          <w:vertAlign w:val="superscript"/>
          <w:lang w:val="en-US" w:eastAsia="zh-CN"/>
        </w:rPr>
        <w:t>3</w:t>
      </w:r>
      <w:r>
        <w:rPr>
          <w:rFonts w:hint="eastAsia" w:ascii="Times New Roman" w:hAnsi="Times New Roman" w:cs="Times New Roman"/>
          <w:color w:val="000000"/>
          <w:kern w:val="2"/>
          <w:sz w:val="24"/>
          <w:szCs w:val="24"/>
          <w:highlight w:val="none"/>
          <w:vertAlign w:val="baseline"/>
          <w:lang w:val="en-US" w:eastAsia="zh-CN"/>
        </w:rPr>
        <w:t>，能够满足</w:t>
      </w:r>
      <w:r>
        <w:rPr>
          <w:rFonts w:hint="eastAsia" w:ascii="Times New Roman" w:hAnsi="Times New Roman" w:cs="Times New Roman"/>
          <w:color w:val="000000"/>
          <w:kern w:val="2"/>
          <w:sz w:val="24"/>
          <w:szCs w:val="24"/>
          <w:highlight w:val="none"/>
          <w:lang w:val="en-US" w:eastAsia="zh-CN"/>
        </w:rPr>
        <w:t>《石油化学工业污染物排放标准》（GB31571-2015，含2024年修改单）中表5特别排放限值要求。</w:t>
      </w:r>
    </w:p>
    <w:p w14:paraId="38C7FC93">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成品处理废气（包含切片、破碎、包装等工序产生的颗粒物）经袋式除尘器处理后进入3#尾气处理装置（两级水吸收+一级酸吸收）处理后，通过1根27m高排气筒排放，废气中颗粒物排放浓度为12mg/m</w:t>
      </w:r>
      <w:r>
        <w:rPr>
          <w:rFonts w:hint="eastAsia" w:ascii="Times New Roman" w:hAnsi="Times New Roman" w:cs="Times New Roman"/>
          <w:color w:val="000000"/>
          <w:kern w:val="2"/>
          <w:sz w:val="24"/>
          <w:szCs w:val="24"/>
          <w:highlight w:val="none"/>
          <w:vertAlign w:val="superscript"/>
          <w:lang w:val="en-US" w:eastAsia="zh-CN"/>
        </w:rPr>
        <w:t>3</w:t>
      </w:r>
      <w:r>
        <w:rPr>
          <w:rFonts w:hint="eastAsia" w:ascii="Times New Roman" w:hAnsi="Times New Roman" w:cs="Times New Roman"/>
          <w:color w:val="000000"/>
          <w:kern w:val="2"/>
          <w:sz w:val="24"/>
          <w:szCs w:val="24"/>
          <w:highlight w:val="none"/>
          <w:lang w:val="en-US" w:eastAsia="zh-CN"/>
        </w:rPr>
        <w:t>，能够满足《石油化学工业污染物排放标准》（GB31571-2015，含2024年修改单）中表5特别排放限值要求。</w:t>
      </w:r>
    </w:p>
    <w:p w14:paraId="6F651E12">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根据《排污许可证申请与核发技术规范 石化工业》（HJ853-2017），该规范中无粉尘可行性措施，因此本次评价参考《制药工业污染防治可行技术指南原料药（发酵类、化学合成类、提取类）和制剂类》（HJ1305-2023）袋式除尘器处理属于处理含尘废气的可行技术，该技术适用于制药粉碎、过筛、成品干燥、包装等工序的含尘废气处理。利用纤维织物的过滤作用对含尘气体进行净化，可去除粒径0.1µm以上的颗粒物，除尘效率可达99%。</w:t>
      </w:r>
    </w:p>
    <w:p w14:paraId="13656707">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（2）有机废气处理措施</w:t>
      </w:r>
    </w:p>
    <w:p w14:paraId="6C9DCA45">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本项目一级反应精馏真空不凝气、二级反应精馏真空不凝气、储罐呼吸及装卸车废气均进入2#尾气处理装置进行处理，处理工艺采用“两级冷凝+一级水吸收+一级酸吸收+两级活性炭吸附”工艺，处理后废气中</w:t>
      </w:r>
      <w:r>
        <w:rPr>
          <w:rFonts w:hint="eastAsia" w:ascii="Times New Roman" w:hAnsi="Times New Roman" w:cs="Times New Roman"/>
          <w:kern w:val="2"/>
          <w:sz w:val="24"/>
          <w:szCs w:val="24"/>
          <w:vertAlign w:val="baseline"/>
          <w:lang w:val="en-US" w:eastAsia="zh-CN" w:bidi="ar-SA"/>
        </w:rPr>
        <w:t>非甲烷总烃去除效率为97%，</w:t>
      </w:r>
      <w:r>
        <w:rPr>
          <w:rFonts w:hint="eastAsia" w:ascii="Times New Roman" w:hAnsi="Times New Roman" w:cs="Times New Roman"/>
          <w:kern w:val="2"/>
          <w:sz w:val="24"/>
          <w:szCs w:val="24"/>
          <w:lang w:val="en-US" w:eastAsia="zh-CN" w:bidi="ar-SA"/>
        </w:rPr>
        <w:t>甲醇排放浓度为0.2</w:t>
      </w:r>
      <w:r>
        <w:rPr>
          <w:rFonts w:hint="eastAsia" w:ascii="Times New Roman" w:hAnsi="Times New Roman" w:cs="Times New Roman"/>
          <w:kern w:val="2"/>
          <w:sz w:val="24"/>
          <w:szCs w:val="24"/>
          <w:vertAlign w:val="baseline"/>
          <w:lang w:val="en-US" w:eastAsia="zh-CN" w:bidi="ar-SA"/>
        </w:rPr>
        <w:t>mg/m</w:t>
      </w:r>
      <w:r>
        <w:rPr>
          <w:rFonts w:hint="eastAsia" w:ascii="Times New Roman" w:hAnsi="Times New Roman" w:cs="Times New Roman"/>
          <w:kern w:val="2"/>
          <w:sz w:val="24"/>
          <w:szCs w:val="24"/>
          <w:vertAlign w:val="superscript"/>
          <w:lang w:val="en-US" w:eastAsia="zh-CN" w:bidi="ar-SA"/>
        </w:rPr>
        <w:t>3</w:t>
      </w:r>
      <w:r>
        <w:rPr>
          <w:rFonts w:hint="eastAsia" w:ascii="Times New Roman" w:hAnsi="Times New Roman" w:cs="Times New Roman"/>
          <w:kern w:val="2"/>
          <w:sz w:val="24"/>
          <w:szCs w:val="24"/>
          <w:vertAlign w:val="baseline"/>
          <w:lang w:val="en-US" w:eastAsia="zh-CN" w:bidi="ar-SA"/>
        </w:rPr>
        <w:t>，均能够满足《石油化学工业污染物排放标准》（GB31571-2015，含2024年修改单）中表5特别排放限值（非甲烷总烃去除效率≥97%）及表6</w:t>
      </w:r>
      <w:r>
        <w:rPr>
          <w:rFonts w:hint="eastAsia" w:ascii="Times New Roman" w:hAnsi="Times New Roman" w:cs="Times New Roman"/>
          <w:kern w:val="2"/>
          <w:sz w:val="24"/>
          <w:szCs w:val="24"/>
          <w:highlight w:val="none"/>
          <w:vertAlign w:val="baseline"/>
          <w:lang w:val="en-US" w:eastAsia="zh-CN" w:bidi="ar-SA"/>
        </w:rPr>
        <w:t>特征污染物排放限值（甲醇50mg/m</w:t>
      </w:r>
      <w:r>
        <w:rPr>
          <w:rFonts w:hint="eastAsia" w:ascii="Times New Roman" w:hAnsi="Times New Roman" w:cs="Times New Roman"/>
          <w:kern w:val="2"/>
          <w:sz w:val="24"/>
          <w:szCs w:val="24"/>
          <w:highlight w:val="none"/>
          <w:vertAlign w:val="superscript"/>
          <w:lang w:val="en-US" w:eastAsia="zh-CN" w:bidi="ar-SA"/>
        </w:rPr>
        <w:t>3</w:t>
      </w:r>
      <w:r>
        <w:rPr>
          <w:rFonts w:hint="eastAsia" w:ascii="Times New Roman" w:hAnsi="Times New Roman" w:cs="Times New Roman"/>
          <w:kern w:val="2"/>
          <w:sz w:val="24"/>
          <w:szCs w:val="24"/>
          <w:highlight w:val="none"/>
          <w:vertAlign w:val="baseline"/>
          <w:lang w:val="en-US" w:eastAsia="zh-CN" w:bidi="ar-SA"/>
        </w:rPr>
        <w:t>）</w:t>
      </w:r>
      <w:r>
        <w:rPr>
          <w:rFonts w:hint="eastAsia" w:ascii="Times New Roman" w:hAnsi="Times New Roman" w:cs="Times New Roman"/>
          <w:kern w:val="2"/>
          <w:sz w:val="24"/>
          <w:szCs w:val="24"/>
          <w:vertAlign w:val="baseline"/>
          <w:lang w:val="en-US" w:eastAsia="zh-CN" w:bidi="ar-SA"/>
        </w:rPr>
        <w:t>要求。</w:t>
      </w:r>
    </w:p>
    <w:p w14:paraId="1E670C65">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本项目乙醇回收废气、经袋式除尘器处理后的成品处理废气一同进入3#尾气处理装置进行处理，处理工艺采用“两级水吸收+一级酸吸收”工艺，处理后废气</w:t>
      </w:r>
      <w:r>
        <w:rPr>
          <w:rFonts w:hint="eastAsia" w:ascii="Times New Roman" w:hAnsi="Times New Roman" w:cs="Times New Roman"/>
          <w:kern w:val="2"/>
          <w:sz w:val="24"/>
          <w:szCs w:val="24"/>
          <w:lang w:val="en-US" w:eastAsia="zh-CN" w:bidi="ar-SA"/>
        </w:rPr>
        <w:t>颗粒物排放浓度为12</w:t>
      </w:r>
      <w:r>
        <w:rPr>
          <w:rFonts w:hint="eastAsia" w:ascii="Times New Roman" w:hAnsi="Times New Roman" w:cs="Times New Roman"/>
          <w:kern w:val="2"/>
          <w:sz w:val="24"/>
          <w:szCs w:val="24"/>
          <w:vertAlign w:val="baseline"/>
          <w:lang w:val="en-US" w:eastAsia="zh-CN" w:bidi="ar-SA"/>
        </w:rPr>
        <w:t>mg/m</w:t>
      </w:r>
      <w:r>
        <w:rPr>
          <w:rFonts w:hint="eastAsia" w:ascii="Times New Roman" w:hAnsi="Times New Roman" w:cs="Times New Roman"/>
          <w:kern w:val="2"/>
          <w:sz w:val="24"/>
          <w:szCs w:val="24"/>
          <w:vertAlign w:val="superscript"/>
          <w:lang w:val="en-US" w:eastAsia="zh-CN" w:bidi="ar-SA"/>
        </w:rPr>
        <w:t>3</w:t>
      </w:r>
      <w:r>
        <w:rPr>
          <w:rFonts w:hint="eastAsia" w:ascii="Times New Roman" w:hAnsi="Times New Roman" w:cs="Times New Roman"/>
          <w:kern w:val="2"/>
          <w:sz w:val="24"/>
          <w:szCs w:val="24"/>
          <w:vertAlign w:val="baseline"/>
          <w:lang w:val="en-US" w:eastAsia="zh-CN" w:bidi="ar-SA"/>
        </w:rPr>
        <w:t>，非甲烷总烃去除效率98%，能够满足《石油化学工业污染物排放标准》（GB31571-2015，含2024年修改单）中表5特别排放限值（颗粒物20mg/m</w:t>
      </w:r>
      <w:r>
        <w:rPr>
          <w:rFonts w:hint="eastAsia" w:ascii="Times New Roman" w:hAnsi="Times New Roman" w:cs="Times New Roman"/>
          <w:kern w:val="2"/>
          <w:sz w:val="24"/>
          <w:szCs w:val="24"/>
          <w:vertAlign w:val="superscript"/>
          <w:lang w:val="en-US" w:eastAsia="zh-CN" w:bidi="ar-SA"/>
        </w:rPr>
        <w:t>3</w:t>
      </w:r>
      <w:r>
        <w:rPr>
          <w:rFonts w:hint="eastAsia" w:ascii="Times New Roman" w:hAnsi="Times New Roman" w:cs="Times New Roman"/>
          <w:kern w:val="2"/>
          <w:sz w:val="24"/>
          <w:szCs w:val="24"/>
          <w:vertAlign w:val="baseline"/>
          <w:lang w:val="en-US" w:eastAsia="zh-CN" w:bidi="ar-SA"/>
        </w:rPr>
        <w:t>、非甲烷总烃去除效率≥97%）要求。</w:t>
      </w:r>
    </w:p>
    <w:p w14:paraId="5E14E39F">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本项目甲醇制氢解吸气进入导热油炉进行燃烧，经燃烧处理后，甲醇排放浓度为1.26mg/m</w:t>
      </w:r>
      <w:r>
        <w:rPr>
          <w:rFonts w:hint="eastAsia" w:ascii="Times New Roman" w:hAnsi="Times New Roman" w:cs="Times New Roman"/>
          <w:color w:val="000000"/>
          <w:kern w:val="2"/>
          <w:sz w:val="24"/>
          <w:szCs w:val="24"/>
          <w:highlight w:val="none"/>
          <w:vertAlign w:val="superscript"/>
          <w:lang w:val="en-US" w:eastAsia="zh-CN"/>
        </w:rPr>
        <w:t>3</w:t>
      </w:r>
      <w:r>
        <w:rPr>
          <w:rFonts w:hint="eastAsia" w:ascii="Times New Roman" w:hAnsi="Times New Roman" w:cs="Times New Roman"/>
          <w:color w:val="000000"/>
          <w:kern w:val="2"/>
          <w:sz w:val="24"/>
          <w:szCs w:val="24"/>
          <w:highlight w:val="none"/>
          <w:lang w:val="en-US" w:eastAsia="zh-CN"/>
        </w:rPr>
        <w:t>，满足《石油化学工业污染物排放标准》（GB31571-2015，含2024年修改单）中表6特征污染物排放限值（甲醇50mg/m</w:t>
      </w:r>
      <w:r>
        <w:rPr>
          <w:rFonts w:hint="eastAsia" w:ascii="Times New Roman" w:hAnsi="Times New Roman" w:cs="Times New Roman"/>
          <w:color w:val="000000"/>
          <w:kern w:val="2"/>
          <w:sz w:val="24"/>
          <w:szCs w:val="24"/>
          <w:highlight w:val="none"/>
          <w:vertAlign w:val="superscript"/>
          <w:lang w:val="en-US" w:eastAsia="zh-CN"/>
        </w:rPr>
        <w:t>3</w:t>
      </w:r>
      <w:r>
        <w:rPr>
          <w:rFonts w:hint="eastAsia" w:ascii="Times New Roman" w:hAnsi="Times New Roman" w:cs="Times New Roman"/>
          <w:color w:val="000000"/>
          <w:kern w:val="2"/>
          <w:sz w:val="24"/>
          <w:szCs w:val="24"/>
          <w:highlight w:val="none"/>
          <w:lang w:val="en-US" w:eastAsia="zh-CN"/>
        </w:rPr>
        <w:t>）要求；非甲烷总烃放浓度为1.26mg/m</w:t>
      </w:r>
      <w:r>
        <w:rPr>
          <w:rFonts w:hint="eastAsia" w:ascii="Times New Roman" w:hAnsi="Times New Roman" w:cs="Times New Roman"/>
          <w:color w:val="000000"/>
          <w:kern w:val="2"/>
          <w:sz w:val="24"/>
          <w:szCs w:val="24"/>
          <w:highlight w:val="none"/>
          <w:vertAlign w:val="superscript"/>
          <w:lang w:val="en-US" w:eastAsia="zh-CN"/>
        </w:rPr>
        <w:t>3</w:t>
      </w:r>
      <w:r>
        <w:rPr>
          <w:rFonts w:hint="eastAsia" w:ascii="Times New Roman" w:hAnsi="Times New Roman" w:cs="Times New Roman"/>
          <w:color w:val="000000"/>
          <w:kern w:val="2"/>
          <w:sz w:val="24"/>
          <w:szCs w:val="24"/>
          <w:highlight w:val="none"/>
          <w:lang w:val="en-US" w:eastAsia="zh-CN"/>
        </w:rPr>
        <w:t>，去除效率97%，能够满足《石油化学工业污染物排放标准》（GB31571-2015，含2024年修改单）中表5特别排放限值（非甲烷总烃去除效率≥97%）要求。</w:t>
      </w:r>
    </w:p>
    <w:p w14:paraId="719F7658">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1）处理工艺对比</w:t>
      </w:r>
    </w:p>
    <w:p w14:paraId="58D76DDB">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对于有机废气，通常采用低温凝结方式进行捕集收集；对于处理规模大、污染物浓度较高、无回收价值、难降解废气的处理，可综合采用吸收法、吸附法、燃烧法等废气处理工艺。几种有机废气治理工艺主要优缺点见下表8.2-1。</w:t>
      </w:r>
    </w:p>
    <w:p w14:paraId="6B2D3876">
      <w:pPr>
        <w:ind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表 </w:t>
      </w:r>
      <w:r>
        <w:rPr>
          <w:rFonts w:hint="eastAsia" w:ascii="Times New Roman" w:hAnsi="Times New Roman" w:cs="Times New Roman"/>
          <w:b/>
          <w:bCs/>
          <w:sz w:val="24"/>
          <w:szCs w:val="24"/>
          <w:lang w:eastAsia="zh-CN"/>
        </w:rPr>
        <w:t>8.</w:t>
      </w:r>
      <w:r>
        <w:rPr>
          <w:rFonts w:hint="default" w:ascii="Times New Roman" w:hAnsi="Times New Roman" w:cs="Times New Roman"/>
          <w:b/>
          <w:bCs/>
          <w:sz w:val="24"/>
          <w:szCs w:val="24"/>
        </w:rPr>
        <w:t>2-</w:t>
      </w:r>
      <w:r>
        <w:rPr>
          <w:rFonts w:hint="eastAsia" w:ascii="Times New Roman" w:hAnsi="Times New Roman" w:cs="Times New Roman"/>
          <w:b/>
          <w:bCs/>
          <w:sz w:val="24"/>
          <w:szCs w:val="24"/>
          <w:lang w:val="en-US" w:eastAsia="zh-CN"/>
        </w:rPr>
        <w:t>1</w:t>
      </w:r>
      <w:r>
        <w:rPr>
          <w:rFonts w:hint="default" w:ascii="Times New Roman" w:hAnsi="Times New Roman" w:cs="Times New Roman"/>
          <w:b/>
          <w:bCs/>
          <w:sz w:val="24"/>
          <w:szCs w:val="24"/>
        </w:rPr>
        <w:t xml:space="preserve">   几种废气治理工艺比较</w:t>
      </w:r>
    </w:p>
    <w:tbl>
      <w:tblPr>
        <w:tblStyle w:val="49"/>
        <w:tblW w:w="500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98"/>
        <w:gridCol w:w="1849"/>
        <w:gridCol w:w="2588"/>
        <w:gridCol w:w="2685"/>
      </w:tblGrid>
      <w:tr w14:paraId="16508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jc w:val="center"/>
        </w:trPr>
        <w:tc>
          <w:tcPr>
            <w:tcW w:w="720" w:type="pct"/>
            <w:vAlign w:val="center"/>
          </w:tcPr>
          <w:p w14:paraId="6BEC874B">
            <w:pPr>
              <w:pStyle w:val="32"/>
              <w:rPr>
                <w:lang w:eastAsia="en-US"/>
              </w:rPr>
            </w:pPr>
            <w:r>
              <w:rPr>
                <w:lang w:eastAsia="en-US"/>
              </w:rPr>
              <w:t>处理技术</w:t>
            </w:r>
          </w:p>
        </w:tc>
        <w:tc>
          <w:tcPr>
            <w:tcW w:w="1111" w:type="pct"/>
            <w:vAlign w:val="center"/>
          </w:tcPr>
          <w:p w14:paraId="3FD68A36">
            <w:pPr>
              <w:pStyle w:val="32"/>
              <w:rPr>
                <w:lang w:eastAsia="en-US"/>
              </w:rPr>
            </w:pPr>
            <w:r>
              <w:rPr>
                <w:lang w:eastAsia="en-US"/>
              </w:rPr>
              <w:t>适用范围</w:t>
            </w:r>
          </w:p>
        </w:tc>
        <w:tc>
          <w:tcPr>
            <w:tcW w:w="1555" w:type="pct"/>
            <w:vAlign w:val="center"/>
          </w:tcPr>
          <w:p w14:paraId="3F88FA66">
            <w:pPr>
              <w:pStyle w:val="32"/>
              <w:rPr>
                <w:lang w:eastAsia="en-US"/>
              </w:rPr>
            </w:pPr>
            <w:r>
              <w:rPr>
                <w:lang w:eastAsia="en-US"/>
              </w:rPr>
              <w:t>优点</w:t>
            </w:r>
          </w:p>
        </w:tc>
        <w:tc>
          <w:tcPr>
            <w:tcW w:w="1613" w:type="pct"/>
            <w:vAlign w:val="center"/>
          </w:tcPr>
          <w:p w14:paraId="02D86EBE">
            <w:pPr>
              <w:pStyle w:val="32"/>
              <w:rPr>
                <w:lang w:eastAsia="en-US"/>
              </w:rPr>
            </w:pPr>
            <w:r>
              <w:rPr>
                <w:lang w:eastAsia="en-US"/>
              </w:rPr>
              <w:t>缺点</w:t>
            </w:r>
          </w:p>
        </w:tc>
      </w:tr>
      <w:tr w14:paraId="4BE3E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jc w:val="center"/>
        </w:trPr>
        <w:tc>
          <w:tcPr>
            <w:tcW w:w="720" w:type="pct"/>
            <w:vAlign w:val="center"/>
          </w:tcPr>
          <w:p w14:paraId="72BB84BB">
            <w:pPr>
              <w:pStyle w:val="32"/>
              <w:rPr>
                <w:lang w:eastAsia="en-US"/>
              </w:rPr>
            </w:pPr>
            <w:r>
              <w:rPr>
                <w:lang w:eastAsia="en-US"/>
              </w:rPr>
              <w:t>冷凝法</w:t>
            </w:r>
          </w:p>
        </w:tc>
        <w:tc>
          <w:tcPr>
            <w:tcW w:w="1111" w:type="pct"/>
            <w:vAlign w:val="center"/>
          </w:tcPr>
          <w:p w14:paraId="307F73BE">
            <w:pPr>
              <w:pStyle w:val="32"/>
            </w:pPr>
            <w:r>
              <w:t>高浓度、高沸点、小气量、单组分</w:t>
            </w:r>
          </w:p>
        </w:tc>
        <w:tc>
          <w:tcPr>
            <w:tcW w:w="1555" w:type="pct"/>
            <w:vAlign w:val="center"/>
          </w:tcPr>
          <w:p w14:paraId="524C656B">
            <w:pPr>
              <w:pStyle w:val="32"/>
            </w:pPr>
            <w:r>
              <w:t>对高浓度单组分废气的处理费用低，回收率高</w:t>
            </w:r>
          </w:p>
        </w:tc>
        <w:tc>
          <w:tcPr>
            <w:tcW w:w="1613" w:type="pct"/>
            <w:vAlign w:val="center"/>
          </w:tcPr>
          <w:p w14:paraId="5DA4DE3D">
            <w:pPr>
              <w:pStyle w:val="32"/>
            </w:pPr>
            <w:r>
              <w:t>工艺复杂，对中高浓度废气回收率低，低浓度废气处理费用高</w:t>
            </w:r>
          </w:p>
        </w:tc>
      </w:tr>
      <w:tr w14:paraId="527C6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jc w:val="center"/>
        </w:trPr>
        <w:tc>
          <w:tcPr>
            <w:tcW w:w="720" w:type="pct"/>
            <w:vAlign w:val="center"/>
          </w:tcPr>
          <w:p w14:paraId="4BB5AEA8">
            <w:pPr>
              <w:pStyle w:val="32"/>
              <w:rPr>
                <w:lang w:eastAsia="en-US"/>
              </w:rPr>
            </w:pPr>
            <w:r>
              <w:rPr>
                <w:lang w:eastAsia="en-US"/>
              </w:rPr>
              <w:t>吸收法</w:t>
            </w:r>
          </w:p>
        </w:tc>
        <w:tc>
          <w:tcPr>
            <w:tcW w:w="1111" w:type="pct"/>
            <w:vAlign w:val="center"/>
          </w:tcPr>
          <w:p w14:paraId="04D051CE">
            <w:pPr>
              <w:pStyle w:val="32"/>
            </w:pPr>
            <w:r>
              <w:t>大气量、高浓度、低温度、高压力</w:t>
            </w:r>
          </w:p>
        </w:tc>
        <w:tc>
          <w:tcPr>
            <w:tcW w:w="1555" w:type="pct"/>
            <w:vAlign w:val="center"/>
          </w:tcPr>
          <w:p w14:paraId="37333F51">
            <w:pPr>
              <w:pStyle w:val="32"/>
            </w:pPr>
            <w:r>
              <w:t>去除效率高、处理气量大、工艺成熟</w:t>
            </w:r>
          </w:p>
        </w:tc>
        <w:tc>
          <w:tcPr>
            <w:tcW w:w="1613" w:type="pct"/>
            <w:vAlign w:val="center"/>
          </w:tcPr>
          <w:p w14:paraId="4B73D3DE">
            <w:pPr>
              <w:pStyle w:val="32"/>
            </w:pPr>
            <w:r>
              <w:t>高温废气需降温、压力低时净化效率低、吸收剂需回收、易形成二次污染</w:t>
            </w:r>
          </w:p>
        </w:tc>
      </w:tr>
      <w:tr w14:paraId="2C2F4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720" w:type="pct"/>
            <w:vAlign w:val="center"/>
          </w:tcPr>
          <w:p w14:paraId="62CA8A46">
            <w:pPr>
              <w:pStyle w:val="32"/>
              <w:rPr>
                <w:lang w:eastAsia="en-US"/>
              </w:rPr>
            </w:pPr>
            <w:r>
              <w:rPr>
                <w:lang w:eastAsia="en-US"/>
              </w:rPr>
              <w:t>吸附法</w:t>
            </w:r>
          </w:p>
        </w:tc>
        <w:tc>
          <w:tcPr>
            <w:tcW w:w="1111" w:type="pct"/>
            <w:vAlign w:val="center"/>
          </w:tcPr>
          <w:p w14:paraId="62178D28">
            <w:pPr>
              <w:pStyle w:val="32"/>
            </w:pPr>
            <w:r>
              <w:t>大气量、低浓度、净化要求高的废气</w:t>
            </w:r>
          </w:p>
        </w:tc>
        <w:tc>
          <w:tcPr>
            <w:tcW w:w="1555" w:type="pct"/>
            <w:vAlign w:val="center"/>
          </w:tcPr>
          <w:p w14:paraId="0ACC8BCB">
            <w:pPr>
              <w:pStyle w:val="32"/>
            </w:pPr>
            <w:r>
              <w:t>可处理复杂组分的VOCs、应用范围广、处理效率高</w:t>
            </w:r>
          </w:p>
        </w:tc>
        <w:tc>
          <w:tcPr>
            <w:tcW w:w="1613" w:type="pct"/>
            <w:vAlign w:val="center"/>
          </w:tcPr>
          <w:p w14:paraId="4F368CA4">
            <w:pPr>
              <w:pStyle w:val="32"/>
              <w:rPr>
                <w:lang w:eastAsia="en-US"/>
              </w:rPr>
            </w:pPr>
            <w:r>
              <w:rPr>
                <w:lang w:eastAsia="en-US"/>
              </w:rPr>
              <w:t>运行费用高</w:t>
            </w:r>
          </w:p>
        </w:tc>
      </w:tr>
      <w:tr w14:paraId="45138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jc w:val="center"/>
        </w:trPr>
        <w:tc>
          <w:tcPr>
            <w:tcW w:w="720" w:type="pct"/>
            <w:vAlign w:val="center"/>
          </w:tcPr>
          <w:p w14:paraId="043C88D8">
            <w:pPr>
              <w:pStyle w:val="32"/>
              <w:rPr>
                <w:lang w:eastAsia="en-US"/>
              </w:rPr>
            </w:pPr>
            <w:r>
              <w:rPr>
                <w:lang w:eastAsia="en-US"/>
              </w:rPr>
              <w:t>燃烧法</w:t>
            </w:r>
          </w:p>
        </w:tc>
        <w:tc>
          <w:tcPr>
            <w:tcW w:w="1111" w:type="pct"/>
            <w:vAlign w:val="center"/>
          </w:tcPr>
          <w:p w14:paraId="323446BB">
            <w:pPr>
              <w:pStyle w:val="32"/>
            </w:pPr>
            <w:r>
              <w:t>成分复杂、高浓度、小气量</w:t>
            </w:r>
          </w:p>
        </w:tc>
        <w:tc>
          <w:tcPr>
            <w:tcW w:w="1555" w:type="pct"/>
            <w:vAlign w:val="center"/>
          </w:tcPr>
          <w:p w14:paraId="636049C4">
            <w:pPr>
              <w:pStyle w:val="32"/>
            </w:pPr>
            <w:r>
              <w:t>去除效率高、工艺简单</w:t>
            </w:r>
          </w:p>
        </w:tc>
        <w:tc>
          <w:tcPr>
            <w:tcW w:w="1613" w:type="pct"/>
            <w:vAlign w:val="center"/>
          </w:tcPr>
          <w:p w14:paraId="7E15B578">
            <w:pPr>
              <w:pStyle w:val="32"/>
            </w:pPr>
            <w:r>
              <w:t>投资运行成本高、设备易腐</w:t>
            </w:r>
          </w:p>
          <w:p w14:paraId="133F44AE">
            <w:pPr>
              <w:pStyle w:val="32"/>
            </w:pPr>
            <w:r>
              <w:t>蚀、操作安全性差、产生二</w:t>
            </w:r>
          </w:p>
          <w:p w14:paraId="09799F7B">
            <w:pPr>
              <w:pStyle w:val="32"/>
              <w:rPr>
                <w:lang w:eastAsia="en-US"/>
              </w:rPr>
            </w:pPr>
            <w:r>
              <w:rPr>
                <w:lang w:eastAsia="en-US"/>
              </w:rPr>
              <w:t>次污染</w:t>
            </w:r>
          </w:p>
        </w:tc>
      </w:tr>
      <w:tr w14:paraId="60CB5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jc w:val="center"/>
        </w:trPr>
        <w:tc>
          <w:tcPr>
            <w:tcW w:w="720" w:type="pct"/>
            <w:vAlign w:val="center"/>
          </w:tcPr>
          <w:p w14:paraId="099D3335">
            <w:pPr>
              <w:pStyle w:val="32"/>
              <w:rPr>
                <w:lang w:eastAsia="en-US"/>
              </w:rPr>
            </w:pPr>
            <w:r>
              <w:rPr>
                <w:lang w:eastAsia="en-US"/>
              </w:rPr>
              <w:t>生物法</w:t>
            </w:r>
          </w:p>
        </w:tc>
        <w:tc>
          <w:tcPr>
            <w:tcW w:w="1111" w:type="pct"/>
            <w:vAlign w:val="center"/>
          </w:tcPr>
          <w:p w14:paraId="419ED28D">
            <w:pPr>
              <w:pStyle w:val="32"/>
              <w:rPr>
                <w:lang w:eastAsia="en-US"/>
              </w:rPr>
            </w:pPr>
            <w:r>
              <w:rPr>
                <w:lang w:eastAsia="en-US"/>
              </w:rPr>
              <w:t>中低浓度，大气量</w:t>
            </w:r>
          </w:p>
          <w:p w14:paraId="6AF2B03E">
            <w:pPr>
              <w:pStyle w:val="32"/>
              <w:rPr>
                <w:lang w:eastAsia="en-US"/>
              </w:rPr>
            </w:pPr>
            <w:r>
              <w:rPr>
                <w:lang w:eastAsia="en-US"/>
              </w:rPr>
              <w:t>可生物降解的VOCs</w:t>
            </w:r>
          </w:p>
        </w:tc>
        <w:tc>
          <w:tcPr>
            <w:tcW w:w="1555" w:type="pct"/>
            <w:vAlign w:val="center"/>
          </w:tcPr>
          <w:p w14:paraId="55B614FA">
            <w:pPr>
              <w:pStyle w:val="32"/>
            </w:pPr>
            <w:r>
              <w:t>适用范围广，处理效率高，工艺简单，费用低，无二次污染</w:t>
            </w:r>
          </w:p>
        </w:tc>
        <w:tc>
          <w:tcPr>
            <w:tcW w:w="1613" w:type="pct"/>
            <w:vAlign w:val="center"/>
          </w:tcPr>
          <w:p w14:paraId="06266CD4">
            <w:pPr>
              <w:pStyle w:val="32"/>
            </w:pPr>
            <w:r>
              <w:t>对高浓度，生物降解性差的VOCs 去除率低</w:t>
            </w:r>
          </w:p>
        </w:tc>
      </w:tr>
      <w:tr w14:paraId="15C2E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jc w:val="center"/>
        </w:trPr>
        <w:tc>
          <w:tcPr>
            <w:tcW w:w="720" w:type="pct"/>
            <w:vAlign w:val="center"/>
          </w:tcPr>
          <w:p w14:paraId="55461ADA">
            <w:pPr>
              <w:pStyle w:val="32"/>
              <w:rPr>
                <w:lang w:eastAsia="en-US"/>
              </w:rPr>
            </w:pPr>
            <w:r>
              <w:rPr>
                <w:lang w:eastAsia="en-US"/>
              </w:rPr>
              <w:t>微波等离子光催化氧化</w:t>
            </w:r>
          </w:p>
        </w:tc>
        <w:tc>
          <w:tcPr>
            <w:tcW w:w="1111" w:type="pct"/>
            <w:vAlign w:val="center"/>
          </w:tcPr>
          <w:p w14:paraId="2E296AD4">
            <w:pPr>
              <w:pStyle w:val="32"/>
            </w:pPr>
            <w:r>
              <w:t>常温，高浓度、气量大、稳定性强的有毒有害气体</w:t>
            </w:r>
          </w:p>
        </w:tc>
        <w:tc>
          <w:tcPr>
            <w:tcW w:w="1555" w:type="pct"/>
            <w:vAlign w:val="center"/>
          </w:tcPr>
          <w:p w14:paraId="2CCDAE1D">
            <w:pPr>
              <w:pStyle w:val="32"/>
            </w:pPr>
            <w:r>
              <w:t>处理效率高、设备体积小、灯管无需更换运行费用低、无二次污染</w:t>
            </w:r>
          </w:p>
        </w:tc>
        <w:tc>
          <w:tcPr>
            <w:tcW w:w="1613" w:type="pct"/>
            <w:vAlign w:val="center"/>
          </w:tcPr>
          <w:p w14:paraId="6824D17C">
            <w:pPr>
              <w:pStyle w:val="32"/>
            </w:pPr>
            <w:r>
              <w:t>尚处于研发阶段，不能处理酸性气体，容易影响设备的使用寿命。</w:t>
            </w:r>
          </w:p>
        </w:tc>
      </w:tr>
    </w:tbl>
    <w:p w14:paraId="73929797">
      <w:pPr>
        <w:pStyle w:val="95"/>
      </w:pPr>
    </w:p>
    <w:p w14:paraId="696C7FD0">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①冷凝法</w:t>
      </w:r>
    </w:p>
    <w:p w14:paraId="75B53510">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参照《制药工业污染防治可行技术指南原料药（发酵类、化学合成类、提取类）和制剂类》（HJ1305-2023），有机废气处理技术包含冷凝法，该技术适用于高浓度（VOCs浓度大于5000mg/m</w:t>
      </w:r>
      <w:r>
        <w:rPr>
          <w:rFonts w:hint="eastAsia" w:ascii="Times New Roman" w:hAnsi="Times New Roman" w:cs="Times New Roman"/>
          <w:color w:val="000000"/>
          <w:kern w:val="2"/>
          <w:sz w:val="24"/>
          <w:szCs w:val="24"/>
          <w:highlight w:val="none"/>
          <w:vertAlign w:val="superscript"/>
          <w:lang w:val="en-US" w:eastAsia="zh-CN"/>
        </w:rPr>
        <w:t>3</w:t>
      </w:r>
      <w:r>
        <w:rPr>
          <w:rFonts w:hint="eastAsia" w:ascii="Times New Roman" w:hAnsi="Times New Roman" w:cs="Times New Roman"/>
          <w:color w:val="000000"/>
          <w:kern w:val="2"/>
          <w:sz w:val="24"/>
          <w:szCs w:val="24"/>
          <w:highlight w:val="none"/>
          <w:lang w:val="en-US" w:eastAsia="zh-CN"/>
        </w:rPr>
        <w:t>）、高沸点、小风量、有回收价值的有机废气的治理。对于高浓度有回收价值的气体，可先冷凝回收（有机气体沸点越高越适宜），冷凝处理后的废气再进行末端处理，可组合吸附、吸收、燃烧等技术，VOCs去除率可达95%以上。</w:t>
      </w:r>
    </w:p>
    <w:p w14:paraId="11413223">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②水喷淋吸收</w:t>
      </w:r>
    </w:p>
    <w:p w14:paraId="0F079A14">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参照《制药工业污染防治可行技术指南原料药（发酵类、化学合成类、提取类）和制剂类》（HJ1305-2023），有机废气处理技术包含吸收法法，该技术适用于易被吸收剂吸收的有机废气的治理。水喷淋吸收原理为废气通过喷淋塔时，水雾形成密集的液滴，与废气中的颗粒物（如粉尘、微生物气溶胶）及部分水溶性污染物（如溶剂）接触。污染物被液滴吸附或溶解，可有效减少废气中的异味和污染物。</w:t>
      </w:r>
    </w:p>
    <w:p w14:paraId="2363D03F">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②酸喷淋吸收</w:t>
      </w:r>
    </w:p>
    <w:p w14:paraId="325092D3">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参照《制药工业污染防治可行技术指南原料药（发酵类、化学合成类、提取类）和制剂类》（HJ1305-2023），有机废气处理技术包含吸收法法，该技术适用于易被吸收剂吸收的有机废气的治理。常用吸收剂有酸性或碱性溶液、高沸点有机液体、水等，吸收液再进行精馏回收或作为废水处理。典型的技术路线为“吸收+回收”、“吸收+活性炭吸附”、“化学氧化（臭氧/次氯酸钠）+吸收”。</w:t>
      </w:r>
    </w:p>
    <w:p w14:paraId="5608378A">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“吸收+回收”适用于VOCs浓度大于1000mg/m</w:t>
      </w:r>
      <w:r>
        <w:rPr>
          <w:rFonts w:hint="eastAsia" w:ascii="Times New Roman" w:hAnsi="Times New Roman" w:cs="Times New Roman"/>
          <w:color w:val="000000"/>
          <w:kern w:val="2"/>
          <w:sz w:val="24"/>
          <w:szCs w:val="24"/>
          <w:highlight w:val="none"/>
          <w:vertAlign w:val="superscript"/>
          <w:lang w:val="en-US" w:eastAsia="zh-CN"/>
        </w:rPr>
        <w:t>3</w:t>
      </w:r>
      <w:r>
        <w:rPr>
          <w:rFonts w:hint="eastAsia" w:ascii="Times New Roman" w:hAnsi="Times New Roman" w:cs="Times New Roman"/>
          <w:color w:val="000000"/>
          <w:kern w:val="2"/>
          <w:sz w:val="24"/>
          <w:szCs w:val="24"/>
          <w:highlight w:val="none"/>
          <w:lang w:val="en-US" w:eastAsia="zh-CN"/>
        </w:rPr>
        <w:t>、有回收价值的有机废气的治理，VOCs去除率可达95%以上；“吸收+活性炭吸附”、“化学氧化（臭氧/次氯酸钠）+吸收”，适用于VOCs浓度小于1000mg/m</w:t>
      </w:r>
      <w:r>
        <w:rPr>
          <w:rFonts w:hint="eastAsia" w:ascii="Times New Roman" w:hAnsi="Times New Roman" w:cs="Times New Roman"/>
          <w:color w:val="000000"/>
          <w:kern w:val="2"/>
          <w:sz w:val="24"/>
          <w:szCs w:val="24"/>
          <w:highlight w:val="none"/>
          <w:vertAlign w:val="superscript"/>
          <w:lang w:val="en-US" w:eastAsia="zh-CN"/>
        </w:rPr>
        <w:t>3</w:t>
      </w:r>
      <w:r>
        <w:rPr>
          <w:rFonts w:hint="eastAsia" w:ascii="Times New Roman" w:hAnsi="Times New Roman" w:cs="Times New Roman"/>
          <w:color w:val="000000"/>
          <w:kern w:val="2"/>
          <w:sz w:val="24"/>
          <w:szCs w:val="24"/>
          <w:highlight w:val="none"/>
          <w:lang w:val="en-US" w:eastAsia="zh-CN"/>
        </w:rPr>
        <w:t>的有机废气的治理，VOCs去除率可达85%以上。</w:t>
      </w:r>
    </w:p>
    <w:p w14:paraId="4AF50767">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③燃烧法</w:t>
      </w:r>
    </w:p>
    <w:p w14:paraId="700B6E6C">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该技术适用于VOCs浓度大于2000mg/m</w:t>
      </w:r>
      <w:r>
        <w:rPr>
          <w:rFonts w:hint="eastAsia" w:ascii="Times New Roman" w:hAnsi="Times New Roman" w:cs="Times New Roman"/>
          <w:color w:val="000000"/>
          <w:kern w:val="2"/>
          <w:sz w:val="24"/>
          <w:szCs w:val="24"/>
          <w:highlight w:val="none"/>
          <w:vertAlign w:val="superscript"/>
          <w:lang w:val="en-US" w:eastAsia="zh-CN"/>
        </w:rPr>
        <w:t>3</w:t>
      </w:r>
      <w:r>
        <w:rPr>
          <w:rFonts w:hint="eastAsia" w:ascii="Times New Roman" w:hAnsi="Times New Roman" w:cs="Times New Roman"/>
          <w:color w:val="000000"/>
          <w:kern w:val="2"/>
          <w:sz w:val="24"/>
          <w:szCs w:val="24"/>
          <w:highlight w:val="none"/>
          <w:lang w:val="en-US" w:eastAsia="zh-CN"/>
        </w:rPr>
        <w:t>，无回收价值或有较大异味的、采用常规处理技术难以有效净化处理的中高浓度有机废气治理。</w:t>
      </w:r>
    </w:p>
    <w:p w14:paraId="01B10EA9">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TO是采用燃烧的方法使废气中的VOCs反应转化为二氧化碳、水等。该技术适用于中高浓度VOCs废气的治理，不适合含氮化合物、含硫化合物、含卤素化合物的治理。热力燃烧技术多采用焚烧炉、锅炉或工艺加热炉等处理有机废气。该技术产生的高温废气宜进行热能回收，VOCs去除率可达90%以上。燃烧温度一般控制在680℃～820℃。根据《石油化学工业污染物排放标准》（GB31571-2015，含2024年修改单）中表5特别排放限值中相关内容“利用锅炉、工业炉窑、固废焚烧炉处理有机废气的，若有机废气引入火焰区进行处理，则等同于满足去除效率要求（97%）。”本项目甲醇制氢解吸气进入导热油炉进行燃烧，因此非甲烷总烃去除效率取97%。</w:t>
      </w:r>
    </w:p>
    <w:p w14:paraId="46840C5E">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2）本项目处理工艺选取</w:t>
      </w:r>
    </w:p>
    <w:p w14:paraId="751E2CA0">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①冷凝+水吸收+酸吸收+活性炭吸附装置处理有机污染物的可行性和可靠性分析</w:t>
      </w:r>
    </w:p>
    <w:p w14:paraId="32BF3AC2">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参照《制药工业污染防治可行技术指南原料药（发酵类、化学合成类、提取类）和制剂类》（HJ1305-2023）内容，“冷凝回收+吸附/吸收，适用于提取、精制、干燥、干燥、蒸馏、合成反应、分离、溶剂回收等工序产生的中高浓度有机废气的处理，TVOC＞1000mg/m</w:t>
      </w:r>
      <w:r>
        <w:rPr>
          <w:rFonts w:hint="eastAsia" w:ascii="Times New Roman" w:hAnsi="Times New Roman" w:cs="Times New Roman"/>
          <w:color w:val="000000"/>
          <w:kern w:val="2"/>
          <w:sz w:val="24"/>
          <w:szCs w:val="24"/>
          <w:highlight w:val="none"/>
          <w:vertAlign w:val="superscript"/>
          <w:lang w:val="en-US" w:eastAsia="zh-CN"/>
        </w:rPr>
        <w:t>3</w:t>
      </w:r>
      <w:r>
        <w:rPr>
          <w:rFonts w:hint="eastAsia" w:ascii="Times New Roman" w:hAnsi="Times New Roman" w:cs="Times New Roman"/>
          <w:color w:val="000000"/>
          <w:kern w:val="2"/>
          <w:sz w:val="24"/>
          <w:szCs w:val="24"/>
          <w:highlight w:val="none"/>
          <w:lang w:val="en-US" w:eastAsia="zh-CN"/>
        </w:rPr>
        <w:t>。”</w:t>
      </w:r>
    </w:p>
    <w:p w14:paraId="7623C5FC">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本项目进入2#尾气处理装置的废气污染物主要为甲醇、乙醇、氨气、较高沸点的产品及中间品，首先采用两级冷凝回收废气中较高沸点的产品及中间品；再采用一级水吸收+一级酸吸收处理甲醇、乙醇、氨气，其中甲醇、乙醇与水混溶，氨气极易溶于水，同时氨属于碱性物质，因此一级水吸收+一级酸吸收对这三种物质均具有良好处理效果；吸收后废气再采用两级活性炭吸附工艺吸附剩余的有机废气。本项目采用多级串联方式处理废气，其中冷凝采用两级循环水串联冷凝工艺，吸收工艺采用“一级水吸收+一级碱吸收”串联工艺，活性炭吸附采用两级活性炭串联吸附工艺，对废气有较好的处理效果，因此本次评价对氨气去除效率取99%、甲醇去除效率取99%、非甲烷总烃去除效率取97%是可行的。</w:t>
      </w:r>
    </w:p>
    <w:p w14:paraId="18EFF445">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本项目进入3#尾气处理装置的废气污染物主要为乙醇（非甲烷总烃）、颗粒物等，由于废气中包含颗粒物，且颗粒物浓度为12mg/m</w:t>
      </w:r>
      <w:r>
        <w:rPr>
          <w:rFonts w:hint="eastAsia" w:ascii="Times New Roman" w:hAnsi="Times New Roman" w:cs="Times New Roman"/>
          <w:color w:val="000000"/>
          <w:kern w:val="2"/>
          <w:sz w:val="24"/>
          <w:szCs w:val="24"/>
          <w:highlight w:val="none"/>
          <w:vertAlign w:val="superscript"/>
          <w:lang w:val="en-US" w:eastAsia="zh-CN"/>
        </w:rPr>
        <w:t>3</w:t>
      </w:r>
      <w:r>
        <w:rPr>
          <w:rFonts w:hint="eastAsia" w:ascii="Times New Roman" w:hAnsi="Times New Roman" w:cs="Times New Roman"/>
          <w:color w:val="000000"/>
          <w:kern w:val="2"/>
          <w:sz w:val="24"/>
          <w:szCs w:val="24"/>
          <w:highlight w:val="none"/>
          <w:lang w:val="en-US" w:eastAsia="zh-CN"/>
        </w:rPr>
        <w:t>＞1mg/m</w:t>
      </w:r>
      <w:r>
        <w:rPr>
          <w:rFonts w:hint="eastAsia" w:ascii="Times New Roman" w:hAnsi="Times New Roman" w:cs="Times New Roman"/>
          <w:color w:val="000000"/>
          <w:kern w:val="2"/>
          <w:sz w:val="24"/>
          <w:szCs w:val="24"/>
          <w:highlight w:val="none"/>
          <w:vertAlign w:val="superscript"/>
          <w:lang w:val="en-US" w:eastAsia="zh-CN"/>
        </w:rPr>
        <w:t>3</w:t>
      </w:r>
      <w:r>
        <w:rPr>
          <w:rFonts w:hint="eastAsia" w:ascii="Times New Roman" w:hAnsi="Times New Roman" w:cs="Times New Roman"/>
          <w:color w:val="000000"/>
          <w:kern w:val="2"/>
          <w:sz w:val="24"/>
          <w:szCs w:val="24"/>
          <w:highlight w:val="none"/>
          <w:vertAlign w:val="baseline"/>
          <w:lang w:val="en-US" w:eastAsia="zh-CN"/>
        </w:rPr>
        <w:t>，因此不适宜采用活性炭吸附工艺；同时乙醇回收废气在进入</w:t>
      </w:r>
      <w:r>
        <w:rPr>
          <w:rFonts w:hint="eastAsia" w:ascii="Times New Roman" w:hAnsi="Times New Roman" w:cs="Times New Roman"/>
          <w:color w:val="000000"/>
          <w:kern w:val="2"/>
          <w:sz w:val="24"/>
          <w:szCs w:val="24"/>
          <w:highlight w:val="none"/>
          <w:lang w:val="en-US" w:eastAsia="zh-CN"/>
        </w:rPr>
        <w:t>3#尾气处理装置前已采用冷冻水冷凝工艺，因此不需再设置冷凝处理工艺。</w:t>
      </w:r>
      <w:r>
        <w:rPr>
          <w:rFonts w:hint="eastAsia" w:ascii="Times New Roman" w:hAnsi="Times New Roman" w:cs="Times New Roman"/>
          <w:color w:val="000000"/>
          <w:kern w:val="2"/>
          <w:sz w:val="24"/>
          <w:szCs w:val="24"/>
          <w:highlight w:val="none"/>
          <w:vertAlign w:val="baseline"/>
          <w:lang w:val="en-US" w:eastAsia="zh-CN"/>
        </w:rPr>
        <w:t>本项目</w:t>
      </w:r>
      <w:r>
        <w:rPr>
          <w:rFonts w:hint="eastAsia" w:ascii="Times New Roman" w:hAnsi="Times New Roman" w:cs="Times New Roman"/>
          <w:color w:val="000000"/>
          <w:kern w:val="2"/>
          <w:sz w:val="24"/>
          <w:szCs w:val="24"/>
          <w:highlight w:val="none"/>
          <w:lang w:val="en-US" w:eastAsia="zh-CN"/>
        </w:rPr>
        <w:t>3#尾气处理装置采用“两级水吸收+一级酸吸收”工艺处理废气中的有机废气，由于乙醇与水混溶，因此水吸收及酸吸收能够对其有效去除，且本项目采用三级吸收串联工艺，因此本项目对非甲烷总烃去除效率取98%是合利的。</w:t>
      </w:r>
    </w:p>
    <w:p w14:paraId="31BB1509">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②燃烧技术可行性论证</w:t>
      </w:r>
    </w:p>
    <w:p w14:paraId="736396C2">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本项目甲醇制氢解吸气中主要成分为CO、H</w:t>
      </w:r>
      <w:r>
        <w:rPr>
          <w:rFonts w:hint="eastAsia" w:ascii="Times New Roman" w:hAnsi="Times New Roman" w:cs="Times New Roman"/>
          <w:color w:val="000000"/>
          <w:kern w:val="2"/>
          <w:sz w:val="24"/>
          <w:szCs w:val="24"/>
          <w:highlight w:val="none"/>
          <w:vertAlign w:val="subscript"/>
          <w:lang w:val="en-US" w:eastAsia="zh-CN"/>
        </w:rPr>
        <w:t>2</w:t>
      </w:r>
      <w:r>
        <w:rPr>
          <w:rFonts w:hint="eastAsia" w:ascii="Times New Roman" w:hAnsi="Times New Roman" w:cs="Times New Roman"/>
          <w:color w:val="000000"/>
          <w:kern w:val="2"/>
          <w:sz w:val="24"/>
          <w:szCs w:val="24"/>
          <w:highlight w:val="none"/>
          <w:lang w:val="en-US" w:eastAsia="zh-CN"/>
        </w:rPr>
        <w:t>、CO</w:t>
      </w:r>
      <w:r>
        <w:rPr>
          <w:rFonts w:hint="eastAsia" w:ascii="Times New Roman" w:hAnsi="Times New Roman" w:cs="Times New Roman"/>
          <w:color w:val="000000"/>
          <w:kern w:val="2"/>
          <w:sz w:val="24"/>
          <w:szCs w:val="24"/>
          <w:highlight w:val="none"/>
          <w:vertAlign w:val="subscript"/>
          <w:lang w:val="en-US" w:eastAsia="zh-CN"/>
        </w:rPr>
        <w:t>2</w:t>
      </w:r>
      <w:r>
        <w:rPr>
          <w:rFonts w:hint="eastAsia" w:ascii="Times New Roman" w:hAnsi="Times New Roman" w:cs="Times New Roman"/>
          <w:color w:val="000000"/>
          <w:kern w:val="2"/>
          <w:sz w:val="24"/>
          <w:szCs w:val="24"/>
          <w:highlight w:val="none"/>
          <w:lang w:val="en-US" w:eastAsia="zh-CN"/>
        </w:rPr>
        <w:t>、甲醇、甲烷等，其中CO、H</w:t>
      </w:r>
      <w:r>
        <w:rPr>
          <w:rFonts w:hint="eastAsia" w:ascii="Times New Roman" w:hAnsi="Times New Roman" w:cs="Times New Roman"/>
          <w:color w:val="000000"/>
          <w:kern w:val="2"/>
          <w:sz w:val="24"/>
          <w:szCs w:val="24"/>
          <w:highlight w:val="none"/>
          <w:vertAlign w:val="subscript"/>
          <w:lang w:val="en-US" w:eastAsia="zh-CN"/>
        </w:rPr>
        <w:t>2</w:t>
      </w:r>
      <w:r>
        <w:rPr>
          <w:rFonts w:hint="eastAsia" w:ascii="Times New Roman" w:hAnsi="Times New Roman" w:cs="Times New Roman"/>
          <w:color w:val="000000"/>
          <w:kern w:val="2"/>
          <w:sz w:val="24"/>
          <w:szCs w:val="24"/>
          <w:highlight w:val="none"/>
          <w:vertAlign w:val="baseline"/>
          <w:lang w:val="en-US" w:eastAsia="zh-CN"/>
        </w:rPr>
        <w:t>、</w:t>
      </w:r>
      <w:r>
        <w:rPr>
          <w:rFonts w:hint="eastAsia" w:ascii="Times New Roman" w:hAnsi="Times New Roman" w:cs="Times New Roman"/>
          <w:color w:val="000000"/>
          <w:kern w:val="2"/>
          <w:sz w:val="24"/>
          <w:szCs w:val="24"/>
          <w:highlight w:val="none"/>
          <w:lang w:val="en-US" w:eastAsia="zh-CN"/>
        </w:rPr>
        <w:t>甲醇、甲烷均具有较高的热值，且极易燃烧，进入导热油炉进行燃烧，具有较好的去除效率，因此甲醇燃烧效率取97%是可行的。</w:t>
      </w:r>
    </w:p>
    <w:p w14:paraId="56AAF084">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（3）氨气处理措施</w:t>
      </w:r>
    </w:p>
    <w:p w14:paraId="6D6E5BB1">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本项目氨水储罐呼吸及装卸车废气、二级反应精馏真空不凝气中均含有氨气，进入2#尾气处理装置进行处理，处理后废气氨排放速率为0.004kg/h，能够满足《恶臭污染物排放标准》（GB14554-93）中表2标准（14kg/h）要求。</w:t>
      </w:r>
    </w:p>
    <w:p w14:paraId="591AA0B4">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参照《氮肥工业污染防治可行技术指南》（HJ1302-2023），氨治理技术主要包含湿法洗涤和无动力氨回收，其中湿法洗涤技术适用于含氨尾气的治理，无动力氨回收技术适用于含氨驰放气的治理。湿法洗涤技术采用水洗、稀氨水或者稀硫酸洗涤方式，本项目2#尾气处理装置采用一级水吸收+一级酸吸收处理氨气，属于湿法洗涤技术，因此本项目采用一级水吸收+一级酸吸收氨气是可行的。</w:t>
      </w:r>
    </w:p>
    <w:p w14:paraId="29293D8D">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（4）导热油炉废气处理措施</w:t>
      </w:r>
    </w:p>
    <w:p w14:paraId="52A08063">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本项目导热油炉废气采用“空气分级燃烧+烟气再循环”低氮燃烧技术，采用该措施后，导热油炉废气中</w:t>
      </w:r>
      <w:r>
        <w:rPr>
          <w:rFonts w:hint="eastAsia" w:ascii="Times New Roman" w:hAnsi="Times New Roman" w:eastAsia="宋体" w:cs="Times New Roman"/>
          <w:kern w:val="2"/>
          <w:sz w:val="24"/>
          <w:szCs w:val="24"/>
          <w:lang w:val="en-US" w:eastAsia="zh-CN" w:bidi="ar-SA"/>
        </w:rPr>
        <w:t>氮氧化物排放浓度为</w:t>
      </w:r>
      <w:r>
        <w:rPr>
          <w:rFonts w:hint="eastAsia" w:ascii="Times New Roman" w:hAnsi="Times New Roman" w:cs="Times New Roman"/>
          <w:kern w:val="2"/>
          <w:sz w:val="24"/>
          <w:szCs w:val="24"/>
          <w:lang w:val="en-US" w:eastAsia="zh-CN" w:bidi="ar-SA"/>
        </w:rPr>
        <w:t>5</w:t>
      </w:r>
      <w:r>
        <w:rPr>
          <w:rFonts w:hint="default" w:ascii="Times New Roman" w:hAnsi="Times New Roman" w:eastAsia="宋体" w:cs="Times New Roman"/>
          <w:kern w:val="2"/>
          <w:sz w:val="24"/>
          <w:szCs w:val="24"/>
          <w:lang w:val="en-US" w:eastAsia="zh-CN" w:bidi="ar-SA"/>
        </w:rPr>
        <w:t>0mg/m</w:t>
      </w:r>
      <w:r>
        <w:rPr>
          <w:rFonts w:hint="default" w:ascii="Times New Roman" w:hAnsi="Times New Roman" w:eastAsia="宋体" w:cs="Times New Roman"/>
          <w:kern w:val="2"/>
          <w:sz w:val="24"/>
          <w:szCs w:val="24"/>
          <w:vertAlign w:val="superscript"/>
          <w:lang w:val="en-US" w:eastAsia="zh-CN" w:bidi="ar-SA"/>
        </w:rPr>
        <w:t>3</w:t>
      </w:r>
      <w:r>
        <w:rPr>
          <w:rFonts w:hint="eastAsia" w:ascii="Times New Roman" w:hAnsi="Times New Roman" w:cs="Times New Roman"/>
          <w:kern w:val="2"/>
          <w:sz w:val="24"/>
          <w:szCs w:val="24"/>
          <w:vertAlign w:val="baseline"/>
          <w:lang w:val="en-US" w:eastAsia="zh-CN" w:bidi="ar-SA"/>
        </w:rPr>
        <w:t>，</w:t>
      </w:r>
      <w:r>
        <w:rPr>
          <w:rFonts w:hint="eastAsia" w:ascii="Times New Roman" w:hAnsi="Times New Roman" w:eastAsia="宋体" w:cs="Times New Roman"/>
          <w:color w:val="auto"/>
          <w:kern w:val="0"/>
          <w:sz w:val="24"/>
          <w:szCs w:val="24"/>
          <w:highlight w:val="none"/>
          <w:lang w:val="en-US" w:eastAsia="zh-CN" w:bidi="ar"/>
        </w:rPr>
        <w:t>满足《关于开展自治区2022年度夏秋季大气污染防治“冬病夏治”工作的通知》（新环大气函〔2022〕483号）中规定的排放限值50mg/m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cs="Times New Roman"/>
          <w:color w:val="auto"/>
          <w:kern w:val="0"/>
          <w:sz w:val="24"/>
          <w:szCs w:val="24"/>
          <w:highlight w:val="none"/>
          <w:lang w:val="en-US" w:eastAsia="zh-CN" w:bidi="ar"/>
        </w:rPr>
        <w:t>。</w:t>
      </w:r>
    </w:p>
    <w:p w14:paraId="49F485CE">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根据《工业锅炉污染防治可行技术指南》（HJ117-2021），氮氧化物排放控制宜优先采用低氮燃烧技术，若不能实现达标排放，应结合选择性催化还原法、选择性非催化还原法和SNCR-SCR联合法脱硝技术实现达标排放。</w:t>
      </w:r>
    </w:p>
    <w:p w14:paraId="05297F00">
      <w:pPr>
        <w:widowControl w:val="0"/>
        <w:numPr>
          <w:ilvl w:val="0"/>
          <w:numId w:val="0"/>
        </w:numPr>
        <w:spacing w:after="0" w:line="360" w:lineRule="auto"/>
        <w:ind w:firstLine="480"/>
        <w:jc w:val="both"/>
        <w:rPr>
          <w:rFonts w:hint="default"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本项目选用“空气分级燃烧+烟气再循环”低氮燃烧技术，属于《工业锅炉污染防治可行技术指南》（HJ117-2021）中可行技术，根据企业与导热油炉厂家达成协议，本项目导热油炉采用低氮燃烧技术后，氮氧化物的排放浓度低于</w:t>
      </w:r>
      <w:r>
        <w:rPr>
          <w:rFonts w:hint="eastAsia" w:ascii="Times New Roman" w:hAnsi="Times New Roman" w:eastAsia="宋体" w:cs="Times New Roman"/>
          <w:color w:val="auto"/>
          <w:kern w:val="0"/>
          <w:sz w:val="24"/>
          <w:szCs w:val="24"/>
          <w:highlight w:val="none"/>
          <w:lang w:val="en-US" w:eastAsia="zh-CN" w:bidi="ar"/>
        </w:rPr>
        <w:t>50mg/m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cs="Times New Roman"/>
          <w:color w:val="auto"/>
          <w:kern w:val="0"/>
          <w:sz w:val="24"/>
          <w:szCs w:val="24"/>
          <w:highlight w:val="none"/>
          <w:lang w:val="en-US" w:eastAsia="zh-CN" w:bidi="ar"/>
        </w:rPr>
        <w:t>。同时本项目为天然气导热油炉，颗粒物、二氧化硫及烟气黑度排放浓度较低，可直接达标排放。综上本项目导热油炉废气选用</w:t>
      </w:r>
      <w:r>
        <w:rPr>
          <w:rFonts w:hint="eastAsia" w:ascii="Times New Roman" w:hAnsi="Times New Roman" w:cs="Times New Roman"/>
          <w:color w:val="000000"/>
          <w:kern w:val="2"/>
          <w:sz w:val="24"/>
          <w:szCs w:val="24"/>
          <w:highlight w:val="none"/>
          <w:lang w:val="en-US" w:eastAsia="zh-CN"/>
        </w:rPr>
        <w:t>“空气分级燃烧+烟气再循环”低氮燃烧技术是可行的。</w:t>
      </w:r>
    </w:p>
    <w:p w14:paraId="5B99547C">
      <w:pPr>
        <w:keepNext w:val="0"/>
        <w:keepLines w:val="0"/>
        <w:widowControl w:val="0"/>
        <w:bidi w:val="0"/>
        <w:spacing w:before="0" w:after="0" w:line="360" w:lineRule="auto"/>
        <w:jc w:val="both"/>
        <w:outlineLvl w:val="2"/>
        <w:rPr>
          <w:rFonts w:hint="default" w:ascii="Times New Roman" w:hAnsi="Times New Roman" w:eastAsia="宋体" w:cs="Times New Roman"/>
          <w:b/>
          <w:bCs/>
          <w:sz w:val="28"/>
          <w:szCs w:val="28"/>
          <w:lang w:val="en-US" w:eastAsia="zh-CN" w:bidi="ar-SA"/>
        </w:rPr>
      </w:pPr>
      <w:r>
        <w:rPr>
          <w:rFonts w:hint="eastAsia" w:ascii="Times New Roman" w:hAnsi="Times New Roman" w:cs="Times New Roman"/>
          <w:b/>
          <w:bCs/>
          <w:sz w:val="28"/>
          <w:szCs w:val="28"/>
          <w:lang w:val="en-US" w:eastAsia="zh-CN" w:bidi="ar-SA"/>
        </w:rPr>
        <w:t>8.</w:t>
      </w:r>
      <w:r>
        <w:rPr>
          <w:rFonts w:hint="eastAsia" w:ascii="Times New Roman" w:hAnsi="Times New Roman" w:eastAsia="宋体" w:cs="Times New Roman"/>
          <w:b/>
          <w:bCs/>
          <w:sz w:val="28"/>
          <w:szCs w:val="28"/>
          <w:lang w:val="en-US" w:eastAsia="zh-CN" w:bidi="ar-SA"/>
        </w:rPr>
        <w:t>2.</w:t>
      </w:r>
      <w:r>
        <w:rPr>
          <w:rFonts w:hint="eastAsia" w:ascii="Times New Roman" w:hAnsi="Times New Roman" w:cs="Times New Roman"/>
          <w:b/>
          <w:bCs/>
          <w:sz w:val="28"/>
          <w:szCs w:val="28"/>
          <w:lang w:val="en-US" w:eastAsia="zh-CN" w:bidi="ar-SA"/>
        </w:rPr>
        <w:t>3</w:t>
      </w:r>
      <w:r>
        <w:rPr>
          <w:rFonts w:hint="default" w:ascii="Times New Roman" w:hAnsi="Times New Roman" w:eastAsia="宋体" w:cs="Times New Roman"/>
          <w:b/>
          <w:bCs/>
          <w:sz w:val="28"/>
          <w:szCs w:val="28"/>
          <w:lang w:val="en-US" w:eastAsia="zh-CN" w:bidi="ar-SA"/>
        </w:rPr>
        <w:t>无组织废气污染防治措施</w:t>
      </w:r>
    </w:p>
    <w:p w14:paraId="64AF4840">
      <w:pPr>
        <w:widowControl w:val="0"/>
        <w:numPr>
          <w:ilvl w:val="0"/>
          <w:numId w:val="0"/>
        </w:numPr>
        <w:spacing w:after="0" w:line="360" w:lineRule="auto"/>
        <w:ind w:firstLine="480"/>
        <w:jc w:val="both"/>
        <w:rPr>
          <w:rFonts w:hint="eastAsia" w:ascii="Times New Roman" w:hAnsi="Times New Roman" w:cs="Times New Roman"/>
          <w:color w:val="000000"/>
          <w:kern w:val="2"/>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本项目执行《石油化学工业污染物排放标准》（GB31571-2015，含2024年修改单），其对无组织废气具体执行方案符合性见表8.2-2。</w:t>
      </w:r>
    </w:p>
    <w:p w14:paraId="0827E6C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cs="Times New Roman"/>
          <w:b/>
          <w:bCs/>
          <w:kern w:val="2"/>
          <w:sz w:val="24"/>
          <w:szCs w:val="24"/>
          <w:lang w:val="en-US" w:eastAsia="zh-CN" w:bidi="ar-SA"/>
        </w:rPr>
      </w:pPr>
      <w:bookmarkStart w:id="60" w:name="_Hlk97110372"/>
      <w:r>
        <w:rPr>
          <w:rFonts w:hint="eastAsia" w:ascii="Times New Roman" w:hAnsi="Times New Roman" w:cs="Times New Roman"/>
          <w:b/>
          <w:bCs/>
          <w:kern w:val="2"/>
          <w:sz w:val="24"/>
          <w:szCs w:val="24"/>
          <w:lang w:val="en-US" w:eastAsia="zh-CN" w:bidi="ar-SA"/>
        </w:rPr>
        <w:t>表8.2-2   无组织挥发性有机废气治理执行方案汇总表</w:t>
      </w:r>
    </w:p>
    <w:bookmarkEnd w:id="60"/>
    <w:tbl>
      <w:tblPr>
        <w:tblStyle w:val="25"/>
        <w:tblW w:w="5016"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555"/>
        <w:gridCol w:w="1142"/>
        <w:gridCol w:w="4603"/>
        <w:gridCol w:w="2043"/>
      </w:tblGrid>
      <w:tr w14:paraId="143FB1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c>
          <w:tcPr>
            <w:tcW w:w="333" w:type="pct"/>
            <w:tcBorders>
              <w:top w:val="single" w:color="auto" w:sz="4" w:space="0"/>
              <w:left w:val="single" w:color="auto" w:sz="4" w:space="0"/>
              <w:bottom w:val="single" w:color="auto" w:sz="4" w:space="0"/>
              <w:right w:val="single" w:color="auto" w:sz="4" w:space="0"/>
            </w:tcBorders>
            <w:vAlign w:val="center"/>
          </w:tcPr>
          <w:p w14:paraId="4C1124E6">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序号</w:t>
            </w:r>
          </w:p>
        </w:tc>
        <w:tc>
          <w:tcPr>
            <w:tcW w:w="684" w:type="pct"/>
            <w:tcBorders>
              <w:top w:val="single" w:color="auto" w:sz="4" w:space="0"/>
              <w:left w:val="single" w:color="auto" w:sz="4" w:space="0"/>
              <w:bottom w:val="single" w:color="auto" w:sz="4" w:space="0"/>
              <w:right w:val="single" w:color="auto" w:sz="4" w:space="0"/>
            </w:tcBorders>
            <w:vAlign w:val="center"/>
          </w:tcPr>
          <w:p w14:paraId="6F28CA1F">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分类</w:t>
            </w:r>
          </w:p>
        </w:tc>
        <w:tc>
          <w:tcPr>
            <w:tcW w:w="2758" w:type="pct"/>
            <w:tcBorders>
              <w:top w:val="single" w:color="auto" w:sz="4" w:space="0"/>
              <w:left w:val="single" w:color="auto" w:sz="4" w:space="0"/>
              <w:bottom w:val="single" w:color="auto" w:sz="4" w:space="0"/>
              <w:right w:val="single" w:color="auto" w:sz="4" w:space="0"/>
            </w:tcBorders>
            <w:vAlign w:val="center"/>
          </w:tcPr>
          <w:p w14:paraId="328016EC">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控制治理要求</w:t>
            </w:r>
          </w:p>
        </w:tc>
        <w:tc>
          <w:tcPr>
            <w:tcW w:w="1224" w:type="pct"/>
            <w:tcBorders>
              <w:top w:val="single" w:color="auto" w:sz="4" w:space="0"/>
              <w:left w:val="single" w:color="auto" w:sz="4" w:space="0"/>
              <w:bottom w:val="single" w:color="auto" w:sz="4" w:space="0"/>
              <w:right w:val="single" w:color="auto" w:sz="4" w:space="0"/>
            </w:tcBorders>
            <w:vAlign w:val="center"/>
          </w:tcPr>
          <w:p w14:paraId="1C3F7F9D">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本项目对应措施</w:t>
            </w:r>
          </w:p>
        </w:tc>
      </w:tr>
      <w:tr w14:paraId="209261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c>
          <w:tcPr>
            <w:tcW w:w="333" w:type="pct"/>
            <w:tcBorders>
              <w:top w:val="single" w:color="auto" w:sz="4" w:space="0"/>
              <w:left w:val="single" w:color="auto" w:sz="4" w:space="0"/>
              <w:bottom w:val="single" w:color="auto" w:sz="4" w:space="0"/>
              <w:right w:val="single" w:color="auto" w:sz="4" w:space="0"/>
            </w:tcBorders>
            <w:vAlign w:val="center"/>
          </w:tcPr>
          <w:p w14:paraId="05376D4D">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1</w:t>
            </w:r>
          </w:p>
        </w:tc>
        <w:tc>
          <w:tcPr>
            <w:tcW w:w="684" w:type="pct"/>
            <w:vMerge w:val="restart"/>
            <w:tcBorders>
              <w:top w:val="single" w:color="auto" w:sz="4" w:space="0"/>
              <w:left w:val="single" w:color="auto" w:sz="4" w:space="0"/>
              <w:bottom w:val="single" w:color="auto" w:sz="4" w:space="0"/>
              <w:right w:val="single" w:color="auto" w:sz="4" w:space="0"/>
            </w:tcBorders>
            <w:vAlign w:val="center"/>
          </w:tcPr>
          <w:p w14:paraId="221A8378">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bookmarkStart w:id="61" w:name="_Hlk91585300"/>
            <w:r>
              <w:rPr>
                <w:rFonts w:cs="Times New Roman"/>
                <w:color w:val="auto"/>
                <w:sz w:val="21"/>
                <w:szCs w:val="21"/>
              </w:rPr>
              <w:t>挥发性有机液体储存管理</w:t>
            </w:r>
            <w:bookmarkEnd w:id="61"/>
          </w:p>
        </w:tc>
        <w:tc>
          <w:tcPr>
            <w:tcW w:w="2758" w:type="pct"/>
            <w:tcBorders>
              <w:top w:val="single" w:color="auto" w:sz="4" w:space="0"/>
              <w:left w:val="single" w:color="auto" w:sz="4" w:space="0"/>
              <w:bottom w:val="single" w:color="auto" w:sz="4" w:space="0"/>
              <w:right w:val="single" w:color="auto" w:sz="4" w:space="0"/>
            </w:tcBorders>
            <w:vAlign w:val="center"/>
          </w:tcPr>
          <w:p w14:paraId="6DACC410">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储存真实蒸气压≥76.6kPa的挥发性有机液体应采用压力储罐。</w:t>
            </w:r>
          </w:p>
        </w:tc>
        <w:tc>
          <w:tcPr>
            <w:tcW w:w="1224" w:type="pct"/>
            <w:tcBorders>
              <w:top w:val="single" w:color="auto" w:sz="4" w:space="0"/>
              <w:left w:val="single" w:color="auto" w:sz="4" w:space="0"/>
              <w:bottom w:val="single" w:color="auto" w:sz="4" w:space="0"/>
              <w:right w:val="single" w:color="auto" w:sz="4" w:space="0"/>
            </w:tcBorders>
            <w:vAlign w:val="center"/>
          </w:tcPr>
          <w:p w14:paraId="32899B7E">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本项目无此类有机液体</w:t>
            </w:r>
          </w:p>
        </w:tc>
      </w:tr>
      <w:tr w14:paraId="4FB894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c>
          <w:tcPr>
            <w:tcW w:w="333" w:type="pct"/>
            <w:tcBorders>
              <w:top w:val="single" w:color="auto" w:sz="4" w:space="0"/>
              <w:left w:val="single" w:color="auto" w:sz="4" w:space="0"/>
              <w:bottom w:val="single" w:color="auto" w:sz="4" w:space="0"/>
              <w:right w:val="single" w:color="auto" w:sz="4" w:space="0"/>
            </w:tcBorders>
            <w:vAlign w:val="center"/>
          </w:tcPr>
          <w:p w14:paraId="698D507C">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2</w:t>
            </w:r>
          </w:p>
        </w:tc>
        <w:tc>
          <w:tcPr>
            <w:tcW w:w="684" w:type="pct"/>
            <w:vMerge w:val="continue"/>
            <w:tcBorders>
              <w:top w:val="single" w:color="auto" w:sz="4" w:space="0"/>
              <w:left w:val="single" w:color="auto" w:sz="4" w:space="0"/>
              <w:bottom w:val="single" w:color="auto" w:sz="4" w:space="0"/>
              <w:right w:val="single" w:color="auto" w:sz="4" w:space="0"/>
            </w:tcBorders>
            <w:vAlign w:val="center"/>
          </w:tcPr>
          <w:p w14:paraId="54F18C0D">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p>
        </w:tc>
        <w:tc>
          <w:tcPr>
            <w:tcW w:w="2758" w:type="pct"/>
            <w:tcBorders>
              <w:top w:val="single" w:color="auto" w:sz="4" w:space="0"/>
              <w:left w:val="single" w:color="auto" w:sz="4" w:space="0"/>
              <w:bottom w:val="single" w:color="auto" w:sz="4" w:space="0"/>
              <w:right w:val="single" w:color="auto" w:sz="4" w:space="0"/>
            </w:tcBorders>
            <w:vAlign w:val="center"/>
          </w:tcPr>
          <w:p w14:paraId="39EF18FB">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储存真实蒸气压≥5.2kPa但＜27.6kPa的设计容积≥150m</w:t>
            </w:r>
            <w:r>
              <w:rPr>
                <w:rFonts w:cs="Times New Roman"/>
                <w:color w:val="auto"/>
                <w:sz w:val="21"/>
                <w:szCs w:val="21"/>
                <w:vertAlign w:val="superscript"/>
              </w:rPr>
              <w:t>3</w:t>
            </w:r>
            <w:r>
              <w:rPr>
                <w:rFonts w:cs="Times New Roman"/>
                <w:color w:val="auto"/>
                <w:sz w:val="21"/>
                <w:szCs w:val="21"/>
              </w:rPr>
              <w:t>的挥发性有机液体储罐，以及储存真实蒸气压≥27.6kPa但＜76.6kPa的设计容积≥75m</w:t>
            </w:r>
            <w:r>
              <w:rPr>
                <w:rFonts w:cs="Times New Roman"/>
                <w:color w:val="auto"/>
                <w:sz w:val="21"/>
                <w:szCs w:val="21"/>
                <w:vertAlign w:val="superscript"/>
              </w:rPr>
              <w:t>3</w:t>
            </w:r>
            <w:r>
              <w:rPr>
                <w:rFonts w:cs="Times New Roman"/>
                <w:color w:val="auto"/>
                <w:sz w:val="21"/>
                <w:szCs w:val="21"/>
              </w:rPr>
              <w:t>的挥发性有机液体储罐应符合下列规定之一：</w:t>
            </w:r>
          </w:p>
          <w:p w14:paraId="39F2F5A2">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a）采用内浮顶罐；内浮顶罐的浮盘与罐壁之间应采用液体镶嵌式、机械式鞋形、双封式等高效密封方式。</w:t>
            </w:r>
          </w:p>
          <w:p w14:paraId="455D7F02">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b）采用外浮顶罐；外浮顶罐的浮盘与罐壁之间应采用双封式密封，且初级密封采用液体镶嵌式、机械式鞋形等高效密封方式。</w:t>
            </w:r>
          </w:p>
          <w:p w14:paraId="631B690B">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c）采用固定顶罐，应安装密闭排气系统至有机废气回收或处理装置，其大气污染物排放应符合表4、表5的规定。</w:t>
            </w:r>
          </w:p>
        </w:tc>
        <w:tc>
          <w:tcPr>
            <w:tcW w:w="1224" w:type="pct"/>
            <w:tcBorders>
              <w:top w:val="single" w:color="auto" w:sz="4" w:space="0"/>
              <w:left w:val="single" w:color="auto" w:sz="4" w:space="0"/>
              <w:bottom w:val="single" w:color="auto" w:sz="4" w:space="0"/>
              <w:right w:val="single" w:color="auto" w:sz="4" w:space="0"/>
            </w:tcBorders>
            <w:vAlign w:val="center"/>
          </w:tcPr>
          <w:p w14:paraId="629EDA6B">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hint="default"/>
                <w:lang w:val="en-US" w:eastAsia="zh-CN"/>
              </w:rPr>
            </w:pPr>
            <w:r>
              <w:rPr>
                <w:rFonts w:cs="Times New Roman"/>
                <w:color w:val="auto"/>
                <w:sz w:val="21"/>
                <w:szCs w:val="21"/>
              </w:rPr>
              <w:t>本项目</w:t>
            </w:r>
            <w:r>
              <w:rPr>
                <w:rFonts w:hint="eastAsia" w:cs="Times New Roman"/>
                <w:color w:val="auto"/>
                <w:sz w:val="21"/>
                <w:szCs w:val="21"/>
                <w:lang w:val="en-US" w:eastAsia="zh-CN"/>
              </w:rPr>
              <w:t>甲醇饱和蒸气压为</w:t>
            </w:r>
            <w:r>
              <w:rPr>
                <w:rFonts w:hint="default" w:ascii="Times New Roman" w:hAnsi="Times New Roman" w:eastAsia="宋体" w:cs="Times New Roman"/>
                <w:sz w:val="21"/>
                <w:szCs w:val="21"/>
              </w:rPr>
              <w:t>12.3kPa（20℃），</w:t>
            </w:r>
            <w:r>
              <w:rPr>
                <w:rFonts w:hint="eastAsia" w:cs="Times New Roman"/>
                <w:sz w:val="21"/>
                <w:szCs w:val="21"/>
                <w:lang w:val="en-US" w:eastAsia="zh-CN"/>
              </w:rPr>
              <w:t>储罐容积300m</w:t>
            </w:r>
            <w:r>
              <w:rPr>
                <w:rFonts w:hint="eastAsia" w:cs="Times New Roman"/>
                <w:sz w:val="21"/>
                <w:szCs w:val="21"/>
                <w:vertAlign w:val="superscript"/>
                <w:lang w:val="en-US" w:eastAsia="zh-CN"/>
              </w:rPr>
              <w:t>3</w:t>
            </w:r>
            <w:r>
              <w:rPr>
                <w:rFonts w:hint="eastAsia" w:cs="Times New Roman"/>
                <w:sz w:val="21"/>
                <w:szCs w:val="21"/>
                <w:lang w:val="en-US" w:eastAsia="zh-CN"/>
              </w:rPr>
              <w:t>，采用内浮顶罐储存；乙醇饱和蒸气压5.3kPa（19℃），储罐容积80m</w:t>
            </w:r>
            <w:r>
              <w:rPr>
                <w:rFonts w:hint="eastAsia" w:cs="Times New Roman"/>
                <w:sz w:val="21"/>
                <w:szCs w:val="21"/>
                <w:vertAlign w:val="superscript"/>
                <w:lang w:val="en-US" w:eastAsia="zh-CN"/>
              </w:rPr>
              <w:t>3</w:t>
            </w:r>
            <w:r>
              <w:rPr>
                <w:rFonts w:hint="eastAsia" w:cs="Times New Roman"/>
                <w:sz w:val="21"/>
                <w:szCs w:val="21"/>
                <w:lang w:val="en-US" w:eastAsia="zh-CN"/>
              </w:rPr>
              <w:t>，采用固定顶罐储存；LCDN饱和蒸气压为2.07kPa（150℃），采用固定顶罐储存；所有废气均进入2#尾气处理装置处理，处理后废气满足GB31571-2015含2024修改单中表5及表6要求。</w:t>
            </w:r>
          </w:p>
        </w:tc>
      </w:tr>
      <w:tr w14:paraId="54EB19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c>
          <w:tcPr>
            <w:tcW w:w="333" w:type="pct"/>
            <w:tcBorders>
              <w:top w:val="single" w:color="auto" w:sz="4" w:space="0"/>
              <w:left w:val="single" w:color="auto" w:sz="4" w:space="0"/>
              <w:bottom w:val="single" w:color="auto" w:sz="4" w:space="0"/>
              <w:right w:val="single" w:color="auto" w:sz="4" w:space="0"/>
            </w:tcBorders>
            <w:vAlign w:val="center"/>
          </w:tcPr>
          <w:p w14:paraId="715FDFDF">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3</w:t>
            </w:r>
          </w:p>
        </w:tc>
        <w:tc>
          <w:tcPr>
            <w:tcW w:w="684" w:type="pct"/>
            <w:vMerge w:val="restart"/>
            <w:tcBorders>
              <w:top w:val="single" w:color="auto" w:sz="4" w:space="0"/>
              <w:left w:val="single" w:color="auto" w:sz="4" w:space="0"/>
              <w:bottom w:val="single" w:color="auto" w:sz="4" w:space="0"/>
              <w:right w:val="single" w:color="auto" w:sz="4" w:space="0"/>
            </w:tcBorders>
            <w:vAlign w:val="center"/>
          </w:tcPr>
          <w:p w14:paraId="22411662">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设备与管线组件泄漏污染控制要求</w:t>
            </w:r>
          </w:p>
        </w:tc>
        <w:tc>
          <w:tcPr>
            <w:tcW w:w="2758" w:type="pct"/>
            <w:tcBorders>
              <w:top w:val="single" w:color="auto" w:sz="4" w:space="0"/>
              <w:left w:val="single" w:color="auto" w:sz="4" w:space="0"/>
              <w:bottom w:val="single" w:color="auto" w:sz="4" w:space="0"/>
              <w:right w:val="single" w:color="auto" w:sz="4" w:space="0"/>
            </w:tcBorders>
            <w:vAlign w:val="center"/>
          </w:tcPr>
          <w:p w14:paraId="4A132739">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需开展设备与管线组件漏污染控制要求</w:t>
            </w:r>
          </w:p>
        </w:tc>
        <w:tc>
          <w:tcPr>
            <w:tcW w:w="1224" w:type="pct"/>
            <w:vMerge w:val="restart"/>
            <w:tcBorders>
              <w:top w:val="single" w:color="auto" w:sz="4" w:space="0"/>
              <w:left w:val="single" w:color="auto" w:sz="4" w:space="0"/>
              <w:bottom w:val="single" w:color="auto" w:sz="4" w:space="0"/>
              <w:right w:val="single" w:color="auto" w:sz="4" w:space="0"/>
            </w:tcBorders>
            <w:vAlign w:val="center"/>
          </w:tcPr>
          <w:p w14:paraId="4BE892F9">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hint="eastAsia" w:cs="Times New Roman"/>
                <w:color w:val="auto"/>
                <w:sz w:val="21"/>
                <w:szCs w:val="21"/>
              </w:rPr>
              <w:t>本次环评要求项目</w:t>
            </w:r>
            <w:r>
              <w:rPr>
                <w:rFonts w:cs="Times New Roman"/>
                <w:color w:val="auto"/>
                <w:sz w:val="21"/>
                <w:szCs w:val="21"/>
              </w:rPr>
              <w:t>运行后执行，对泵、压缩机、阀门、法兰等易发生泄漏的设备与管线组件，制定泄漏检测与修复（LDAR）计划，定期检测、及时修复，防止或减少跑、冒、滴、漏现象。</w:t>
            </w:r>
          </w:p>
        </w:tc>
      </w:tr>
      <w:tr w14:paraId="0F028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c>
          <w:tcPr>
            <w:tcW w:w="333" w:type="pct"/>
            <w:tcBorders>
              <w:top w:val="single" w:color="auto" w:sz="4" w:space="0"/>
              <w:left w:val="single" w:color="auto" w:sz="4" w:space="0"/>
              <w:bottom w:val="single" w:color="auto" w:sz="4" w:space="0"/>
              <w:right w:val="single" w:color="auto" w:sz="4" w:space="0"/>
            </w:tcBorders>
            <w:vAlign w:val="center"/>
          </w:tcPr>
          <w:p w14:paraId="0C139680">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4</w:t>
            </w:r>
          </w:p>
        </w:tc>
        <w:tc>
          <w:tcPr>
            <w:tcW w:w="684" w:type="pct"/>
            <w:vMerge w:val="continue"/>
            <w:tcBorders>
              <w:top w:val="single" w:color="auto" w:sz="4" w:space="0"/>
              <w:left w:val="single" w:color="auto" w:sz="4" w:space="0"/>
              <w:bottom w:val="single" w:color="auto" w:sz="4" w:space="0"/>
              <w:right w:val="single" w:color="auto" w:sz="4" w:space="0"/>
            </w:tcBorders>
            <w:vAlign w:val="center"/>
          </w:tcPr>
          <w:p w14:paraId="446D33A7">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p>
        </w:tc>
        <w:tc>
          <w:tcPr>
            <w:tcW w:w="2758" w:type="pct"/>
            <w:tcBorders>
              <w:top w:val="single" w:color="auto" w:sz="4" w:space="0"/>
              <w:left w:val="single" w:color="auto" w:sz="4" w:space="0"/>
              <w:bottom w:val="single" w:color="auto" w:sz="4" w:space="0"/>
              <w:right w:val="single" w:color="auto" w:sz="4" w:space="0"/>
            </w:tcBorders>
            <w:vAlign w:val="center"/>
          </w:tcPr>
          <w:p w14:paraId="6A5D8B27">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以下设备与管线组件需开展泄露检测与控制：a）泵；b）压缩机；c）阀门；d）开口阀或开口管线；e）法兰及其他连接件；f）泄压设备；g）取样连接系统；h）其他密封设备。</w:t>
            </w:r>
          </w:p>
        </w:tc>
        <w:tc>
          <w:tcPr>
            <w:tcW w:w="1224" w:type="pct"/>
            <w:vMerge w:val="continue"/>
            <w:tcBorders>
              <w:top w:val="single" w:color="auto" w:sz="4" w:space="0"/>
              <w:left w:val="single" w:color="auto" w:sz="4" w:space="0"/>
              <w:bottom w:val="single" w:color="auto" w:sz="4" w:space="0"/>
              <w:right w:val="single" w:color="auto" w:sz="4" w:space="0"/>
            </w:tcBorders>
            <w:vAlign w:val="center"/>
          </w:tcPr>
          <w:p w14:paraId="4D2A8EAF">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p>
        </w:tc>
      </w:tr>
      <w:tr w14:paraId="6E1619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c>
          <w:tcPr>
            <w:tcW w:w="333" w:type="pct"/>
            <w:tcBorders>
              <w:top w:val="single" w:color="auto" w:sz="4" w:space="0"/>
              <w:left w:val="single" w:color="auto" w:sz="4" w:space="0"/>
              <w:bottom w:val="single" w:color="auto" w:sz="4" w:space="0"/>
              <w:right w:val="single" w:color="auto" w:sz="4" w:space="0"/>
            </w:tcBorders>
            <w:vAlign w:val="center"/>
          </w:tcPr>
          <w:p w14:paraId="47EE8931">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5</w:t>
            </w:r>
          </w:p>
        </w:tc>
        <w:tc>
          <w:tcPr>
            <w:tcW w:w="684" w:type="pct"/>
            <w:vMerge w:val="continue"/>
            <w:tcBorders>
              <w:top w:val="single" w:color="auto" w:sz="4" w:space="0"/>
              <w:left w:val="single" w:color="auto" w:sz="4" w:space="0"/>
              <w:bottom w:val="single" w:color="auto" w:sz="4" w:space="0"/>
              <w:right w:val="single" w:color="auto" w:sz="4" w:space="0"/>
            </w:tcBorders>
            <w:vAlign w:val="center"/>
          </w:tcPr>
          <w:p w14:paraId="21B60608">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p>
        </w:tc>
        <w:tc>
          <w:tcPr>
            <w:tcW w:w="2758" w:type="pct"/>
            <w:tcBorders>
              <w:top w:val="single" w:color="auto" w:sz="4" w:space="0"/>
              <w:left w:val="single" w:color="auto" w:sz="4" w:space="0"/>
              <w:bottom w:val="single" w:color="auto" w:sz="4" w:space="0"/>
              <w:right w:val="single" w:color="auto" w:sz="4" w:space="0"/>
            </w:tcBorders>
            <w:vAlign w:val="center"/>
          </w:tcPr>
          <w:p w14:paraId="28E26B27">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泄露检测周期：根据设备不同，3个月～6个月不等；开工后30日内第一次检测，每周目视观察滴液现象</w:t>
            </w:r>
          </w:p>
        </w:tc>
        <w:tc>
          <w:tcPr>
            <w:tcW w:w="1224" w:type="pct"/>
            <w:vMerge w:val="continue"/>
            <w:tcBorders>
              <w:top w:val="single" w:color="auto" w:sz="4" w:space="0"/>
              <w:left w:val="single" w:color="auto" w:sz="4" w:space="0"/>
              <w:bottom w:val="single" w:color="auto" w:sz="4" w:space="0"/>
              <w:right w:val="single" w:color="auto" w:sz="4" w:space="0"/>
            </w:tcBorders>
            <w:vAlign w:val="center"/>
          </w:tcPr>
          <w:p w14:paraId="536AAF47">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p>
        </w:tc>
      </w:tr>
      <w:tr w14:paraId="3CECDC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c>
          <w:tcPr>
            <w:tcW w:w="333" w:type="pct"/>
            <w:tcBorders>
              <w:top w:val="single" w:color="auto" w:sz="4" w:space="0"/>
              <w:left w:val="single" w:color="auto" w:sz="4" w:space="0"/>
              <w:bottom w:val="single" w:color="auto" w:sz="4" w:space="0"/>
              <w:right w:val="single" w:color="auto" w:sz="4" w:space="0"/>
            </w:tcBorders>
            <w:vAlign w:val="center"/>
          </w:tcPr>
          <w:p w14:paraId="3B256712">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6</w:t>
            </w:r>
          </w:p>
        </w:tc>
        <w:tc>
          <w:tcPr>
            <w:tcW w:w="684" w:type="pct"/>
            <w:vMerge w:val="continue"/>
            <w:tcBorders>
              <w:top w:val="single" w:color="auto" w:sz="4" w:space="0"/>
              <w:left w:val="single" w:color="auto" w:sz="4" w:space="0"/>
              <w:bottom w:val="single" w:color="auto" w:sz="4" w:space="0"/>
              <w:right w:val="single" w:color="auto" w:sz="4" w:space="0"/>
            </w:tcBorders>
            <w:vAlign w:val="center"/>
          </w:tcPr>
          <w:p w14:paraId="4083B3FE">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p>
        </w:tc>
        <w:tc>
          <w:tcPr>
            <w:tcW w:w="2758" w:type="pct"/>
            <w:tcBorders>
              <w:top w:val="single" w:color="auto" w:sz="4" w:space="0"/>
              <w:left w:val="single" w:color="auto" w:sz="4" w:space="0"/>
              <w:bottom w:val="single" w:color="auto" w:sz="4" w:space="0"/>
              <w:right w:val="single" w:color="auto" w:sz="4" w:space="0"/>
            </w:tcBorders>
            <w:vAlign w:val="center"/>
          </w:tcPr>
          <w:p w14:paraId="0877AE96">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泄露认定：有机气体和挥发性有机液体流经的设备与管线组件，泄漏检测值大于等于2000µmol/mol；</w:t>
            </w:r>
          </w:p>
          <w:p w14:paraId="3446EA9E">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其他挥发性有机物流经的设备与管线组件，泄漏检测值大于等于500µmol/mol。</w:t>
            </w:r>
          </w:p>
        </w:tc>
        <w:tc>
          <w:tcPr>
            <w:tcW w:w="1224" w:type="pct"/>
            <w:vMerge w:val="continue"/>
            <w:tcBorders>
              <w:top w:val="single" w:color="auto" w:sz="4" w:space="0"/>
              <w:left w:val="single" w:color="auto" w:sz="4" w:space="0"/>
              <w:bottom w:val="single" w:color="auto" w:sz="4" w:space="0"/>
              <w:right w:val="single" w:color="auto" w:sz="4" w:space="0"/>
            </w:tcBorders>
            <w:vAlign w:val="center"/>
          </w:tcPr>
          <w:p w14:paraId="3E3EE8E0">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p>
        </w:tc>
      </w:tr>
      <w:tr w14:paraId="7EC4B9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c>
          <w:tcPr>
            <w:tcW w:w="333" w:type="pct"/>
            <w:tcBorders>
              <w:top w:val="single" w:color="auto" w:sz="4" w:space="0"/>
              <w:left w:val="single" w:color="auto" w:sz="4" w:space="0"/>
              <w:bottom w:val="single" w:color="auto" w:sz="4" w:space="0"/>
              <w:right w:val="single" w:color="auto" w:sz="4" w:space="0"/>
            </w:tcBorders>
            <w:vAlign w:val="center"/>
          </w:tcPr>
          <w:p w14:paraId="059B62A5">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7</w:t>
            </w:r>
          </w:p>
        </w:tc>
        <w:tc>
          <w:tcPr>
            <w:tcW w:w="684" w:type="pct"/>
            <w:vMerge w:val="continue"/>
            <w:tcBorders>
              <w:top w:val="single" w:color="auto" w:sz="4" w:space="0"/>
              <w:left w:val="single" w:color="auto" w:sz="4" w:space="0"/>
              <w:bottom w:val="single" w:color="auto" w:sz="4" w:space="0"/>
              <w:right w:val="single" w:color="auto" w:sz="4" w:space="0"/>
            </w:tcBorders>
            <w:vAlign w:val="center"/>
          </w:tcPr>
          <w:p w14:paraId="061E56A3">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p>
        </w:tc>
        <w:tc>
          <w:tcPr>
            <w:tcW w:w="2758" w:type="pct"/>
            <w:tcBorders>
              <w:top w:val="single" w:color="auto" w:sz="4" w:space="0"/>
              <w:left w:val="single" w:color="auto" w:sz="4" w:space="0"/>
              <w:bottom w:val="single" w:color="auto" w:sz="4" w:space="0"/>
              <w:right w:val="single" w:color="auto" w:sz="4" w:space="0"/>
            </w:tcBorders>
            <w:vAlign w:val="center"/>
          </w:tcPr>
          <w:p w14:paraId="460E713B">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泄露修复：不晚于发现泄漏后15日。首次（尝试）维修不应晚于检测到泄漏后5日。</w:t>
            </w:r>
          </w:p>
        </w:tc>
        <w:tc>
          <w:tcPr>
            <w:tcW w:w="1224" w:type="pct"/>
            <w:vMerge w:val="continue"/>
            <w:tcBorders>
              <w:top w:val="single" w:color="auto" w:sz="4" w:space="0"/>
              <w:left w:val="single" w:color="auto" w:sz="4" w:space="0"/>
              <w:bottom w:val="single" w:color="auto" w:sz="4" w:space="0"/>
              <w:right w:val="single" w:color="auto" w:sz="4" w:space="0"/>
            </w:tcBorders>
            <w:vAlign w:val="center"/>
          </w:tcPr>
          <w:p w14:paraId="7C7756E0">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p>
        </w:tc>
      </w:tr>
      <w:tr w14:paraId="3BA572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c>
          <w:tcPr>
            <w:tcW w:w="333" w:type="pct"/>
            <w:tcBorders>
              <w:top w:val="single" w:color="auto" w:sz="4" w:space="0"/>
              <w:left w:val="single" w:color="auto" w:sz="4" w:space="0"/>
              <w:bottom w:val="single" w:color="auto" w:sz="4" w:space="0"/>
              <w:right w:val="single" w:color="auto" w:sz="4" w:space="0"/>
            </w:tcBorders>
            <w:vAlign w:val="center"/>
          </w:tcPr>
          <w:p w14:paraId="447E781C">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8</w:t>
            </w:r>
          </w:p>
        </w:tc>
        <w:tc>
          <w:tcPr>
            <w:tcW w:w="684" w:type="pct"/>
            <w:vMerge w:val="continue"/>
            <w:tcBorders>
              <w:top w:val="single" w:color="auto" w:sz="4" w:space="0"/>
              <w:left w:val="single" w:color="auto" w:sz="4" w:space="0"/>
              <w:bottom w:val="single" w:color="auto" w:sz="4" w:space="0"/>
              <w:right w:val="single" w:color="auto" w:sz="4" w:space="0"/>
            </w:tcBorders>
            <w:vAlign w:val="center"/>
          </w:tcPr>
          <w:p w14:paraId="28CFCCC8">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p>
        </w:tc>
        <w:tc>
          <w:tcPr>
            <w:tcW w:w="2758" w:type="pct"/>
            <w:tcBorders>
              <w:top w:val="single" w:color="auto" w:sz="4" w:space="0"/>
              <w:left w:val="single" w:color="auto" w:sz="4" w:space="0"/>
              <w:bottom w:val="single" w:color="auto" w:sz="4" w:space="0"/>
              <w:right w:val="single" w:color="auto" w:sz="4" w:space="0"/>
            </w:tcBorders>
            <w:vAlign w:val="center"/>
          </w:tcPr>
          <w:p w14:paraId="2C849143">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r>
              <w:rPr>
                <w:rFonts w:cs="Times New Roman"/>
                <w:color w:val="auto"/>
                <w:sz w:val="21"/>
                <w:szCs w:val="21"/>
              </w:rPr>
              <w:t>记录要求：记录应保存1年以上。</w:t>
            </w:r>
          </w:p>
        </w:tc>
        <w:tc>
          <w:tcPr>
            <w:tcW w:w="1224" w:type="pct"/>
            <w:vMerge w:val="continue"/>
            <w:tcBorders>
              <w:top w:val="single" w:color="auto" w:sz="4" w:space="0"/>
              <w:left w:val="single" w:color="auto" w:sz="4" w:space="0"/>
              <w:bottom w:val="single" w:color="auto" w:sz="4" w:space="0"/>
              <w:right w:val="single" w:color="auto" w:sz="4" w:space="0"/>
            </w:tcBorders>
            <w:vAlign w:val="center"/>
          </w:tcPr>
          <w:p w14:paraId="66A60E78">
            <w:pPr>
              <w:pStyle w:val="110"/>
              <w:keepNext w:val="0"/>
              <w:keepLines w:val="0"/>
              <w:pageBreakBefore w:val="0"/>
              <w:widowControl/>
              <w:kinsoku/>
              <w:wordWrap/>
              <w:overflowPunct/>
              <w:topLinePunct w:val="0"/>
              <w:autoSpaceDE/>
              <w:autoSpaceDN/>
              <w:bidi w:val="0"/>
              <w:adjustRightInd/>
              <w:snapToGrid/>
              <w:spacing w:after="0" w:line="280" w:lineRule="exact"/>
              <w:ind w:left="0" w:leftChars="0" w:firstLine="0" w:firstLineChars="0"/>
              <w:jc w:val="center"/>
              <w:textAlignment w:val="auto"/>
              <w:rPr>
                <w:rFonts w:cs="Times New Roman"/>
                <w:color w:val="auto"/>
                <w:sz w:val="21"/>
                <w:szCs w:val="21"/>
              </w:rPr>
            </w:pPr>
          </w:p>
        </w:tc>
      </w:tr>
    </w:tbl>
    <w:p w14:paraId="713A6EC5">
      <w:pPr>
        <w:keepNext w:val="0"/>
        <w:keepLines w:val="0"/>
        <w:widowControl w:val="0"/>
        <w:bidi w:val="0"/>
        <w:spacing w:before="0" w:after="0" w:line="360" w:lineRule="auto"/>
        <w:jc w:val="both"/>
        <w:outlineLvl w:val="2"/>
        <w:rPr>
          <w:rFonts w:hint="default" w:ascii="Times New Roman" w:hAnsi="Times New Roman" w:eastAsia="宋体" w:cs="Times New Roman"/>
          <w:b/>
          <w:bCs/>
          <w:sz w:val="28"/>
          <w:szCs w:val="28"/>
          <w:lang w:val="en-US" w:eastAsia="zh-CN" w:bidi="ar-SA"/>
        </w:rPr>
      </w:pPr>
      <w:r>
        <w:rPr>
          <w:rFonts w:hint="eastAsia" w:ascii="Times New Roman" w:hAnsi="Times New Roman" w:cs="Times New Roman"/>
          <w:b/>
          <w:bCs/>
          <w:sz w:val="28"/>
          <w:szCs w:val="28"/>
          <w:lang w:val="en-US" w:eastAsia="zh-CN" w:bidi="ar-SA"/>
        </w:rPr>
        <w:t>8.</w:t>
      </w:r>
      <w:r>
        <w:rPr>
          <w:rFonts w:hint="default" w:ascii="Times New Roman" w:hAnsi="Times New Roman" w:eastAsia="宋体" w:cs="Times New Roman"/>
          <w:b/>
          <w:bCs/>
          <w:sz w:val="28"/>
          <w:szCs w:val="28"/>
          <w:lang w:val="en-US" w:eastAsia="zh-CN" w:bidi="ar-SA"/>
        </w:rPr>
        <w:t>2.</w:t>
      </w:r>
      <w:r>
        <w:rPr>
          <w:rFonts w:hint="eastAsia" w:ascii="Times New Roman" w:hAnsi="Times New Roman" w:cs="Times New Roman"/>
          <w:b/>
          <w:bCs/>
          <w:sz w:val="28"/>
          <w:szCs w:val="28"/>
          <w:lang w:val="en-US" w:eastAsia="zh-CN" w:bidi="ar-SA"/>
        </w:rPr>
        <w:t>4</w:t>
      </w:r>
      <w:r>
        <w:rPr>
          <w:rFonts w:hint="default" w:ascii="Times New Roman" w:hAnsi="Times New Roman" w:eastAsia="宋体" w:cs="Times New Roman"/>
          <w:b/>
          <w:bCs/>
          <w:sz w:val="28"/>
          <w:szCs w:val="28"/>
          <w:lang w:val="en-US" w:eastAsia="zh-CN" w:bidi="ar-SA"/>
        </w:rPr>
        <w:t>小结</w:t>
      </w:r>
    </w:p>
    <w:p w14:paraId="4ED0D52A">
      <w:pPr>
        <w:widowControl w:val="0"/>
        <w:spacing w:after="0"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项目从源头上</w:t>
      </w:r>
      <w:r>
        <w:rPr>
          <w:rFonts w:hint="eastAsia" w:ascii="Times New Roman" w:hAnsi="Times New Roman" w:eastAsia="宋体" w:cs="Times New Roman"/>
          <w:color w:val="000000"/>
          <w:kern w:val="2"/>
          <w:sz w:val="24"/>
          <w:szCs w:val="24"/>
          <w:highlight w:val="none"/>
          <w:lang w:val="en-US" w:eastAsia="zh-CN" w:bidi="ar-SA"/>
        </w:rPr>
        <w:t>削减</w:t>
      </w:r>
      <w:r>
        <w:rPr>
          <w:rFonts w:hint="default" w:ascii="Times New Roman" w:hAnsi="Times New Roman" w:eastAsia="宋体" w:cs="Times New Roman"/>
          <w:color w:val="000000"/>
          <w:kern w:val="2"/>
          <w:sz w:val="24"/>
          <w:szCs w:val="24"/>
          <w:highlight w:val="none"/>
          <w:lang w:val="en-US" w:eastAsia="zh-CN" w:bidi="ar-SA"/>
        </w:rPr>
        <w:t>污染物的排放量，废气经废气处理系统后达标排放。同时对装置区生产设备密闭、车间通风、防尘抑尘措施，厂区四周加强绿化、合理布局，以尽量减少无组织废气的排放。经过以上措施治理后，项目产生的废气可以实现达标排放，废气治理措施可行。项目产生的废气污染物对大气环境的影响较小。</w:t>
      </w:r>
    </w:p>
    <w:p w14:paraId="2C02A7CF">
      <w:pPr>
        <w:keepNext w:val="0"/>
        <w:keepLines w:val="0"/>
        <w:widowControl w:val="0"/>
        <w:bidi w:val="0"/>
        <w:spacing w:before="120" w:after="120" w:line="360" w:lineRule="auto"/>
        <w:jc w:val="both"/>
        <w:outlineLvl w:val="1"/>
        <w:rPr>
          <w:rFonts w:hint="default" w:ascii="Times New Roman" w:hAnsi="Times New Roman" w:eastAsia="宋体" w:cs="Times New Roman"/>
          <w:b/>
          <w:bCs/>
          <w:sz w:val="30"/>
          <w:szCs w:val="30"/>
          <w:lang w:val="en-US" w:eastAsia="zh-CN" w:bidi="ar-SA"/>
        </w:rPr>
      </w:pPr>
      <w:bookmarkStart w:id="62" w:name="_Toc117517832"/>
      <w:bookmarkStart w:id="63" w:name="_Toc291499415"/>
      <w:bookmarkStart w:id="64" w:name="_Toc117518096"/>
      <w:bookmarkStart w:id="65" w:name="_Toc289360111"/>
      <w:bookmarkStart w:id="66" w:name="_Toc117518342"/>
      <w:bookmarkStart w:id="67" w:name="_Toc224388091"/>
      <w:bookmarkStart w:id="68" w:name="_Toc475876352"/>
      <w:bookmarkStart w:id="69" w:name="_Toc117518547"/>
      <w:bookmarkStart w:id="70" w:name="_Toc117518177"/>
      <w:bookmarkStart w:id="71" w:name="_Toc117518262"/>
      <w:bookmarkStart w:id="72" w:name="_Toc310503808"/>
      <w:bookmarkStart w:id="73" w:name="_Toc321043926"/>
      <w:bookmarkStart w:id="74" w:name="_Toc18599"/>
      <w:bookmarkStart w:id="75" w:name="_Toc5424"/>
      <w:bookmarkStart w:id="76" w:name="_Toc17049"/>
      <w:r>
        <w:rPr>
          <w:rFonts w:hint="eastAsia" w:ascii="Times New Roman" w:hAnsi="Times New Roman" w:cs="Times New Roman"/>
          <w:b/>
          <w:bCs/>
          <w:sz w:val="30"/>
          <w:szCs w:val="30"/>
          <w:lang w:val="en-US" w:eastAsia="zh-CN" w:bidi="ar-SA"/>
        </w:rPr>
        <w:t>8.</w:t>
      </w:r>
      <w:r>
        <w:rPr>
          <w:rFonts w:hint="default" w:ascii="Times New Roman" w:hAnsi="Times New Roman" w:eastAsia="宋体" w:cs="Times New Roman"/>
          <w:b/>
          <w:bCs/>
          <w:sz w:val="30"/>
          <w:szCs w:val="30"/>
          <w:lang w:val="en-US" w:eastAsia="zh-CN" w:bidi="ar-SA"/>
        </w:rPr>
        <w:t>3</w:t>
      </w:r>
      <w:r>
        <w:rPr>
          <w:rFonts w:hint="eastAsia" w:ascii="Times New Roman" w:hAnsi="Times New Roman" w:cs="Times New Roman"/>
          <w:b/>
          <w:bCs/>
          <w:sz w:val="30"/>
          <w:szCs w:val="30"/>
          <w:lang w:val="en-US" w:eastAsia="zh-CN" w:bidi="ar-SA"/>
        </w:rPr>
        <w:t>运营期</w:t>
      </w:r>
      <w:r>
        <w:rPr>
          <w:rFonts w:hint="default" w:ascii="Times New Roman" w:hAnsi="Times New Roman" w:eastAsia="宋体" w:cs="Times New Roman"/>
          <w:b/>
          <w:bCs/>
          <w:sz w:val="30"/>
          <w:szCs w:val="30"/>
          <w:lang w:val="en-US" w:eastAsia="zh-CN" w:bidi="ar-SA"/>
        </w:rPr>
        <w:t>废水</w:t>
      </w:r>
      <w:bookmarkEnd w:id="62"/>
      <w:bookmarkEnd w:id="63"/>
      <w:bookmarkEnd w:id="64"/>
      <w:bookmarkEnd w:id="65"/>
      <w:bookmarkEnd w:id="66"/>
      <w:bookmarkEnd w:id="67"/>
      <w:bookmarkEnd w:id="68"/>
      <w:bookmarkEnd w:id="69"/>
      <w:bookmarkEnd w:id="70"/>
      <w:bookmarkEnd w:id="71"/>
      <w:bookmarkEnd w:id="72"/>
      <w:bookmarkEnd w:id="73"/>
      <w:r>
        <w:rPr>
          <w:rFonts w:hint="default" w:ascii="Times New Roman" w:hAnsi="Times New Roman" w:eastAsia="宋体" w:cs="Times New Roman"/>
          <w:b/>
          <w:bCs/>
          <w:sz w:val="30"/>
          <w:szCs w:val="30"/>
          <w:lang w:val="en-US" w:eastAsia="zh-CN" w:bidi="ar-SA"/>
        </w:rPr>
        <w:t>污染防治措施</w:t>
      </w:r>
      <w:bookmarkEnd w:id="74"/>
      <w:bookmarkEnd w:id="75"/>
      <w:bookmarkEnd w:id="76"/>
    </w:p>
    <w:p w14:paraId="10AFAFCF">
      <w:pPr>
        <w:widowControl w:val="0"/>
        <w:spacing w:after="0"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根据</w:t>
      </w:r>
      <w:r>
        <w:rPr>
          <w:rFonts w:hint="eastAsia" w:ascii="Times New Roman" w:hAnsi="Times New Roman" w:cs="Times New Roman"/>
          <w:color w:val="000000"/>
          <w:kern w:val="2"/>
          <w:sz w:val="24"/>
          <w:szCs w:val="24"/>
          <w:highlight w:val="none"/>
          <w:lang w:val="en-US" w:eastAsia="zh-CN" w:bidi="ar-SA"/>
        </w:rPr>
        <w:t>“</w:t>
      </w:r>
      <w:r>
        <w:rPr>
          <w:rFonts w:hint="eastAsia" w:ascii="Times New Roman" w:hAnsi="Times New Roman" w:eastAsia="宋体" w:cs="Times New Roman"/>
          <w:color w:val="000000"/>
          <w:kern w:val="2"/>
          <w:sz w:val="24"/>
          <w:szCs w:val="24"/>
          <w:highlight w:val="none"/>
          <w:lang w:val="en-US" w:eastAsia="zh-CN" w:bidi="ar-SA"/>
        </w:rPr>
        <w:t>清污分流、雨污分流、分类收集、分质处理、回收利用</w:t>
      </w:r>
      <w:r>
        <w:rPr>
          <w:rFonts w:hint="eastAsia" w:ascii="Times New Roman" w:hAnsi="Times New Roman" w:cs="Times New Roman"/>
          <w:color w:val="000000"/>
          <w:kern w:val="2"/>
          <w:sz w:val="24"/>
          <w:szCs w:val="24"/>
          <w:highlight w:val="none"/>
          <w:lang w:val="en-US" w:eastAsia="zh-CN" w:bidi="ar-SA"/>
        </w:rPr>
        <w:t>”</w:t>
      </w:r>
      <w:r>
        <w:rPr>
          <w:rFonts w:hint="eastAsia" w:ascii="Times New Roman" w:hAnsi="Times New Roman" w:eastAsia="宋体" w:cs="Times New Roman"/>
          <w:color w:val="000000"/>
          <w:kern w:val="2"/>
          <w:sz w:val="24"/>
          <w:szCs w:val="24"/>
          <w:highlight w:val="none"/>
          <w:lang w:val="en-US" w:eastAsia="zh-CN" w:bidi="ar-SA"/>
        </w:rPr>
        <w:t>的原则，本项目排水系统划分为：</w:t>
      </w:r>
      <w:r>
        <w:rPr>
          <w:rFonts w:hint="eastAsia" w:ascii="Times New Roman" w:hAnsi="Times New Roman" w:cs="Times New Roman"/>
          <w:color w:val="000000"/>
          <w:kern w:val="2"/>
          <w:sz w:val="24"/>
          <w:szCs w:val="24"/>
          <w:highlight w:val="none"/>
          <w:lang w:val="en-US" w:eastAsia="zh-CN" w:bidi="ar-SA"/>
        </w:rPr>
        <w:t>生活污水、生产废水及清下水</w:t>
      </w:r>
      <w:r>
        <w:rPr>
          <w:rFonts w:hint="eastAsia" w:ascii="Times New Roman" w:hAnsi="Times New Roman" w:eastAsia="宋体" w:cs="Times New Roman"/>
          <w:color w:val="000000"/>
          <w:kern w:val="2"/>
          <w:sz w:val="24"/>
          <w:szCs w:val="24"/>
          <w:highlight w:val="none"/>
          <w:lang w:val="en-US" w:eastAsia="zh-CN" w:bidi="ar-SA"/>
        </w:rPr>
        <w:t>等。</w:t>
      </w:r>
    </w:p>
    <w:p w14:paraId="126EA825">
      <w:pPr>
        <w:keepNext w:val="0"/>
        <w:keepLines w:val="0"/>
        <w:widowControl w:val="0"/>
        <w:spacing w:before="0" w:after="0" w:line="360" w:lineRule="auto"/>
        <w:jc w:val="both"/>
        <w:outlineLvl w:val="2"/>
        <w:rPr>
          <w:rFonts w:hint="default" w:ascii="Times New Roman" w:hAnsi="Times New Roman" w:eastAsia="宋体" w:cs="Times New Roman"/>
          <w:b/>
          <w:bCs/>
          <w:color w:val="000000"/>
          <w:sz w:val="28"/>
          <w:szCs w:val="28"/>
          <w:highlight w:val="none"/>
          <w:lang w:val="en-US" w:eastAsia="zh-CN" w:bidi="ar-SA"/>
        </w:rPr>
      </w:pPr>
      <w:r>
        <w:rPr>
          <w:rFonts w:hint="eastAsia" w:ascii="Times New Roman" w:hAnsi="Times New Roman" w:cs="Times New Roman"/>
          <w:b/>
          <w:bCs/>
          <w:color w:val="000000"/>
          <w:sz w:val="28"/>
          <w:szCs w:val="28"/>
          <w:highlight w:val="none"/>
          <w:lang w:val="en-US" w:eastAsia="zh-CN" w:bidi="ar-SA"/>
        </w:rPr>
        <w:t>8.</w:t>
      </w:r>
      <w:r>
        <w:rPr>
          <w:rFonts w:ascii="Times New Roman" w:hAnsi="Times New Roman" w:eastAsia="宋体" w:cs="Times New Roman"/>
          <w:b/>
          <w:bCs/>
          <w:color w:val="000000"/>
          <w:sz w:val="28"/>
          <w:szCs w:val="28"/>
          <w:highlight w:val="none"/>
          <w:lang w:val="en-US" w:eastAsia="zh-CN" w:bidi="ar-SA"/>
        </w:rPr>
        <w:t>3.</w:t>
      </w:r>
      <w:r>
        <w:rPr>
          <w:rFonts w:hint="eastAsia" w:ascii="Times New Roman" w:hAnsi="Times New Roman" w:eastAsia="宋体" w:cs="Times New Roman"/>
          <w:b/>
          <w:bCs/>
          <w:color w:val="000000"/>
          <w:sz w:val="28"/>
          <w:szCs w:val="28"/>
          <w:highlight w:val="none"/>
          <w:lang w:val="en-US" w:eastAsia="zh-CN" w:bidi="ar-SA"/>
        </w:rPr>
        <w:t>1</w:t>
      </w:r>
      <w:r>
        <w:rPr>
          <w:rFonts w:hint="eastAsia" w:ascii="Times New Roman" w:hAnsi="Times New Roman" w:cs="Times New Roman"/>
          <w:b/>
          <w:bCs/>
          <w:color w:val="000000"/>
          <w:sz w:val="28"/>
          <w:szCs w:val="28"/>
          <w:highlight w:val="none"/>
          <w:lang w:val="en-US" w:eastAsia="zh-CN" w:bidi="ar-SA"/>
        </w:rPr>
        <w:t>废水产生源</w:t>
      </w:r>
    </w:p>
    <w:p w14:paraId="565EA8CF">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lang w:val="en-US" w:eastAsia="zh-CN"/>
        </w:rPr>
      </w:pPr>
      <w:bookmarkStart w:id="77" w:name="_Toc310503809"/>
      <w:bookmarkStart w:id="78" w:name="_Toc321043927"/>
      <w:bookmarkStart w:id="79" w:name="_Toc18755"/>
      <w:bookmarkStart w:id="80" w:name="_Toc3543"/>
      <w:bookmarkStart w:id="81" w:name="_Toc299381549"/>
      <w:bookmarkStart w:id="82" w:name="_Toc475876353"/>
      <w:bookmarkStart w:id="83" w:name="_Toc299961775"/>
      <w:r>
        <w:rPr>
          <w:rFonts w:hint="eastAsia" w:ascii="Times New Roman" w:hAnsi="Times New Roman" w:eastAsia="宋体" w:cs="Times New Roman"/>
          <w:color w:val="000000"/>
          <w:sz w:val="24"/>
          <w:szCs w:val="24"/>
          <w:highlight w:val="none"/>
          <w:lang w:val="en-US" w:eastAsia="zh-CN" w:bidi="ar-SA"/>
        </w:rPr>
        <w:t>（1）生活污水</w:t>
      </w:r>
    </w:p>
    <w:p w14:paraId="0994536C">
      <w:pPr>
        <w:widowControl w:val="0"/>
        <w:spacing w:line="360" w:lineRule="auto"/>
        <w:jc w:val="both"/>
        <w:rPr>
          <w:rFonts w:hint="default"/>
          <w:lang w:val="en-US" w:eastAsia="zh-CN"/>
        </w:rPr>
      </w:pPr>
      <w:r>
        <w:rPr>
          <w:rFonts w:hint="eastAsia"/>
          <w:lang w:val="en-US" w:eastAsia="zh-CN"/>
        </w:rPr>
        <w:tab/>
      </w:r>
      <w:r>
        <w:rPr>
          <w:rFonts w:hint="default" w:ascii="Times New Roman" w:hAnsi="Times New Roman" w:eastAsia="宋体" w:cs="Times New Roman"/>
          <w:color w:val="000000"/>
          <w:sz w:val="24"/>
          <w:szCs w:val="24"/>
          <w:highlight w:val="none"/>
          <w:lang w:val="en-US" w:eastAsia="zh-CN" w:bidi="ar-SA"/>
        </w:rPr>
        <w:t>本项目</w:t>
      </w:r>
      <w:r>
        <w:rPr>
          <w:rFonts w:hint="default" w:ascii="Times New Roman" w:hAnsi="Times New Roman" w:cs="Times New Roman"/>
          <w:color w:val="000000"/>
          <w:sz w:val="24"/>
          <w:szCs w:val="24"/>
          <w:highlight w:val="none"/>
          <w:lang w:val="en-US" w:eastAsia="zh-CN" w:bidi="ar-SA"/>
        </w:rPr>
        <w:t>生活污水</w:t>
      </w:r>
      <w:r>
        <w:rPr>
          <w:rFonts w:hint="eastAsia" w:ascii="Times New Roman" w:hAnsi="Times New Roman" w:cs="Times New Roman"/>
          <w:kern w:val="0"/>
          <w:sz w:val="24"/>
          <w:szCs w:val="22"/>
          <w:lang w:val="en-US" w:eastAsia="zh-CN"/>
        </w:rPr>
        <w:t>3.6m</w:t>
      </w:r>
      <w:r>
        <w:rPr>
          <w:rFonts w:hint="eastAsia" w:ascii="Times New Roman" w:hAnsi="Times New Roman" w:cs="Times New Roman"/>
          <w:kern w:val="0"/>
          <w:sz w:val="24"/>
          <w:szCs w:val="22"/>
          <w:vertAlign w:val="superscript"/>
          <w:lang w:val="en-US" w:eastAsia="zh-CN"/>
        </w:rPr>
        <w:t>3</w:t>
      </w:r>
      <w:r>
        <w:rPr>
          <w:rFonts w:hint="eastAsia" w:ascii="Times New Roman" w:hAnsi="Times New Roman" w:cs="Times New Roman"/>
          <w:kern w:val="0"/>
          <w:sz w:val="24"/>
          <w:szCs w:val="22"/>
          <w:lang w:val="en-US" w:eastAsia="zh-CN"/>
        </w:rPr>
        <w:t>/d（1198.8m</w:t>
      </w:r>
      <w:r>
        <w:rPr>
          <w:rFonts w:hint="eastAsia" w:ascii="Times New Roman" w:hAnsi="Times New Roman" w:cs="Times New Roman"/>
          <w:kern w:val="0"/>
          <w:sz w:val="24"/>
          <w:szCs w:val="22"/>
          <w:vertAlign w:val="superscript"/>
          <w:lang w:val="en-US" w:eastAsia="zh-CN"/>
        </w:rPr>
        <w:t>3</w:t>
      </w:r>
      <w:r>
        <w:rPr>
          <w:rFonts w:hint="eastAsia" w:ascii="Times New Roman" w:hAnsi="Times New Roman" w:cs="Times New Roman"/>
          <w:kern w:val="0"/>
          <w:sz w:val="24"/>
          <w:szCs w:val="22"/>
          <w:lang w:val="en-US" w:eastAsia="zh-CN"/>
        </w:rPr>
        <w:t>/a），</w:t>
      </w:r>
      <w:r>
        <w:rPr>
          <w:rFonts w:hint="default" w:ascii="Times New Roman" w:hAnsi="Times New Roman" w:eastAsia="宋体" w:cs="Times New Roman"/>
          <w:color w:val="000000"/>
          <w:sz w:val="24"/>
          <w:szCs w:val="24"/>
          <w:highlight w:val="none"/>
          <w:lang w:val="en-US" w:eastAsia="zh-CN" w:bidi="ar-SA"/>
        </w:rPr>
        <w:t>废水中含COD、BOD</w:t>
      </w:r>
      <w:r>
        <w:rPr>
          <w:rFonts w:hint="default" w:ascii="Times New Roman" w:hAnsi="Times New Roman" w:eastAsia="宋体" w:cs="Times New Roman"/>
          <w:color w:val="000000"/>
          <w:sz w:val="24"/>
          <w:szCs w:val="24"/>
          <w:highlight w:val="none"/>
          <w:vertAlign w:val="subscript"/>
          <w:lang w:val="en-US" w:eastAsia="zh-CN" w:bidi="ar-SA"/>
        </w:rPr>
        <w:t>5</w:t>
      </w:r>
      <w:r>
        <w:rPr>
          <w:rFonts w:hint="default" w:ascii="Times New Roman" w:hAnsi="Times New Roman" w:eastAsia="宋体" w:cs="Times New Roman"/>
          <w:color w:val="000000"/>
          <w:sz w:val="24"/>
          <w:szCs w:val="24"/>
          <w:highlight w:val="none"/>
          <w:lang w:val="en-US" w:eastAsia="zh-CN" w:bidi="ar-SA"/>
        </w:rPr>
        <w:t>、SS、氨氮</w:t>
      </w:r>
      <w:r>
        <w:rPr>
          <w:rFonts w:hint="eastAsia" w:ascii="Times New Roman" w:hAnsi="Times New Roman" w:cs="Times New Roman"/>
          <w:color w:val="000000"/>
          <w:sz w:val="24"/>
          <w:szCs w:val="24"/>
          <w:highlight w:val="none"/>
          <w:lang w:val="en-US" w:eastAsia="zh-CN" w:bidi="ar-SA"/>
        </w:rPr>
        <w:t>、总磷、总氮</w:t>
      </w:r>
      <w:r>
        <w:rPr>
          <w:rFonts w:hint="default" w:ascii="Times New Roman" w:hAnsi="Times New Roman" w:eastAsia="宋体" w:cs="Times New Roman"/>
          <w:color w:val="000000"/>
          <w:sz w:val="24"/>
          <w:szCs w:val="24"/>
          <w:highlight w:val="none"/>
          <w:lang w:val="en-US" w:eastAsia="zh-CN" w:bidi="ar-SA"/>
        </w:rPr>
        <w:t>等污染物</w:t>
      </w:r>
      <w:r>
        <w:rPr>
          <w:rFonts w:hint="eastAsia" w:ascii="Times New Roman" w:hAnsi="Times New Roman" w:eastAsia="宋体" w:cs="Times New Roman"/>
          <w:color w:val="000000"/>
          <w:sz w:val="24"/>
          <w:szCs w:val="24"/>
          <w:highlight w:val="none"/>
          <w:lang w:val="en-US" w:eastAsia="zh-CN" w:bidi="ar-SA"/>
        </w:rPr>
        <w:t>，</w:t>
      </w:r>
      <w:r>
        <w:rPr>
          <w:rFonts w:hint="eastAsia" w:ascii="Times New Roman" w:hAnsi="Times New Roman" w:cs="Times New Roman"/>
          <w:color w:val="000000"/>
          <w:sz w:val="24"/>
          <w:szCs w:val="24"/>
          <w:highlight w:val="none"/>
          <w:lang w:val="en-US" w:eastAsia="zh-CN" w:bidi="ar-SA"/>
        </w:rPr>
        <w:t>进入厂区污水处理站处理</w:t>
      </w:r>
      <w:r>
        <w:rPr>
          <w:rFonts w:hint="eastAsia" w:ascii="Times New Roman" w:hAnsi="Times New Roman" w:cs="Times New Roman"/>
          <w:kern w:val="0"/>
          <w:sz w:val="24"/>
          <w:szCs w:val="22"/>
          <w:lang w:val="en-US" w:eastAsia="zh-CN"/>
        </w:rPr>
        <w:t>。</w:t>
      </w:r>
    </w:p>
    <w:p w14:paraId="29DC6D37">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宋体" w:hAnsi="宋体" w:eastAsia="宋体" w:cs="Times New Roman"/>
          <w:sz w:val="34"/>
          <w:lang w:val="en-US" w:eastAsia="zh-CN" w:bidi="ar-SA"/>
        </w:rPr>
      </w:pPr>
      <w:r>
        <w:rPr>
          <w:rFonts w:hint="eastAsia" w:ascii="Times New Roman" w:hAnsi="Times New Roman" w:eastAsia="宋体" w:cs="Times New Roman"/>
          <w:color w:val="000000"/>
          <w:sz w:val="24"/>
          <w:szCs w:val="24"/>
          <w:highlight w:val="none"/>
          <w:lang w:val="en-US" w:eastAsia="zh-CN" w:bidi="ar-SA"/>
        </w:rPr>
        <w:t>（2）生产废水</w:t>
      </w:r>
    </w:p>
    <w:p w14:paraId="57028D7E">
      <w:pPr>
        <w:widowControl w:val="0"/>
        <w:spacing w:line="360" w:lineRule="auto"/>
        <w:ind w:firstLine="480" w:firstLineChars="200"/>
        <w:jc w:val="both"/>
        <w:rPr>
          <w:rFonts w:hint="default" w:ascii="Times New Roman" w:hAnsi="Times New Roman" w:eastAsia="宋体" w:cs="Times New Roman"/>
          <w:kern w:val="0"/>
          <w:sz w:val="24"/>
          <w:szCs w:val="22"/>
          <w:lang w:val="en-US" w:eastAsia="zh-CN"/>
        </w:rPr>
      </w:pPr>
      <w:r>
        <w:rPr>
          <w:rFonts w:hint="eastAsia" w:ascii="Times New Roman" w:hAnsi="Times New Roman" w:cs="Times New Roman"/>
          <w:kern w:val="0"/>
          <w:sz w:val="24"/>
          <w:szCs w:val="22"/>
          <w:lang w:val="en-US" w:eastAsia="zh-CN"/>
        </w:rPr>
        <w:t>本项目生产废水主要包括静置分离废水、设备清洗废水、车间清洗废水、喷淋塔定排水，产生量共8.75m</w:t>
      </w:r>
      <w:r>
        <w:rPr>
          <w:rFonts w:hint="eastAsia" w:ascii="Times New Roman" w:hAnsi="Times New Roman" w:cs="Times New Roman"/>
          <w:kern w:val="0"/>
          <w:sz w:val="24"/>
          <w:szCs w:val="22"/>
          <w:vertAlign w:val="superscript"/>
          <w:lang w:val="en-US" w:eastAsia="zh-CN"/>
        </w:rPr>
        <w:t>3</w:t>
      </w:r>
      <w:r>
        <w:rPr>
          <w:rFonts w:hint="eastAsia" w:ascii="Times New Roman" w:hAnsi="Times New Roman" w:cs="Times New Roman"/>
          <w:kern w:val="0"/>
          <w:sz w:val="24"/>
          <w:szCs w:val="22"/>
          <w:lang w:val="en-US" w:eastAsia="zh-CN"/>
        </w:rPr>
        <w:t>/d（2913.466m</w:t>
      </w:r>
      <w:r>
        <w:rPr>
          <w:rFonts w:hint="eastAsia" w:ascii="Times New Roman" w:hAnsi="Times New Roman" w:cs="Times New Roman"/>
          <w:kern w:val="0"/>
          <w:sz w:val="24"/>
          <w:szCs w:val="22"/>
          <w:vertAlign w:val="superscript"/>
          <w:lang w:val="en-US" w:eastAsia="zh-CN"/>
        </w:rPr>
        <w:t>3</w:t>
      </w:r>
      <w:r>
        <w:rPr>
          <w:rFonts w:hint="eastAsia" w:ascii="Times New Roman" w:hAnsi="Times New Roman" w:cs="Times New Roman"/>
          <w:kern w:val="0"/>
          <w:sz w:val="24"/>
          <w:szCs w:val="22"/>
          <w:lang w:val="en-US" w:eastAsia="zh-CN"/>
        </w:rPr>
        <w:t>/a），污染物浓度相对较高，主要污染物为pH、</w:t>
      </w:r>
      <w:r>
        <w:rPr>
          <w:rFonts w:hint="default" w:ascii="Times New Roman" w:hAnsi="Times New Roman" w:eastAsia="宋体" w:cs="Times New Roman"/>
          <w:color w:val="000000"/>
          <w:sz w:val="24"/>
          <w:szCs w:val="24"/>
          <w:highlight w:val="none"/>
          <w:lang w:val="en-US" w:eastAsia="zh-CN" w:bidi="ar-SA"/>
        </w:rPr>
        <w:t>COD、BOD</w:t>
      </w:r>
      <w:r>
        <w:rPr>
          <w:rFonts w:hint="default" w:ascii="Times New Roman" w:hAnsi="Times New Roman" w:eastAsia="宋体" w:cs="Times New Roman"/>
          <w:color w:val="000000"/>
          <w:sz w:val="24"/>
          <w:szCs w:val="24"/>
          <w:highlight w:val="none"/>
          <w:vertAlign w:val="subscript"/>
          <w:lang w:val="en-US" w:eastAsia="zh-CN" w:bidi="ar-SA"/>
        </w:rPr>
        <w:t>5</w:t>
      </w:r>
      <w:r>
        <w:rPr>
          <w:rFonts w:hint="default" w:ascii="Times New Roman" w:hAnsi="Times New Roman" w:eastAsia="宋体" w:cs="Times New Roman"/>
          <w:color w:val="000000"/>
          <w:sz w:val="24"/>
          <w:szCs w:val="24"/>
          <w:highlight w:val="none"/>
          <w:lang w:val="en-US" w:eastAsia="zh-CN" w:bidi="ar-SA"/>
        </w:rPr>
        <w:t>、SS、氨氮</w:t>
      </w:r>
      <w:r>
        <w:rPr>
          <w:rFonts w:hint="eastAsia" w:ascii="Times New Roman" w:hAnsi="Times New Roman" w:cs="Times New Roman"/>
          <w:color w:val="000000"/>
          <w:sz w:val="24"/>
          <w:szCs w:val="24"/>
          <w:highlight w:val="none"/>
          <w:lang w:val="en-US" w:eastAsia="zh-CN" w:bidi="ar-SA"/>
        </w:rPr>
        <w:t>、总磷、总氮、溶解性总固体，进入厂区污水处理站处理。</w:t>
      </w:r>
    </w:p>
    <w:p w14:paraId="05879E99">
      <w:pPr>
        <w:widowControl w:val="0"/>
        <w:spacing w:line="360" w:lineRule="auto"/>
        <w:ind w:firstLine="480" w:firstLineChars="200"/>
        <w:jc w:val="both"/>
        <w:rPr>
          <w:rFonts w:hint="default" w:ascii="Times New Roman" w:hAnsi="Times New Roman" w:eastAsia="宋体" w:cs="Times New Roman"/>
          <w:kern w:val="0"/>
          <w:sz w:val="24"/>
          <w:szCs w:val="22"/>
          <w:lang w:val="en-US" w:eastAsia="zh-CN"/>
        </w:rPr>
      </w:pPr>
      <w:r>
        <w:rPr>
          <w:rFonts w:hint="eastAsia" w:ascii="Times New Roman" w:hAnsi="Times New Roman" w:cs="Times New Roman"/>
          <w:kern w:val="0"/>
          <w:sz w:val="24"/>
          <w:szCs w:val="22"/>
          <w:lang w:val="en-US" w:eastAsia="zh-CN"/>
        </w:rPr>
        <w:t>（3）清下水</w:t>
      </w:r>
    </w:p>
    <w:p w14:paraId="2454B6E4">
      <w:pPr>
        <w:widowControl w:val="0"/>
        <w:spacing w:line="360" w:lineRule="auto"/>
        <w:ind w:firstLine="480" w:firstLineChars="200"/>
        <w:jc w:val="both"/>
        <w:rPr>
          <w:rFonts w:hint="eastAsia" w:ascii="Times New Roman" w:hAnsi="Times New Roman" w:cs="Times New Roman"/>
          <w:kern w:val="0"/>
          <w:sz w:val="24"/>
          <w:szCs w:val="22"/>
          <w:lang w:val="en-US" w:eastAsia="zh-CN"/>
        </w:rPr>
      </w:pPr>
      <w:r>
        <w:rPr>
          <w:rFonts w:hint="eastAsia" w:ascii="Times New Roman" w:hAnsi="Times New Roman" w:cs="Times New Roman"/>
          <w:kern w:val="0"/>
          <w:sz w:val="24"/>
          <w:szCs w:val="22"/>
          <w:lang w:val="en-US" w:eastAsia="zh-CN"/>
        </w:rPr>
        <w:t>本项目清下水主要为纯水制备废水及循环冷却排水，产生量共147.76m</w:t>
      </w:r>
      <w:r>
        <w:rPr>
          <w:rFonts w:hint="eastAsia" w:ascii="Times New Roman" w:hAnsi="Times New Roman" w:cs="Times New Roman"/>
          <w:kern w:val="0"/>
          <w:sz w:val="24"/>
          <w:szCs w:val="22"/>
          <w:vertAlign w:val="superscript"/>
          <w:lang w:val="en-US" w:eastAsia="zh-CN"/>
        </w:rPr>
        <w:t>3</w:t>
      </w:r>
      <w:r>
        <w:rPr>
          <w:rFonts w:hint="eastAsia" w:ascii="Times New Roman" w:hAnsi="Times New Roman" w:cs="Times New Roman"/>
          <w:kern w:val="0"/>
          <w:sz w:val="24"/>
          <w:szCs w:val="22"/>
          <w:lang w:val="en-US" w:eastAsia="zh-CN"/>
        </w:rPr>
        <w:t>/d（49246.84m</w:t>
      </w:r>
      <w:r>
        <w:rPr>
          <w:rFonts w:hint="eastAsia" w:ascii="Times New Roman" w:hAnsi="Times New Roman" w:cs="Times New Roman"/>
          <w:kern w:val="0"/>
          <w:sz w:val="24"/>
          <w:szCs w:val="22"/>
          <w:vertAlign w:val="superscript"/>
          <w:lang w:val="en-US" w:eastAsia="zh-CN"/>
        </w:rPr>
        <w:t>3</w:t>
      </w:r>
      <w:r>
        <w:rPr>
          <w:rFonts w:hint="eastAsia" w:ascii="Times New Roman" w:hAnsi="Times New Roman" w:cs="Times New Roman"/>
          <w:kern w:val="0"/>
          <w:sz w:val="24"/>
          <w:szCs w:val="22"/>
          <w:lang w:val="en-US" w:eastAsia="zh-CN"/>
        </w:rPr>
        <w:t>/a），主要污染物为COD、SS、总磷、溶解性总固体，水中污染物浓度较低。本项目依托现有工程已建冷却循环水站及纯水制备装置，因此本项目新增的纯水制备废水及循环冷却排水随现有工程纯水制备废水及循环冷却排水一同经厂区总排口排放。</w:t>
      </w:r>
    </w:p>
    <w:p w14:paraId="4E0BBA9B">
      <w:pPr>
        <w:widowControl w:val="0"/>
        <w:spacing w:line="360" w:lineRule="auto"/>
        <w:ind w:firstLine="480" w:firstLineChars="200"/>
        <w:jc w:val="both"/>
        <w:rPr>
          <w:rFonts w:hint="eastAsia" w:ascii="Times New Roman" w:hAnsi="Times New Roman" w:cs="Times New Roman"/>
          <w:kern w:val="0"/>
          <w:sz w:val="24"/>
          <w:szCs w:val="22"/>
          <w:lang w:val="en-US" w:eastAsia="zh-CN"/>
        </w:rPr>
      </w:pPr>
      <w:r>
        <w:rPr>
          <w:rFonts w:hint="eastAsia" w:ascii="Times New Roman" w:hAnsi="Times New Roman" w:cs="Times New Roman"/>
          <w:kern w:val="0"/>
          <w:sz w:val="24"/>
          <w:szCs w:val="22"/>
          <w:lang w:val="en-US" w:eastAsia="zh-CN"/>
        </w:rPr>
        <w:t>本项目生活污水、生产废水经现有工程污水处理站处理达标后，与清下水一同经厂区总排口排入园区污水管网，最终进入乌苏市西区污水处理厂处理后，尾水经44.6km尾水输水管线送至园区北侧乌苏北部沙漠的尾水库，用于荒漠植被的恢复和灌溉用水。</w:t>
      </w:r>
    </w:p>
    <w:p w14:paraId="3A650BA5">
      <w:pPr>
        <w:keepNext w:val="0"/>
        <w:keepLines w:val="0"/>
        <w:widowControl w:val="0"/>
        <w:spacing w:before="0" w:after="0" w:line="360" w:lineRule="auto"/>
        <w:jc w:val="both"/>
        <w:outlineLvl w:val="2"/>
        <w:rPr>
          <w:rFonts w:hint="default" w:ascii="Times New Roman" w:hAnsi="Times New Roman" w:eastAsia="宋体" w:cs="Times New Roman"/>
          <w:b/>
          <w:bCs/>
          <w:color w:val="000000"/>
          <w:sz w:val="28"/>
          <w:szCs w:val="28"/>
          <w:highlight w:val="none"/>
          <w:lang w:val="en-US" w:eastAsia="zh-CN" w:bidi="ar-SA"/>
        </w:rPr>
      </w:pPr>
      <w:r>
        <w:rPr>
          <w:rFonts w:hint="eastAsia" w:ascii="Times New Roman" w:hAnsi="Times New Roman" w:cs="Times New Roman"/>
          <w:b/>
          <w:bCs/>
          <w:color w:val="000000"/>
          <w:sz w:val="28"/>
          <w:szCs w:val="28"/>
          <w:highlight w:val="none"/>
          <w:lang w:val="en-US" w:eastAsia="zh-CN" w:bidi="ar-SA"/>
        </w:rPr>
        <w:t>8.</w:t>
      </w:r>
      <w:r>
        <w:rPr>
          <w:rFonts w:ascii="Times New Roman" w:hAnsi="Times New Roman" w:eastAsia="宋体" w:cs="Times New Roman"/>
          <w:b/>
          <w:bCs/>
          <w:color w:val="000000"/>
          <w:sz w:val="28"/>
          <w:szCs w:val="28"/>
          <w:highlight w:val="none"/>
          <w:lang w:val="en-US" w:eastAsia="zh-CN" w:bidi="ar-SA"/>
        </w:rPr>
        <w:t>3.</w:t>
      </w:r>
      <w:r>
        <w:rPr>
          <w:rFonts w:hint="eastAsia" w:ascii="Times New Roman" w:hAnsi="Times New Roman" w:cs="Times New Roman"/>
          <w:b/>
          <w:bCs/>
          <w:color w:val="000000"/>
          <w:sz w:val="28"/>
          <w:szCs w:val="28"/>
          <w:highlight w:val="none"/>
          <w:lang w:val="en-US" w:eastAsia="zh-CN" w:bidi="ar-SA"/>
        </w:rPr>
        <w:t>2废水处理工艺</w:t>
      </w:r>
    </w:p>
    <w:p w14:paraId="3BB3A304">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kern w:val="2"/>
          <w:sz w:val="24"/>
          <w:szCs w:val="20"/>
          <w:highlight w:val="none"/>
          <w:lang w:val="en-US" w:eastAsia="zh-CN"/>
        </w:rPr>
      </w:pPr>
      <w:r>
        <w:rPr>
          <w:rFonts w:hint="eastAsia" w:ascii="Times New Roman" w:hAnsi="Times New Roman" w:eastAsia="宋体" w:cs="宋体"/>
          <w:sz w:val="24"/>
          <w:szCs w:val="22"/>
          <w:lang w:val="en-US" w:eastAsia="zh-CN"/>
        </w:rPr>
        <w:t>根据</w:t>
      </w:r>
      <w:r>
        <w:rPr>
          <w:rFonts w:hint="eastAsia" w:ascii="Times New Roman" w:hAnsi="Times New Roman" w:eastAsia="宋体" w:cs="Times New Roman"/>
          <w:snapToGrid w:val="0"/>
          <w:color w:val="000000"/>
          <w:kern w:val="2"/>
          <w:sz w:val="24"/>
          <w:szCs w:val="24"/>
          <w:highlight w:val="none"/>
          <w:lang w:val="en-US" w:eastAsia="zh-CN" w:bidi="ar-SA"/>
        </w:rPr>
        <w:t>《排污许可证申请与核发技术规范 石化工业》（HJ853-2017）</w:t>
      </w:r>
      <w:r>
        <w:rPr>
          <w:rFonts w:hint="eastAsia" w:ascii="Times New Roman" w:hAnsi="Times New Roman" w:eastAsia="宋体" w:cs="宋体"/>
          <w:sz w:val="24"/>
          <w:szCs w:val="22"/>
          <w:lang w:val="en-US" w:eastAsia="zh-CN"/>
        </w:rPr>
        <w:t>表6 石化工业排污单位污水处理可行技术参照表</w:t>
      </w:r>
      <w:r>
        <w:rPr>
          <w:rFonts w:hint="eastAsia" w:ascii="Times New Roman" w:hAnsi="Times New Roman" w:eastAsia="宋体" w:cs="Times New Roman"/>
          <w:color w:val="000000"/>
          <w:kern w:val="2"/>
          <w:sz w:val="24"/>
          <w:szCs w:val="20"/>
          <w:highlight w:val="none"/>
          <w:lang w:val="en-US" w:eastAsia="zh-CN"/>
        </w:rPr>
        <w:t>要求如下。</w:t>
      </w:r>
    </w:p>
    <w:p w14:paraId="2A81AF7F">
      <w:pPr>
        <w:widowControl w:val="0"/>
        <w:overflowPunct w:val="0"/>
        <w:autoSpaceDE w:val="0"/>
        <w:autoSpaceDN w:val="0"/>
        <w:adjustRightInd w:val="0"/>
        <w:snapToGrid w:val="0"/>
        <w:spacing w:before="0" w:after="0" w:line="360" w:lineRule="auto"/>
        <w:ind w:left="0" w:right="0" w:firstLine="482" w:firstLineChars="200"/>
        <w:jc w:val="center"/>
        <w:rPr>
          <w:rFonts w:hint="default" w:ascii="Times New Roman" w:hAnsi="Times New Roman" w:eastAsia="宋体" w:cs="Times New Roman"/>
          <w:b/>
          <w:color w:val="000000"/>
          <w:kern w:val="2"/>
          <w:sz w:val="24"/>
          <w:szCs w:val="24"/>
          <w:highlight w:val="none"/>
          <w:lang w:val="en-US" w:eastAsia="zh-CN" w:bidi="ar-SA"/>
        </w:rPr>
      </w:pPr>
      <w:r>
        <w:rPr>
          <w:rFonts w:hint="default" w:ascii="Times New Roman" w:hAnsi="Times New Roman" w:eastAsia="宋体" w:cs="Times New Roman"/>
          <w:b/>
          <w:color w:val="000000"/>
          <w:kern w:val="2"/>
          <w:sz w:val="24"/>
          <w:szCs w:val="24"/>
          <w:highlight w:val="none"/>
          <w:lang w:val="en-US" w:eastAsia="zh-CN" w:bidi="ar-SA"/>
        </w:rPr>
        <w:t>表</w:t>
      </w:r>
      <w:r>
        <w:rPr>
          <w:rFonts w:hint="eastAsia" w:ascii="Times New Roman" w:hAnsi="Times New Roman" w:cs="Times New Roman"/>
          <w:b/>
          <w:color w:val="000000"/>
          <w:kern w:val="2"/>
          <w:sz w:val="24"/>
          <w:szCs w:val="24"/>
          <w:highlight w:val="none"/>
          <w:lang w:val="en-US" w:eastAsia="zh-CN" w:bidi="ar-SA"/>
        </w:rPr>
        <w:t>8</w:t>
      </w:r>
      <w:r>
        <w:rPr>
          <w:rFonts w:hint="eastAsia" w:ascii="Times New Roman" w:hAnsi="Times New Roman" w:eastAsia="宋体" w:cs="Times New Roman"/>
          <w:b/>
          <w:color w:val="000000"/>
          <w:kern w:val="2"/>
          <w:sz w:val="24"/>
          <w:szCs w:val="24"/>
          <w:highlight w:val="none"/>
          <w:lang w:val="en-US" w:eastAsia="zh-CN" w:bidi="ar-SA"/>
        </w:rPr>
        <w:t>.3-1排污单位废水处理可行技术参照表</w:t>
      </w:r>
    </w:p>
    <w:tbl>
      <w:tblPr>
        <w:tblStyle w:val="2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0"/>
        <w:gridCol w:w="405"/>
        <w:gridCol w:w="1710"/>
        <w:gridCol w:w="6059"/>
      </w:tblGrid>
      <w:tr w14:paraId="784F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5" w:type="dxa"/>
            <w:gridSpan w:val="2"/>
            <w:tcBorders>
              <w:tl2br w:val="nil"/>
              <w:tr2bl w:val="nil"/>
            </w:tcBorders>
            <w:noWrap w:val="0"/>
            <w:vAlign w:val="center"/>
          </w:tcPr>
          <w:p w14:paraId="7E252359">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废水类别</w:t>
            </w:r>
          </w:p>
        </w:tc>
        <w:tc>
          <w:tcPr>
            <w:tcW w:w="1710" w:type="dxa"/>
            <w:tcBorders>
              <w:tl2br w:val="nil"/>
              <w:tr2bl w:val="nil"/>
            </w:tcBorders>
            <w:noWrap w:val="0"/>
            <w:vAlign w:val="center"/>
          </w:tcPr>
          <w:p w14:paraId="17EAFA07">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废水类型</w:t>
            </w:r>
          </w:p>
        </w:tc>
        <w:tc>
          <w:tcPr>
            <w:tcW w:w="6059" w:type="dxa"/>
            <w:tcBorders>
              <w:tl2br w:val="nil"/>
              <w:tr2bl w:val="nil"/>
            </w:tcBorders>
            <w:noWrap w:val="0"/>
            <w:vAlign w:val="center"/>
          </w:tcPr>
          <w:p w14:paraId="4A43A72D">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可行技术</w:t>
            </w:r>
          </w:p>
        </w:tc>
      </w:tr>
      <w:tr w14:paraId="019B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330" w:type="dxa"/>
            <w:vMerge w:val="restart"/>
            <w:tcBorders>
              <w:tl2br w:val="nil"/>
              <w:tr2bl w:val="nil"/>
            </w:tcBorders>
            <w:noWrap w:val="0"/>
            <w:vAlign w:val="center"/>
          </w:tcPr>
          <w:p w14:paraId="212948BF">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外排或回</w:t>
            </w:r>
          </w:p>
          <w:p w14:paraId="00024C93">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用废水</w:t>
            </w:r>
          </w:p>
        </w:tc>
        <w:tc>
          <w:tcPr>
            <w:tcW w:w="405" w:type="dxa"/>
            <w:vMerge w:val="restart"/>
            <w:tcBorders>
              <w:tl2br w:val="nil"/>
              <w:tr2bl w:val="nil"/>
            </w:tcBorders>
            <w:noWrap w:val="0"/>
            <w:vAlign w:val="center"/>
          </w:tcPr>
          <w:p w14:paraId="5177FA7A">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工艺废水</w:t>
            </w:r>
          </w:p>
        </w:tc>
        <w:tc>
          <w:tcPr>
            <w:tcW w:w="1710" w:type="dxa"/>
            <w:tcBorders>
              <w:tl2br w:val="nil"/>
              <w:tr2bl w:val="nil"/>
            </w:tcBorders>
            <w:shd w:val="clear" w:color="auto" w:fill="auto"/>
            <w:noWrap w:val="0"/>
            <w:vAlign w:val="center"/>
          </w:tcPr>
          <w:p w14:paraId="6F40FA31">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含碱废水</w:t>
            </w:r>
          </w:p>
        </w:tc>
        <w:tc>
          <w:tcPr>
            <w:tcW w:w="6059" w:type="dxa"/>
            <w:vMerge w:val="restart"/>
            <w:tcBorders>
              <w:tl2br w:val="nil"/>
              <w:tr2bl w:val="nil"/>
            </w:tcBorders>
            <w:noWrap w:val="0"/>
            <w:vAlign w:val="center"/>
          </w:tcPr>
          <w:p w14:paraId="67DDFF8D">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预处理+生化处理+深度处理</w:t>
            </w:r>
          </w:p>
          <w:p w14:paraId="56462004">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预处理：隔油、气浮、混凝、调节等；</w:t>
            </w:r>
          </w:p>
          <w:p w14:paraId="4797E43B">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生化处理：活性污泥法、序批式活性污泥法（SBR）、厌氧/缺氧/好氧法（A2/O）、缺氧/好氧法（A/O）、氧化沟法、膜生物法（MBR）、曝气生物滤池（BAF）、生物接触氧化法、一体化微氧高浓缺氧/好氧法等；</w:t>
            </w:r>
          </w:p>
          <w:p w14:paraId="39124D22">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深度处理：混凝、过滤、臭氧氧化、超滤（UF）、反渗透（RO）</w:t>
            </w:r>
          </w:p>
        </w:tc>
      </w:tr>
      <w:tr w14:paraId="2B6B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330" w:type="dxa"/>
            <w:vMerge w:val="continue"/>
            <w:tcBorders>
              <w:tl2br w:val="nil"/>
              <w:tr2bl w:val="nil"/>
            </w:tcBorders>
            <w:noWrap w:val="0"/>
            <w:vAlign w:val="center"/>
          </w:tcPr>
          <w:p w14:paraId="2D3DFE1B">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pPr>
          </w:p>
        </w:tc>
        <w:tc>
          <w:tcPr>
            <w:tcW w:w="405" w:type="dxa"/>
            <w:vMerge w:val="continue"/>
            <w:tcBorders>
              <w:tl2br w:val="nil"/>
              <w:tr2bl w:val="nil"/>
            </w:tcBorders>
            <w:noWrap w:val="0"/>
            <w:vAlign w:val="center"/>
          </w:tcPr>
          <w:p w14:paraId="094386B1">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1710" w:type="dxa"/>
            <w:tcBorders>
              <w:tl2br w:val="nil"/>
              <w:tr2bl w:val="nil"/>
            </w:tcBorders>
            <w:shd w:val="clear" w:color="auto" w:fill="auto"/>
            <w:noWrap w:val="0"/>
            <w:vAlign w:val="center"/>
          </w:tcPr>
          <w:p w14:paraId="761EB656">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含苯系物废水</w:t>
            </w:r>
          </w:p>
        </w:tc>
        <w:tc>
          <w:tcPr>
            <w:tcW w:w="6059" w:type="dxa"/>
            <w:vMerge w:val="continue"/>
            <w:tcBorders>
              <w:tl2br w:val="nil"/>
              <w:tr2bl w:val="nil"/>
            </w:tcBorders>
            <w:noWrap w:val="0"/>
            <w:vAlign w:val="center"/>
          </w:tcPr>
          <w:p w14:paraId="23AEEABE">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r>
      <w:tr w14:paraId="600C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30" w:type="dxa"/>
            <w:vMerge w:val="continue"/>
            <w:tcBorders>
              <w:tl2br w:val="nil"/>
              <w:tr2bl w:val="nil"/>
            </w:tcBorders>
            <w:noWrap w:val="0"/>
            <w:vAlign w:val="center"/>
          </w:tcPr>
          <w:p w14:paraId="2DAC80E1">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405" w:type="dxa"/>
            <w:vMerge w:val="continue"/>
            <w:tcBorders>
              <w:tl2br w:val="nil"/>
              <w:tr2bl w:val="nil"/>
            </w:tcBorders>
            <w:noWrap w:val="0"/>
            <w:vAlign w:val="center"/>
          </w:tcPr>
          <w:p w14:paraId="7C63DD95">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1710" w:type="dxa"/>
            <w:tcBorders>
              <w:tl2br w:val="nil"/>
              <w:tr2bl w:val="nil"/>
            </w:tcBorders>
            <w:shd w:val="clear" w:color="auto" w:fill="auto"/>
            <w:noWrap w:val="0"/>
            <w:vAlign w:val="center"/>
          </w:tcPr>
          <w:p w14:paraId="64836F5E">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含油废水</w:t>
            </w:r>
          </w:p>
        </w:tc>
        <w:tc>
          <w:tcPr>
            <w:tcW w:w="6059" w:type="dxa"/>
            <w:vMerge w:val="continue"/>
            <w:tcBorders>
              <w:tl2br w:val="nil"/>
              <w:tr2bl w:val="nil"/>
            </w:tcBorders>
            <w:noWrap w:val="0"/>
            <w:vAlign w:val="center"/>
          </w:tcPr>
          <w:p w14:paraId="7B411AD2">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r>
      <w:tr w14:paraId="0199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30" w:type="dxa"/>
            <w:vMerge w:val="continue"/>
            <w:tcBorders>
              <w:tl2br w:val="nil"/>
              <w:tr2bl w:val="nil"/>
            </w:tcBorders>
            <w:noWrap w:val="0"/>
            <w:vAlign w:val="center"/>
          </w:tcPr>
          <w:p w14:paraId="7EF4E41E">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pPr>
          </w:p>
        </w:tc>
        <w:tc>
          <w:tcPr>
            <w:tcW w:w="405" w:type="dxa"/>
            <w:vMerge w:val="continue"/>
            <w:tcBorders>
              <w:tl2br w:val="nil"/>
              <w:tr2bl w:val="nil"/>
            </w:tcBorders>
            <w:noWrap w:val="0"/>
            <w:vAlign w:val="center"/>
          </w:tcPr>
          <w:p w14:paraId="1FC0AD9B">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1710" w:type="dxa"/>
            <w:tcBorders>
              <w:tl2br w:val="nil"/>
              <w:tr2bl w:val="nil"/>
            </w:tcBorders>
            <w:shd w:val="clear" w:color="auto" w:fill="auto"/>
            <w:noWrap w:val="0"/>
            <w:vAlign w:val="center"/>
          </w:tcPr>
          <w:p w14:paraId="7B5A02C1">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其他工艺废水</w:t>
            </w:r>
          </w:p>
        </w:tc>
        <w:tc>
          <w:tcPr>
            <w:tcW w:w="6059" w:type="dxa"/>
            <w:vMerge w:val="continue"/>
            <w:tcBorders>
              <w:tl2br w:val="nil"/>
              <w:tr2bl w:val="nil"/>
            </w:tcBorders>
            <w:noWrap w:val="0"/>
            <w:vAlign w:val="center"/>
          </w:tcPr>
          <w:p w14:paraId="333E4CBF">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r>
    </w:tbl>
    <w:p w14:paraId="491F91C3">
      <w:pPr>
        <w:widowControl/>
        <w:spacing w:before="0" w:beforeAutospacing="0" w:after="0" w:afterAutospacing="0" w:line="360" w:lineRule="auto"/>
        <w:ind w:firstLine="480"/>
        <w:jc w:val="left"/>
        <w:rPr>
          <w:rFonts w:hint="eastAsia" w:ascii="Times New Roman" w:hAnsi="Times New Roman" w:eastAsia="宋体" w:cs="Times New Roman"/>
          <w:color w:val="000000"/>
          <w:kern w:val="2"/>
          <w:sz w:val="24"/>
          <w:szCs w:val="24"/>
          <w:highlight w:val="none"/>
          <w:lang w:val="en-US" w:eastAsia="zh-CN"/>
        </w:rPr>
      </w:pPr>
      <w:r>
        <w:rPr>
          <w:rFonts w:hint="default" w:ascii="Times New Roman" w:hAnsi="Times New Roman" w:cs="Times New Roman"/>
          <w:color w:val="000000"/>
          <w:sz w:val="24"/>
          <w:szCs w:val="24"/>
          <w:highlight w:val="none"/>
          <w:lang w:val="en-US" w:eastAsia="zh-CN"/>
        </w:rPr>
        <w:t>目前厂区内已建设1座1.1万m</w:t>
      </w:r>
      <w:r>
        <w:rPr>
          <w:rFonts w:hint="default" w:ascii="Times New Roman" w:hAnsi="Times New Roman" w:cs="Times New Roman"/>
          <w:color w:val="000000"/>
          <w:sz w:val="24"/>
          <w:szCs w:val="24"/>
          <w:highlight w:val="none"/>
          <w:vertAlign w:val="superscript"/>
          <w:lang w:val="en-US" w:eastAsia="zh-CN"/>
        </w:rPr>
        <w:t>3</w:t>
      </w:r>
      <w:r>
        <w:rPr>
          <w:rFonts w:hint="default" w:ascii="Times New Roman" w:hAnsi="Times New Roman" w:cs="Times New Roman"/>
          <w:color w:val="000000"/>
          <w:sz w:val="24"/>
          <w:szCs w:val="24"/>
          <w:highlight w:val="none"/>
          <w:lang w:val="en-US" w:eastAsia="zh-CN"/>
        </w:rPr>
        <w:t>/d污水处理站，采用“</w:t>
      </w:r>
      <w:r>
        <w:rPr>
          <w:rFonts w:hint="eastAsia" w:ascii="Times New Roman" w:hAnsi="Times New Roman" w:cs="Times New Roman"/>
          <w:color w:val="000000"/>
          <w:sz w:val="24"/>
          <w:szCs w:val="24"/>
          <w:highlight w:val="none"/>
          <w:lang w:val="en-US" w:eastAsia="zh-CN" w:bidi="ar-SA"/>
        </w:rPr>
        <w:t>中和沉淀+</w:t>
      </w:r>
      <w:r>
        <w:rPr>
          <w:rFonts w:hint="default" w:ascii="Times New Roman" w:hAnsi="Times New Roman" w:eastAsia="宋体" w:cs="Times New Roman"/>
          <w:color w:val="000000"/>
          <w:sz w:val="24"/>
          <w:szCs w:val="24"/>
          <w:highlight w:val="none"/>
          <w:lang w:val="en-US" w:eastAsia="zh-CN" w:bidi="ar-SA"/>
        </w:rPr>
        <w:t>水解酸化+A2O</w:t>
      </w:r>
      <w:r>
        <w:rPr>
          <w:rFonts w:hint="default" w:ascii="Times New Roman" w:hAnsi="Times New Roman"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bidi="ar-SA"/>
        </w:rPr>
        <w:t>处理工艺，同时另设置MBR+RO+MVR废水处理工艺作为应急备用处理工艺。</w:t>
      </w:r>
      <w:r>
        <w:rPr>
          <w:rFonts w:hint="eastAsia" w:ascii="Times New Roman" w:hAnsi="Times New Roman" w:eastAsia="宋体" w:cs="Times New Roman"/>
          <w:color w:val="000000"/>
          <w:kern w:val="0"/>
          <w:sz w:val="24"/>
          <w:szCs w:val="24"/>
          <w:highlight w:val="none"/>
          <w:lang w:val="en-US" w:eastAsia="zh-CN" w:bidi="en-US"/>
        </w:rPr>
        <w:t>因此符合</w:t>
      </w:r>
      <w:r>
        <w:rPr>
          <w:rFonts w:hint="eastAsia" w:ascii="Times New Roman" w:hAnsi="Times New Roman" w:eastAsia="宋体" w:cs="Times New Roman"/>
          <w:snapToGrid w:val="0"/>
          <w:color w:val="000000"/>
          <w:kern w:val="2"/>
          <w:sz w:val="24"/>
          <w:szCs w:val="24"/>
          <w:highlight w:val="none"/>
          <w:lang w:val="en-US" w:eastAsia="zh-CN" w:bidi="ar-SA"/>
        </w:rPr>
        <w:t>《排污许可证申请与核发技术规范 石化工业》（HJ853-2017）可行技术要求。</w:t>
      </w:r>
      <w:r>
        <w:rPr>
          <w:rFonts w:hint="eastAsia" w:ascii="Times New Roman" w:hAnsi="Times New Roman" w:cs="Times New Roman"/>
          <w:snapToGrid w:val="0"/>
          <w:color w:val="000000"/>
          <w:kern w:val="2"/>
          <w:sz w:val="24"/>
          <w:szCs w:val="24"/>
          <w:highlight w:val="none"/>
          <w:lang w:val="en-US" w:eastAsia="zh-CN" w:bidi="ar-SA"/>
        </w:rPr>
        <w:t>现有工程已建污水处理站</w:t>
      </w:r>
      <w:r>
        <w:rPr>
          <w:rFonts w:hint="eastAsia" w:ascii="Times New Roman" w:hAnsi="Times New Roman" w:cs="Times New Roman"/>
          <w:color w:val="000000"/>
          <w:kern w:val="2"/>
          <w:sz w:val="24"/>
          <w:szCs w:val="24"/>
          <w:highlight w:val="none"/>
          <w:lang w:val="en-US" w:eastAsia="zh-CN"/>
        </w:rPr>
        <w:t>工艺</w:t>
      </w:r>
      <w:r>
        <w:rPr>
          <w:rFonts w:hint="eastAsia" w:ascii="Times New Roman" w:hAnsi="Times New Roman" w:eastAsia="宋体" w:cs="Times New Roman"/>
          <w:color w:val="000000"/>
          <w:kern w:val="2"/>
          <w:sz w:val="24"/>
          <w:szCs w:val="24"/>
          <w:highlight w:val="none"/>
          <w:lang w:val="en-US" w:eastAsia="zh-CN"/>
        </w:rPr>
        <w:t>流程图如下：</w:t>
      </w:r>
    </w:p>
    <w:p w14:paraId="6ABD3821">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Times New Roman" w:hAnsi="Times New Roman" w:eastAsia="宋体" w:cs="宋体"/>
          <w:sz w:val="24"/>
          <w:szCs w:val="22"/>
          <w:lang w:val="en-US" w:eastAsia="zh-CN"/>
        </w:rPr>
      </w:pPr>
      <w:r>
        <w:drawing>
          <wp:inline distT="0" distB="0" distL="114300" distR="114300">
            <wp:extent cx="5273675" cy="1577340"/>
            <wp:effectExtent l="0" t="0" r="3175" b="381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33"/>
                    <a:stretch>
                      <a:fillRect/>
                    </a:stretch>
                  </pic:blipFill>
                  <pic:spPr>
                    <a:xfrm>
                      <a:off x="0" y="0"/>
                      <a:ext cx="5273675" cy="1577340"/>
                    </a:xfrm>
                    <a:prstGeom prst="rect">
                      <a:avLst/>
                    </a:prstGeom>
                    <a:noFill/>
                    <a:ln>
                      <a:noFill/>
                    </a:ln>
                  </pic:spPr>
                </pic:pic>
              </a:graphicData>
            </a:graphic>
          </wp:inline>
        </w:drawing>
      </w:r>
    </w:p>
    <w:p w14:paraId="1A7B25EB">
      <w:pPr>
        <w:widowControl w:val="0"/>
        <w:autoSpaceDE w:val="0"/>
        <w:autoSpaceDN w:val="0"/>
        <w:adjustRightInd w:val="0"/>
        <w:rPr>
          <w:rFonts w:hint="eastAsia" w:ascii="Times New Roman" w:hAnsi="Times New Roman" w:eastAsia="宋体" w:cs="Times New Roman"/>
          <w:color w:val="000000"/>
          <w:kern w:val="2"/>
          <w:sz w:val="24"/>
          <w:szCs w:val="20"/>
          <w:highlight w:val="none"/>
          <w:lang w:val="en-US" w:eastAsia="zh-CN" w:bidi="ar-SA"/>
        </w:rPr>
      </w:pPr>
    </w:p>
    <w:p w14:paraId="469811F7">
      <w:pPr>
        <w:keepNext w:val="0"/>
        <w:keepLines w:val="0"/>
        <w:pageBreakBefore w:val="0"/>
        <w:widowControl w:val="0"/>
        <w:kinsoku/>
        <w:wordWrap/>
        <w:overflowPunct/>
        <w:topLinePunct w:val="0"/>
        <w:autoSpaceDE/>
        <w:autoSpaceDN/>
        <w:bidi w:val="0"/>
        <w:adjustRightInd/>
        <w:snapToGrid/>
        <w:spacing w:before="0" w:after="0" w:line="480" w:lineRule="exact"/>
        <w:ind w:left="0" w:right="0" w:firstLine="0" w:firstLineChars="0"/>
        <w:jc w:val="center"/>
        <w:textAlignment w:val="auto"/>
        <w:rPr>
          <w:rFonts w:hint="default" w:ascii="Times New Roman" w:hAnsi="Times New Roman" w:eastAsia="宋体" w:cs="Times New Roman"/>
          <w:b/>
          <w:color w:val="000000"/>
          <w:kern w:val="2"/>
          <w:sz w:val="24"/>
          <w:szCs w:val="24"/>
          <w:highlight w:val="none"/>
          <w:lang w:eastAsia="zh-CN"/>
        </w:rPr>
      </w:pPr>
      <w:r>
        <w:rPr>
          <w:rFonts w:hint="default" w:ascii="Times New Roman" w:hAnsi="Times New Roman" w:eastAsia="宋体" w:cs="Times New Roman"/>
          <w:b/>
          <w:color w:val="000000"/>
          <w:kern w:val="2"/>
          <w:sz w:val="24"/>
          <w:szCs w:val="24"/>
          <w:highlight w:val="none"/>
          <w:lang w:eastAsia="zh-CN"/>
        </w:rPr>
        <w:t>图</w:t>
      </w:r>
      <w:r>
        <w:rPr>
          <w:rFonts w:hint="eastAsia" w:ascii="Times New Roman" w:hAnsi="Times New Roman" w:cs="Times New Roman"/>
          <w:b/>
          <w:color w:val="000000"/>
          <w:kern w:val="2"/>
          <w:sz w:val="24"/>
          <w:szCs w:val="24"/>
          <w:highlight w:val="none"/>
          <w:lang w:val="en-US" w:eastAsia="zh-CN"/>
        </w:rPr>
        <w:t>8.</w:t>
      </w:r>
      <w:r>
        <w:rPr>
          <w:rFonts w:hint="eastAsia" w:ascii="Times New Roman" w:hAnsi="Times New Roman" w:eastAsia="宋体" w:cs="Times New Roman"/>
          <w:b/>
          <w:color w:val="000000"/>
          <w:kern w:val="2"/>
          <w:sz w:val="24"/>
          <w:szCs w:val="24"/>
          <w:highlight w:val="none"/>
          <w:lang w:val="en-US" w:eastAsia="zh-CN"/>
        </w:rPr>
        <w:t>3-1</w:t>
      </w:r>
      <w:r>
        <w:rPr>
          <w:rFonts w:hint="eastAsia" w:ascii="Times New Roman" w:hAnsi="Times New Roman" w:cs="Times New Roman"/>
          <w:b/>
          <w:color w:val="000000"/>
          <w:kern w:val="2"/>
          <w:sz w:val="24"/>
          <w:szCs w:val="24"/>
          <w:highlight w:val="none"/>
          <w:lang w:val="en-US" w:eastAsia="zh-CN"/>
        </w:rPr>
        <w:t xml:space="preserve">  </w:t>
      </w:r>
      <w:r>
        <w:rPr>
          <w:rFonts w:hint="default" w:ascii="Times New Roman" w:hAnsi="Times New Roman" w:eastAsia="宋体" w:cs="Times New Roman"/>
          <w:b/>
          <w:color w:val="000000"/>
          <w:kern w:val="2"/>
          <w:sz w:val="24"/>
          <w:szCs w:val="24"/>
          <w:highlight w:val="none"/>
          <w:lang w:eastAsia="zh-CN"/>
        </w:rPr>
        <w:t>现有工程废水处理工艺流程图</w:t>
      </w:r>
    </w:p>
    <w:p w14:paraId="58514E71">
      <w:pPr>
        <w:widowControl w:val="0"/>
        <w:spacing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cs="Times New Roman"/>
          <w:color w:val="000000"/>
          <w:kern w:val="2"/>
          <w:sz w:val="24"/>
          <w:szCs w:val="24"/>
          <w:highlight w:val="none"/>
          <w:lang w:val="en-US" w:eastAsia="zh-CN" w:bidi="ar-SA"/>
        </w:rPr>
        <w:t>现有工程污水处理站</w:t>
      </w:r>
      <w:r>
        <w:rPr>
          <w:rFonts w:hint="eastAsia" w:ascii="Times New Roman" w:hAnsi="Times New Roman" w:eastAsia="宋体" w:cs="Times New Roman"/>
          <w:color w:val="000000"/>
          <w:kern w:val="2"/>
          <w:sz w:val="24"/>
          <w:szCs w:val="24"/>
          <w:highlight w:val="none"/>
          <w:lang w:val="en-US" w:eastAsia="zh-CN" w:bidi="ar-SA"/>
        </w:rPr>
        <w:t>工艺流程主要分三部分：</w:t>
      </w:r>
    </w:p>
    <w:p w14:paraId="3587CDA0">
      <w:pPr>
        <w:widowControl w:val="0"/>
        <w:spacing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cs="Times New Roman"/>
          <w:color w:val="000000"/>
          <w:kern w:val="2"/>
          <w:sz w:val="24"/>
          <w:szCs w:val="24"/>
          <w:highlight w:val="none"/>
          <w:lang w:val="en-US" w:eastAsia="zh-CN" w:bidi="ar-SA"/>
        </w:rPr>
        <w:t>（</w:t>
      </w:r>
      <w:r>
        <w:rPr>
          <w:rFonts w:hint="eastAsia" w:ascii="Times New Roman" w:hAnsi="Times New Roman" w:eastAsia="宋体" w:cs="Times New Roman"/>
          <w:color w:val="000000"/>
          <w:kern w:val="2"/>
          <w:sz w:val="24"/>
          <w:szCs w:val="24"/>
          <w:highlight w:val="none"/>
          <w:lang w:val="en-US" w:eastAsia="zh-CN" w:bidi="ar-SA"/>
        </w:rPr>
        <w:t>1）预处理单元</w:t>
      </w:r>
    </w:p>
    <w:p w14:paraId="5F8AEACC">
      <w:pPr>
        <w:widowControl w:val="0"/>
        <w:spacing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cs="Times New Roman"/>
          <w:color w:val="000000"/>
          <w:kern w:val="2"/>
          <w:sz w:val="24"/>
          <w:szCs w:val="24"/>
          <w:highlight w:val="none"/>
          <w:lang w:val="en-US" w:eastAsia="zh-CN" w:bidi="ar-SA"/>
        </w:rPr>
        <w:t>根据废水pH加酸或碱对</w:t>
      </w:r>
      <w:r>
        <w:rPr>
          <w:rFonts w:hint="eastAsia" w:ascii="Times New Roman" w:hAnsi="Times New Roman" w:eastAsia="宋体" w:cs="Times New Roman"/>
          <w:color w:val="000000"/>
          <w:kern w:val="2"/>
          <w:sz w:val="24"/>
          <w:szCs w:val="24"/>
          <w:highlight w:val="none"/>
          <w:lang w:val="en-US" w:eastAsia="zh-CN" w:bidi="ar-SA"/>
        </w:rPr>
        <w:t>生产废水pH值进行调节调节水质至中性，中和沉淀池后截留大颗粒悬浮物后，通过离心式污水提升泵输送至后续生物处理单元。</w:t>
      </w:r>
    </w:p>
    <w:p w14:paraId="23D0B885">
      <w:pPr>
        <w:widowControl w:val="0"/>
        <w:spacing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若有事故发生时，废水先重力流入事故池，当事故解除后，经事故提升泵小流量泵回污水处理站进行处理。池内配有搅拌机，防止池体内固形物的沉积。还设有智能压力液位计进行液位的实时监测。</w:t>
      </w:r>
    </w:p>
    <w:p w14:paraId="1C5131B4">
      <w:pPr>
        <w:widowControl w:val="0"/>
        <w:spacing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cs="Times New Roman"/>
          <w:color w:val="000000"/>
          <w:kern w:val="2"/>
          <w:sz w:val="24"/>
          <w:szCs w:val="24"/>
          <w:highlight w:val="none"/>
          <w:lang w:val="en-US" w:eastAsia="zh-CN" w:bidi="ar-SA"/>
        </w:rPr>
        <w:t>（2）</w:t>
      </w:r>
      <w:r>
        <w:rPr>
          <w:rFonts w:hint="eastAsia" w:ascii="Times New Roman" w:hAnsi="Times New Roman" w:eastAsia="宋体" w:cs="Times New Roman"/>
          <w:color w:val="000000"/>
          <w:kern w:val="2"/>
          <w:sz w:val="24"/>
          <w:szCs w:val="24"/>
          <w:highlight w:val="none"/>
          <w:lang w:val="en-US" w:eastAsia="zh-CN" w:bidi="ar-SA"/>
        </w:rPr>
        <w:t>生物处理单元</w:t>
      </w:r>
    </w:p>
    <w:p w14:paraId="34CF1FA6">
      <w:pPr>
        <w:widowControl w:val="0"/>
        <w:spacing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混合后的污水组成发生改变，污水中C/N、C/P比值得到良好的改善，但混合液B/C较低，通过增设水解酸化，使得混合液中难降解的有机物发生水解、酸化，更容易被微生物利用，从而达到改善污水可生化性的目的。</w:t>
      </w:r>
    </w:p>
    <w:p w14:paraId="68D5A7DD">
      <w:pPr>
        <w:widowControl w:val="0"/>
        <w:spacing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cs="Times New Roman"/>
          <w:color w:val="000000"/>
          <w:kern w:val="2"/>
          <w:sz w:val="24"/>
          <w:szCs w:val="24"/>
          <w:highlight w:val="none"/>
          <w:lang w:val="en-US" w:eastAsia="zh-CN" w:bidi="ar-SA"/>
        </w:rPr>
        <w:t>本项目</w:t>
      </w:r>
      <w:r>
        <w:rPr>
          <w:rFonts w:hint="eastAsia" w:ascii="Times New Roman" w:hAnsi="Times New Roman" w:eastAsia="宋体" w:cs="Times New Roman"/>
          <w:color w:val="000000"/>
          <w:kern w:val="2"/>
          <w:sz w:val="24"/>
          <w:szCs w:val="24"/>
          <w:highlight w:val="none"/>
          <w:lang w:val="en-US" w:eastAsia="zh-CN" w:bidi="ar-SA"/>
        </w:rPr>
        <w:t>生产废水具有NH</w:t>
      </w:r>
      <w:r>
        <w:rPr>
          <w:rFonts w:hint="eastAsia" w:ascii="Times New Roman" w:hAnsi="Times New Roman" w:eastAsia="宋体" w:cs="Times New Roman"/>
          <w:color w:val="000000"/>
          <w:kern w:val="2"/>
          <w:sz w:val="24"/>
          <w:szCs w:val="24"/>
          <w:highlight w:val="none"/>
          <w:vertAlign w:val="subscript"/>
          <w:lang w:val="en-US" w:eastAsia="zh-CN" w:bidi="ar-SA"/>
        </w:rPr>
        <w:t>3</w:t>
      </w:r>
      <w:r>
        <w:rPr>
          <w:rFonts w:hint="eastAsia" w:ascii="Times New Roman" w:hAnsi="Times New Roman" w:eastAsia="宋体" w:cs="Times New Roman"/>
          <w:color w:val="000000"/>
          <w:kern w:val="2"/>
          <w:sz w:val="24"/>
          <w:szCs w:val="24"/>
          <w:highlight w:val="none"/>
          <w:lang w:val="en-US" w:eastAsia="zh-CN" w:bidi="ar-SA"/>
        </w:rPr>
        <w:t>-N</w:t>
      </w:r>
      <w:r>
        <w:rPr>
          <w:rFonts w:hint="eastAsia" w:ascii="Times New Roman" w:hAnsi="Times New Roman" w:cs="Times New Roman"/>
          <w:color w:val="000000"/>
          <w:kern w:val="2"/>
          <w:sz w:val="24"/>
          <w:szCs w:val="24"/>
          <w:highlight w:val="none"/>
          <w:lang w:val="en-US" w:eastAsia="zh-CN" w:bidi="ar-SA"/>
        </w:rPr>
        <w:t>高</w:t>
      </w:r>
      <w:r>
        <w:rPr>
          <w:rFonts w:hint="eastAsia" w:ascii="Times New Roman" w:hAnsi="Times New Roman" w:eastAsia="宋体" w:cs="Times New Roman"/>
          <w:color w:val="000000"/>
          <w:kern w:val="2"/>
          <w:sz w:val="24"/>
          <w:szCs w:val="24"/>
          <w:highlight w:val="none"/>
          <w:lang w:val="en-US" w:eastAsia="zh-CN" w:bidi="ar-SA"/>
        </w:rPr>
        <w:t>的特点，</w:t>
      </w:r>
      <w:r>
        <w:rPr>
          <w:rFonts w:hint="eastAsia" w:ascii="Times New Roman" w:hAnsi="Times New Roman" w:cs="Times New Roman"/>
          <w:color w:val="000000"/>
          <w:kern w:val="2"/>
          <w:sz w:val="24"/>
          <w:szCs w:val="24"/>
          <w:highlight w:val="none"/>
          <w:lang w:val="en-US" w:eastAsia="zh-CN" w:bidi="ar-SA"/>
        </w:rPr>
        <w:t>现有工程</w:t>
      </w:r>
      <w:r>
        <w:rPr>
          <w:rFonts w:hint="eastAsia" w:ascii="Times New Roman" w:hAnsi="Times New Roman" w:eastAsia="宋体" w:cs="Times New Roman"/>
          <w:color w:val="000000"/>
          <w:kern w:val="2"/>
          <w:sz w:val="24"/>
          <w:szCs w:val="24"/>
          <w:highlight w:val="none"/>
          <w:lang w:val="en-US" w:eastAsia="zh-CN" w:bidi="ar-SA"/>
        </w:rPr>
        <w:t>生产废水具有TP高的特点，因此选用具有脱氮除磷功效的A2O工艺可实现对污水中NH</w:t>
      </w:r>
      <w:r>
        <w:rPr>
          <w:rFonts w:hint="eastAsia" w:ascii="Times New Roman" w:hAnsi="Times New Roman" w:eastAsia="宋体" w:cs="Times New Roman"/>
          <w:color w:val="000000"/>
          <w:kern w:val="2"/>
          <w:sz w:val="24"/>
          <w:szCs w:val="24"/>
          <w:highlight w:val="none"/>
          <w:vertAlign w:val="subscript"/>
          <w:lang w:val="en-US" w:eastAsia="zh-CN" w:bidi="ar-SA"/>
        </w:rPr>
        <w:t>3</w:t>
      </w:r>
      <w:r>
        <w:rPr>
          <w:rFonts w:hint="eastAsia" w:ascii="Times New Roman" w:hAnsi="Times New Roman" w:eastAsia="宋体" w:cs="Times New Roman"/>
          <w:color w:val="000000"/>
          <w:kern w:val="2"/>
          <w:sz w:val="24"/>
          <w:szCs w:val="24"/>
          <w:highlight w:val="none"/>
          <w:lang w:val="en-US" w:eastAsia="zh-CN" w:bidi="ar-SA"/>
        </w:rPr>
        <w:t>-N、TP的去除。</w:t>
      </w:r>
    </w:p>
    <w:p w14:paraId="1E2637F4">
      <w:pPr>
        <w:widowControl w:val="0"/>
        <w:spacing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cs="Times New Roman"/>
          <w:color w:val="000000"/>
          <w:kern w:val="2"/>
          <w:sz w:val="24"/>
          <w:szCs w:val="24"/>
          <w:highlight w:val="none"/>
          <w:lang w:val="en-US" w:eastAsia="zh-CN" w:bidi="ar-SA"/>
        </w:rPr>
        <w:t>（3）</w:t>
      </w:r>
      <w:r>
        <w:rPr>
          <w:rFonts w:hint="eastAsia" w:ascii="Times New Roman" w:hAnsi="Times New Roman" w:eastAsia="宋体" w:cs="Times New Roman"/>
          <w:color w:val="000000"/>
          <w:kern w:val="2"/>
          <w:sz w:val="24"/>
          <w:szCs w:val="24"/>
          <w:highlight w:val="none"/>
          <w:lang w:val="en-US" w:eastAsia="zh-CN" w:bidi="ar-SA"/>
        </w:rPr>
        <w:t>污泥处理单元</w:t>
      </w:r>
    </w:p>
    <w:p w14:paraId="1DAA9A2D">
      <w:pPr>
        <w:widowControl w:val="0"/>
        <w:spacing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污水通过初沉作用产生的污泥、污水中和沉淀物、A2O生物反应池的剩余污泥、以及化学除磷污泥进入贮泥曝气池储存，通过污泥螺杆泵打入带式浓缩脱水机一体机，通过添加药剂，保证出泥含水率</w:t>
      </w:r>
      <w:r>
        <w:rPr>
          <w:rFonts w:hint="eastAsia" w:ascii="Times New Roman" w:hAnsi="Times New Roman" w:cs="Times New Roman"/>
          <w:color w:val="000000"/>
          <w:kern w:val="2"/>
          <w:sz w:val="24"/>
          <w:szCs w:val="24"/>
          <w:highlight w:val="none"/>
          <w:lang w:val="en-US" w:eastAsia="zh-CN" w:bidi="ar-SA"/>
        </w:rPr>
        <w:t>≤</w:t>
      </w:r>
      <w:r>
        <w:rPr>
          <w:rFonts w:hint="eastAsia" w:ascii="Times New Roman" w:hAnsi="Times New Roman" w:eastAsia="宋体" w:cs="Times New Roman"/>
          <w:color w:val="000000"/>
          <w:kern w:val="2"/>
          <w:sz w:val="24"/>
          <w:szCs w:val="24"/>
          <w:highlight w:val="none"/>
          <w:lang w:val="en-US" w:eastAsia="zh-CN" w:bidi="ar-SA"/>
        </w:rPr>
        <w:t>80%，再进入电渗析污泥干化系统进行深度脱水，保证出泥含水率</w:t>
      </w:r>
      <w:r>
        <w:rPr>
          <w:rFonts w:hint="eastAsia" w:ascii="Times New Roman" w:hAnsi="Times New Roman" w:cs="Times New Roman"/>
          <w:color w:val="000000"/>
          <w:kern w:val="2"/>
          <w:sz w:val="24"/>
          <w:szCs w:val="24"/>
          <w:highlight w:val="none"/>
          <w:lang w:val="en-US" w:eastAsia="zh-CN" w:bidi="ar-SA"/>
        </w:rPr>
        <w:t>≤</w:t>
      </w:r>
      <w:r>
        <w:rPr>
          <w:rFonts w:hint="eastAsia" w:ascii="Times New Roman" w:hAnsi="Times New Roman" w:eastAsia="宋体" w:cs="Times New Roman"/>
          <w:color w:val="000000"/>
          <w:kern w:val="2"/>
          <w:sz w:val="24"/>
          <w:szCs w:val="24"/>
          <w:highlight w:val="none"/>
          <w:lang w:val="en-US" w:eastAsia="zh-CN" w:bidi="ar-SA"/>
        </w:rPr>
        <w:t>60%。</w:t>
      </w:r>
    </w:p>
    <w:p w14:paraId="668C6F38">
      <w:pPr>
        <w:widowControl w:val="0"/>
        <w:spacing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cs="Times New Roman"/>
          <w:color w:val="000000"/>
          <w:kern w:val="2"/>
          <w:sz w:val="24"/>
          <w:szCs w:val="24"/>
          <w:highlight w:val="none"/>
          <w:lang w:val="en-US" w:eastAsia="zh-CN" w:bidi="ar-SA"/>
        </w:rPr>
        <w:t>（4）</w:t>
      </w:r>
      <w:r>
        <w:rPr>
          <w:rFonts w:hint="eastAsia" w:ascii="Times New Roman" w:hAnsi="Times New Roman" w:eastAsia="宋体" w:cs="Times New Roman"/>
          <w:color w:val="000000"/>
          <w:kern w:val="2"/>
          <w:sz w:val="24"/>
          <w:szCs w:val="24"/>
          <w:highlight w:val="none"/>
          <w:lang w:val="en-US" w:eastAsia="zh-CN" w:bidi="ar-SA"/>
        </w:rPr>
        <w:t>深度处理单元</w:t>
      </w:r>
    </w:p>
    <w:p w14:paraId="5462DE51">
      <w:pPr>
        <w:widowControl w:val="0"/>
        <w:spacing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现有工程污水处理站设置“MBR+RO+MVR”废水处理工艺作为应急备用处理工艺，在发生事故或者应急情况下启动深度处理单元。</w:t>
      </w:r>
    </w:p>
    <w:p w14:paraId="26A4CFDE">
      <w:pPr>
        <w:keepNext w:val="0"/>
        <w:keepLines w:val="0"/>
        <w:widowControl w:val="0"/>
        <w:spacing w:before="0" w:after="0" w:line="360" w:lineRule="auto"/>
        <w:jc w:val="both"/>
        <w:outlineLvl w:val="2"/>
        <w:rPr>
          <w:rFonts w:hint="default" w:ascii="Times New Roman" w:hAnsi="Times New Roman" w:eastAsia="宋体" w:cs="Times New Roman"/>
          <w:b/>
          <w:bCs/>
          <w:color w:val="000000"/>
          <w:sz w:val="28"/>
          <w:szCs w:val="28"/>
          <w:highlight w:val="none"/>
          <w:lang w:val="en-US" w:eastAsia="zh-CN" w:bidi="ar-SA"/>
        </w:rPr>
      </w:pPr>
      <w:r>
        <w:rPr>
          <w:rFonts w:hint="eastAsia" w:ascii="Times New Roman" w:hAnsi="Times New Roman" w:cs="Times New Roman"/>
          <w:b/>
          <w:bCs/>
          <w:color w:val="000000"/>
          <w:sz w:val="28"/>
          <w:szCs w:val="28"/>
          <w:highlight w:val="none"/>
          <w:lang w:val="en-US" w:eastAsia="zh-CN" w:bidi="ar-SA"/>
        </w:rPr>
        <w:t>8.</w:t>
      </w:r>
      <w:r>
        <w:rPr>
          <w:rFonts w:ascii="Times New Roman" w:hAnsi="Times New Roman" w:eastAsia="宋体" w:cs="Times New Roman"/>
          <w:b/>
          <w:bCs/>
          <w:color w:val="000000"/>
          <w:sz w:val="28"/>
          <w:szCs w:val="28"/>
          <w:highlight w:val="none"/>
          <w:lang w:val="en-US" w:eastAsia="zh-CN" w:bidi="ar-SA"/>
        </w:rPr>
        <w:t>3.</w:t>
      </w:r>
      <w:r>
        <w:rPr>
          <w:rFonts w:hint="eastAsia" w:ascii="Times New Roman" w:hAnsi="Times New Roman" w:cs="Times New Roman"/>
          <w:b/>
          <w:bCs/>
          <w:color w:val="000000"/>
          <w:sz w:val="28"/>
          <w:szCs w:val="28"/>
          <w:highlight w:val="none"/>
          <w:lang w:val="en-US" w:eastAsia="zh-CN" w:bidi="ar-SA"/>
        </w:rPr>
        <w:t>3污水处理站处理效果可行性分析</w:t>
      </w:r>
    </w:p>
    <w:p w14:paraId="06A75B55">
      <w:pPr>
        <w:pStyle w:val="42"/>
        <w:spacing w:line="360" w:lineRule="auto"/>
        <w:rPr>
          <w:rFonts w:hint="eastAsia" w:cs="Times New Roman"/>
          <w:color w:val="000000"/>
          <w:sz w:val="24"/>
          <w:szCs w:val="24"/>
          <w:highlight w:val="none"/>
          <w:lang w:val="en-US" w:eastAsia="zh-CN"/>
        </w:rPr>
      </w:pPr>
      <w:r>
        <w:rPr>
          <w:rFonts w:hint="eastAsia" w:cs="Times New Roman"/>
          <w:color w:val="000000"/>
          <w:sz w:val="24"/>
          <w:szCs w:val="24"/>
          <w:highlight w:val="none"/>
          <w:lang w:val="en-US" w:eastAsia="zh-CN"/>
        </w:rPr>
        <w:t>根据企业在线监控数据，现有工程平均每天废水排放量为8370m</w:t>
      </w:r>
      <w:r>
        <w:rPr>
          <w:rFonts w:hint="eastAsia" w:cs="Times New Roman"/>
          <w:color w:val="000000"/>
          <w:sz w:val="24"/>
          <w:szCs w:val="24"/>
          <w:highlight w:val="none"/>
          <w:vertAlign w:val="superscript"/>
          <w:lang w:val="en-US" w:eastAsia="zh-CN"/>
        </w:rPr>
        <w:t>3</w:t>
      </w:r>
      <w:r>
        <w:rPr>
          <w:rFonts w:hint="eastAsia" w:cs="Times New Roman"/>
          <w:color w:val="000000"/>
          <w:sz w:val="24"/>
          <w:szCs w:val="24"/>
          <w:highlight w:val="none"/>
          <w:lang w:val="en-US" w:eastAsia="zh-CN"/>
        </w:rPr>
        <w:t>/d（按333天计算），其中污水处理站处理废水量约4000m</w:t>
      </w:r>
      <w:r>
        <w:rPr>
          <w:rFonts w:hint="eastAsia" w:cs="Times New Roman"/>
          <w:color w:val="000000"/>
          <w:sz w:val="24"/>
          <w:szCs w:val="24"/>
          <w:highlight w:val="none"/>
          <w:vertAlign w:val="superscript"/>
          <w:lang w:val="en-US" w:eastAsia="zh-CN"/>
        </w:rPr>
        <w:t>3</w:t>
      </w:r>
      <w:r>
        <w:rPr>
          <w:rFonts w:hint="eastAsia" w:cs="Times New Roman"/>
          <w:color w:val="000000"/>
          <w:sz w:val="24"/>
          <w:szCs w:val="24"/>
          <w:highlight w:val="none"/>
          <w:lang w:val="en-US" w:eastAsia="zh-CN"/>
        </w:rPr>
        <w:t>/d，剩余约4370m</w:t>
      </w:r>
      <w:r>
        <w:rPr>
          <w:rFonts w:hint="eastAsia" w:cs="Times New Roman"/>
          <w:color w:val="000000"/>
          <w:sz w:val="24"/>
          <w:szCs w:val="24"/>
          <w:highlight w:val="none"/>
          <w:vertAlign w:val="superscript"/>
          <w:lang w:val="en-US" w:eastAsia="zh-CN"/>
        </w:rPr>
        <w:t>3</w:t>
      </w:r>
      <w:r>
        <w:rPr>
          <w:rFonts w:hint="eastAsia" w:cs="Times New Roman"/>
          <w:color w:val="000000"/>
          <w:sz w:val="24"/>
          <w:szCs w:val="24"/>
          <w:highlight w:val="none"/>
          <w:lang w:val="en-US" w:eastAsia="zh-CN"/>
        </w:rPr>
        <w:t>/d废水为清下水，直接通过厂区总排口排放。根据企业日常检测，厂区污水处理站进水浓度约为COD10000mg/L、氨氮60mg/L、总磷100mg/L、总氮250mg/L。本项目进入污水处理站废水量12.35m</w:t>
      </w:r>
      <w:r>
        <w:rPr>
          <w:rFonts w:hint="eastAsia" w:cs="Times New Roman"/>
          <w:color w:val="000000"/>
          <w:sz w:val="24"/>
          <w:szCs w:val="24"/>
          <w:highlight w:val="none"/>
          <w:vertAlign w:val="superscript"/>
          <w:lang w:val="en-US" w:eastAsia="zh-CN"/>
        </w:rPr>
        <w:t>3</w:t>
      </w:r>
      <w:r>
        <w:rPr>
          <w:rFonts w:hint="eastAsia" w:cs="Times New Roman"/>
          <w:color w:val="000000"/>
          <w:sz w:val="24"/>
          <w:szCs w:val="24"/>
          <w:highlight w:val="none"/>
          <w:lang w:val="en-US" w:eastAsia="zh-CN"/>
        </w:rPr>
        <w:t>/d，占现有工程处理水量的0.31%；本项目总排水量为160.11m</w:t>
      </w:r>
      <w:r>
        <w:rPr>
          <w:rFonts w:hint="eastAsia" w:cs="Times New Roman"/>
          <w:color w:val="000000"/>
          <w:sz w:val="24"/>
          <w:szCs w:val="24"/>
          <w:highlight w:val="none"/>
          <w:vertAlign w:val="superscript"/>
          <w:lang w:val="en-US" w:eastAsia="zh-CN"/>
        </w:rPr>
        <w:t>3</w:t>
      </w:r>
      <w:r>
        <w:rPr>
          <w:rFonts w:hint="eastAsia" w:cs="Times New Roman"/>
          <w:color w:val="000000"/>
          <w:sz w:val="24"/>
          <w:szCs w:val="24"/>
          <w:highlight w:val="none"/>
          <w:lang w:val="en-US" w:eastAsia="zh-CN"/>
        </w:rPr>
        <w:t>/d，占现有工程总废水量的1.9%。</w:t>
      </w:r>
    </w:p>
    <w:p w14:paraId="4010F8B7">
      <w:pPr>
        <w:pStyle w:val="42"/>
        <w:spacing w:line="360" w:lineRule="auto"/>
        <w:rPr>
          <w:rFonts w:hint="default" w:cs="Times New Roman"/>
          <w:color w:val="000000"/>
          <w:sz w:val="24"/>
          <w:szCs w:val="24"/>
          <w:highlight w:val="none"/>
          <w:lang w:val="en-US" w:eastAsia="zh-CN"/>
        </w:rPr>
      </w:pPr>
      <w:r>
        <w:rPr>
          <w:rFonts w:hint="eastAsia" w:cs="Times New Roman"/>
          <w:color w:val="000000"/>
          <w:sz w:val="24"/>
          <w:szCs w:val="24"/>
          <w:highlight w:val="none"/>
          <w:lang w:val="en-US" w:eastAsia="zh-CN"/>
        </w:rPr>
        <w:t>本项目进入污水处理站废水污染物排放浓度较现有工程实际排放量较大，但本项目废水量较小，占现有工程废水量比例较低，且本项目废水中COD、氨氮来源主要为废水中的乙醇及氨气，生化性较好，因此本项目建成后对污水处理站进水浓度及厂区总排口处废水排放影响较小，不会对厂区污水处理站造成影响，厂区废水总排口处污染物排放浓度为pH7.7、COD26.18mg/L、BOD</w:t>
      </w:r>
      <w:r>
        <w:rPr>
          <w:rFonts w:hint="eastAsia" w:cs="Times New Roman"/>
          <w:color w:val="000000"/>
          <w:sz w:val="24"/>
          <w:szCs w:val="24"/>
          <w:highlight w:val="none"/>
          <w:vertAlign w:val="subscript"/>
          <w:lang w:val="en-US" w:eastAsia="zh-CN"/>
        </w:rPr>
        <w:t>5</w:t>
      </w:r>
      <w:r>
        <w:rPr>
          <w:rFonts w:hint="eastAsia" w:cs="Times New Roman"/>
          <w:color w:val="000000"/>
          <w:sz w:val="24"/>
          <w:szCs w:val="24"/>
          <w:highlight w:val="none"/>
          <w:lang w:val="en-US" w:eastAsia="zh-CN"/>
        </w:rPr>
        <w:t>6.432mg/L、氨氮1.191mg/L、SS9.499mg/L、总磷3.968mg/L、总氮5.374mg/L、溶解性固体1697mg/L，均能够满足《污水排入城镇下水道水质标准》（GB/T30962-2015）中表1B级标准（pH6.5~9.5、COD500mg/L、BOD5350mg/L、氨氮45mg/L、SS400mg/L、总磷8mg/L、总氮70mg/L、溶解性固体2000mg/L）。</w:t>
      </w:r>
    </w:p>
    <w:p w14:paraId="73635B3C">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宋体"/>
          <w:sz w:val="24"/>
          <w:szCs w:val="24"/>
          <w:lang w:val="en-US" w:eastAsia="zh-CN"/>
        </w:rPr>
      </w:pPr>
      <w:r>
        <w:rPr>
          <w:rFonts w:hint="eastAsia" w:cs="Times New Roman"/>
          <w:color w:val="000000"/>
          <w:sz w:val="24"/>
          <w:szCs w:val="24"/>
          <w:highlight w:val="none"/>
          <w:lang w:val="en-US" w:eastAsia="zh-CN"/>
        </w:rPr>
        <w:t>综上所述，本项目废水进入厂区污水处理站处理处理是可行的。</w:t>
      </w:r>
    </w:p>
    <w:p w14:paraId="322D0DBD">
      <w:pPr>
        <w:widowControl w:val="0"/>
        <w:spacing w:before="0" w:after="0" w:line="360" w:lineRule="auto"/>
        <w:jc w:val="both"/>
        <w:outlineLvl w:val="1"/>
        <w:rPr>
          <w:rFonts w:hint="eastAsia" w:ascii="Times New Roman" w:hAnsi="Times New Roman" w:cs="Times New Roman"/>
          <w:b/>
          <w:bCs/>
          <w:kern w:val="2"/>
          <w:sz w:val="30"/>
          <w:szCs w:val="30"/>
          <w:lang w:val="en-US" w:eastAsia="zh-CN" w:bidi="ar-SA"/>
        </w:rPr>
      </w:pPr>
      <w:bookmarkStart w:id="84" w:name="_Toc312"/>
      <w:r>
        <w:rPr>
          <w:rFonts w:hint="eastAsia" w:ascii="Times New Roman" w:hAnsi="Times New Roman" w:cs="Times New Roman"/>
          <w:b/>
          <w:bCs/>
          <w:kern w:val="2"/>
          <w:sz w:val="30"/>
          <w:szCs w:val="30"/>
          <w:lang w:val="en-US" w:eastAsia="zh-CN" w:bidi="ar-SA"/>
        </w:rPr>
        <w:t>8.4地下水环境保护措施</w:t>
      </w:r>
      <w:bookmarkEnd w:id="84"/>
    </w:p>
    <w:p w14:paraId="152373D8">
      <w:pPr>
        <w:keepNext w:val="0"/>
        <w:keepLines w:val="0"/>
        <w:widowControl w:val="0"/>
        <w:bidi w:val="0"/>
        <w:spacing w:before="0" w:after="0" w:line="360" w:lineRule="auto"/>
        <w:jc w:val="both"/>
        <w:outlineLvl w:val="2"/>
        <w:rPr>
          <w:rFonts w:hint="default" w:ascii="Times New Roman" w:hAnsi="Times New Roman" w:eastAsia="宋体" w:cs="Times New Roman"/>
          <w:b/>
          <w:bCs/>
          <w:sz w:val="28"/>
          <w:szCs w:val="28"/>
          <w:lang w:val="en-US" w:eastAsia="zh-CN" w:bidi="ar-SA"/>
        </w:rPr>
      </w:pPr>
      <w:r>
        <w:rPr>
          <w:rFonts w:hint="eastAsia" w:ascii="Times New Roman" w:hAnsi="Times New Roman" w:cs="Times New Roman"/>
          <w:b/>
          <w:bCs/>
          <w:sz w:val="28"/>
          <w:szCs w:val="28"/>
          <w:lang w:val="en-US" w:eastAsia="zh-CN" w:bidi="ar-SA"/>
        </w:rPr>
        <w:t>8.4.1现有工程已采取的防渗措施</w:t>
      </w:r>
    </w:p>
    <w:p w14:paraId="3F616142">
      <w:pPr>
        <w:widowControl/>
        <w:spacing w:before="0" w:beforeAutospacing="0" w:after="0" w:afterAutospacing="0" w:line="360" w:lineRule="auto"/>
        <w:ind w:firstLine="480"/>
        <w:jc w:val="left"/>
        <w:rPr>
          <w:rFonts w:hint="eastAsia" w:ascii="Times New Roman" w:hAnsi="Times New Roman" w:eastAsia="宋体" w:cs="Times New Roman"/>
          <w:color w:val="000000"/>
          <w:kern w:val="0"/>
          <w:sz w:val="24"/>
          <w:szCs w:val="24"/>
          <w:highlight w:val="none"/>
          <w:lang w:val="en-US" w:eastAsia="zh-CN" w:bidi="en-US"/>
        </w:rPr>
      </w:pPr>
      <w:r>
        <w:rPr>
          <w:rFonts w:hint="eastAsia" w:ascii="Times New Roman" w:hAnsi="Times New Roman" w:eastAsia="宋体" w:cs="Times New Roman"/>
          <w:color w:val="000000"/>
          <w:kern w:val="0"/>
          <w:sz w:val="24"/>
          <w:szCs w:val="24"/>
          <w:highlight w:val="none"/>
          <w:lang w:val="en-US" w:eastAsia="zh-CN" w:bidi="en-US"/>
        </w:rPr>
        <w:t>根据调查，凯赛（乌苏）生物</w:t>
      </w:r>
      <w:r>
        <w:rPr>
          <w:rFonts w:hint="eastAsia" w:ascii="Times New Roman" w:hAnsi="Times New Roman" w:cs="Times New Roman"/>
          <w:color w:val="000000"/>
          <w:kern w:val="0"/>
          <w:sz w:val="24"/>
          <w:szCs w:val="24"/>
          <w:highlight w:val="none"/>
          <w:lang w:val="en-US" w:eastAsia="zh-CN" w:bidi="en-US"/>
        </w:rPr>
        <w:t>材料</w:t>
      </w:r>
      <w:r>
        <w:rPr>
          <w:rFonts w:hint="eastAsia" w:ascii="Times New Roman" w:hAnsi="Times New Roman" w:eastAsia="宋体" w:cs="Times New Roman"/>
          <w:color w:val="000000"/>
          <w:kern w:val="0"/>
          <w:sz w:val="24"/>
          <w:szCs w:val="24"/>
          <w:highlight w:val="none"/>
          <w:lang w:val="en-US" w:eastAsia="zh-CN" w:bidi="en-US"/>
        </w:rPr>
        <w:t>有限公司目前采取的防渗措施包括：</w:t>
      </w:r>
    </w:p>
    <w:p w14:paraId="54F4C90E">
      <w:pPr>
        <w:widowControl/>
        <w:spacing w:before="0" w:beforeAutospacing="0" w:after="0" w:afterAutospacing="0" w:line="360" w:lineRule="auto"/>
        <w:ind w:firstLine="480"/>
        <w:jc w:val="left"/>
        <w:rPr>
          <w:rFonts w:hint="eastAsia" w:ascii="Times New Roman" w:hAnsi="Times New Roman" w:eastAsia="宋体" w:cs="Times New Roman"/>
          <w:color w:val="000000"/>
          <w:kern w:val="0"/>
          <w:sz w:val="24"/>
          <w:szCs w:val="24"/>
          <w:highlight w:val="none"/>
          <w:lang w:val="en-US" w:eastAsia="zh-CN" w:bidi="en-US"/>
        </w:rPr>
      </w:pPr>
      <w:r>
        <w:rPr>
          <w:rFonts w:hint="eastAsia" w:ascii="Times New Roman" w:hAnsi="Times New Roman" w:eastAsia="宋体" w:cs="Times New Roman"/>
          <w:color w:val="000000"/>
          <w:kern w:val="0"/>
          <w:sz w:val="24"/>
          <w:szCs w:val="24"/>
          <w:highlight w:val="none"/>
          <w:lang w:val="en-US" w:eastAsia="zh-CN" w:bidi="en-US"/>
        </w:rPr>
        <w:t>（1）全厂生产装置区地面全都进行水泥硬化，减少泄漏物料和污水下渗。</w:t>
      </w:r>
    </w:p>
    <w:p w14:paraId="2D7295F2">
      <w:pPr>
        <w:widowControl/>
        <w:spacing w:before="0" w:beforeAutospacing="0" w:after="0" w:afterAutospacing="0" w:line="360" w:lineRule="auto"/>
        <w:ind w:firstLine="480"/>
        <w:jc w:val="left"/>
        <w:rPr>
          <w:rFonts w:hint="eastAsia" w:ascii="Times New Roman" w:hAnsi="Times New Roman" w:eastAsia="宋体" w:cs="Times New Roman"/>
          <w:color w:val="000000"/>
          <w:kern w:val="0"/>
          <w:sz w:val="24"/>
          <w:szCs w:val="24"/>
          <w:highlight w:val="none"/>
          <w:lang w:val="en-US" w:eastAsia="zh-CN" w:bidi="en-US"/>
        </w:rPr>
      </w:pPr>
      <w:r>
        <w:rPr>
          <w:rFonts w:hint="eastAsia" w:ascii="Times New Roman" w:hAnsi="Times New Roman" w:eastAsia="宋体" w:cs="Times New Roman"/>
          <w:color w:val="000000"/>
          <w:kern w:val="0"/>
          <w:sz w:val="24"/>
          <w:szCs w:val="24"/>
          <w:highlight w:val="none"/>
          <w:lang w:val="en-US" w:eastAsia="zh-CN" w:bidi="en-US"/>
        </w:rPr>
        <w:t>（2）地下物料及污水管线采用钢管或PE管，施工完成进行不透水试验，满足《石油化工工程防渗技术规范》（GB/T50934-2013）防渗要求。</w:t>
      </w:r>
    </w:p>
    <w:p w14:paraId="1933CB36">
      <w:pPr>
        <w:widowControl/>
        <w:spacing w:before="0" w:beforeAutospacing="0" w:after="0" w:afterAutospacing="0" w:line="360" w:lineRule="auto"/>
        <w:ind w:firstLine="480"/>
        <w:jc w:val="left"/>
        <w:rPr>
          <w:rFonts w:hint="eastAsia" w:ascii="Times New Roman" w:hAnsi="Times New Roman" w:eastAsia="宋体" w:cs="Times New Roman"/>
          <w:color w:val="000000"/>
          <w:kern w:val="0"/>
          <w:sz w:val="24"/>
          <w:szCs w:val="24"/>
          <w:highlight w:val="none"/>
          <w:lang w:val="en-US" w:eastAsia="zh-CN" w:bidi="en-US"/>
        </w:rPr>
      </w:pPr>
      <w:r>
        <w:rPr>
          <w:rFonts w:hint="eastAsia" w:ascii="Times New Roman" w:hAnsi="Times New Roman" w:eastAsia="宋体" w:cs="Times New Roman"/>
          <w:color w:val="000000"/>
          <w:kern w:val="0"/>
          <w:sz w:val="24"/>
          <w:szCs w:val="24"/>
          <w:highlight w:val="none"/>
          <w:lang w:val="en-US" w:eastAsia="zh-CN" w:bidi="en-US"/>
        </w:rPr>
        <w:t>（3）装置区、危废暂存库、罐区等重点区域，采用防渗膜、防渗水泥、防渗防腐涂料等，满足《石油化工工程防渗技术规范》（GB/T50934-2013）标准指标要求。</w:t>
      </w:r>
    </w:p>
    <w:p w14:paraId="74413CA8">
      <w:pPr>
        <w:widowControl/>
        <w:spacing w:before="0" w:beforeAutospacing="0" w:after="0" w:afterAutospacing="0" w:line="360" w:lineRule="auto"/>
        <w:ind w:firstLine="480"/>
        <w:jc w:val="left"/>
        <w:rPr>
          <w:rFonts w:ascii="Times New Roman" w:hAnsi="Times New Roman" w:eastAsia="宋体" w:cs="Times New Roman"/>
          <w:color w:val="000000"/>
          <w:kern w:val="0"/>
          <w:sz w:val="24"/>
          <w:szCs w:val="24"/>
          <w:highlight w:val="none"/>
          <w:lang w:val="en-US" w:eastAsia="zh-CN" w:bidi="en-US"/>
        </w:rPr>
      </w:pPr>
      <w:r>
        <w:rPr>
          <w:rFonts w:hint="eastAsia" w:ascii="Times New Roman" w:hAnsi="Times New Roman" w:eastAsia="宋体" w:cs="Times New Roman"/>
          <w:color w:val="000000"/>
          <w:kern w:val="0"/>
          <w:sz w:val="24"/>
          <w:szCs w:val="24"/>
          <w:highlight w:val="none"/>
          <w:lang w:val="en-US" w:eastAsia="zh-CN" w:bidi="en-US"/>
        </w:rPr>
        <w:t>（4）建立完善的设备设施维护管理及巡检制度，定期开展漏点检测检查，发生漏点及时处理，有效防止物料或污水渗入地面。</w:t>
      </w:r>
    </w:p>
    <w:p w14:paraId="1D5F0CA6">
      <w:pPr>
        <w:keepNext w:val="0"/>
        <w:keepLines w:val="0"/>
        <w:widowControl w:val="0"/>
        <w:bidi w:val="0"/>
        <w:spacing w:before="0" w:after="0" w:line="360" w:lineRule="auto"/>
        <w:jc w:val="both"/>
        <w:outlineLvl w:val="2"/>
        <w:rPr>
          <w:rFonts w:hint="default" w:ascii="Times New Roman" w:hAnsi="Times New Roman" w:eastAsia="宋体" w:cs="Times New Roman"/>
          <w:b/>
          <w:bCs/>
          <w:sz w:val="28"/>
          <w:szCs w:val="28"/>
          <w:lang w:val="en-US" w:eastAsia="zh-CN" w:bidi="ar-SA"/>
        </w:rPr>
      </w:pPr>
      <w:r>
        <w:rPr>
          <w:rFonts w:hint="eastAsia" w:ascii="Times New Roman" w:hAnsi="Times New Roman" w:cs="Times New Roman"/>
          <w:b/>
          <w:bCs/>
          <w:sz w:val="28"/>
          <w:szCs w:val="28"/>
          <w:lang w:val="en-US" w:eastAsia="zh-CN" w:bidi="ar-SA"/>
        </w:rPr>
        <w:t>8.4.2本项目拟采取的防渗措施</w:t>
      </w:r>
    </w:p>
    <w:p w14:paraId="1F747565">
      <w:pPr>
        <w:spacing w:line="360" w:lineRule="auto"/>
        <w:ind w:firstLine="480" w:firstLineChars="200"/>
        <w:jc w:val="both"/>
        <w:rPr>
          <w:rFonts w:ascii="Times New Roman" w:hAnsi="Times New Roman" w:cs="Times New Roman"/>
          <w:color w:val="auto"/>
          <w:kern w:val="2"/>
          <w:sz w:val="24"/>
          <w:szCs w:val="24"/>
        </w:rPr>
      </w:pPr>
      <w:r>
        <w:rPr>
          <w:rFonts w:ascii="Times New Roman" w:hAnsi="Times New Roman" w:cs="Times New Roman"/>
          <w:color w:val="auto"/>
          <w:kern w:val="2"/>
          <w:sz w:val="24"/>
          <w:szCs w:val="24"/>
        </w:rPr>
        <w:t>针对本项目可</w:t>
      </w:r>
      <w:r>
        <w:rPr>
          <w:rFonts w:hint="eastAsia" w:ascii="Times New Roman" w:hAnsi="Times New Roman" w:cs="Times New Roman"/>
          <w:color w:val="auto"/>
          <w:kern w:val="2"/>
          <w:sz w:val="24"/>
          <w:szCs w:val="24"/>
        </w:rPr>
        <w:t>能</w:t>
      </w:r>
      <w:r>
        <w:rPr>
          <w:rFonts w:ascii="Times New Roman" w:hAnsi="Times New Roman" w:cs="Times New Roman"/>
          <w:color w:val="auto"/>
          <w:kern w:val="2"/>
          <w:sz w:val="24"/>
          <w:szCs w:val="24"/>
        </w:rPr>
        <w:t>导致的地下水环境污染，其防治措施的制定按照“源头控制，分区防治，污染监控，应急响应”的思路，从污染物泄漏源头、入渗过程和扩散阶段分别进行控制，并制定合理有效的应急预案，从而达到保护地下水环境的目的。防治措施的制定思路为：</w:t>
      </w:r>
    </w:p>
    <w:p w14:paraId="14A95942">
      <w:pPr>
        <w:pStyle w:val="46"/>
        <w:bidi w:val="0"/>
        <w:spacing w:line="360" w:lineRule="auto"/>
        <w:rPr>
          <w:rFonts w:hint="eastAsia" w:ascii="Times New Roman" w:hAnsi="Times New Roman" w:cs="Times New Roman"/>
          <w:lang w:val="en-US" w:eastAsia="zh-CN"/>
        </w:rPr>
      </w:pPr>
      <w:r>
        <w:rPr>
          <w:rFonts w:hint="eastAsia" w:cs="Times New Roman"/>
          <w:lang w:val="en-US" w:eastAsia="zh-CN"/>
        </w:rPr>
        <w:t>8.4.2.1</w:t>
      </w:r>
      <w:r>
        <w:rPr>
          <w:rFonts w:hint="eastAsia" w:ascii="Times New Roman" w:hAnsi="Times New Roman" w:cs="Times New Roman"/>
          <w:lang w:val="en-US" w:eastAsia="zh-CN"/>
        </w:rPr>
        <w:t>源头控制</w:t>
      </w:r>
    </w:p>
    <w:p w14:paraId="5E1D677C">
      <w:pPr>
        <w:spacing w:line="360" w:lineRule="auto"/>
        <w:ind w:firstLine="480" w:firstLineChars="200"/>
        <w:rPr>
          <w:rFonts w:ascii="Times New Roman" w:hAnsi="Times New Roman" w:cs="Times New Roman"/>
          <w:kern w:val="2"/>
          <w:sz w:val="24"/>
          <w:szCs w:val="24"/>
        </w:rPr>
      </w:pPr>
      <w:r>
        <w:rPr>
          <w:rFonts w:ascii="Times New Roman" w:hAnsi="Times New Roman" w:cs="Times New Roman"/>
          <w:kern w:val="2"/>
          <w:sz w:val="24"/>
          <w:szCs w:val="24"/>
        </w:rPr>
        <w:t>根据本项目工艺特点，针对源头控制，本环评要求建设单位严格按照国家相关规范要求，对工艺、管道、设备等采取相应的措施，加强建筑物和构筑物的抗震能力，以防止和降低污染物的跑、冒、滴、漏，将环境风险事故降低到最低。优化排水系统设计，</w:t>
      </w:r>
      <w:r>
        <w:rPr>
          <w:rFonts w:hint="eastAsia" w:ascii="Times New Roman" w:hAnsi="Times New Roman" w:cs="Times New Roman"/>
          <w:kern w:val="2"/>
          <w:sz w:val="24"/>
          <w:szCs w:val="24"/>
        </w:rPr>
        <w:t>本项目</w:t>
      </w:r>
      <w:r>
        <w:rPr>
          <w:rFonts w:ascii="Times New Roman" w:hAnsi="Times New Roman" w:cs="Times New Roman"/>
          <w:kern w:val="2"/>
          <w:sz w:val="24"/>
          <w:szCs w:val="24"/>
        </w:rPr>
        <w:t>废水</w:t>
      </w:r>
      <w:r>
        <w:rPr>
          <w:rFonts w:hint="eastAsia" w:ascii="Times New Roman" w:hAnsi="Times New Roman" w:cs="Times New Roman"/>
          <w:kern w:val="2"/>
          <w:sz w:val="24"/>
          <w:szCs w:val="24"/>
          <w:lang w:val="en-US" w:eastAsia="zh-CN"/>
        </w:rPr>
        <w:t>排入现有工程已建污水处理站处理</w:t>
      </w:r>
      <w:r>
        <w:rPr>
          <w:rFonts w:ascii="Times New Roman" w:hAnsi="Times New Roman" w:cs="Times New Roman"/>
          <w:kern w:val="2"/>
          <w:sz w:val="24"/>
          <w:szCs w:val="24"/>
        </w:rPr>
        <w:t>。管线铺设尽量采用“可视化”原则，即管道尽可能地上铺设，做到污染物“早发现、早处理”，以减少由于埋地管道泄漏而可能造成的地下水污染。</w:t>
      </w:r>
    </w:p>
    <w:p w14:paraId="49DC45F9">
      <w:pPr>
        <w:pStyle w:val="46"/>
        <w:bidi w:val="0"/>
        <w:spacing w:line="360" w:lineRule="auto"/>
        <w:rPr>
          <w:rFonts w:hint="eastAsia" w:cs="Times New Roman"/>
          <w:lang w:val="en-US" w:eastAsia="zh-CN"/>
        </w:rPr>
      </w:pPr>
      <w:r>
        <w:rPr>
          <w:rFonts w:hint="eastAsia" w:cs="Times New Roman"/>
          <w:lang w:val="en-US" w:eastAsia="zh-CN"/>
        </w:rPr>
        <w:t>8.4.2.2分区防治</w:t>
      </w:r>
    </w:p>
    <w:p w14:paraId="13845D16">
      <w:pPr>
        <w:spacing w:line="360" w:lineRule="auto"/>
        <w:ind w:firstLine="480" w:firstLineChars="200"/>
        <w:rPr>
          <w:rFonts w:ascii="Times New Roman" w:hAnsi="Times New Roman" w:cs="Times New Roman"/>
          <w:kern w:val="2"/>
          <w:sz w:val="24"/>
          <w:szCs w:val="24"/>
        </w:rPr>
      </w:pPr>
      <w:r>
        <w:rPr>
          <w:rFonts w:ascii="Times New Roman" w:hAnsi="Times New Roman" w:cs="Times New Roman"/>
          <w:kern w:val="2"/>
          <w:sz w:val="24"/>
          <w:szCs w:val="24"/>
        </w:rPr>
        <w:t>参照《石油化工工程防渗技术规范》（GB/T50934-2013），</w:t>
      </w:r>
      <w:r>
        <w:rPr>
          <w:rFonts w:ascii="Times New Roman" w:hAnsi="Times New Roman" w:cs="Times New Roman"/>
          <w:kern w:val="2"/>
          <w:sz w:val="24"/>
          <w:szCs w:val="24"/>
          <w:lang w:eastAsia="zh-TW"/>
        </w:rPr>
        <w:t>根据可能泄漏至地面的污染物的性质和生产单元的构建方式，结合拟建项目总平面布置情况，</w:t>
      </w:r>
      <w:r>
        <w:rPr>
          <w:rFonts w:ascii="Times New Roman" w:hAnsi="Times New Roman" w:cs="Times New Roman"/>
          <w:kern w:val="2"/>
          <w:sz w:val="24"/>
          <w:szCs w:val="24"/>
          <w:highlight w:val="none"/>
        </w:rPr>
        <w:t>将装置区、储罐区、公辅工程区</w:t>
      </w:r>
      <w:r>
        <w:rPr>
          <w:rFonts w:ascii="Times New Roman" w:hAnsi="Times New Roman" w:cs="Times New Roman"/>
          <w:kern w:val="2"/>
          <w:sz w:val="24"/>
          <w:szCs w:val="24"/>
        </w:rPr>
        <w:t>等可能产生污染的地区划分为重点防渗区、一般防渗区和简单防渗区，并按要求进行地表防渗。对厂区可能泄漏污染物的地面进行防渗处理，可有效防治污染物渗入地下，并及时地将泄漏/渗漏的污染物收集并进行集中处理。</w:t>
      </w:r>
    </w:p>
    <w:p w14:paraId="49946AE8">
      <w:pPr>
        <w:spacing w:line="360" w:lineRule="auto"/>
        <w:ind w:firstLine="480" w:firstLineChars="200"/>
        <w:rPr>
          <w:rFonts w:ascii="Times New Roman" w:hAnsi="Times New Roman" w:cs="Times New Roman"/>
          <w:kern w:val="2"/>
          <w:sz w:val="24"/>
          <w:szCs w:val="24"/>
        </w:rPr>
      </w:pPr>
      <w:r>
        <w:rPr>
          <w:rFonts w:ascii="Times New Roman" w:hAnsi="Times New Roman" w:cs="Times New Roman"/>
          <w:kern w:val="2"/>
          <w:sz w:val="24"/>
          <w:szCs w:val="24"/>
        </w:rPr>
        <w:t>（1）地面防渗工程设计原则</w:t>
      </w:r>
    </w:p>
    <w:p w14:paraId="733E0180">
      <w:pPr>
        <w:spacing w:line="360" w:lineRule="auto"/>
        <w:ind w:firstLine="480" w:firstLineChars="200"/>
        <w:rPr>
          <w:rFonts w:ascii="Times New Roman" w:hAnsi="Times New Roman" w:cs="Times New Roman"/>
          <w:kern w:val="2"/>
          <w:sz w:val="24"/>
          <w:szCs w:val="24"/>
          <w:lang w:val="zh-TW"/>
        </w:rPr>
      </w:pPr>
      <w:r>
        <w:rPr>
          <w:rFonts w:ascii="Times New Roman" w:hAnsi="Times New Roman" w:cs="Times New Roman"/>
          <w:kern w:val="2"/>
          <w:sz w:val="24"/>
          <w:szCs w:val="24"/>
        </w:rPr>
        <w:t>釆用国际国内先进的防渗材料、技术和实施手段，确保工程建设对区域</w:t>
      </w:r>
      <w:r>
        <w:rPr>
          <w:rFonts w:ascii="Times New Roman" w:hAnsi="Times New Roman" w:cs="Times New Roman"/>
          <w:kern w:val="2"/>
          <w:sz w:val="24"/>
          <w:szCs w:val="24"/>
          <w:lang w:val="zh-TW"/>
        </w:rPr>
        <w:t>内地下水环境影响较小、地下水现有水体功能不发生明显改变；</w:t>
      </w:r>
    </w:p>
    <w:p w14:paraId="417064F7">
      <w:pPr>
        <w:spacing w:line="360" w:lineRule="auto"/>
        <w:ind w:firstLine="480" w:firstLineChars="200"/>
        <w:rPr>
          <w:rFonts w:ascii="Times New Roman" w:hAnsi="Times New Roman" w:cs="Times New Roman"/>
          <w:kern w:val="2"/>
          <w:sz w:val="24"/>
          <w:szCs w:val="24"/>
          <w:lang w:val="zh-TW"/>
        </w:rPr>
      </w:pPr>
      <w:r>
        <w:rPr>
          <w:rFonts w:ascii="Times New Roman" w:hAnsi="Times New Roman" w:cs="Times New Roman"/>
          <w:kern w:val="2"/>
          <w:sz w:val="24"/>
          <w:szCs w:val="24"/>
          <w:lang w:val="zh-TW"/>
        </w:rPr>
        <w:t>坚持分区管理和控制原则，根据场址所在地的工程地质、水文地质条件和全厂可能发生泄漏的物料性质、排放量，参照相应标准要求有针对性的分区，并分别设计地面防渗层结构；</w:t>
      </w:r>
    </w:p>
    <w:p w14:paraId="40F3D9ED">
      <w:pPr>
        <w:spacing w:line="360" w:lineRule="auto"/>
        <w:ind w:firstLine="480" w:firstLineChars="200"/>
        <w:rPr>
          <w:rFonts w:ascii="Times New Roman" w:hAnsi="Times New Roman" w:cs="Times New Roman"/>
          <w:kern w:val="2"/>
          <w:sz w:val="24"/>
          <w:szCs w:val="24"/>
          <w:lang w:val="zh-TW"/>
        </w:rPr>
      </w:pPr>
      <w:r>
        <w:rPr>
          <w:rFonts w:ascii="Times New Roman" w:hAnsi="Times New Roman" w:cs="Times New Roman"/>
          <w:kern w:val="2"/>
          <w:sz w:val="24"/>
          <w:szCs w:val="24"/>
          <w:lang w:val="zh-TW"/>
        </w:rPr>
        <w:t>坚持“可视化”原则，在满足工程和防渗层结构标准要求的前提下，尽量在地表实施防渗措施建设，便于泄漏物质的收集和防渗层破损被及时发现；</w:t>
      </w:r>
    </w:p>
    <w:p w14:paraId="542BE3B0">
      <w:pPr>
        <w:spacing w:line="360" w:lineRule="auto"/>
        <w:ind w:firstLine="480" w:firstLineChars="200"/>
        <w:rPr>
          <w:rFonts w:ascii="Times New Roman" w:hAnsi="Times New Roman" w:cs="Times New Roman"/>
          <w:kern w:val="2"/>
          <w:sz w:val="24"/>
          <w:szCs w:val="24"/>
          <w:lang w:val="zh-TW"/>
        </w:rPr>
      </w:pPr>
      <w:r>
        <w:rPr>
          <w:rFonts w:ascii="Times New Roman" w:hAnsi="Times New Roman" w:cs="Times New Roman"/>
          <w:kern w:val="2"/>
          <w:sz w:val="24"/>
          <w:szCs w:val="24"/>
          <w:lang w:val="zh-TW"/>
        </w:rPr>
        <w:t>在实施防渗区域设置检漏装置，在重点防渗区设置防渗措施的自动检漏装置；</w:t>
      </w:r>
    </w:p>
    <w:p w14:paraId="024B5A89">
      <w:pPr>
        <w:spacing w:line="360" w:lineRule="auto"/>
        <w:ind w:firstLine="480" w:firstLineChars="200"/>
        <w:rPr>
          <w:rFonts w:ascii="Times New Roman" w:hAnsi="Times New Roman" w:cs="Times New Roman"/>
          <w:kern w:val="2"/>
          <w:sz w:val="24"/>
          <w:szCs w:val="24"/>
          <w:lang w:val="zh-TW"/>
        </w:rPr>
      </w:pPr>
      <w:r>
        <w:rPr>
          <w:rFonts w:ascii="Times New Roman" w:hAnsi="Times New Roman" w:cs="Times New Roman"/>
          <w:kern w:val="2"/>
          <w:sz w:val="24"/>
          <w:szCs w:val="24"/>
          <w:lang w:val="zh-TW"/>
        </w:rPr>
        <w:t>被防渗层阻隔和进入防渗层内的渗漏污染物，与厂区其他“三废</w:t>
      </w:r>
      <w:r>
        <w:rPr>
          <w:rFonts w:ascii="Times New Roman" w:hAnsi="Times New Roman" w:cs="Times New Roman"/>
          <w:kern w:val="2"/>
          <w:sz w:val="24"/>
          <w:szCs w:val="24"/>
          <w:lang w:val="zh-TW" w:eastAsia="zh-TW"/>
        </w:rPr>
        <w:t>”</w:t>
      </w:r>
      <w:r>
        <w:rPr>
          <w:rFonts w:ascii="Times New Roman" w:hAnsi="Times New Roman" w:cs="Times New Roman"/>
          <w:kern w:val="2"/>
          <w:sz w:val="24"/>
          <w:szCs w:val="24"/>
          <w:lang w:val="zh-TW"/>
        </w:rPr>
        <w:t>统一收集处理。</w:t>
      </w:r>
    </w:p>
    <w:p w14:paraId="18E32E5D">
      <w:pPr>
        <w:spacing w:line="360" w:lineRule="auto"/>
        <w:ind w:firstLine="480" w:firstLineChars="200"/>
        <w:rPr>
          <w:rFonts w:ascii="Times New Roman" w:hAnsi="Times New Roman" w:cs="Times New Roman"/>
          <w:kern w:val="2"/>
          <w:sz w:val="24"/>
          <w:szCs w:val="24"/>
          <w:lang w:eastAsia="zh-TW"/>
        </w:rPr>
      </w:pPr>
      <w:r>
        <w:rPr>
          <w:rFonts w:ascii="Times New Roman" w:hAnsi="Times New Roman" w:cs="Times New Roman"/>
          <w:kern w:val="2"/>
          <w:sz w:val="24"/>
          <w:szCs w:val="24"/>
        </w:rPr>
        <w:t>（2）防渗区划分</w:t>
      </w:r>
    </w:p>
    <w:p w14:paraId="78798431">
      <w:pPr>
        <w:spacing w:line="360" w:lineRule="auto"/>
        <w:ind w:firstLine="480" w:firstLineChars="200"/>
        <w:rPr>
          <w:rFonts w:ascii="Times New Roman" w:hAnsi="Times New Roman" w:cs="Times New Roman"/>
          <w:kern w:val="2"/>
          <w:sz w:val="24"/>
          <w:szCs w:val="24"/>
        </w:rPr>
      </w:pPr>
      <w:r>
        <w:rPr>
          <w:rFonts w:ascii="Times New Roman" w:hAnsi="Times New Roman" w:cs="Times New Roman"/>
          <w:kern w:val="2"/>
          <w:sz w:val="24"/>
          <w:szCs w:val="24"/>
        </w:rPr>
        <w:t>①重点污染防治区：指对地下水环境有污染的物料或污染物泄漏后，不能及时发现或处理的区域或部位。例如处于地下或半地下的生产功能单元，包括埋地管道、储罐的罐基础等区域或部位。这些区域或部位一旦出现设备腐蚀穿孔、地基不均匀沉降造成管道和罐基础地基变形等情况，就会发生物料和污染物泄漏，并渗入土壤，进入地下水，对地下水环境造成污染。此类工程隐蔽区内，一旦出现渗漏现象，又不容易被人发现，不容易得到及时的处理，因此，将此类隐蔽工程区域定位为重点污染防治区。</w:t>
      </w:r>
    </w:p>
    <w:p w14:paraId="68C81B83">
      <w:pPr>
        <w:spacing w:line="360" w:lineRule="auto"/>
        <w:ind w:firstLine="480" w:firstLineChars="200"/>
        <w:rPr>
          <w:rFonts w:ascii="Times New Roman" w:hAnsi="Times New Roman" w:cs="Times New Roman"/>
          <w:kern w:val="2"/>
          <w:sz w:val="24"/>
          <w:szCs w:val="24"/>
        </w:rPr>
      </w:pPr>
      <w:r>
        <w:rPr>
          <w:rFonts w:ascii="Times New Roman" w:hAnsi="Times New Roman" w:cs="Times New Roman"/>
          <w:kern w:val="2"/>
          <w:sz w:val="24"/>
          <w:szCs w:val="24"/>
        </w:rPr>
        <w:t>②一般污染防治区：指对地下水环境有污染的物料或污染物泄漏后，可及时发现或处理的区域或部位。例如裸露于地面之上的生产功能单元。这些设备、区域发生损坏，出现物料和污染物泄漏现象，可及时被人或仪器发现与报警，及时得到处理，即使物料和污染物泄漏出来，也首先落在地面上，在短时间内不会大量渗入土壤及地下水。</w:t>
      </w:r>
    </w:p>
    <w:p w14:paraId="20F8B048">
      <w:pPr>
        <w:spacing w:line="360" w:lineRule="auto"/>
        <w:ind w:firstLine="480" w:firstLineChars="200"/>
        <w:rPr>
          <w:rFonts w:ascii="Times New Roman" w:hAnsi="Times New Roman" w:cs="Times New Roman"/>
          <w:kern w:val="2"/>
          <w:sz w:val="24"/>
          <w:szCs w:val="24"/>
        </w:rPr>
      </w:pPr>
      <w:r>
        <w:rPr>
          <w:rFonts w:ascii="Times New Roman" w:hAnsi="Times New Roman" w:cs="Times New Roman"/>
          <w:kern w:val="2"/>
          <w:sz w:val="24"/>
          <w:szCs w:val="24"/>
        </w:rPr>
        <w:t>③非污染防治区：指一般和重点污染防治区以外的区域。该区域没有物料或污染物泄漏，不会对地下水环境造成污染。如管理区、集中控制室等辅助区域。本区可不采取专门针对地下水污染的防治措施，但装置区外系统管廊区地基处理应分层压实。</w:t>
      </w:r>
    </w:p>
    <w:p w14:paraId="691F7E98">
      <w:pPr>
        <w:spacing w:line="360" w:lineRule="auto"/>
        <w:ind w:firstLine="480" w:firstLineChars="200"/>
        <w:rPr>
          <w:rFonts w:ascii="Times New Roman" w:hAnsi="Times New Roman" w:cs="Times New Roman"/>
          <w:kern w:val="2"/>
          <w:sz w:val="24"/>
          <w:szCs w:val="24"/>
        </w:rPr>
      </w:pPr>
      <w:r>
        <w:rPr>
          <w:rFonts w:ascii="Times New Roman" w:hAnsi="Times New Roman" w:cs="Times New Roman"/>
          <w:kern w:val="2"/>
          <w:sz w:val="24"/>
          <w:szCs w:val="24"/>
        </w:rPr>
        <w:t>本项目地下水污染防治防渗分区情况见表</w:t>
      </w:r>
      <w:r>
        <w:rPr>
          <w:rFonts w:hint="eastAsia" w:ascii="Times New Roman" w:hAnsi="Times New Roman" w:cs="Times New Roman"/>
          <w:kern w:val="2"/>
          <w:sz w:val="24"/>
          <w:szCs w:val="24"/>
          <w:lang w:val="en-US" w:eastAsia="zh-CN"/>
        </w:rPr>
        <w:t>8</w:t>
      </w:r>
      <w:r>
        <w:rPr>
          <w:rFonts w:ascii="Times New Roman" w:hAnsi="Times New Roman" w:cs="Times New Roman"/>
          <w:kern w:val="2"/>
          <w:sz w:val="24"/>
          <w:szCs w:val="24"/>
        </w:rPr>
        <w:t>.</w:t>
      </w:r>
      <w:r>
        <w:rPr>
          <w:rFonts w:hint="eastAsia" w:ascii="Times New Roman" w:hAnsi="Times New Roman" w:cs="Times New Roman"/>
          <w:kern w:val="2"/>
          <w:sz w:val="24"/>
          <w:szCs w:val="24"/>
          <w:lang w:val="en-US" w:eastAsia="zh-CN"/>
        </w:rPr>
        <w:t>4</w:t>
      </w:r>
      <w:r>
        <w:rPr>
          <w:rFonts w:ascii="Times New Roman" w:hAnsi="Times New Roman" w:cs="Times New Roman"/>
          <w:kern w:val="2"/>
          <w:sz w:val="24"/>
          <w:szCs w:val="24"/>
        </w:rPr>
        <w:t>-1，分区防渗图见图</w:t>
      </w:r>
      <w:r>
        <w:rPr>
          <w:rFonts w:hint="eastAsia" w:ascii="Times New Roman" w:hAnsi="Times New Roman" w:cs="Times New Roman"/>
          <w:kern w:val="2"/>
          <w:sz w:val="24"/>
          <w:szCs w:val="24"/>
          <w:lang w:val="en-US" w:eastAsia="zh-CN"/>
        </w:rPr>
        <w:t>8</w:t>
      </w:r>
      <w:r>
        <w:rPr>
          <w:rFonts w:ascii="Times New Roman" w:hAnsi="Times New Roman" w:cs="Times New Roman"/>
          <w:kern w:val="2"/>
          <w:sz w:val="24"/>
          <w:szCs w:val="24"/>
        </w:rPr>
        <w:t>.</w:t>
      </w:r>
      <w:r>
        <w:rPr>
          <w:rFonts w:hint="eastAsia" w:ascii="Times New Roman" w:hAnsi="Times New Roman" w:cs="Times New Roman"/>
          <w:kern w:val="2"/>
          <w:sz w:val="24"/>
          <w:szCs w:val="24"/>
          <w:lang w:val="en-US" w:eastAsia="zh-CN"/>
        </w:rPr>
        <w:t>4</w:t>
      </w:r>
      <w:r>
        <w:rPr>
          <w:rFonts w:ascii="Times New Roman" w:hAnsi="Times New Roman" w:cs="Times New Roman"/>
          <w:kern w:val="2"/>
          <w:sz w:val="24"/>
          <w:szCs w:val="24"/>
        </w:rPr>
        <w:t>-1。</w:t>
      </w:r>
    </w:p>
    <w:p w14:paraId="6B299A20">
      <w:pPr>
        <w:spacing w:line="360" w:lineRule="auto"/>
        <w:ind w:firstLine="0" w:firstLineChars="0"/>
        <w:jc w:val="center"/>
        <w:rPr>
          <w:rFonts w:ascii="Times New Roman" w:hAnsi="Times New Roman" w:cs="Times New Roman"/>
          <w:b/>
          <w:bCs/>
          <w:kern w:val="2"/>
          <w:sz w:val="24"/>
          <w:szCs w:val="24"/>
        </w:rPr>
      </w:pPr>
      <w:bookmarkStart w:id="85" w:name="_Ref13040"/>
      <w:bookmarkStart w:id="86" w:name="_Ref13703"/>
      <w:r>
        <w:rPr>
          <w:rFonts w:ascii="Times New Roman" w:hAnsi="Times New Roman" w:cs="Times New Roman"/>
          <w:b/>
          <w:bCs/>
          <w:kern w:val="2"/>
          <w:sz w:val="24"/>
          <w:szCs w:val="24"/>
        </w:rPr>
        <w:t>表</w:t>
      </w:r>
      <w:bookmarkEnd w:id="85"/>
      <w:r>
        <w:rPr>
          <w:rFonts w:hint="eastAsia" w:ascii="Times New Roman" w:hAnsi="Times New Roman" w:cs="Times New Roman"/>
          <w:b/>
          <w:bCs/>
          <w:kern w:val="2"/>
          <w:sz w:val="24"/>
          <w:szCs w:val="24"/>
          <w:lang w:val="en-US" w:eastAsia="zh-CN"/>
        </w:rPr>
        <w:t>8</w:t>
      </w:r>
      <w:r>
        <w:rPr>
          <w:rFonts w:ascii="Times New Roman" w:hAnsi="Times New Roman" w:cs="Times New Roman"/>
          <w:b/>
          <w:bCs/>
          <w:kern w:val="2"/>
          <w:sz w:val="24"/>
          <w:szCs w:val="24"/>
        </w:rPr>
        <w:t>.</w:t>
      </w:r>
      <w:r>
        <w:rPr>
          <w:rFonts w:hint="eastAsia" w:ascii="Times New Roman" w:hAnsi="Times New Roman" w:cs="Times New Roman"/>
          <w:b/>
          <w:bCs/>
          <w:kern w:val="2"/>
          <w:sz w:val="24"/>
          <w:szCs w:val="24"/>
          <w:lang w:val="en-US" w:eastAsia="zh-CN"/>
        </w:rPr>
        <w:t>4</w:t>
      </w:r>
      <w:r>
        <w:rPr>
          <w:rFonts w:ascii="Times New Roman" w:hAnsi="Times New Roman" w:cs="Times New Roman"/>
          <w:b/>
          <w:bCs/>
          <w:kern w:val="2"/>
          <w:sz w:val="24"/>
          <w:szCs w:val="24"/>
        </w:rPr>
        <w:t>-1    本项目地下水污染防治防渗分区表</w:t>
      </w:r>
      <w:bookmarkEnd w:id="86"/>
    </w:p>
    <w:tbl>
      <w:tblPr>
        <w:tblStyle w:val="2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666"/>
        <w:gridCol w:w="2445"/>
        <w:gridCol w:w="4243"/>
      </w:tblGrid>
      <w:tr w14:paraId="2AA9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tcBorders>
              <w:tl2br w:val="nil"/>
              <w:tr2bl w:val="nil"/>
            </w:tcBorders>
            <w:vAlign w:val="center"/>
          </w:tcPr>
          <w:p w14:paraId="55DB676D">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污染防治区类别</w:t>
            </w:r>
          </w:p>
        </w:tc>
        <w:tc>
          <w:tcPr>
            <w:tcW w:w="1463" w:type="pct"/>
            <w:tcBorders>
              <w:tl2br w:val="nil"/>
              <w:tr2bl w:val="nil"/>
            </w:tcBorders>
            <w:vAlign w:val="center"/>
          </w:tcPr>
          <w:p w14:paraId="5C811718">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主要装置单元名称</w:t>
            </w:r>
          </w:p>
        </w:tc>
        <w:tc>
          <w:tcPr>
            <w:tcW w:w="2539" w:type="pct"/>
            <w:tcBorders>
              <w:tl2br w:val="nil"/>
              <w:tr2bl w:val="nil"/>
            </w:tcBorders>
            <w:vAlign w:val="center"/>
          </w:tcPr>
          <w:p w14:paraId="740F473A">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污染防治区域及部位</w:t>
            </w:r>
          </w:p>
        </w:tc>
      </w:tr>
      <w:tr w14:paraId="2883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997" w:type="pct"/>
            <w:vMerge w:val="restart"/>
            <w:tcBorders>
              <w:tl2br w:val="nil"/>
              <w:tr2bl w:val="nil"/>
            </w:tcBorders>
            <w:vAlign w:val="center"/>
          </w:tcPr>
          <w:p w14:paraId="0268E73B">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重点污染防治区</w:t>
            </w:r>
          </w:p>
        </w:tc>
        <w:tc>
          <w:tcPr>
            <w:tcW w:w="1463" w:type="pct"/>
            <w:tcBorders>
              <w:tl2br w:val="nil"/>
              <w:tr2bl w:val="nil"/>
            </w:tcBorders>
            <w:vAlign w:val="center"/>
          </w:tcPr>
          <w:p w14:paraId="4DE89C82">
            <w:pPr>
              <w:widowControl w:val="0"/>
              <w:spacing w:line="300" w:lineRule="exact"/>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生产车间1</w:t>
            </w:r>
          </w:p>
        </w:tc>
        <w:tc>
          <w:tcPr>
            <w:tcW w:w="2539" w:type="pct"/>
            <w:tcBorders>
              <w:tl2br w:val="nil"/>
              <w:tr2bl w:val="nil"/>
            </w:tcBorders>
            <w:vAlign w:val="center"/>
          </w:tcPr>
          <w:p w14:paraId="147D1D40">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地下生产污水管道</w:t>
            </w:r>
          </w:p>
        </w:tc>
      </w:tr>
      <w:tr w14:paraId="100D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997" w:type="pct"/>
            <w:vMerge w:val="continue"/>
            <w:tcBorders>
              <w:tl2br w:val="nil"/>
              <w:tr2bl w:val="nil"/>
            </w:tcBorders>
            <w:vAlign w:val="center"/>
          </w:tcPr>
          <w:p w14:paraId="657D1FEF">
            <w:pPr>
              <w:widowControl w:val="0"/>
              <w:spacing w:line="300" w:lineRule="exact"/>
              <w:jc w:val="center"/>
              <w:rPr>
                <w:rFonts w:ascii="Times New Roman" w:hAnsi="Times New Roman" w:eastAsia="宋体" w:cs="Times New Roman"/>
                <w:color w:val="auto"/>
                <w:kern w:val="2"/>
                <w:sz w:val="21"/>
                <w:szCs w:val="24"/>
                <w:lang w:val="en-US" w:eastAsia="zh-CN" w:bidi="ar-SA"/>
              </w:rPr>
            </w:pPr>
          </w:p>
        </w:tc>
        <w:tc>
          <w:tcPr>
            <w:tcW w:w="1463" w:type="pct"/>
            <w:tcBorders>
              <w:tl2br w:val="nil"/>
              <w:tr2bl w:val="nil"/>
            </w:tcBorders>
            <w:shd w:val="clear" w:color="auto" w:fill="auto"/>
            <w:vAlign w:val="center"/>
          </w:tcPr>
          <w:p w14:paraId="4FE93682">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生产车间2</w:t>
            </w:r>
          </w:p>
        </w:tc>
        <w:tc>
          <w:tcPr>
            <w:tcW w:w="2539" w:type="pct"/>
            <w:tcBorders>
              <w:tl2br w:val="nil"/>
              <w:tr2bl w:val="nil"/>
            </w:tcBorders>
            <w:shd w:val="clear" w:color="auto" w:fill="auto"/>
            <w:vAlign w:val="center"/>
          </w:tcPr>
          <w:p w14:paraId="157F93FF">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地下生产污水管道</w:t>
            </w:r>
          </w:p>
        </w:tc>
      </w:tr>
      <w:tr w14:paraId="78F0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continue"/>
            <w:tcBorders>
              <w:tl2br w:val="nil"/>
              <w:tr2bl w:val="nil"/>
            </w:tcBorders>
            <w:vAlign w:val="center"/>
          </w:tcPr>
          <w:p w14:paraId="47C2F009">
            <w:pPr>
              <w:widowControl w:val="0"/>
              <w:spacing w:line="300" w:lineRule="exact"/>
              <w:jc w:val="center"/>
              <w:rPr>
                <w:rFonts w:ascii="Times New Roman" w:hAnsi="Times New Roman" w:eastAsia="宋体" w:cs="Times New Roman"/>
                <w:color w:val="auto"/>
                <w:kern w:val="2"/>
                <w:sz w:val="21"/>
                <w:szCs w:val="24"/>
                <w:lang w:val="en-US" w:eastAsia="zh-CN" w:bidi="ar-SA"/>
              </w:rPr>
            </w:pPr>
          </w:p>
        </w:tc>
        <w:tc>
          <w:tcPr>
            <w:tcW w:w="1463" w:type="pct"/>
            <w:tcBorders>
              <w:tl2br w:val="nil"/>
              <w:tr2bl w:val="nil"/>
            </w:tcBorders>
            <w:vAlign w:val="center"/>
          </w:tcPr>
          <w:p w14:paraId="6E85E279">
            <w:pPr>
              <w:widowControl w:val="0"/>
              <w:spacing w:line="300" w:lineRule="exact"/>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室外装置区</w:t>
            </w:r>
          </w:p>
        </w:tc>
        <w:tc>
          <w:tcPr>
            <w:tcW w:w="2539" w:type="pct"/>
            <w:tcBorders>
              <w:tl2br w:val="nil"/>
              <w:tr2bl w:val="nil"/>
            </w:tcBorders>
            <w:vAlign w:val="center"/>
          </w:tcPr>
          <w:p w14:paraId="508D2573">
            <w:pPr>
              <w:widowControl w:val="0"/>
              <w:spacing w:line="300" w:lineRule="exact"/>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罐基础</w:t>
            </w:r>
          </w:p>
        </w:tc>
      </w:tr>
      <w:tr w14:paraId="7AE9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continue"/>
            <w:tcBorders>
              <w:tl2br w:val="nil"/>
              <w:tr2bl w:val="nil"/>
            </w:tcBorders>
            <w:vAlign w:val="center"/>
          </w:tcPr>
          <w:p w14:paraId="78661806">
            <w:pPr>
              <w:widowControl w:val="0"/>
              <w:spacing w:line="300" w:lineRule="exact"/>
              <w:jc w:val="center"/>
              <w:rPr>
                <w:rFonts w:ascii="Times New Roman" w:hAnsi="Times New Roman" w:eastAsia="宋体" w:cs="Times New Roman"/>
                <w:color w:val="auto"/>
                <w:kern w:val="2"/>
                <w:sz w:val="21"/>
                <w:szCs w:val="24"/>
                <w:lang w:val="en-US" w:eastAsia="zh-CN" w:bidi="ar-SA"/>
              </w:rPr>
            </w:pPr>
          </w:p>
        </w:tc>
        <w:tc>
          <w:tcPr>
            <w:tcW w:w="1463" w:type="pct"/>
            <w:tcBorders>
              <w:tl2br w:val="nil"/>
              <w:tr2bl w:val="nil"/>
            </w:tcBorders>
            <w:shd w:val="clear" w:color="auto" w:fill="auto"/>
            <w:vAlign w:val="center"/>
          </w:tcPr>
          <w:p w14:paraId="795A9F85">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罐区</w:t>
            </w:r>
          </w:p>
        </w:tc>
        <w:tc>
          <w:tcPr>
            <w:tcW w:w="2539" w:type="pct"/>
            <w:tcBorders>
              <w:tl2br w:val="nil"/>
              <w:tr2bl w:val="nil"/>
            </w:tcBorders>
            <w:shd w:val="clear" w:color="auto" w:fill="auto"/>
            <w:vAlign w:val="center"/>
          </w:tcPr>
          <w:p w14:paraId="6FAE4D3F">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罐基础</w:t>
            </w:r>
          </w:p>
        </w:tc>
      </w:tr>
      <w:tr w14:paraId="64D2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continue"/>
            <w:tcBorders>
              <w:tl2br w:val="nil"/>
              <w:tr2bl w:val="nil"/>
            </w:tcBorders>
            <w:vAlign w:val="center"/>
          </w:tcPr>
          <w:p w14:paraId="324DB697">
            <w:pPr>
              <w:widowControl w:val="0"/>
              <w:spacing w:line="300" w:lineRule="exact"/>
              <w:jc w:val="center"/>
              <w:rPr>
                <w:rFonts w:ascii="Times New Roman" w:hAnsi="Times New Roman" w:eastAsia="宋体" w:cs="Times New Roman"/>
                <w:color w:val="auto"/>
                <w:kern w:val="2"/>
                <w:sz w:val="21"/>
                <w:szCs w:val="24"/>
                <w:lang w:val="en-US" w:eastAsia="zh-CN" w:bidi="ar-SA"/>
              </w:rPr>
            </w:pPr>
          </w:p>
        </w:tc>
        <w:tc>
          <w:tcPr>
            <w:tcW w:w="1463" w:type="pct"/>
            <w:tcBorders>
              <w:tl2br w:val="nil"/>
              <w:tr2bl w:val="nil"/>
            </w:tcBorders>
            <w:shd w:val="clear" w:color="auto" w:fill="auto"/>
            <w:vAlign w:val="center"/>
          </w:tcPr>
          <w:p w14:paraId="43E2F58F">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甲醇制氢装置区</w:t>
            </w:r>
          </w:p>
        </w:tc>
        <w:tc>
          <w:tcPr>
            <w:tcW w:w="2539" w:type="pct"/>
            <w:tcBorders>
              <w:tl2br w:val="nil"/>
              <w:tr2bl w:val="nil"/>
            </w:tcBorders>
            <w:shd w:val="clear" w:color="auto" w:fill="auto"/>
            <w:vAlign w:val="center"/>
          </w:tcPr>
          <w:p w14:paraId="65053F31">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地下污水管道</w:t>
            </w:r>
          </w:p>
        </w:tc>
      </w:tr>
      <w:tr w14:paraId="15DA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continue"/>
            <w:tcBorders>
              <w:tl2br w:val="nil"/>
              <w:tr2bl w:val="nil"/>
            </w:tcBorders>
            <w:vAlign w:val="center"/>
          </w:tcPr>
          <w:p w14:paraId="6D834FE1">
            <w:pPr>
              <w:widowControl w:val="0"/>
              <w:spacing w:line="300" w:lineRule="exact"/>
              <w:jc w:val="center"/>
              <w:rPr>
                <w:rFonts w:ascii="Times New Roman" w:hAnsi="Times New Roman" w:eastAsia="宋体" w:cs="Times New Roman"/>
                <w:color w:val="auto"/>
                <w:kern w:val="2"/>
                <w:sz w:val="21"/>
                <w:szCs w:val="24"/>
                <w:lang w:val="en-US" w:eastAsia="zh-CN" w:bidi="ar-SA"/>
              </w:rPr>
            </w:pPr>
          </w:p>
        </w:tc>
        <w:tc>
          <w:tcPr>
            <w:tcW w:w="1463" w:type="pct"/>
            <w:tcBorders>
              <w:tl2br w:val="nil"/>
              <w:tr2bl w:val="nil"/>
            </w:tcBorders>
            <w:shd w:val="clear" w:color="auto" w:fill="auto"/>
            <w:vAlign w:val="center"/>
          </w:tcPr>
          <w:p w14:paraId="402E502A">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甲醇制氢压缩机房</w:t>
            </w:r>
          </w:p>
        </w:tc>
        <w:tc>
          <w:tcPr>
            <w:tcW w:w="2539" w:type="pct"/>
            <w:tcBorders>
              <w:tl2br w:val="nil"/>
              <w:tr2bl w:val="nil"/>
            </w:tcBorders>
            <w:shd w:val="clear" w:color="auto" w:fill="auto"/>
            <w:vAlign w:val="center"/>
          </w:tcPr>
          <w:p w14:paraId="2A5B704C">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地下污水管道</w:t>
            </w:r>
          </w:p>
        </w:tc>
      </w:tr>
      <w:tr w14:paraId="1787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continue"/>
            <w:tcBorders>
              <w:tl2br w:val="nil"/>
              <w:tr2bl w:val="nil"/>
            </w:tcBorders>
            <w:vAlign w:val="center"/>
          </w:tcPr>
          <w:p w14:paraId="0AFEA3AF">
            <w:pPr>
              <w:widowControl w:val="0"/>
              <w:spacing w:line="300" w:lineRule="exact"/>
              <w:jc w:val="center"/>
              <w:rPr>
                <w:rFonts w:ascii="Times New Roman" w:hAnsi="Times New Roman" w:eastAsia="宋体" w:cs="Times New Roman"/>
                <w:color w:val="auto"/>
                <w:kern w:val="2"/>
                <w:sz w:val="21"/>
                <w:szCs w:val="24"/>
                <w:lang w:val="en-US" w:eastAsia="zh-CN" w:bidi="ar-SA"/>
              </w:rPr>
            </w:pPr>
          </w:p>
        </w:tc>
        <w:tc>
          <w:tcPr>
            <w:tcW w:w="1463" w:type="pct"/>
            <w:tcBorders>
              <w:tl2br w:val="nil"/>
              <w:tr2bl w:val="nil"/>
            </w:tcBorders>
            <w:shd w:val="clear" w:color="auto" w:fill="auto"/>
            <w:vAlign w:val="center"/>
          </w:tcPr>
          <w:p w14:paraId="51874EE5">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1#、2#、3#尾气处理装置</w:t>
            </w:r>
          </w:p>
        </w:tc>
        <w:tc>
          <w:tcPr>
            <w:tcW w:w="2539" w:type="pct"/>
            <w:tcBorders>
              <w:tl2br w:val="nil"/>
              <w:tr2bl w:val="nil"/>
            </w:tcBorders>
            <w:shd w:val="clear" w:color="auto" w:fill="auto"/>
            <w:vAlign w:val="center"/>
          </w:tcPr>
          <w:p w14:paraId="2C88DF78">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地下污水管道</w:t>
            </w:r>
          </w:p>
        </w:tc>
      </w:tr>
      <w:tr w14:paraId="3587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restart"/>
            <w:tcBorders>
              <w:tl2br w:val="nil"/>
              <w:tr2bl w:val="nil"/>
            </w:tcBorders>
            <w:vAlign w:val="center"/>
          </w:tcPr>
          <w:p w14:paraId="28E7C045">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一般</w:t>
            </w:r>
            <w:r>
              <w:rPr>
                <w:rFonts w:ascii="Times New Roman" w:hAnsi="Times New Roman" w:eastAsia="宋体" w:cs="Times New Roman"/>
                <w:color w:val="auto"/>
                <w:kern w:val="2"/>
                <w:sz w:val="21"/>
                <w:szCs w:val="24"/>
                <w:lang w:val="en-US" w:eastAsia="zh-CN" w:bidi="ar-SA"/>
              </w:rPr>
              <w:t>污染防治区</w:t>
            </w:r>
          </w:p>
        </w:tc>
        <w:tc>
          <w:tcPr>
            <w:tcW w:w="1463" w:type="pct"/>
            <w:tcBorders>
              <w:tl2br w:val="nil"/>
              <w:tr2bl w:val="nil"/>
            </w:tcBorders>
            <w:shd w:val="clear" w:color="auto" w:fill="auto"/>
            <w:vAlign w:val="center"/>
          </w:tcPr>
          <w:p w14:paraId="341771E9">
            <w:pPr>
              <w:widowControl w:val="0"/>
              <w:spacing w:line="300" w:lineRule="exact"/>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生产车间1</w:t>
            </w:r>
          </w:p>
        </w:tc>
        <w:tc>
          <w:tcPr>
            <w:tcW w:w="2539" w:type="pct"/>
            <w:tcBorders>
              <w:tl2br w:val="nil"/>
              <w:tr2bl w:val="nil"/>
            </w:tcBorders>
            <w:vAlign w:val="center"/>
          </w:tcPr>
          <w:p w14:paraId="2C28AAAE">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地面</w:t>
            </w:r>
          </w:p>
        </w:tc>
      </w:tr>
      <w:tr w14:paraId="71CE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continue"/>
            <w:tcBorders>
              <w:tl2br w:val="nil"/>
              <w:tr2bl w:val="nil"/>
            </w:tcBorders>
            <w:vAlign w:val="center"/>
          </w:tcPr>
          <w:p w14:paraId="558D1C44">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p>
        </w:tc>
        <w:tc>
          <w:tcPr>
            <w:tcW w:w="1463" w:type="pct"/>
            <w:tcBorders>
              <w:tl2br w:val="nil"/>
              <w:tr2bl w:val="nil"/>
            </w:tcBorders>
            <w:shd w:val="clear" w:color="auto" w:fill="auto"/>
            <w:vAlign w:val="center"/>
          </w:tcPr>
          <w:p w14:paraId="0F8F6F60">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生产车间2</w:t>
            </w:r>
          </w:p>
        </w:tc>
        <w:tc>
          <w:tcPr>
            <w:tcW w:w="2539" w:type="pct"/>
            <w:tcBorders>
              <w:tl2br w:val="nil"/>
              <w:tr2bl w:val="nil"/>
            </w:tcBorders>
            <w:vAlign w:val="center"/>
          </w:tcPr>
          <w:p w14:paraId="2A27380C">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地面</w:t>
            </w:r>
          </w:p>
        </w:tc>
      </w:tr>
      <w:tr w14:paraId="1D3C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continue"/>
            <w:tcBorders>
              <w:tl2br w:val="nil"/>
              <w:tr2bl w:val="nil"/>
            </w:tcBorders>
            <w:vAlign w:val="center"/>
          </w:tcPr>
          <w:p w14:paraId="3CC0CF4D">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p>
        </w:tc>
        <w:tc>
          <w:tcPr>
            <w:tcW w:w="1463" w:type="pct"/>
            <w:tcBorders>
              <w:tl2br w:val="nil"/>
              <w:tr2bl w:val="nil"/>
            </w:tcBorders>
            <w:shd w:val="clear" w:color="auto" w:fill="auto"/>
            <w:vAlign w:val="center"/>
          </w:tcPr>
          <w:p w14:paraId="4A0EE783">
            <w:pPr>
              <w:widowControl w:val="0"/>
              <w:spacing w:line="300" w:lineRule="exact"/>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室外装置区</w:t>
            </w:r>
          </w:p>
        </w:tc>
        <w:tc>
          <w:tcPr>
            <w:tcW w:w="2539" w:type="pct"/>
            <w:tcBorders>
              <w:tl2br w:val="nil"/>
              <w:tr2bl w:val="nil"/>
            </w:tcBorders>
            <w:vAlign w:val="center"/>
          </w:tcPr>
          <w:p w14:paraId="0E191D54">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地面</w:t>
            </w:r>
          </w:p>
        </w:tc>
      </w:tr>
      <w:tr w14:paraId="3FC8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continue"/>
            <w:tcBorders>
              <w:tl2br w:val="nil"/>
              <w:tr2bl w:val="nil"/>
            </w:tcBorders>
            <w:vAlign w:val="center"/>
          </w:tcPr>
          <w:p w14:paraId="7FD7729D">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p>
        </w:tc>
        <w:tc>
          <w:tcPr>
            <w:tcW w:w="1463" w:type="pct"/>
            <w:tcBorders>
              <w:tl2br w:val="nil"/>
              <w:tr2bl w:val="nil"/>
            </w:tcBorders>
            <w:vAlign w:val="center"/>
          </w:tcPr>
          <w:p w14:paraId="0B7C65CB">
            <w:pPr>
              <w:widowControl w:val="0"/>
              <w:spacing w:line="300" w:lineRule="exact"/>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装卸车区</w:t>
            </w:r>
          </w:p>
        </w:tc>
        <w:tc>
          <w:tcPr>
            <w:tcW w:w="2539" w:type="pct"/>
            <w:tcBorders>
              <w:tl2br w:val="nil"/>
              <w:tr2bl w:val="nil"/>
            </w:tcBorders>
            <w:vAlign w:val="center"/>
          </w:tcPr>
          <w:p w14:paraId="07F2F80A">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地面</w:t>
            </w:r>
          </w:p>
        </w:tc>
      </w:tr>
      <w:tr w14:paraId="4DF4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continue"/>
            <w:tcBorders>
              <w:tl2br w:val="nil"/>
              <w:tr2bl w:val="nil"/>
            </w:tcBorders>
            <w:vAlign w:val="center"/>
          </w:tcPr>
          <w:p w14:paraId="16C2FAF8">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p>
        </w:tc>
        <w:tc>
          <w:tcPr>
            <w:tcW w:w="1463" w:type="pct"/>
            <w:tcBorders>
              <w:tl2br w:val="nil"/>
              <w:tr2bl w:val="nil"/>
            </w:tcBorders>
            <w:vAlign w:val="center"/>
          </w:tcPr>
          <w:p w14:paraId="4DE0FC65">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罐区</w:t>
            </w:r>
          </w:p>
        </w:tc>
        <w:tc>
          <w:tcPr>
            <w:tcW w:w="2539" w:type="pct"/>
            <w:tcBorders>
              <w:tl2br w:val="nil"/>
              <w:tr2bl w:val="nil"/>
            </w:tcBorders>
            <w:vAlign w:val="center"/>
          </w:tcPr>
          <w:p w14:paraId="563C4E0F">
            <w:pPr>
              <w:widowControl w:val="0"/>
              <w:spacing w:line="300" w:lineRule="exact"/>
              <w:jc w:val="center"/>
              <w:rPr>
                <w:rFonts w:hint="default"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地面</w:t>
            </w:r>
            <w:r>
              <w:rPr>
                <w:rFonts w:hint="eastAsia" w:ascii="Times New Roman" w:hAnsi="Times New Roman" w:eastAsia="宋体" w:cs="Times New Roman"/>
                <w:color w:val="auto"/>
                <w:kern w:val="2"/>
                <w:sz w:val="21"/>
                <w:szCs w:val="24"/>
                <w:lang w:val="en-US" w:eastAsia="zh-CN" w:bidi="ar-SA"/>
              </w:rPr>
              <w:t>及防火堤</w:t>
            </w:r>
          </w:p>
        </w:tc>
      </w:tr>
      <w:tr w14:paraId="65DE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continue"/>
            <w:tcBorders>
              <w:tl2br w:val="nil"/>
              <w:tr2bl w:val="nil"/>
            </w:tcBorders>
            <w:vAlign w:val="center"/>
          </w:tcPr>
          <w:p w14:paraId="587FE839">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p>
        </w:tc>
        <w:tc>
          <w:tcPr>
            <w:tcW w:w="1463" w:type="pct"/>
            <w:tcBorders>
              <w:tl2br w:val="nil"/>
              <w:tr2bl w:val="nil"/>
            </w:tcBorders>
            <w:vAlign w:val="center"/>
          </w:tcPr>
          <w:p w14:paraId="36FF0B22">
            <w:pPr>
              <w:widowControl w:val="0"/>
              <w:spacing w:line="300" w:lineRule="exact"/>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甲醇制氢装置区</w:t>
            </w:r>
          </w:p>
        </w:tc>
        <w:tc>
          <w:tcPr>
            <w:tcW w:w="2539" w:type="pct"/>
            <w:tcBorders>
              <w:tl2br w:val="nil"/>
              <w:tr2bl w:val="nil"/>
            </w:tcBorders>
            <w:shd w:val="clear" w:color="auto" w:fill="auto"/>
            <w:vAlign w:val="center"/>
          </w:tcPr>
          <w:p w14:paraId="2EDDC28A">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地面</w:t>
            </w:r>
          </w:p>
        </w:tc>
      </w:tr>
      <w:tr w14:paraId="3921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continue"/>
            <w:tcBorders>
              <w:tl2br w:val="nil"/>
              <w:tr2bl w:val="nil"/>
            </w:tcBorders>
            <w:vAlign w:val="center"/>
          </w:tcPr>
          <w:p w14:paraId="2AA1AACF">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p>
        </w:tc>
        <w:tc>
          <w:tcPr>
            <w:tcW w:w="1463" w:type="pct"/>
            <w:tcBorders>
              <w:tl2br w:val="nil"/>
              <w:tr2bl w:val="nil"/>
            </w:tcBorders>
            <w:vAlign w:val="center"/>
          </w:tcPr>
          <w:p w14:paraId="4B9B1401">
            <w:pPr>
              <w:widowControl w:val="0"/>
              <w:spacing w:line="300" w:lineRule="exact"/>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甲醇制氢压缩机房</w:t>
            </w:r>
          </w:p>
        </w:tc>
        <w:tc>
          <w:tcPr>
            <w:tcW w:w="2539" w:type="pct"/>
            <w:tcBorders>
              <w:tl2br w:val="nil"/>
              <w:tr2bl w:val="nil"/>
            </w:tcBorders>
            <w:shd w:val="clear" w:color="auto" w:fill="auto"/>
            <w:vAlign w:val="center"/>
          </w:tcPr>
          <w:p w14:paraId="66935C8E">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地面</w:t>
            </w:r>
          </w:p>
        </w:tc>
      </w:tr>
      <w:tr w14:paraId="06ED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continue"/>
            <w:tcBorders>
              <w:tl2br w:val="nil"/>
              <w:tr2bl w:val="nil"/>
            </w:tcBorders>
            <w:vAlign w:val="center"/>
          </w:tcPr>
          <w:p w14:paraId="0BAA873F">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p>
        </w:tc>
        <w:tc>
          <w:tcPr>
            <w:tcW w:w="1463" w:type="pct"/>
            <w:tcBorders>
              <w:tl2br w:val="nil"/>
              <w:tr2bl w:val="nil"/>
            </w:tcBorders>
            <w:vAlign w:val="center"/>
          </w:tcPr>
          <w:p w14:paraId="6755CB47">
            <w:pPr>
              <w:widowControl w:val="0"/>
              <w:spacing w:line="300" w:lineRule="exact"/>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罐区泵区</w:t>
            </w:r>
          </w:p>
        </w:tc>
        <w:tc>
          <w:tcPr>
            <w:tcW w:w="2539" w:type="pct"/>
            <w:tcBorders>
              <w:tl2br w:val="nil"/>
              <w:tr2bl w:val="nil"/>
            </w:tcBorders>
            <w:shd w:val="clear" w:color="auto" w:fill="auto"/>
            <w:vAlign w:val="center"/>
          </w:tcPr>
          <w:p w14:paraId="46DAB3A0">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地面</w:t>
            </w:r>
          </w:p>
        </w:tc>
      </w:tr>
      <w:tr w14:paraId="5057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continue"/>
            <w:tcBorders>
              <w:tl2br w:val="nil"/>
              <w:tr2bl w:val="nil"/>
            </w:tcBorders>
            <w:vAlign w:val="center"/>
          </w:tcPr>
          <w:p w14:paraId="7B87F8B0">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p>
        </w:tc>
        <w:tc>
          <w:tcPr>
            <w:tcW w:w="1463" w:type="pct"/>
            <w:tcBorders>
              <w:tl2br w:val="nil"/>
              <w:tr2bl w:val="nil"/>
            </w:tcBorders>
            <w:vAlign w:val="center"/>
          </w:tcPr>
          <w:p w14:paraId="42FB3BB4">
            <w:pPr>
              <w:widowControl w:val="0"/>
              <w:spacing w:line="300" w:lineRule="exact"/>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导热油炉房</w:t>
            </w:r>
          </w:p>
        </w:tc>
        <w:tc>
          <w:tcPr>
            <w:tcW w:w="2539" w:type="pct"/>
            <w:tcBorders>
              <w:tl2br w:val="nil"/>
              <w:tr2bl w:val="nil"/>
            </w:tcBorders>
            <w:shd w:val="clear" w:color="auto" w:fill="auto"/>
            <w:vAlign w:val="center"/>
          </w:tcPr>
          <w:p w14:paraId="7FD8A4A9">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地面</w:t>
            </w:r>
          </w:p>
        </w:tc>
      </w:tr>
      <w:tr w14:paraId="5D8C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continue"/>
            <w:tcBorders>
              <w:tl2br w:val="nil"/>
              <w:tr2bl w:val="nil"/>
            </w:tcBorders>
            <w:vAlign w:val="center"/>
          </w:tcPr>
          <w:p w14:paraId="4575945A">
            <w:pPr>
              <w:widowControl w:val="0"/>
              <w:spacing w:line="300" w:lineRule="exact"/>
              <w:jc w:val="center"/>
              <w:rPr>
                <w:rFonts w:hint="eastAsia" w:ascii="Times New Roman" w:hAnsi="Times New Roman" w:eastAsia="宋体" w:cs="Times New Roman"/>
                <w:color w:val="auto"/>
                <w:kern w:val="2"/>
                <w:sz w:val="21"/>
                <w:szCs w:val="24"/>
                <w:lang w:val="en-US" w:eastAsia="zh-CN" w:bidi="ar-SA"/>
              </w:rPr>
            </w:pPr>
          </w:p>
        </w:tc>
        <w:tc>
          <w:tcPr>
            <w:tcW w:w="1463" w:type="pct"/>
            <w:tcBorders>
              <w:tl2br w:val="nil"/>
              <w:tr2bl w:val="nil"/>
            </w:tcBorders>
            <w:shd w:val="clear" w:color="auto" w:fill="auto"/>
            <w:vAlign w:val="center"/>
          </w:tcPr>
          <w:p w14:paraId="665103B5">
            <w:pPr>
              <w:widowControl w:val="0"/>
              <w:spacing w:line="300" w:lineRule="exact"/>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1#、2#、3#尾气处理装置</w:t>
            </w:r>
          </w:p>
        </w:tc>
        <w:tc>
          <w:tcPr>
            <w:tcW w:w="2539" w:type="pct"/>
            <w:tcBorders>
              <w:tl2br w:val="nil"/>
              <w:tr2bl w:val="nil"/>
            </w:tcBorders>
            <w:shd w:val="clear" w:color="auto" w:fill="auto"/>
            <w:vAlign w:val="center"/>
          </w:tcPr>
          <w:p w14:paraId="66965BB6">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地面</w:t>
            </w:r>
          </w:p>
        </w:tc>
      </w:tr>
      <w:tr w14:paraId="1A4A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restart"/>
            <w:tcBorders>
              <w:tl2br w:val="nil"/>
              <w:tr2bl w:val="nil"/>
            </w:tcBorders>
            <w:vAlign w:val="center"/>
          </w:tcPr>
          <w:p w14:paraId="23034D7F">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非污染防治区</w:t>
            </w:r>
          </w:p>
        </w:tc>
        <w:tc>
          <w:tcPr>
            <w:tcW w:w="1463" w:type="pct"/>
            <w:tcBorders>
              <w:tl2br w:val="nil"/>
              <w:tr2bl w:val="nil"/>
            </w:tcBorders>
            <w:vAlign w:val="center"/>
          </w:tcPr>
          <w:p w14:paraId="66C81817">
            <w:pPr>
              <w:widowControl w:val="0"/>
              <w:spacing w:line="300" w:lineRule="exact"/>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配电室</w:t>
            </w:r>
          </w:p>
        </w:tc>
        <w:tc>
          <w:tcPr>
            <w:tcW w:w="2539" w:type="pct"/>
            <w:tcBorders>
              <w:tl2br w:val="nil"/>
              <w:tr2bl w:val="nil"/>
            </w:tcBorders>
            <w:shd w:val="clear" w:color="auto" w:fill="auto"/>
            <w:vAlign w:val="center"/>
          </w:tcPr>
          <w:p w14:paraId="30A6B8E9">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地面</w:t>
            </w:r>
          </w:p>
        </w:tc>
      </w:tr>
      <w:tr w14:paraId="5D0E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997" w:type="pct"/>
            <w:vMerge w:val="continue"/>
            <w:tcBorders>
              <w:tl2br w:val="nil"/>
              <w:tr2bl w:val="nil"/>
            </w:tcBorders>
            <w:vAlign w:val="center"/>
          </w:tcPr>
          <w:p w14:paraId="2D14DE25">
            <w:pPr>
              <w:widowControl w:val="0"/>
              <w:spacing w:line="300" w:lineRule="exact"/>
              <w:jc w:val="center"/>
              <w:rPr>
                <w:rFonts w:ascii="Times New Roman" w:hAnsi="Times New Roman" w:eastAsia="宋体" w:cs="Times New Roman"/>
                <w:color w:val="auto"/>
                <w:kern w:val="2"/>
                <w:sz w:val="21"/>
                <w:szCs w:val="24"/>
                <w:lang w:val="en-US" w:eastAsia="zh-CN" w:bidi="ar-SA"/>
              </w:rPr>
            </w:pPr>
          </w:p>
        </w:tc>
        <w:tc>
          <w:tcPr>
            <w:tcW w:w="1463" w:type="pct"/>
            <w:tcBorders>
              <w:tl2br w:val="nil"/>
              <w:tr2bl w:val="nil"/>
            </w:tcBorders>
            <w:vAlign w:val="center"/>
          </w:tcPr>
          <w:p w14:paraId="43B45AA1">
            <w:pPr>
              <w:widowControl w:val="0"/>
              <w:spacing w:line="300" w:lineRule="exact"/>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机柜间</w:t>
            </w:r>
          </w:p>
        </w:tc>
        <w:tc>
          <w:tcPr>
            <w:tcW w:w="2539" w:type="pct"/>
            <w:tcBorders>
              <w:tl2br w:val="nil"/>
              <w:tr2bl w:val="nil"/>
            </w:tcBorders>
            <w:shd w:val="clear" w:color="auto" w:fill="auto"/>
            <w:vAlign w:val="center"/>
          </w:tcPr>
          <w:p w14:paraId="0224734F">
            <w:pPr>
              <w:widowControl w:val="0"/>
              <w:spacing w:line="300" w:lineRule="exact"/>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地面</w:t>
            </w:r>
          </w:p>
        </w:tc>
      </w:tr>
    </w:tbl>
    <w:p w14:paraId="1955FA60">
      <w:pPr>
        <w:spacing w:line="360" w:lineRule="auto"/>
        <w:rPr>
          <w:rFonts w:ascii="Times New Roman" w:hAnsi="Times New Roman" w:cs="Times New Roman"/>
          <w:kern w:val="2"/>
          <w:sz w:val="24"/>
          <w:szCs w:val="24"/>
        </w:rPr>
        <w:sectPr>
          <w:headerReference r:id="rId10" w:type="default"/>
          <w:footerReference r:id="rId11" w:type="default"/>
          <w:pgSz w:w="11906" w:h="16838"/>
          <w:pgMar w:top="1440" w:right="1800" w:bottom="1440" w:left="1800" w:header="850" w:footer="850" w:gutter="0"/>
          <w:pgBorders>
            <w:top w:val="none" w:sz="0" w:space="0"/>
            <w:left w:val="none" w:sz="0" w:space="0"/>
            <w:bottom w:val="none" w:sz="0" w:space="0"/>
            <w:right w:val="none" w:sz="0" w:space="0"/>
          </w:pgBorders>
          <w:pgNumType w:fmt="decimal"/>
          <w:cols w:space="0" w:num="1"/>
          <w:docGrid w:type="lines" w:linePitch="326" w:charSpace="0"/>
        </w:sectPr>
      </w:pPr>
    </w:p>
    <w:p w14:paraId="311F522E">
      <w:pPr>
        <w:widowControl/>
        <w:spacing w:before="0" w:beforeAutospacing="0" w:after="0" w:afterAutospacing="0" w:line="360" w:lineRule="auto"/>
        <w:jc w:val="left"/>
        <w:rPr>
          <w:rFonts w:ascii="Times New Roman" w:hAnsi="Times New Roman" w:eastAsia="宋体" w:cs="Times New Roman"/>
          <w:color w:val="000000"/>
          <w:kern w:val="0"/>
          <w:sz w:val="24"/>
          <w:szCs w:val="24"/>
          <w:highlight w:val="none"/>
          <w:lang w:val="en-US" w:eastAsia="zh-CN" w:bidi="en-US"/>
        </w:rPr>
      </w:pPr>
    </w:p>
    <w:p w14:paraId="1AFB3607">
      <w:pPr>
        <w:keepNext w:val="0"/>
        <w:keepLines w:val="0"/>
        <w:widowControl w:val="0"/>
        <w:bidi w:val="0"/>
        <w:spacing w:before="120" w:after="120" w:line="360" w:lineRule="auto"/>
        <w:jc w:val="both"/>
        <w:outlineLvl w:val="1"/>
        <w:rPr>
          <w:rFonts w:hint="default" w:ascii="Times New Roman" w:hAnsi="Times New Roman" w:eastAsia="宋体" w:cs="Times New Roman"/>
          <w:b/>
          <w:bCs/>
          <w:sz w:val="30"/>
          <w:szCs w:val="30"/>
          <w:lang w:val="en-US" w:eastAsia="zh-CN" w:bidi="ar-SA"/>
        </w:rPr>
      </w:pPr>
      <w:bookmarkStart w:id="87" w:name="_Toc19442"/>
      <w:r>
        <w:rPr>
          <w:rFonts w:hint="eastAsia" w:ascii="Times New Roman" w:hAnsi="Times New Roman" w:cs="Times New Roman"/>
          <w:b/>
          <w:bCs/>
          <w:sz w:val="30"/>
          <w:szCs w:val="30"/>
          <w:lang w:val="en-US" w:eastAsia="zh-CN" w:bidi="ar-SA"/>
        </w:rPr>
        <w:t>8</w:t>
      </w:r>
      <w:r>
        <w:rPr>
          <w:rFonts w:hint="default" w:ascii="Times New Roman" w:hAnsi="Times New Roman" w:eastAsia="宋体" w:cs="Times New Roman"/>
          <w:b/>
          <w:bCs/>
          <w:sz w:val="30"/>
          <w:szCs w:val="30"/>
          <w:lang w:val="en-US" w:eastAsia="zh-CN" w:bidi="ar-SA"/>
        </w:rPr>
        <w:t>.</w:t>
      </w:r>
      <w:r>
        <w:rPr>
          <w:rFonts w:hint="eastAsia" w:ascii="Times New Roman" w:hAnsi="Times New Roman" w:cs="Times New Roman"/>
          <w:b/>
          <w:bCs/>
          <w:sz w:val="30"/>
          <w:szCs w:val="30"/>
          <w:lang w:val="en-US" w:eastAsia="zh-CN" w:bidi="ar-SA"/>
        </w:rPr>
        <w:t>5运营期</w:t>
      </w:r>
      <w:r>
        <w:rPr>
          <w:rFonts w:hint="default" w:ascii="Times New Roman" w:hAnsi="Times New Roman" w:eastAsia="宋体" w:cs="Times New Roman"/>
          <w:b/>
          <w:bCs/>
          <w:sz w:val="30"/>
          <w:szCs w:val="30"/>
          <w:lang w:val="en-US" w:eastAsia="zh-CN" w:bidi="ar-SA"/>
        </w:rPr>
        <w:t>噪声污染防治措施</w:t>
      </w:r>
      <w:bookmarkEnd w:id="77"/>
      <w:bookmarkEnd w:id="78"/>
      <w:bookmarkEnd w:id="79"/>
      <w:bookmarkEnd w:id="80"/>
      <w:bookmarkEnd w:id="81"/>
      <w:bookmarkEnd w:id="82"/>
      <w:bookmarkEnd w:id="83"/>
      <w:bookmarkEnd w:id="87"/>
    </w:p>
    <w:p w14:paraId="66E99614">
      <w:pPr>
        <w:keepNext w:val="0"/>
        <w:keepLines w:val="0"/>
        <w:widowControl w:val="0"/>
        <w:bidi w:val="0"/>
        <w:spacing w:before="0" w:after="0" w:line="360" w:lineRule="auto"/>
        <w:jc w:val="both"/>
        <w:outlineLvl w:val="2"/>
        <w:rPr>
          <w:rFonts w:hint="eastAsia" w:ascii="Times New Roman" w:hAnsi="Times New Roman" w:cs="Times New Roman"/>
          <w:b/>
          <w:bCs/>
          <w:sz w:val="28"/>
          <w:szCs w:val="28"/>
          <w:lang w:val="en-US" w:eastAsia="zh-CN" w:bidi="ar-SA"/>
        </w:rPr>
      </w:pPr>
      <w:r>
        <w:rPr>
          <w:rFonts w:hint="eastAsia" w:ascii="Times New Roman" w:hAnsi="Times New Roman" w:cs="Times New Roman"/>
          <w:b/>
          <w:bCs/>
          <w:sz w:val="28"/>
          <w:szCs w:val="28"/>
          <w:lang w:val="en-US" w:eastAsia="zh-CN" w:bidi="ar-SA"/>
        </w:rPr>
        <w:t>8.5.1平面布置及工艺选择方面措施</w:t>
      </w:r>
    </w:p>
    <w:p w14:paraId="31017FA4">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（1）优化工艺流程，减少噪声污染源，如选用低噪声设备，减少各种气体排放等。</w:t>
      </w:r>
    </w:p>
    <w:p w14:paraId="5D2F9AD7">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2）平面布置上，充分利用各种自然因素，如地形、建筑物、绿化带等使厂区与噪声敏感区隔开。在工艺流程允许的情况下，生产装置可按其噪声强度分区布置，噪声较高的装置应尽量置于远离厂外噪声敏感区的一侧，或用不含声源的建筑物如不产生噪声的塔、罐和容器等大型设备作为屏障与噪声敏感区隔开。</w:t>
      </w:r>
    </w:p>
    <w:p w14:paraId="43643B20">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w:t>
      </w:r>
      <w:r>
        <w:rPr>
          <w:rFonts w:hint="eastAsia" w:ascii="Times New Roman" w:hAnsi="Times New Roman" w:cs="Times New Roman"/>
          <w:color w:val="000000"/>
          <w:kern w:val="2"/>
          <w:sz w:val="24"/>
          <w:szCs w:val="24"/>
          <w:highlight w:val="none"/>
          <w:lang w:val="en-US" w:eastAsia="zh-CN" w:bidi="ar-SA"/>
        </w:rPr>
        <w:t>3</w:t>
      </w:r>
      <w:r>
        <w:rPr>
          <w:rFonts w:hint="eastAsia" w:ascii="Times New Roman" w:hAnsi="Times New Roman" w:eastAsia="宋体" w:cs="Times New Roman"/>
          <w:color w:val="000000"/>
          <w:kern w:val="2"/>
          <w:sz w:val="24"/>
          <w:szCs w:val="24"/>
          <w:highlight w:val="none"/>
          <w:lang w:val="en-US" w:eastAsia="zh-CN" w:bidi="ar-SA"/>
        </w:rPr>
        <w:t>）噪声强度较大机械设备，例如大型机泵、</w:t>
      </w:r>
      <w:r>
        <w:rPr>
          <w:rFonts w:hint="eastAsia" w:ascii="Times New Roman" w:hAnsi="Times New Roman" w:cs="Times New Roman"/>
          <w:color w:val="000000"/>
          <w:kern w:val="2"/>
          <w:sz w:val="24"/>
          <w:szCs w:val="24"/>
          <w:highlight w:val="none"/>
          <w:lang w:val="en-US" w:eastAsia="zh-CN" w:bidi="ar-SA"/>
        </w:rPr>
        <w:t>压缩机</w:t>
      </w:r>
      <w:r>
        <w:rPr>
          <w:rFonts w:hint="eastAsia" w:ascii="Times New Roman" w:hAnsi="Times New Roman" w:eastAsia="宋体" w:cs="Times New Roman"/>
          <w:color w:val="000000"/>
          <w:kern w:val="2"/>
          <w:sz w:val="24"/>
          <w:szCs w:val="24"/>
          <w:highlight w:val="none"/>
          <w:lang w:val="en-US" w:eastAsia="zh-CN" w:bidi="ar-SA"/>
        </w:rPr>
        <w:t>等，尽量安装于厂房内，以减少噪声对厂内、外环境的影响。</w:t>
      </w:r>
    </w:p>
    <w:p w14:paraId="6E044073">
      <w:pPr>
        <w:widowControl w:val="0"/>
        <w:spacing w:after="0" w:line="360" w:lineRule="auto"/>
        <w:ind w:firstLine="480" w:firstLineChars="200"/>
        <w:jc w:val="both"/>
        <w:rPr>
          <w:rFonts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w:t>
      </w:r>
      <w:r>
        <w:rPr>
          <w:rFonts w:hint="eastAsia" w:ascii="Times New Roman" w:hAnsi="Times New Roman" w:cs="Times New Roman"/>
          <w:color w:val="000000"/>
          <w:kern w:val="2"/>
          <w:sz w:val="24"/>
          <w:szCs w:val="24"/>
          <w:highlight w:val="none"/>
          <w:lang w:val="en-US" w:eastAsia="zh-CN" w:bidi="ar-SA"/>
        </w:rPr>
        <w:t>4</w:t>
      </w:r>
      <w:r>
        <w:rPr>
          <w:rFonts w:hint="eastAsia" w:ascii="Times New Roman" w:hAnsi="Times New Roman" w:eastAsia="宋体" w:cs="Times New Roman"/>
          <w:color w:val="000000"/>
          <w:kern w:val="2"/>
          <w:sz w:val="24"/>
          <w:szCs w:val="24"/>
          <w:highlight w:val="none"/>
          <w:lang w:val="en-US" w:eastAsia="zh-CN" w:bidi="ar-SA"/>
        </w:rPr>
        <w:t>）对含有噪声源的车间、厂房，进行声学处理，如室内吸声处理、门窗隔声、设置隔声屏障等措施，降低其室内混响噪声和对周围环境的影响。</w:t>
      </w:r>
    </w:p>
    <w:p w14:paraId="052287E5">
      <w:pPr>
        <w:keepNext w:val="0"/>
        <w:keepLines w:val="0"/>
        <w:widowControl w:val="0"/>
        <w:bidi w:val="0"/>
        <w:spacing w:before="0" w:after="0" w:line="360" w:lineRule="auto"/>
        <w:jc w:val="both"/>
        <w:outlineLvl w:val="2"/>
        <w:rPr>
          <w:rFonts w:hint="eastAsia" w:ascii="Times New Roman" w:hAnsi="Times New Roman" w:cs="Times New Roman"/>
          <w:b/>
          <w:bCs/>
          <w:sz w:val="28"/>
          <w:szCs w:val="28"/>
          <w:lang w:val="en-US" w:eastAsia="zh-CN" w:bidi="ar-SA"/>
        </w:rPr>
      </w:pPr>
      <w:r>
        <w:rPr>
          <w:rFonts w:hint="eastAsia" w:ascii="Times New Roman" w:hAnsi="Times New Roman" w:cs="Times New Roman"/>
          <w:b/>
          <w:bCs/>
          <w:sz w:val="28"/>
          <w:szCs w:val="28"/>
          <w:lang w:val="en-US" w:eastAsia="zh-CN" w:bidi="ar-SA"/>
        </w:rPr>
        <w:t>8.5.2主要噪声源控制措施</w:t>
      </w:r>
    </w:p>
    <w:p w14:paraId="2AAE9B56">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（1）压缩机</w:t>
      </w:r>
    </w:p>
    <w:p w14:paraId="25EDBD24">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压缩机噪声主要由空气动力噪声和机械振动噪声构成。空气动力性噪声是由旋转叶片引起气体介质的涡流和紊流产生的噪声，以及叶片对介质周期性的压力产生的脉冲噪声。机械振动噪声是由轴承噪声及旋转部件的不平衡所产生的振动噪声。这些噪声主要由风机壳体以及基础的振动等形式向外辐射。压缩机噪声控制方法有：</w:t>
      </w:r>
    </w:p>
    <w:p w14:paraId="2A0E8ECC">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①进气管道安装消声器，消声量在25dB（A）以上。</w:t>
      </w:r>
    </w:p>
    <w:p w14:paraId="092989B7">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②设备与底座之间设置减振措施。</w:t>
      </w:r>
    </w:p>
    <w:p w14:paraId="0CFC4048">
      <w:pPr>
        <w:widowControl w:val="0"/>
        <w:spacing w:after="0"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（2）电机-泵</w:t>
      </w:r>
      <w:r>
        <w:rPr>
          <w:rFonts w:hint="eastAsia" w:ascii="Times New Roman" w:hAnsi="Times New Roman" w:cs="Times New Roman"/>
          <w:color w:val="000000"/>
          <w:kern w:val="2"/>
          <w:sz w:val="24"/>
          <w:szCs w:val="24"/>
          <w:highlight w:val="none"/>
          <w:lang w:val="en-US" w:eastAsia="zh-CN" w:bidi="ar-SA"/>
        </w:rPr>
        <w:t>、搅拌器</w:t>
      </w:r>
    </w:p>
    <w:p w14:paraId="0961A569">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电机-泵简称“机泵”，是化工生产过程中使用量最多的设备，其噪声主要在电机侧，电机噪声一般比泵噪声大5dB（A）左右。所以机泵噪声的治理主要是对电机噪声的控制。大多数电机均为空气冷却，其噪声主要来源于冷却风扇产生的空气动力噪声，其次为旋转机械噪声等。电机的噪声强度与其功率、转速等参数有关。电机噪声主要控制措施有：</w:t>
      </w:r>
    </w:p>
    <w:p w14:paraId="0B5A4C6B">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①设置电机隔声罩。对电机空气动力噪声可进行有效控制，一般降噪效果可达8~10dB（A）。</w:t>
      </w:r>
    </w:p>
    <w:p w14:paraId="18DA1595">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②对机泵与基础间的隔振或减振处理。</w:t>
      </w:r>
    </w:p>
    <w:p w14:paraId="70D859C0">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（3）</w:t>
      </w:r>
      <w:r>
        <w:rPr>
          <w:rFonts w:hint="eastAsia" w:ascii="Times New Roman" w:hAnsi="Times New Roman" w:cs="Times New Roman"/>
          <w:color w:val="000000"/>
          <w:kern w:val="2"/>
          <w:sz w:val="24"/>
          <w:szCs w:val="24"/>
          <w:highlight w:val="none"/>
          <w:lang w:val="en-US" w:eastAsia="zh-CN" w:bidi="ar-SA"/>
        </w:rPr>
        <w:t>风机</w:t>
      </w:r>
    </w:p>
    <w:p w14:paraId="34CC7102">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鼓风机和引风机在工作时产生的噪声主要来源于气体进出口辐射的空气动力性噪声、设备运行部件所产生的机械噪声、冷却风扇所产生噪声。各部分噪声中空气动力性噪声最高，对总的噪声起决定作用，因此，在风机进出风口采用阻抗复合消声器，同时对管道采用柔性连接，这样可平均降噪20dB(A)。</w:t>
      </w:r>
    </w:p>
    <w:p w14:paraId="39CD356D">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w:t>
      </w:r>
      <w:r>
        <w:rPr>
          <w:rFonts w:hint="eastAsia" w:ascii="Times New Roman" w:hAnsi="Times New Roman" w:cs="Times New Roman"/>
          <w:color w:val="000000"/>
          <w:kern w:val="2"/>
          <w:sz w:val="24"/>
          <w:szCs w:val="24"/>
          <w:highlight w:val="none"/>
          <w:lang w:val="en-US" w:eastAsia="zh-CN" w:bidi="ar-SA"/>
        </w:rPr>
        <w:t>4</w:t>
      </w:r>
      <w:r>
        <w:rPr>
          <w:rFonts w:hint="eastAsia" w:ascii="Times New Roman" w:hAnsi="Times New Roman" w:eastAsia="宋体" w:cs="Times New Roman"/>
          <w:color w:val="000000"/>
          <w:kern w:val="2"/>
          <w:sz w:val="24"/>
          <w:szCs w:val="24"/>
          <w:highlight w:val="none"/>
          <w:lang w:val="en-US" w:eastAsia="zh-CN" w:bidi="ar-SA"/>
        </w:rPr>
        <w:t>）</w:t>
      </w:r>
      <w:r>
        <w:rPr>
          <w:rFonts w:hint="eastAsia" w:ascii="Times New Roman" w:hAnsi="Times New Roman" w:cs="Times New Roman"/>
          <w:color w:val="000000"/>
          <w:kern w:val="2"/>
          <w:sz w:val="24"/>
          <w:szCs w:val="24"/>
          <w:highlight w:val="none"/>
          <w:lang w:val="en-US" w:eastAsia="zh-CN" w:bidi="ar-SA"/>
        </w:rPr>
        <w:t>燃烧器</w:t>
      </w:r>
    </w:p>
    <w:p w14:paraId="78CE8879">
      <w:pPr>
        <w:widowControl w:val="0"/>
        <w:spacing w:after="0"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cs="Times New Roman"/>
          <w:color w:val="000000"/>
          <w:kern w:val="2"/>
          <w:sz w:val="24"/>
          <w:szCs w:val="24"/>
          <w:highlight w:val="none"/>
          <w:lang w:val="en-US" w:eastAsia="zh-CN" w:bidi="ar-SA"/>
        </w:rPr>
        <w:t>燃烧器噪声主要来源于</w:t>
      </w:r>
      <w:r>
        <w:rPr>
          <w:rFonts w:hint="eastAsia" w:ascii="Times New Roman" w:hAnsi="Times New Roman" w:eastAsia="宋体" w:cs="Times New Roman"/>
          <w:color w:val="000000"/>
          <w:kern w:val="2"/>
          <w:sz w:val="24"/>
          <w:szCs w:val="24"/>
          <w:highlight w:val="none"/>
          <w:lang w:val="en-US" w:eastAsia="zh-CN" w:bidi="ar-SA"/>
        </w:rPr>
        <w:t>可燃混合气体在燃烧过程中因剧烈释放热量产生压力波动，形成高强度噪声</w:t>
      </w:r>
      <w:r>
        <w:rPr>
          <w:rFonts w:hint="eastAsia" w:ascii="Times New Roman" w:hAnsi="Times New Roman" w:cs="Times New Roman"/>
          <w:color w:val="000000"/>
          <w:kern w:val="2"/>
          <w:sz w:val="24"/>
          <w:szCs w:val="24"/>
          <w:highlight w:val="none"/>
          <w:lang w:val="en-US" w:eastAsia="zh-CN" w:bidi="ar-SA"/>
        </w:rPr>
        <w:t>。主要采取厂房隔声，优化平面布置，将其尽可能远离办公区。</w:t>
      </w:r>
    </w:p>
    <w:p w14:paraId="56DF38EC">
      <w:pPr>
        <w:keepNext w:val="0"/>
        <w:keepLines w:val="0"/>
        <w:widowControl w:val="0"/>
        <w:bidi w:val="0"/>
        <w:spacing w:before="120" w:after="120" w:line="360" w:lineRule="auto"/>
        <w:jc w:val="both"/>
        <w:outlineLvl w:val="1"/>
        <w:rPr>
          <w:rFonts w:hint="default" w:ascii="Times New Roman" w:hAnsi="Times New Roman" w:cs="Times New Roman"/>
          <w:b/>
          <w:bCs/>
          <w:sz w:val="30"/>
          <w:szCs w:val="30"/>
          <w:lang w:val="en-US" w:eastAsia="zh-CN" w:bidi="ar-SA"/>
        </w:rPr>
      </w:pPr>
      <w:bookmarkStart w:id="88" w:name="_Toc28719"/>
      <w:bookmarkStart w:id="89" w:name="_Toc117517834"/>
      <w:bookmarkStart w:id="90" w:name="_Toc299381550"/>
      <w:bookmarkStart w:id="91" w:name="_Toc117518179"/>
      <w:bookmarkStart w:id="92" w:name="_Toc117518264"/>
      <w:bookmarkStart w:id="93" w:name="_Toc12353"/>
      <w:bookmarkStart w:id="94" w:name="_Toc117518549"/>
      <w:bookmarkStart w:id="95" w:name="_Toc117518344"/>
      <w:bookmarkStart w:id="96" w:name="_Toc475876354"/>
      <w:bookmarkStart w:id="97" w:name="_Toc117518098"/>
      <w:bookmarkStart w:id="98" w:name="_Toc310503810"/>
      <w:bookmarkStart w:id="99" w:name="_Toc291499417"/>
      <w:bookmarkStart w:id="100" w:name="_Toc796"/>
      <w:bookmarkStart w:id="101" w:name="_Toc289360113"/>
      <w:bookmarkStart w:id="102" w:name="_Toc299961776"/>
      <w:bookmarkStart w:id="103" w:name="_Toc321043928"/>
      <w:bookmarkStart w:id="104" w:name="_Toc224388093"/>
      <w:r>
        <w:rPr>
          <w:rFonts w:hint="eastAsia" w:ascii="Times New Roman" w:hAnsi="Times New Roman" w:cs="Times New Roman"/>
          <w:b/>
          <w:bCs/>
          <w:sz w:val="30"/>
          <w:szCs w:val="30"/>
          <w:lang w:val="en-US" w:eastAsia="zh-CN" w:bidi="ar-SA"/>
        </w:rPr>
        <w:t>8</w:t>
      </w:r>
      <w:r>
        <w:rPr>
          <w:rFonts w:hint="default" w:ascii="Times New Roman" w:hAnsi="Times New Roman" w:cs="Times New Roman"/>
          <w:b/>
          <w:bCs/>
          <w:sz w:val="30"/>
          <w:szCs w:val="30"/>
          <w:lang w:val="en-US" w:eastAsia="zh-CN" w:bidi="ar-SA"/>
        </w:rPr>
        <w:t>.</w:t>
      </w:r>
      <w:r>
        <w:rPr>
          <w:rFonts w:hint="eastAsia" w:ascii="Times New Roman" w:hAnsi="Times New Roman" w:cs="Times New Roman"/>
          <w:b/>
          <w:bCs/>
          <w:sz w:val="30"/>
          <w:szCs w:val="30"/>
          <w:lang w:val="en-US" w:eastAsia="zh-CN" w:bidi="ar-SA"/>
        </w:rPr>
        <w:t>6运营期</w:t>
      </w:r>
      <w:r>
        <w:rPr>
          <w:rFonts w:hint="default" w:ascii="Times New Roman" w:hAnsi="Times New Roman" w:cs="Times New Roman"/>
          <w:b/>
          <w:bCs/>
          <w:sz w:val="30"/>
          <w:szCs w:val="30"/>
          <w:lang w:val="en-US" w:eastAsia="zh-CN" w:bidi="ar-SA"/>
        </w:rPr>
        <w:t>固体废弃物污染防治措施</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09F0BB07">
      <w:pPr>
        <w:keepNext w:val="0"/>
        <w:keepLines w:val="0"/>
        <w:widowControl w:val="0"/>
        <w:spacing w:before="0" w:after="0" w:line="360" w:lineRule="auto"/>
        <w:jc w:val="both"/>
        <w:outlineLvl w:val="2"/>
        <w:rPr>
          <w:rFonts w:hint="eastAsia" w:ascii="Times New Roman" w:hAnsi="Times New Roman" w:cs="Times New Roman"/>
          <w:b/>
          <w:bCs/>
          <w:color w:val="000000"/>
          <w:sz w:val="28"/>
          <w:szCs w:val="28"/>
          <w:highlight w:val="none"/>
          <w:lang w:val="en-US" w:eastAsia="zh-CN" w:bidi="ar-SA"/>
        </w:rPr>
      </w:pPr>
      <w:r>
        <w:rPr>
          <w:rFonts w:hint="eastAsia" w:ascii="Times New Roman" w:hAnsi="Times New Roman" w:cs="Times New Roman"/>
          <w:b/>
          <w:bCs/>
          <w:color w:val="000000"/>
          <w:sz w:val="28"/>
          <w:szCs w:val="28"/>
          <w:highlight w:val="none"/>
          <w:lang w:val="en-US" w:eastAsia="zh-CN" w:bidi="ar-SA"/>
        </w:rPr>
        <w:t>8.6.1 固体废物处置方案</w:t>
      </w:r>
    </w:p>
    <w:p w14:paraId="57936869">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项目生产过程产生的固体废物（工艺固废）包括：废硅藻土、废加氢催化剂、废变压吸附剂、废甲醇制氢催化剂、废润滑油、</w:t>
      </w:r>
      <w:r>
        <w:rPr>
          <w:rFonts w:hint="eastAsia" w:ascii="Times New Roman" w:hAnsi="Times New Roman" w:cs="Times New Roman"/>
          <w:color w:val="000000"/>
          <w:kern w:val="2"/>
          <w:sz w:val="24"/>
          <w:szCs w:val="24"/>
          <w:highlight w:val="none"/>
          <w:lang w:val="en-US" w:eastAsia="zh-CN" w:bidi="ar-SA"/>
        </w:rPr>
        <w:t>化学品废包装材料、硅藻土废包装材料、</w:t>
      </w:r>
      <w:r>
        <w:rPr>
          <w:rFonts w:hint="eastAsia" w:ascii="Times New Roman" w:hAnsi="Times New Roman" w:eastAsia="宋体" w:cs="Times New Roman"/>
          <w:color w:val="000000"/>
          <w:kern w:val="2"/>
          <w:sz w:val="24"/>
          <w:szCs w:val="24"/>
          <w:highlight w:val="none"/>
          <w:lang w:val="en-US" w:eastAsia="zh-CN" w:bidi="ar-SA"/>
        </w:rPr>
        <w:t>废活性炭、废导热油炉、污水处理站污泥。</w:t>
      </w:r>
      <w:r>
        <w:rPr>
          <w:rFonts w:hint="eastAsia" w:ascii="Times New Roman" w:hAnsi="Times New Roman" w:cs="Times New Roman"/>
          <w:color w:val="000000"/>
          <w:kern w:val="2"/>
          <w:sz w:val="24"/>
          <w:szCs w:val="24"/>
          <w:highlight w:val="none"/>
          <w:lang w:val="en-US" w:eastAsia="zh-CN" w:bidi="ar-SA"/>
        </w:rPr>
        <w:t>其中污水处理站污泥、废硅藻土及硅藻土废包装材料为一般固体废物，其他为危险废物。</w:t>
      </w:r>
      <w:r>
        <w:rPr>
          <w:rFonts w:hint="eastAsia" w:ascii="Times New Roman" w:hAnsi="Times New Roman" w:eastAsia="宋体" w:cs="Times New Roman"/>
          <w:color w:val="000000"/>
          <w:kern w:val="2"/>
          <w:sz w:val="24"/>
          <w:szCs w:val="24"/>
          <w:highlight w:val="none"/>
          <w:lang w:val="en-US" w:eastAsia="zh-CN" w:bidi="ar-SA"/>
        </w:rPr>
        <w:t>其他废物包括：新增人员生活产生的生活垃圾。</w:t>
      </w:r>
    </w:p>
    <w:p w14:paraId="59081FA2">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（1）一般固体废物</w:t>
      </w:r>
    </w:p>
    <w:p w14:paraId="73E43E5F">
      <w:pPr>
        <w:widowControl w:val="0"/>
        <w:spacing w:after="0"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cs="Times New Roman"/>
          <w:color w:val="000000"/>
          <w:kern w:val="2"/>
          <w:sz w:val="24"/>
          <w:szCs w:val="24"/>
          <w:highlight w:val="none"/>
          <w:lang w:val="en-US" w:eastAsia="zh-CN" w:bidi="ar-SA"/>
        </w:rPr>
        <w:t>一般固体废物为废硅藻土、污水处理站污泥及硅藻土废包装材料，产生量分别为865.325t/a、1.1t/a、1t/a，合计877.425t/a，</w:t>
      </w:r>
      <w:r>
        <w:rPr>
          <w:rFonts w:hint="eastAsia" w:ascii="Times New Roman" w:hAnsi="Times New Roman" w:eastAsia="宋体" w:cs="Times New Roman"/>
          <w:color w:val="000000"/>
          <w:kern w:val="2"/>
          <w:sz w:val="24"/>
          <w:szCs w:val="24"/>
          <w:highlight w:val="none"/>
          <w:lang w:val="en-US" w:eastAsia="zh-CN" w:bidi="ar-SA"/>
        </w:rPr>
        <w:t>依托现有工程已建一般工业固体废物贮存库暂存，定期清运至园区一般工业固废填埋场填埋处置。</w:t>
      </w:r>
    </w:p>
    <w:p w14:paraId="2016987B">
      <w:pPr>
        <w:widowControl w:val="0"/>
        <w:spacing w:after="0"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cs="Times New Roman"/>
          <w:color w:val="000000"/>
          <w:kern w:val="2"/>
          <w:sz w:val="24"/>
          <w:szCs w:val="24"/>
          <w:highlight w:val="none"/>
          <w:lang w:val="en-US" w:eastAsia="zh-CN" w:bidi="ar-SA"/>
        </w:rPr>
        <w:t>（2）危险废物</w:t>
      </w:r>
    </w:p>
    <w:p w14:paraId="1C9A55B1">
      <w:pPr>
        <w:widowControl w:val="0"/>
        <w:spacing w:after="0"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cs="Times New Roman"/>
          <w:color w:val="000000"/>
          <w:kern w:val="2"/>
          <w:sz w:val="24"/>
          <w:szCs w:val="24"/>
          <w:highlight w:val="none"/>
          <w:lang w:val="en-US" w:eastAsia="zh-CN" w:bidi="ar-SA"/>
        </w:rPr>
        <w:t>本项目所产生的危险废物中废导热油炉、废甲醇制氢催化剂、废变压吸附剂在检修期产生，直接</w:t>
      </w:r>
      <w:r>
        <w:rPr>
          <w:rFonts w:hint="eastAsia" w:ascii="Times New Roman" w:hAnsi="Times New Roman" w:eastAsia="宋体" w:cs="Times New Roman"/>
          <w:color w:val="000000"/>
          <w:kern w:val="2"/>
          <w:sz w:val="24"/>
          <w:szCs w:val="24"/>
          <w:highlight w:val="none"/>
          <w:lang w:val="en-US" w:eastAsia="zh-CN" w:bidi="ar-SA"/>
        </w:rPr>
        <w:t>交由有资质单位处理，不在厂区暂存。</w:t>
      </w:r>
    </w:p>
    <w:p w14:paraId="6BF70C39">
      <w:pPr>
        <w:widowControl w:val="0"/>
        <w:spacing w:after="0" w:line="360" w:lineRule="auto"/>
        <w:ind w:firstLine="480"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cs="Times New Roman"/>
          <w:color w:val="000000"/>
          <w:kern w:val="2"/>
          <w:sz w:val="24"/>
          <w:szCs w:val="24"/>
          <w:highlight w:val="none"/>
          <w:lang w:val="en-US" w:eastAsia="zh-CN" w:bidi="ar-SA"/>
        </w:rPr>
        <w:t>本项目产生的废加氢催化剂、废润滑油、废活性炭、化学品废包装材料产生量分别为0.3t/a、2t/a、7.2t/a、0.5t/a，合计10t/a。依托现有工程已建危废贮存库暂存，定期交由有资质单位处理。</w:t>
      </w:r>
    </w:p>
    <w:p w14:paraId="32FE044F">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（3）生活垃圾</w:t>
      </w:r>
    </w:p>
    <w:p w14:paraId="74E852B5">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本项目生活垃圾产生量1</w:t>
      </w:r>
      <w:r>
        <w:rPr>
          <w:rFonts w:hint="eastAsia" w:ascii="Times New Roman" w:hAnsi="Times New Roman" w:cs="Times New Roman"/>
          <w:color w:val="000000"/>
          <w:kern w:val="2"/>
          <w:sz w:val="24"/>
          <w:szCs w:val="24"/>
          <w:highlight w:val="none"/>
          <w:lang w:val="en-US" w:eastAsia="zh-CN" w:bidi="ar-SA"/>
        </w:rPr>
        <w:t>2</w:t>
      </w:r>
      <w:r>
        <w:rPr>
          <w:rFonts w:hint="eastAsia" w:ascii="Times New Roman" w:hAnsi="Times New Roman" w:eastAsia="宋体" w:cs="Times New Roman"/>
          <w:color w:val="000000"/>
          <w:kern w:val="2"/>
          <w:sz w:val="24"/>
          <w:szCs w:val="24"/>
          <w:highlight w:val="none"/>
          <w:lang w:val="en-US" w:eastAsia="zh-CN" w:bidi="ar-SA"/>
        </w:rPr>
        <w:t>t/a，由</w:t>
      </w:r>
      <w:r>
        <w:rPr>
          <w:rFonts w:hint="eastAsia" w:ascii="Times New Roman" w:hAnsi="Times New Roman" w:cs="Times New Roman"/>
          <w:color w:val="000000"/>
          <w:kern w:val="2"/>
          <w:sz w:val="24"/>
          <w:szCs w:val="24"/>
          <w:highlight w:val="none"/>
          <w:lang w:val="en-US" w:eastAsia="zh-CN" w:bidi="ar-SA"/>
        </w:rPr>
        <w:t>园区</w:t>
      </w:r>
      <w:r>
        <w:rPr>
          <w:rFonts w:hint="eastAsia" w:ascii="Times New Roman" w:hAnsi="Times New Roman" w:eastAsia="宋体" w:cs="Times New Roman"/>
          <w:color w:val="000000"/>
          <w:kern w:val="2"/>
          <w:sz w:val="24"/>
          <w:szCs w:val="24"/>
          <w:highlight w:val="none"/>
          <w:lang w:val="en-US" w:eastAsia="zh-CN" w:bidi="ar-SA"/>
        </w:rPr>
        <w:t>环卫部门统一收集处理。</w:t>
      </w:r>
    </w:p>
    <w:p w14:paraId="789BE3E4">
      <w:pPr>
        <w:keepNext w:val="0"/>
        <w:keepLines w:val="0"/>
        <w:widowControl w:val="0"/>
        <w:spacing w:before="0" w:after="0" w:line="360" w:lineRule="auto"/>
        <w:jc w:val="both"/>
        <w:outlineLvl w:val="2"/>
        <w:rPr>
          <w:rFonts w:hint="eastAsia" w:ascii="Times New Roman" w:hAnsi="Times New Roman" w:cs="Times New Roman"/>
          <w:b/>
          <w:bCs/>
          <w:color w:val="000000"/>
          <w:sz w:val="28"/>
          <w:szCs w:val="28"/>
          <w:highlight w:val="none"/>
          <w:lang w:val="en-US" w:eastAsia="zh-CN" w:bidi="ar-SA"/>
        </w:rPr>
      </w:pPr>
      <w:r>
        <w:rPr>
          <w:rFonts w:hint="eastAsia" w:ascii="Times New Roman" w:hAnsi="Times New Roman" w:cs="Times New Roman"/>
          <w:b/>
          <w:bCs/>
          <w:color w:val="000000"/>
          <w:sz w:val="28"/>
          <w:szCs w:val="28"/>
          <w:highlight w:val="none"/>
          <w:lang w:val="en-US" w:eastAsia="zh-CN" w:bidi="ar-SA"/>
        </w:rPr>
        <w:t>8.6.2 危险废物贮存和转移控制措施</w:t>
      </w:r>
    </w:p>
    <w:p w14:paraId="05479B50">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根据《危险废物贮存污染控制标准》（GB18597-2001）（2013年修订）《危险废物转移管理办法》（部令第23号）和《新疆维吾尔自治区危险废物污染环境防治办法》（2010年5月1日），企业按照国家有关规定办理危险废物申报转移的“五联单”手续，并在贮运过程中严格执行危险化学品贮存、运输和监管的有关规定：</w:t>
      </w:r>
    </w:p>
    <w:p w14:paraId="3C123AD1">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①所有废物按类在专用密闭容器中储存，没有混装；</w:t>
      </w:r>
    </w:p>
    <w:p w14:paraId="0F321C69">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②危险废物接受企业有相应的危险废物经营资质；</w:t>
      </w:r>
    </w:p>
    <w:p w14:paraId="31013E48">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③废物收集和封装容器得到接受企业和监管部门的认可；</w:t>
      </w:r>
    </w:p>
    <w:p w14:paraId="32638028">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④收集的固废详细列出数量和成分，并填写有关材料；</w:t>
      </w:r>
    </w:p>
    <w:p w14:paraId="2BF5E9A1">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⑤专人负责固废和残液的收集、贮运管理工作；</w:t>
      </w:r>
    </w:p>
    <w:p w14:paraId="6397D395">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⑥危险废物的运输车辆须经主管单位检查，并持有有关单位签发的许可证，负责运输的司机应通过培训，持有证明文件；</w:t>
      </w:r>
    </w:p>
    <w:p w14:paraId="3B77516B">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⑦承载危险废物的车辆须有明显的标志或适当的危险符号，以引起注意；</w:t>
      </w:r>
    </w:p>
    <w:p w14:paraId="4158ADF8">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⑧载有危险废物的车辆在公路上行驶时，需持有运输许可证，其上应注明废物来源、性质和运往地点；</w:t>
      </w:r>
    </w:p>
    <w:p w14:paraId="255EC0AB">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⑨在运输过程中发生事故，单位主要负责人应当按照本单位制定的应急救援预案，立即组织救援。</w:t>
      </w:r>
    </w:p>
    <w:p w14:paraId="5EFC3A52">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本项目危险废物依托</w:t>
      </w:r>
      <w:r>
        <w:rPr>
          <w:rFonts w:hint="eastAsia" w:ascii="Times New Roman" w:hAnsi="Times New Roman" w:cs="Times New Roman"/>
          <w:color w:val="000000"/>
          <w:kern w:val="2"/>
          <w:sz w:val="24"/>
          <w:szCs w:val="24"/>
          <w:highlight w:val="none"/>
          <w:lang w:val="en-US" w:eastAsia="zh-CN" w:bidi="ar-SA"/>
        </w:rPr>
        <w:t>现有工程</w:t>
      </w:r>
      <w:r>
        <w:rPr>
          <w:rFonts w:hint="eastAsia" w:ascii="Times New Roman" w:hAnsi="Times New Roman" w:eastAsia="宋体" w:cs="Times New Roman"/>
          <w:color w:val="000000"/>
          <w:kern w:val="2"/>
          <w:sz w:val="24"/>
          <w:szCs w:val="24"/>
          <w:highlight w:val="none"/>
          <w:lang w:val="en-US" w:eastAsia="zh-CN" w:bidi="ar-SA"/>
        </w:rPr>
        <w:t>已建危废暂存库进行暂存，危废暂存库占地面积800m</w:t>
      </w:r>
      <w:r>
        <w:rPr>
          <w:rFonts w:hint="eastAsia" w:ascii="Times New Roman" w:hAnsi="Times New Roman" w:eastAsia="宋体" w:cs="Times New Roman"/>
          <w:color w:val="000000"/>
          <w:kern w:val="2"/>
          <w:sz w:val="24"/>
          <w:szCs w:val="24"/>
          <w:highlight w:val="none"/>
          <w:vertAlign w:val="superscript"/>
          <w:lang w:val="en-US" w:eastAsia="zh-CN" w:bidi="ar-SA"/>
        </w:rPr>
        <w:t>2</w:t>
      </w:r>
      <w:r>
        <w:rPr>
          <w:rFonts w:hint="eastAsia" w:ascii="Times New Roman" w:hAnsi="Times New Roman" w:eastAsia="宋体" w:cs="Times New Roman"/>
          <w:color w:val="000000"/>
          <w:kern w:val="2"/>
          <w:sz w:val="24"/>
          <w:szCs w:val="24"/>
          <w:highlight w:val="none"/>
          <w:lang w:val="en-US" w:eastAsia="zh-CN" w:bidi="ar-SA"/>
        </w:rPr>
        <w:t>。危废暂存库地面采用混凝土地基，各贮存间墙内侧设高20cm防渗墙裙。防渗层位土工布+2mm厚高密度聚乙烯+土工布+150mm厚混凝土，渗透系数≤10</w:t>
      </w:r>
      <w:r>
        <w:rPr>
          <w:rFonts w:hint="eastAsia" w:ascii="Times New Roman" w:hAnsi="Times New Roman" w:eastAsia="宋体" w:cs="Times New Roman"/>
          <w:color w:val="000000"/>
          <w:kern w:val="2"/>
          <w:sz w:val="24"/>
          <w:szCs w:val="24"/>
          <w:highlight w:val="none"/>
          <w:vertAlign w:val="superscript"/>
          <w:lang w:val="en-US" w:eastAsia="zh-CN" w:bidi="ar-SA"/>
        </w:rPr>
        <w:t>-10</w:t>
      </w:r>
      <w:r>
        <w:rPr>
          <w:rFonts w:hint="eastAsia" w:ascii="Times New Roman" w:hAnsi="Times New Roman" w:eastAsia="宋体" w:cs="Times New Roman"/>
          <w:color w:val="000000"/>
          <w:kern w:val="2"/>
          <w:sz w:val="24"/>
          <w:szCs w:val="24"/>
          <w:highlight w:val="none"/>
          <w:lang w:val="en-US" w:eastAsia="zh-CN" w:bidi="ar-SA"/>
        </w:rPr>
        <w:t>cm/s。按照设计可储存废催化剂、废矿物油等，储存规模达500吨。危废暂存库分3间独立建设，每间内设置排水地沟一条，将库内异常泄露液体及冲洗水收集至厂区事故池（</w:t>
      </w:r>
      <w:r>
        <w:rPr>
          <w:rFonts w:hint="eastAsia" w:ascii="Times New Roman" w:hAnsi="Times New Roman" w:cs="Times New Roman"/>
          <w:color w:val="000000"/>
          <w:kern w:val="2"/>
          <w:sz w:val="24"/>
          <w:szCs w:val="24"/>
          <w:highlight w:val="none"/>
          <w:lang w:val="en-US" w:eastAsia="zh-CN" w:bidi="ar-SA"/>
        </w:rPr>
        <w:t>2座合计7</w:t>
      </w:r>
      <w:r>
        <w:rPr>
          <w:rFonts w:hint="eastAsia" w:ascii="Times New Roman" w:hAnsi="Times New Roman" w:eastAsia="宋体" w:cs="Times New Roman"/>
          <w:color w:val="000000"/>
          <w:kern w:val="2"/>
          <w:sz w:val="24"/>
          <w:szCs w:val="24"/>
          <w:highlight w:val="none"/>
          <w:lang w:val="en-US" w:eastAsia="zh-CN" w:bidi="ar-SA"/>
        </w:rPr>
        <w:t>000m</w:t>
      </w:r>
      <w:r>
        <w:rPr>
          <w:rFonts w:hint="eastAsia" w:ascii="Times New Roman" w:hAnsi="Times New Roman" w:eastAsia="宋体" w:cs="Times New Roman"/>
          <w:color w:val="000000"/>
          <w:kern w:val="2"/>
          <w:sz w:val="24"/>
          <w:szCs w:val="24"/>
          <w:highlight w:val="none"/>
          <w:vertAlign w:val="superscript"/>
          <w:lang w:val="en-US" w:eastAsia="zh-CN" w:bidi="ar-SA"/>
        </w:rPr>
        <w:t>3</w:t>
      </w:r>
      <w:r>
        <w:rPr>
          <w:rFonts w:hint="eastAsia" w:ascii="Times New Roman" w:hAnsi="Times New Roman" w:eastAsia="宋体" w:cs="Times New Roman"/>
          <w:color w:val="000000"/>
          <w:kern w:val="2"/>
          <w:sz w:val="24"/>
          <w:szCs w:val="24"/>
          <w:highlight w:val="none"/>
          <w:lang w:val="en-US" w:eastAsia="zh-CN" w:bidi="ar-SA"/>
        </w:rPr>
        <w:t>），最终进入厂区污水处理站处理。危废暂存库能够满足《危险废物贮存污染控制标准》（GB18597-2001）的相关要求。</w:t>
      </w:r>
    </w:p>
    <w:p w14:paraId="286BF149">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现有危废暂存库运行正常，储存</w:t>
      </w:r>
      <w:r>
        <w:rPr>
          <w:rFonts w:hint="eastAsia" w:ascii="Times New Roman" w:hAnsi="Times New Roman" w:cs="Times New Roman"/>
          <w:color w:val="000000"/>
          <w:kern w:val="2"/>
          <w:sz w:val="24"/>
          <w:szCs w:val="24"/>
          <w:highlight w:val="none"/>
          <w:lang w:val="en-US" w:eastAsia="zh-CN" w:bidi="ar-SA"/>
        </w:rPr>
        <w:t>材料公司及技术公司两个公司的危险废物，主要</w:t>
      </w:r>
      <w:r>
        <w:rPr>
          <w:rFonts w:hint="eastAsia" w:ascii="Times New Roman" w:hAnsi="Times New Roman" w:eastAsia="宋体" w:cs="Times New Roman"/>
          <w:color w:val="000000"/>
          <w:kern w:val="2"/>
          <w:sz w:val="24"/>
          <w:szCs w:val="24"/>
          <w:highlight w:val="none"/>
          <w:lang w:val="en-US" w:eastAsia="zh-CN" w:bidi="ar-SA"/>
        </w:rPr>
        <w:t>包括：废矿物油、化验室废试剂及在线监测试剂、废催化剂等，暂存量达</w:t>
      </w:r>
      <w:r>
        <w:rPr>
          <w:rFonts w:hint="eastAsia" w:ascii="Times New Roman" w:hAnsi="Times New Roman" w:cs="Times New Roman"/>
          <w:color w:val="000000"/>
          <w:kern w:val="2"/>
          <w:sz w:val="24"/>
          <w:szCs w:val="24"/>
          <w:highlight w:val="none"/>
          <w:lang w:val="en-US" w:eastAsia="zh-CN" w:bidi="ar-SA"/>
        </w:rPr>
        <w:t>80</w:t>
      </w:r>
      <w:r>
        <w:rPr>
          <w:rFonts w:hint="eastAsia" w:ascii="Times New Roman" w:hAnsi="Times New Roman" w:eastAsia="宋体" w:cs="Times New Roman"/>
          <w:color w:val="000000"/>
          <w:kern w:val="2"/>
          <w:sz w:val="24"/>
          <w:szCs w:val="24"/>
          <w:highlight w:val="none"/>
          <w:lang w:val="en-US" w:eastAsia="zh-CN" w:bidi="ar-SA"/>
        </w:rPr>
        <w:t>吨，尚余</w:t>
      </w:r>
      <w:r>
        <w:rPr>
          <w:rFonts w:hint="eastAsia" w:ascii="Times New Roman" w:hAnsi="Times New Roman" w:cs="Times New Roman"/>
          <w:color w:val="000000"/>
          <w:kern w:val="2"/>
          <w:sz w:val="24"/>
          <w:szCs w:val="24"/>
          <w:highlight w:val="none"/>
          <w:lang w:val="en-US" w:eastAsia="zh-CN" w:bidi="ar-SA"/>
        </w:rPr>
        <w:t>420</w:t>
      </w:r>
      <w:r>
        <w:rPr>
          <w:rFonts w:hint="eastAsia" w:ascii="Times New Roman" w:hAnsi="Times New Roman" w:eastAsia="宋体" w:cs="Times New Roman"/>
          <w:color w:val="000000"/>
          <w:kern w:val="2"/>
          <w:sz w:val="24"/>
          <w:szCs w:val="24"/>
          <w:highlight w:val="none"/>
          <w:lang w:val="en-US" w:eastAsia="zh-CN" w:bidi="ar-SA"/>
        </w:rPr>
        <w:t>吨容量，本次新增项目危废产生量约</w:t>
      </w:r>
      <w:r>
        <w:rPr>
          <w:rFonts w:hint="eastAsia" w:ascii="Times New Roman" w:hAnsi="Times New Roman" w:cs="Times New Roman"/>
          <w:color w:val="000000"/>
          <w:kern w:val="2"/>
          <w:sz w:val="24"/>
          <w:szCs w:val="24"/>
          <w:highlight w:val="none"/>
          <w:lang w:val="en-US" w:eastAsia="zh-CN" w:bidi="ar-SA"/>
        </w:rPr>
        <w:t>10</w:t>
      </w:r>
      <w:r>
        <w:rPr>
          <w:rFonts w:hint="eastAsia" w:ascii="Times New Roman" w:hAnsi="Times New Roman" w:eastAsia="宋体" w:cs="Times New Roman"/>
          <w:color w:val="000000"/>
          <w:kern w:val="2"/>
          <w:sz w:val="24"/>
          <w:szCs w:val="24"/>
          <w:highlight w:val="none"/>
          <w:lang w:val="en-US" w:eastAsia="zh-CN" w:bidi="ar-SA"/>
        </w:rPr>
        <w:t>t/a，因此现有危废暂存库完全有能力储存本项目产生的危险废物。</w:t>
      </w:r>
    </w:p>
    <w:p w14:paraId="5D5C25D9">
      <w:pPr>
        <w:widowControl w:val="0"/>
        <w:spacing w:after="0" w:line="360" w:lineRule="auto"/>
        <w:ind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综上所述，本项目产生的危废处置方式符合国务院生态环境行政主管部门关于危险废物处置的相关规定，其污染防治对策是可行的。</w:t>
      </w:r>
    </w:p>
    <w:p w14:paraId="5499E145">
      <w:pPr>
        <w:widowControl/>
        <w:adjustRightInd w:val="0"/>
        <w:spacing w:line="360" w:lineRule="auto"/>
        <w:ind w:firstLine="0" w:firstLineChars="0"/>
        <w:contextualSpacing/>
        <w:jc w:val="center"/>
        <w:rPr>
          <w:rFonts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表10.2-1</w:t>
      </w:r>
      <w:r>
        <w:rPr>
          <w:rFonts w:ascii="Times New Roman" w:hAnsi="Times New Roman" w:eastAsia="宋体" w:cs="Times New Roman"/>
          <w:b/>
          <w:kern w:val="2"/>
          <w:sz w:val="24"/>
          <w:szCs w:val="24"/>
          <w:lang w:val="en-US" w:eastAsia="zh-CN" w:bidi="ar-SA"/>
        </w:rPr>
        <w:t xml:space="preserve">   本项目污染源排放清单</w:t>
      </w:r>
    </w:p>
    <w:tbl>
      <w:tblPr>
        <w:tblStyle w:val="107"/>
        <w:tblW w:w="4995"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28" w:type="dxa"/>
          <w:bottom w:w="0" w:type="dxa"/>
          <w:right w:w="28" w:type="dxa"/>
        </w:tblCellMar>
      </w:tblPr>
      <w:tblGrid>
        <w:gridCol w:w="372"/>
        <w:gridCol w:w="1013"/>
        <w:gridCol w:w="971"/>
        <w:gridCol w:w="774"/>
        <w:gridCol w:w="803"/>
        <w:gridCol w:w="987"/>
        <w:gridCol w:w="885"/>
        <w:gridCol w:w="1221"/>
        <w:gridCol w:w="957"/>
        <w:gridCol w:w="832"/>
        <w:gridCol w:w="939"/>
        <w:gridCol w:w="750"/>
        <w:gridCol w:w="1784"/>
        <w:gridCol w:w="993"/>
      </w:tblGrid>
      <w:tr w14:paraId="75128CE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294" w:hRule="atLeast"/>
          <w:tblHeader/>
        </w:trPr>
        <w:tc>
          <w:tcPr>
            <w:tcW w:w="140" w:type="pct"/>
            <w:vAlign w:val="center"/>
          </w:tcPr>
          <w:p w14:paraId="400F5DB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类别</w:t>
            </w:r>
          </w:p>
        </w:tc>
        <w:tc>
          <w:tcPr>
            <w:tcW w:w="381" w:type="pct"/>
            <w:vAlign w:val="center"/>
          </w:tcPr>
          <w:p w14:paraId="42CC06BA">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污染源</w:t>
            </w:r>
          </w:p>
        </w:tc>
        <w:tc>
          <w:tcPr>
            <w:tcW w:w="365" w:type="pct"/>
            <w:vAlign w:val="center"/>
          </w:tcPr>
          <w:p w14:paraId="2DAD9A0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污染物名称</w:t>
            </w:r>
          </w:p>
        </w:tc>
        <w:tc>
          <w:tcPr>
            <w:tcW w:w="291" w:type="pct"/>
            <w:vAlign w:val="center"/>
          </w:tcPr>
          <w:p w14:paraId="7AED49A6">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排放形式</w:t>
            </w:r>
          </w:p>
        </w:tc>
        <w:tc>
          <w:tcPr>
            <w:tcW w:w="302" w:type="pct"/>
            <w:vAlign w:val="center"/>
          </w:tcPr>
          <w:p w14:paraId="7543092D">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排放口名称及编号</w:t>
            </w:r>
          </w:p>
        </w:tc>
        <w:tc>
          <w:tcPr>
            <w:tcW w:w="371" w:type="pct"/>
            <w:vAlign w:val="center"/>
          </w:tcPr>
          <w:p w14:paraId="0762DA49">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排放口类型</w:t>
            </w:r>
          </w:p>
        </w:tc>
        <w:tc>
          <w:tcPr>
            <w:tcW w:w="792" w:type="pct"/>
            <w:gridSpan w:val="2"/>
            <w:vAlign w:val="center"/>
          </w:tcPr>
          <w:p w14:paraId="54F979B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拟采取的环境保护措施</w:t>
            </w:r>
          </w:p>
        </w:tc>
        <w:tc>
          <w:tcPr>
            <w:tcW w:w="360" w:type="pct"/>
            <w:vAlign w:val="center"/>
          </w:tcPr>
          <w:p w14:paraId="20C6B60B">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排放浓度</w:t>
            </w:r>
          </w:p>
          <w:p w14:paraId="73194D8E">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r>
              <w:rPr>
                <w:rFonts w:ascii="Times New Roman" w:hAnsi="Times New Roman" w:eastAsia="宋体" w:cs="Times New Roman"/>
                <w:color w:val="auto"/>
                <w:kern w:val="2"/>
                <w:sz w:val="21"/>
                <w:szCs w:val="21"/>
                <w:lang w:val="en-US" w:eastAsia="zh-CN" w:bidi="ar-SA"/>
              </w:rPr>
              <w:t>mg/m</w:t>
            </w:r>
            <w:r>
              <w:rPr>
                <w:rFonts w:hint="eastAsia" w:ascii="Times New Roman" w:hAnsi="Times New Roman" w:cs="Times New Roman"/>
                <w:color w:val="auto"/>
                <w:kern w:val="2"/>
                <w:sz w:val="21"/>
                <w:szCs w:val="21"/>
                <w:vertAlign w:val="superscript"/>
                <w:lang w:val="en-US" w:eastAsia="zh-CN" w:bidi="ar-SA"/>
              </w:rPr>
              <w:t>3</w:t>
            </w:r>
            <w:r>
              <w:rPr>
                <w:rFonts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auto"/>
                <w:kern w:val="2"/>
                <w:sz w:val="21"/>
                <w:szCs w:val="21"/>
                <w:lang w:val="en-US" w:eastAsia="zh-CN" w:bidi="ar-SA"/>
              </w:rPr>
              <w:t>或（mg/L）</w:t>
            </w:r>
          </w:p>
        </w:tc>
        <w:tc>
          <w:tcPr>
            <w:tcW w:w="313" w:type="pct"/>
            <w:vAlign w:val="center"/>
          </w:tcPr>
          <w:p w14:paraId="0455CD8C">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排放速率（kg/h）</w:t>
            </w:r>
          </w:p>
        </w:tc>
        <w:tc>
          <w:tcPr>
            <w:tcW w:w="353" w:type="pct"/>
            <w:vAlign w:val="center"/>
          </w:tcPr>
          <w:p w14:paraId="10343C4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排放量</w:t>
            </w:r>
          </w:p>
          <w:p w14:paraId="251FBBF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（t/a）</w:t>
            </w:r>
          </w:p>
        </w:tc>
        <w:tc>
          <w:tcPr>
            <w:tcW w:w="282" w:type="pct"/>
            <w:vAlign w:val="center"/>
          </w:tcPr>
          <w:p w14:paraId="6752D597">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排放限值</w:t>
            </w:r>
          </w:p>
        </w:tc>
        <w:tc>
          <w:tcPr>
            <w:tcW w:w="671" w:type="pct"/>
            <w:vAlign w:val="center"/>
          </w:tcPr>
          <w:p w14:paraId="3EB1150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执行标准</w:t>
            </w:r>
          </w:p>
        </w:tc>
        <w:tc>
          <w:tcPr>
            <w:tcW w:w="373" w:type="pct"/>
            <w:vAlign w:val="center"/>
          </w:tcPr>
          <w:p w14:paraId="2BE6924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环境风险防范措施</w:t>
            </w:r>
          </w:p>
        </w:tc>
      </w:tr>
      <w:tr w14:paraId="01EB410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07" w:hRule="atLeast"/>
        </w:trPr>
        <w:tc>
          <w:tcPr>
            <w:tcW w:w="140" w:type="pct"/>
            <w:vMerge w:val="restart"/>
            <w:vAlign w:val="center"/>
          </w:tcPr>
          <w:p w14:paraId="5120A791">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废气</w:t>
            </w:r>
          </w:p>
        </w:tc>
        <w:tc>
          <w:tcPr>
            <w:tcW w:w="381" w:type="pct"/>
            <w:vAlign w:val="center"/>
          </w:tcPr>
          <w:p w14:paraId="233C28A6">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干燥废气</w:t>
            </w:r>
          </w:p>
        </w:tc>
        <w:tc>
          <w:tcPr>
            <w:tcW w:w="365" w:type="pct"/>
            <w:vAlign w:val="center"/>
          </w:tcPr>
          <w:p w14:paraId="6690DB04">
            <w:pPr>
              <w:widowControl w:val="0"/>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颗粒物</w:t>
            </w:r>
          </w:p>
        </w:tc>
        <w:tc>
          <w:tcPr>
            <w:tcW w:w="291" w:type="pct"/>
            <w:vMerge w:val="restart"/>
            <w:vAlign w:val="center"/>
          </w:tcPr>
          <w:p w14:paraId="3BCD5F19">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有组织</w:t>
            </w:r>
          </w:p>
        </w:tc>
        <w:tc>
          <w:tcPr>
            <w:tcW w:w="302" w:type="pct"/>
            <w:vAlign w:val="center"/>
          </w:tcPr>
          <w:p w14:paraId="20F1D176">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DA054</w:t>
            </w:r>
          </w:p>
        </w:tc>
        <w:tc>
          <w:tcPr>
            <w:tcW w:w="371" w:type="pct"/>
            <w:vAlign w:val="center"/>
          </w:tcPr>
          <w:p w14:paraId="372A921C">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主要排放口</w:t>
            </w:r>
          </w:p>
        </w:tc>
        <w:tc>
          <w:tcPr>
            <w:tcW w:w="792" w:type="pct"/>
            <w:gridSpan w:val="2"/>
            <w:vAlign w:val="center"/>
          </w:tcPr>
          <w:p w14:paraId="7117F28C">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袋式除尘器+</w:t>
            </w:r>
            <w:r>
              <w:rPr>
                <w:rFonts w:ascii="Times New Roman" w:hAnsi="Times New Roman" w:eastAsia="宋体" w:cs="Times New Roman"/>
                <w:color w:val="auto"/>
                <w:kern w:val="2"/>
                <w:sz w:val="21"/>
                <w:szCs w:val="21"/>
                <w:lang w:val="en-US" w:eastAsia="zh-CN" w:bidi="ar-SA"/>
              </w:rPr>
              <w:t>一级水吸收</w:t>
            </w:r>
            <w:r>
              <w:rPr>
                <w:rFonts w:hint="eastAsia" w:ascii="Times New Roman" w:hAnsi="Times New Roman" w:eastAsia="宋体" w:cs="Times New Roman"/>
                <w:color w:val="auto"/>
                <w:kern w:val="2"/>
                <w:sz w:val="21"/>
                <w:szCs w:val="21"/>
                <w:lang w:val="en-US" w:eastAsia="zh-CN" w:bidi="ar-SA"/>
              </w:rPr>
              <w:t>+</w:t>
            </w:r>
            <w:r>
              <w:rPr>
                <w:rFonts w:ascii="Times New Roman" w:hAnsi="Times New Roman" w:eastAsia="宋体" w:cs="Times New Roman"/>
                <w:color w:val="auto"/>
                <w:kern w:val="2"/>
                <w:sz w:val="21"/>
                <w:szCs w:val="21"/>
                <w:lang w:val="en-US" w:eastAsia="zh-CN" w:bidi="ar-SA"/>
              </w:rPr>
              <w:t>一级</w:t>
            </w:r>
            <w:r>
              <w:rPr>
                <w:rFonts w:hint="eastAsia" w:ascii="Times New Roman" w:hAnsi="Times New Roman" w:cs="Times New Roman"/>
                <w:color w:val="auto"/>
                <w:kern w:val="2"/>
                <w:sz w:val="21"/>
                <w:szCs w:val="21"/>
                <w:lang w:val="en-US" w:eastAsia="zh-CN" w:bidi="ar-SA"/>
              </w:rPr>
              <w:t>碱</w:t>
            </w:r>
            <w:r>
              <w:rPr>
                <w:rFonts w:ascii="Times New Roman" w:hAnsi="Times New Roman" w:eastAsia="宋体" w:cs="Times New Roman"/>
                <w:color w:val="auto"/>
                <w:kern w:val="2"/>
                <w:sz w:val="21"/>
                <w:szCs w:val="21"/>
                <w:lang w:val="en-US" w:eastAsia="zh-CN" w:bidi="ar-SA"/>
              </w:rPr>
              <w:t>吸收</w:t>
            </w:r>
            <w:r>
              <w:rPr>
                <w:rFonts w:hint="eastAsia" w:ascii="Times New Roman" w:hAnsi="Times New Roman" w:cs="Times New Roman"/>
                <w:color w:val="auto"/>
                <w:kern w:val="2"/>
                <w:sz w:val="21"/>
                <w:szCs w:val="21"/>
                <w:lang w:val="en-US" w:eastAsia="zh-CN" w:bidi="ar-SA"/>
              </w:rPr>
              <w:t>+1根27</w:t>
            </w:r>
            <w:r>
              <w:rPr>
                <w:rFonts w:hint="eastAsia" w:ascii="Times New Roman" w:hAnsi="Times New Roman" w:eastAsia="宋体" w:cs="Times New Roman"/>
                <w:color w:val="auto"/>
                <w:kern w:val="2"/>
                <w:sz w:val="21"/>
                <w:szCs w:val="21"/>
                <w:lang w:val="en-US" w:eastAsia="zh-CN" w:bidi="ar-SA"/>
              </w:rPr>
              <w:t>m</w:t>
            </w:r>
            <w:r>
              <w:rPr>
                <w:rFonts w:ascii="Times New Roman" w:hAnsi="Times New Roman" w:eastAsia="宋体" w:cs="Times New Roman"/>
                <w:color w:val="auto"/>
                <w:kern w:val="2"/>
                <w:sz w:val="21"/>
                <w:szCs w:val="21"/>
                <w:lang w:val="en-US" w:eastAsia="zh-CN" w:bidi="ar-SA"/>
              </w:rPr>
              <w:t>排气筒达标排</w:t>
            </w:r>
            <w:r>
              <w:rPr>
                <w:rFonts w:hint="eastAsia" w:ascii="Times New Roman" w:hAnsi="Times New Roman" w:eastAsia="宋体" w:cs="Times New Roman"/>
                <w:color w:val="auto"/>
                <w:kern w:val="2"/>
                <w:sz w:val="21"/>
                <w:szCs w:val="21"/>
                <w:lang w:val="en-US" w:eastAsia="zh-CN" w:bidi="ar-SA"/>
              </w:rPr>
              <w:t>放</w:t>
            </w:r>
            <w:r>
              <w:rPr>
                <w:rFonts w:hint="eastAsia" w:ascii="Times New Roman" w:hAnsi="Times New Roman" w:cs="Times New Roman"/>
                <w:color w:val="auto"/>
                <w:kern w:val="2"/>
                <w:sz w:val="21"/>
                <w:szCs w:val="21"/>
                <w:lang w:val="en-US" w:eastAsia="zh-CN" w:bidi="ar-SA"/>
              </w:rPr>
              <w:t>，风量5000m</w:t>
            </w:r>
            <w:r>
              <w:rPr>
                <w:rFonts w:hint="eastAsia" w:ascii="Times New Roman" w:hAnsi="Times New Roman" w:cs="Times New Roman"/>
                <w:color w:val="auto"/>
                <w:kern w:val="2"/>
                <w:sz w:val="21"/>
                <w:szCs w:val="21"/>
                <w:vertAlign w:val="superscript"/>
                <w:lang w:val="en-US" w:eastAsia="zh-CN" w:bidi="ar-SA"/>
              </w:rPr>
              <w:t>3</w:t>
            </w:r>
            <w:r>
              <w:rPr>
                <w:rFonts w:hint="eastAsia" w:ascii="Times New Roman" w:hAnsi="Times New Roman" w:cs="Times New Roman"/>
                <w:color w:val="auto"/>
                <w:kern w:val="2"/>
                <w:sz w:val="21"/>
                <w:szCs w:val="21"/>
                <w:lang w:val="en-US" w:eastAsia="zh-CN" w:bidi="ar-SA"/>
              </w:rPr>
              <w:t>/h</w:t>
            </w:r>
          </w:p>
        </w:tc>
        <w:tc>
          <w:tcPr>
            <w:tcW w:w="360" w:type="pct"/>
            <w:vAlign w:val="center"/>
          </w:tcPr>
          <w:p w14:paraId="5B53B85C">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6.8</w:t>
            </w:r>
          </w:p>
        </w:tc>
        <w:tc>
          <w:tcPr>
            <w:tcW w:w="313" w:type="pct"/>
            <w:vAlign w:val="center"/>
          </w:tcPr>
          <w:p w14:paraId="66B146D9">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0.034</w:t>
            </w:r>
          </w:p>
        </w:tc>
        <w:tc>
          <w:tcPr>
            <w:tcW w:w="353" w:type="pct"/>
            <w:vAlign w:val="center"/>
          </w:tcPr>
          <w:p w14:paraId="0E6DB2F1">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0.273</w:t>
            </w:r>
          </w:p>
        </w:tc>
        <w:tc>
          <w:tcPr>
            <w:tcW w:w="282" w:type="pct"/>
            <w:tcBorders>
              <w:right w:val="single" w:color="auto" w:sz="4" w:space="0"/>
            </w:tcBorders>
            <w:vAlign w:val="center"/>
          </w:tcPr>
          <w:p w14:paraId="5CB8DF39">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r>
              <w:rPr>
                <w:rFonts w:ascii="Times New Roman" w:hAnsi="Times New Roman" w:eastAsia="宋体" w:cs="Times New Roman"/>
                <w:color w:val="auto"/>
                <w:kern w:val="2"/>
                <w:sz w:val="21"/>
                <w:szCs w:val="21"/>
                <w:lang w:val="en-US" w:eastAsia="zh-CN" w:bidi="ar-SA"/>
              </w:rPr>
              <w:t>mg/m</w:t>
            </w:r>
            <w:r>
              <w:rPr>
                <w:rFonts w:hint="eastAsia" w:ascii="Times New Roman" w:hAnsi="Times New Roman" w:cs="Times New Roman"/>
                <w:color w:val="auto"/>
                <w:kern w:val="2"/>
                <w:sz w:val="21"/>
                <w:szCs w:val="21"/>
                <w:vertAlign w:val="superscript"/>
                <w:lang w:val="en-US" w:eastAsia="zh-CN" w:bidi="ar-SA"/>
              </w:rPr>
              <w:t>3</w:t>
            </w:r>
          </w:p>
        </w:tc>
        <w:tc>
          <w:tcPr>
            <w:tcW w:w="671" w:type="pct"/>
            <w:tcBorders>
              <w:left w:val="single" w:color="auto" w:sz="4" w:space="0"/>
            </w:tcBorders>
            <w:vAlign w:val="center"/>
          </w:tcPr>
          <w:p w14:paraId="372A79D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bookmarkStart w:id="105" w:name="OLE_LINK774"/>
            <w:r>
              <w:rPr>
                <w:rFonts w:hint="eastAsia" w:ascii="Times New Roman" w:hAnsi="Times New Roman" w:eastAsia="宋体" w:cs="Times New Roman"/>
                <w:color w:val="auto"/>
                <w:kern w:val="2"/>
                <w:sz w:val="21"/>
                <w:szCs w:val="21"/>
                <w:lang w:val="en-US" w:eastAsia="zh-CN" w:bidi="ar-SA"/>
              </w:rPr>
              <w:t>《石油化学工业污染物排放标准》（GB31571-2015，含2024年修改单）中表5</w:t>
            </w:r>
          </w:p>
        </w:tc>
        <w:tc>
          <w:tcPr>
            <w:tcW w:w="373" w:type="pct"/>
            <w:vMerge w:val="restart"/>
            <w:vAlign w:val="center"/>
          </w:tcPr>
          <w:p w14:paraId="18052D96">
            <w:pPr>
              <w:widowControl w:val="0"/>
              <w:jc w:val="center"/>
              <w:rPr>
                <w:rFonts w:hint="eastAsia"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1"/>
                <w:lang w:val="en-US" w:eastAsia="zh-CN" w:bidi="ar-SA"/>
              </w:rPr>
              <w:t>依托厂内事故池；编制《突发环境事件应急预案》；厂区分区防渗、加强管理保障环保设施稳定运行</w:t>
            </w:r>
            <w:bookmarkEnd w:id="105"/>
          </w:p>
        </w:tc>
      </w:tr>
      <w:tr w14:paraId="7D15140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077" w:hRule="atLeast"/>
        </w:trPr>
        <w:tc>
          <w:tcPr>
            <w:tcW w:w="140" w:type="pct"/>
            <w:vMerge w:val="continue"/>
            <w:vAlign w:val="center"/>
          </w:tcPr>
          <w:p w14:paraId="0C44FF2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vMerge w:val="restart"/>
            <w:vAlign w:val="center"/>
          </w:tcPr>
          <w:p w14:paraId="5760BB59">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一级精馏真空不凝气、二级精馏真空不凝气、储罐呼吸及装卸车废气</w:t>
            </w:r>
          </w:p>
        </w:tc>
        <w:tc>
          <w:tcPr>
            <w:tcW w:w="365" w:type="pct"/>
            <w:vAlign w:val="center"/>
          </w:tcPr>
          <w:p w14:paraId="121DEF2B">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氨</w:t>
            </w:r>
          </w:p>
        </w:tc>
        <w:tc>
          <w:tcPr>
            <w:tcW w:w="291" w:type="pct"/>
            <w:vMerge w:val="continue"/>
            <w:vAlign w:val="center"/>
          </w:tcPr>
          <w:p w14:paraId="7E5F7567">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02" w:type="pct"/>
            <w:vMerge w:val="restart"/>
            <w:vAlign w:val="center"/>
          </w:tcPr>
          <w:p w14:paraId="57A4E53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DA055</w:t>
            </w:r>
          </w:p>
        </w:tc>
        <w:tc>
          <w:tcPr>
            <w:tcW w:w="371" w:type="pct"/>
            <w:vMerge w:val="restart"/>
            <w:vAlign w:val="center"/>
          </w:tcPr>
          <w:p w14:paraId="4793F11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主要排放口</w:t>
            </w:r>
          </w:p>
        </w:tc>
        <w:tc>
          <w:tcPr>
            <w:tcW w:w="792" w:type="pct"/>
            <w:gridSpan w:val="2"/>
            <w:vMerge w:val="restart"/>
            <w:vAlign w:val="center"/>
          </w:tcPr>
          <w:p w14:paraId="37AE454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两级</w:t>
            </w:r>
            <w:r>
              <w:rPr>
                <w:rFonts w:hint="eastAsia" w:ascii="Times New Roman" w:hAnsi="Times New Roman" w:eastAsia="宋体" w:cs="Times New Roman"/>
                <w:color w:val="auto"/>
                <w:kern w:val="2"/>
                <w:sz w:val="21"/>
                <w:szCs w:val="21"/>
                <w:lang w:val="en-US" w:eastAsia="zh-CN" w:bidi="ar-SA"/>
              </w:rPr>
              <w:t>冷凝+</w:t>
            </w:r>
            <w:r>
              <w:rPr>
                <w:rFonts w:ascii="Times New Roman" w:hAnsi="Times New Roman" w:eastAsia="宋体" w:cs="Times New Roman"/>
                <w:color w:val="auto"/>
                <w:kern w:val="2"/>
                <w:sz w:val="21"/>
                <w:szCs w:val="21"/>
                <w:lang w:val="en-US" w:eastAsia="zh-CN" w:bidi="ar-SA"/>
              </w:rPr>
              <w:t>一级水吸收</w:t>
            </w:r>
            <w:r>
              <w:rPr>
                <w:rFonts w:hint="eastAsia" w:ascii="Times New Roman" w:hAnsi="Times New Roman" w:eastAsia="宋体" w:cs="Times New Roman"/>
                <w:color w:val="auto"/>
                <w:kern w:val="2"/>
                <w:sz w:val="21"/>
                <w:szCs w:val="21"/>
                <w:lang w:val="en-US" w:eastAsia="zh-CN" w:bidi="ar-SA"/>
              </w:rPr>
              <w:t>+</w:t>
            </w:r>
            <w:r>
              <w:rPr>
                <w:rFonts w:ascii="Times New Roman" w:hAnsi="Times New Roman" w:eastAsia="宋体" w:cs="Times New Roman"/>
                <w:color w:val="auto"/>
                <w:kern w:val="2"/>
                <w:sz w:val="21"/>
                <w:szCs w:val="21"/>
                <w:lang w:val="en-US" w:eastAsia="zh-CN" w:bidi="ar-SA"/>
              </w:rPr>
              <w:t>一级</w:t>
            </w:r>
            <w:r>
              <w:rPr>
                <w:rFonts w:hint="eastAsia" w:ascii="Times New Roman" w:hAnsi="Times New Roman" w:cs="Times New Roman"/>
                <w:color w:val="auto"/>
                <w:kern w:val="2"/>
                <w:sz w:val="21"/>
                <w:szCs w:val="21"/>
                <w:lang w:val="en-US" w:eastAsia="zh-CN" w:bidi="ar-SA"/>
              </w:rPr>
              <w:t>酸</w:t>
            </w:r>
            <w:r>
              <w:rPr>
                <w:rFonts w:ascii="Times New Roman" w:hAnsi="Times New Roman" w:eastAsia="宋体" w:cs="Times New Roman"/>
                <w:color w:val="auto"/>
                <w:kern w:val="2"/>
                <w:sz w:val="21"/>
                <w:szCs w:val="21"/>
                <w:lang w:val="en-US" w:eastAsia="zh-CN" w:bidi="ar-SA"/>
              </w:rPr>
              <w:t>吸收</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auto"/>
                <w:kern w:val="2"/>
                <w:sz w:val="21"/>
                <w:szCs w:val="21"/>
                <w:lang w:val="en-US" w:eastAsia="zh-CN" w:bidi="ar-SA"/>
              </w:rPr>
              <w:t>两级活性炭吸附+1根27</w:t>
            </w:r>
            <w:r>
              <w:rPr>
                <w:rFonts w:hint="eastAsia" w:ascii="Times New Roman" w:hAnsi="Times New Roman" w:eastAsia="宋体" w:cs="Times New Roman"/>
                <w:color w:val="auto"/>
                <w:kern w:val="2"/>
                <w:sz w:val="21"/>
                <w:szCs w:val="21"/>
                <w:lang w:val="en-US" w:eastAsia="zh-CN" w:bidi="ar-SA"/>
              </w:rPr>
              <w:t>m</w:t>
            </w:r>
            <w:r>
              <w:rPr>
                <w:rFonts w:ascii="Times New Roman" w:hAnsi="Times New Roman" w:eastAsia="宋体" w:cs="Times New Roman"/>
                <w:color w:val="auto"/>
                <w:kern w:val="2"/>
                <w:sz w:val="21"/>
                <w:szCs w:val="21"/>
                <w:lang w:val="en-US" w:eastAsia="zh-CN" w:bidi="ar-SA"/>
              </w:rPr>
              <w:t>排气筒达标排</w:t>
            </w:r>
            <w:r>
              <w:rPr>
                <w:rFonts w:hint="eastAsia" w:ascii="Times New Roman" w:hAnsi="Times New Roman" w:eastAsia="宋体" w:cs="Times New Roman"/>
                <w:color w:val="auto"/>
                <w:kern w:val="2"/>
                <w:sz w:val="21"/>
                <w:szCs w:val="21"/>
                <w:lang w:val="en-US" w:eastAsia="zh-CN" w:bidi="ar-SA"/>
              </w:rPr>
              <w:t>放</w:t>
            </w:r>
            <w:r>
              <w:rPr>
                <w:rFonts w:hint="eastAsia" w:ascii="Times New Roman" w:hAnsi="Times New Roman" w:cs="Times New Roman"/>
                <w:color w:val="auto"/>
                <w:kern w:val="2"/>
                <w:sz w:val="21"/>
                <w:szCs w:val="21"/>
                <w:lang w:val="en-US" w:eastAsia="zh-CN" w:bidi="ar-SA"/>
              </w:rPr>
              <w:t>，风量5000m</w:t>
            </w:r>
            <w:r>
              <w:rPr>
                <w:rFonts w:hint="eastAsia" w:ascii="Times New Roman" w:hAnsi="Times New Roman" w:cs="Times New Roman"/>
                <w:color w:val="auto"/>
                <w:kern w:val="2"/>
                <w:sz w:val="21"/>
                <w:szCs w:val="21"/>
                <w:vertAlign w:val="superscript"/>
                <w:lang w:val="en-US" w:eastAsia="zh-CN" w:bidi="ar-SA"/>
              </w:rPr>
              <w:t>3</w:t>
            </w:r>
            <w:r>
              <w:rPr>
                <w:rFonts w:hint="eastAsia" w:ascii="Times New Roman" w:hAnsi="Times New Roman" w:cs="Times New Roman"/>
                <w:color w:val="auto"/>
                <w:kern w:val="2"/>
                <w:sz w:val="21"/>
                <w:szCs w:val="21"/>
                <w:lang w:val="en-US" w:eastAsia="zh-CN" w:bidi="ar-SA"/>
              </w:rPr>
              <w:t>/h</w:t>
            </w:r>
          </w:p>
        </w:tc>
        <w:tc>
          <w:tcPr>
            <w:tcW w:w="360" w:type="pct"/>
            <w:shd w:val="clear" w:color="auto" w:fill="auto"/>
            <w:vAlign w:val="center"/>
          </w:tcPr>
          <w:p w14:paraId="5509D55B">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313" w:type="pct"/>
            <w:shd w:val="clear" w:color="auto" w:fill="auto"/>
            <w:vAlign w:val="center"/>
          </w:tcPr>
          <w:p w14:paraId="3639786B">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0.004 </w:t>
            </w:r>
          </w:p>
        </w:tc>
        <w:tc>
          <w:tcPr>
            <w:tcW w:w="353" w:type="pct"/>
            <w:shd w:val="clear" w:color="auto" w:fill="auto"/>
            <w:vAlign w:val="center"/>
          </w:tcPr>
          <w:p w14:paraId="69799785">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0.034 </w:t>
            </w:r>
          </w:p>
        </w:tc>
        <w:tc>
          <w:tcPr>
            <w:tcW w:w="282" w:type="pct"/>
            <w:tcBorders>
              <w:bottom w:val="single" w:color="auto" w:sz="4" w:space="0"/>
              <w:right w:val="single" w:color="auto" w:sz="4" w:space="0"/>
            </w:tcBorders>
            <w:shd w:val="clear" w:color="auto" w:fill="auto"/>
            <w:vAlign w:val="center"/>
          </w:tcPr>
          <w:p w14:paraId="132F1E44">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cs="Times New Roman"/>
                <w:bCs/>
                <w:kern w:val="0"/>
                <w:sz w:val="21"/>
                <w:szCs w:val="21"/>
                <w:highlight w:val="none"/>
                <w:lang w:val="en-US" w:eastAsia="zh-CN" w:bidi="ar-SA"/>
              </w:rPr>
              <w:t>14kg/h</w:t>
            </w:r>
          </w:p>
        </w:tc>
        <w:tc>
          <w:tcPr>
            <w:tcW w:w="671" w:type="pct"/>
            <w:tcBorders>
              <w:left w:val="single" w:color="auto" w:sz="4" w:space="0"/>
              <w:bottom w:val="single" w:color="auto" w:sz="4" w:space="0"/>
            </w:tcBorders>
            <w:vAlign w:val="center"/>
          </w:tcPr>
          <w:p w14:paraId="5674DD14">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《恶臭污染物排放标准》（GB14554-93）表2</w:t>
            </w:r>
          </w:p>
        </w:tc>
        <w:tc>
          <w:tcPr>
            <w:tcW w:w="373" w:type="pct"/>
            <w:vMerge w:val="continue"/>
            <w:vAlign w:val="center"/>
          </w:tcPr>
          <w:p w14:paraId="63856FEA">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7B4E26F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077" w:hRule="atLeast"/>
        </w:trPr>
        <w:tc>
          <w:tcPr>
            <w:tcW w:w="140" w:type="pct"/>
            <w:vMerge w:val="continue"/>
            <w:vAlign w:val="center"/>
          </w:tcPr>
          <w:p w14:paraId="433AC777">
            <w:pPr>
              <w:widowControl w:val="0"/>
              <w:spacing w:line="360" w:lineRule="exact"/>
              <w:ind w:firstLine="0" w:firstLineChars="0"/>
              <w:jc w:val="center"/>
            </w:pPr>
          </w:p>
        </w:tc>
        <w:tc>
          <w:tcPr>
            <w:tcW w:w="381" w:type="pct"/>
            <w:vMerge w:val="continue"/>
            <w:vAlign w:val="center"/>
          </w:tcPr>
          <w:p w14:paraId="1D3E5F33">
            <w:pPr>
              <w:widowControl w:val="0"/>
              <w:spacing w:line="360" w:lineRule="exact"/>
              <w:ind w:firstLine="0" w:firstLineChars="0"/>
              <w:jc w:val="center"/>
            </w:pPr>
          </w:p>
        </w:tc>
        <w:tc>
          <w:tcPr>
            <w:tcW w:w="365" w:type="pct"/>
            <w:vAlign w:val="center"/>
          </w:tcPr>
          <w:p w14:paraId="7DF88803">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w:t>
            </w:r>
          </w:p>
        </w:tc>
        <w:tc>
          <w:tcPr>
            <w:tcW w:w="291" w:type="pct"/>
            <w:vMerge w:val="continue"/>
            <w:vAlign w:val="center"/>
          </w:tcPr>
          <w:p w14:paraId="62325640">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02" w:type="pct"/>
            <w:vMerge w:val="continue"/>
            <w:vAlign w:val="center"/>
          </w:tcPr>
          <w:p w14:paraId="0CB40FD9">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1" w:type="pct"/>
            <w:vMerge w:val="continue"/>
            <w:vAlign w:val="center"/>
          </w:tcPr>
          <w:p w14:paraId="5E91B6F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792" w:type="pct"/>
            <w:gridSpan w:val="2"/>
            <w:vMerge w:val="continue"/>
            <w:vAlign w:val="center"/>
          </w:tcPr>
          <w:p w14:paraId="7767B920">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60" w:type="pct"/>
            <w:shd w:val="clear" w:color="auto" w:fill="auto"/>
            <w:vAlign w:val="center"/>
          </w:tcPr>
          <w:p w14:paraId="50ADDD3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313" w:type="pct"/>
            <w:shd w:val="clear" w:color="auto" w:fill="auto"/>
            <w:vAlign w:val="center"/>
          </w:tcPr>
          <w:p w14:paraId="16201C0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0.001 </w:t>
            </w:r>
          </w:p>
        </w:tc>
        <w:tc>
          <w:tcPr>
            <w:tcW w:w="353" w:type="pct"/>
            <w:shd w:val="clear" w:color="auto" w:fill="auto"/>
            <w:vAlign w:val="center"/>
          </w:tcPr>
          <w:p w14:paraId="16CA83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0.008 </w:t>
            </w:r>
          </w:p>
        </w:tc>
        <w:tc>
          <w:tcPr>
            <w:tcW w:w="282" w:type="pct"/>
            <w:tcBorders>
              <w:top w:val="single" w:color="auto" w:sz="4" w:space="0"/>
            </w:tcBorders>
            <w:shd w:val="clear" w:color="auto" w:fill="auto"/>
            <w:vAlign w:val="center"/>
          </w:tcPr>
          <w:p w14:paraId="473B8FAD">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rPr>
              <w:t>50</w:t>
            </w:r>
          </w:p>
        </w:tc>
        <w:tc>
          <w:tcPr>
            <w:tcW w:w="671" w:type="pct"/>
            <w:vMerge w:val="restart"/>
            <w:tcBorders>
              <w:top w:val="single" w:color="auto" w:sz="4" w:space="0"/>
              <w:left w:val="single" w:color="auto" w:sz="4" w:space="0"/>
            </w:tcBorders>
            <w:vAlign w:val="center"/>
          </w:tcPr>
          <w:p w14:paraId="132CEFC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《石油化学工业污染物排放标准》（GB31571-2015，含2024年修改单）中表5</w:t>
            </w:r>
            <w:r>
              <w:rPr>
                <w:rFonts w:hint="eastAsia" w:ascii="Times New Roman" w:hAnsi="Times New Roman" w:cs="Times New Roman"/>
                <w:color w:val="auto"/>
                <w:kern w:val="2"/>
                <w:sz w:val="21"/>
                <w:szCs w:val="21"/>
                <w:lang w:val="en-US" w:eastAsia="zh-CN" w:bidi="ar-SA"/>
              </w:rPr>
              <w:t>及表6</w:t>
            </w:r>
          </w:p>
        </w:tc>
        <w:tc>
          <w:tcPr>
            <w:tcW w:w="373" w:type="pct"/>
            <w:vMerge w:val="continue"/>
            <w:vAlign w:val="center"/>
          </w:tcPr>
          <w:p w14:paraId="31C1083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7A421E3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2F583FC1">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vMerge w:val="continue"/>
            <w:vAlign w:val="center"/>
          </w:tcPr>
          <w:p w14:paraId="004FD9EB">
            <w:pPr>
              <w:widowControl w:val="0"/>
              <w:jc w:val="center"/>
              <w:rPr>
                <w:rFonts w:ascii="Times New Roman" w:hAnsi="Times New Roman" w:eastAsia="宋体" w:cs="Times New Roman"/>
                <w:color w:val="auto"/>
                <w:kern w:val="2"/>
                <w:sz w:val="21"/>
                <w:szCs w:val="24"/>
                <w:lang w:val="en-US" w:eastAsia="zh-CN" w:bidi="ar-SA"/>
              </w:rPr>
            </w:pPr>
          </w:p>
        </w:tc>
        <w:tc>
          <w:tcPr>
            <w:tcW w:w="365" w:type="pct"/>
            <w:vAlign w:val="center"/>
          </w:tcPr>
          <w:p w14:paraId="078CC868">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非甲烷总烃</w:t>
            </w:r>
          </w:p>
        </w:tc>
        <w:tc>
          <w:tcPr>
            <w:tcW w:w="291" w:type="pct"/>
            <w:vMerge w:val="continue"/>
            <w:vAlign w:val="center"/>
          </w:tcPr>
          <w:p w14:paraId="062F94B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02" w:type="pct"/>
            <w:vMerge w:val="continue"/>
            <w:vAlign w:val="center"/>
          </w:tcPr>
          <w:p w14:paraId="02B38AEA">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71" w:type="pct"/>
            <w:vMerge w:val="continue"/>
            <w:vAlign w:val="center"/>
          </w:tcPr>
          <w:p w14:paraId="2D87D83E">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792" w:type="pct"/>
            <w:gridSpan w:val="2"/>
            <w:vMerge w:val="continue"/>
            <w:vAlign w:val="center"/>
          </w:tcPr>
          <w:p w14:paraId="0318AFD1">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60" w:type="pct"/>
            <w:shd w:val="clear" w:color="auto" w:fill="auto"/>
            <w:vAlign w:val="center"/>
          </w:tcPr>
          <w:p w14:paraId="1212F6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7.6</w:t>
            </w:r>
          </w:p>
        </w:tc>
        <w:tc>
          <w:tcPr>
            <w:tcW w:w="313" w:type="pct"/>
            <w:shd w:val="clear" w:color="auto" w:fill="auto"/>
            <w:vAlign w:val="center"/>
          </w:tcPr>
          <w:p w14:paraId="176D77B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038</w:t>
            </w:r>
          </w:p>
        </w:tc>
        <w:tc>
          <w:tcPr>
            <w:tcW w:w="353" w:type="pct"/>
            <w:shd w:val="clear" w:color="auto" w:fill="auto"/>
            <w:vAlign w:val="center"/>
          </w:tcPr>
          <w:p w14:paraId="6AA851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0.307</w:t>
            </w:r>
          </w:p>
        </w:tc>
        <w:tc>
          <w:tcPr>
            <w:tcW w:w="282" w:type="pct"/>
            <w:shd w:val="clear" w:color="auto" w:fill="auto"/>
            <w:vAlign w:val="center"/>
          </w:tcPr>
          <w:p w14:paraId="131E9563">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cs="Times New Roman"/>
                <w:bCs/>
                <w:kern w:val="0"/>
                <w:sz w:val="21"/>
                <w:szCs w:val="21"/>
                <w:highlight w:val="none"/>
                <w:lang w:val="en-US" w:eastAsia="zh-CN"/>
              </w:rPr>
              <w:t>去除效率≥97%</w:t>
            </w:r>
          </w:p>
        </w:tc>
        <w:tc>
          <w:tcPr>
            <w:tcW w:w="671" w:type="pct"/>
            <w:vMerge w:val="continue"/>
            <w:tcBorders>
              <w:left w:val="single" w:color="auto" w:sz="4" w:space="0"/>
            </w:tcBorders>
            <w:vAlign w:val="center"/>
          </w:tcPr>
          <w:p w14:paraId="08DF492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3" w:type="pct"/>
            <w:vMerge w:val="continue"/>
            <w:vAlign w:val="center"/>
          </w:tcPr>
          <w:p w14:paraId="305B8ECB">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39E562C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717" w:hRule="atLeast"/>
        </w:trPr>
        <w:tc>
          <w:tcPr>
            <w:tcW w:w="140" w:type="pct"/>
            <w:vMerge w:val="continue"/>
            <w:vAlign w:val="center"/>
          </w:tcPr>
          <w:p w14:paraId="5B40D76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vMerge w:val="restart"/>
            <w:vAlign w:val="center"/>
          </w:tcPr>
          <w:p w14:paraId="00EE3376">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乙醇回收废气、成品处理废气</w:t>
            </w:r>
          </w:p>
        </w:tc>
        <w:tc>
          <w:tcPr>
            <w:tcW w:w="365" w:type="pct"/>
            <w:vAlign w:val="center"/>
          </w:tcPr>
          <w:p w14:paraId="050E8E93">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颗粒物</w:t>
            </w:r>
          </w:p>
        </w:tc>
        <w:tc>
          <w:tcPr>
            <w:tcW w:w="291" w:type="pct"/>
            <w:vMerge w:val="continue"/>
            <w:vAlign w:val="center"/>
          </w:tcPr>
          <w:p w14:paraId="133FDA9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02" w:type="pct"/>
            <w:vMerge w:val="restart"/>
            <w:vAlign w:val="center"/>
          </w:tcPr>
          <w:p w14:paraId="7C302C35">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DA056</w:t>
            </w:r>
          </w:p>
        </w:tc>
        <w:tc>
          <w:tcPr>
            <w:tcW w:w="371" w:type="pct"/>
            <w:vMerge w:val="restart"/>
            <w:vAlign w:val="center"/>
          </w:tcPr>
          <w:p w14:paraId="47CD54E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主要排放口</w:t>
            </w:r>
          </w:p>
        </w:tc>
        <w:tc>
          <w:tcPr>
            <w:tcW w:w="333" w:type="pct"/>
            <w:tcBorders>
              <w:bottom w:val="single" w:color="auto" w:sz="4" w:space="0"/>
              <w:right w:val="single" w:color="auto" w:sz="4" w:space="0"/>
            </w:tcBorders>
            <w:vAlign w:val="center"/>
          </w:tcPr>
          <w:p w14:paraId="094B1962">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袋式除尘器</w:t>
            </w:r>
          </w:p>
        </w:tc>
        <w:tc>
          <w:tcPr>
            <w:tcW w:w="459" w:type="pct"/>
            <w:vMerge w:val="restart"/>
            <w:tcBorders>
              <w:left w:val="single" w:color="auto" w:sz="4" w:space="0"/>
            </w:tcBorders>
            <w:vAlign w:val="center"/>
          </w:tcPr>
          <w:p w14:paraId="5D68B5B0">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两</w:t>
            </w:r>
            <w:r>
              <w:rPr>
                <w:rFonts w:ascii="Times New Roman" w:hAnsi="Times New Roman" w:eastAsia="宋体" w:cs="Times New Roman"/>
                <w:color w:val="auto"/>
                <w:kern w:val="2"/>
                <w:sz w:val="21"/>
                <w:szCs w:val="21"/>
                <w:lang w:val="en-US" w:eastAsia="zh-CN" w:bidi="ar-SA"/>
              </w:rPr>
              <w:t>级水吸收</w:t>
            </w:r>
            <w:r>
              <w:rPr>
                <w:rFonts w:hint="eastAsia" w:ascii="Times New Roman" w:hAnsi="Times New Roman" w:eastAsia="宋体" w:cs="Times New Roman"/>
                <w:color w:val="auto"/>
                <w:kern w:val="2"/>
                <w:sz w:val="21"/>
                <w:szCs w:val="21"/>
                <w:lang w:val="en-US" w:eastAsia="zh-CN" w:bidi="ar-SA"/>
              </w:rPr>
              <w:t>+</w:t>
            </w:r>
            <w:r>
              <w:rPr>
                <w:rFonts w:ascii="Times New Roman" w:hAnsi="Times New Roman" w:eastAsia="宋体" w:cs="Times New Roman"/>
                <w:color w:val="auto"/>
                <w:kern w:val="2"/>
                <w:sz w:val="21"/>
                <w:szCs w:val="21"/>
                <w:lang w:val="en-US" w:eastAsia="zh-CN" w:bidi="ar-SA"/>
              </w:rPr>
              <w:t>一级</w:t>
            </w:r>
            <w:r>
              <w:rPr>
                <w:rFonts w:hint="eastAsia" w:ascii="Times New Roman" w:hAnsi="Times New Roman" w:cs="Times New Roman"/>
                <w:color w:val="auto"/>
                <w:kern w:val="2"/>
                <w:sz w:val="21"/>
                <w:szCs w:val="21"/>
                <w:lang w:val="en-US" w:eastAsia="zh-CN" w:bidi="ar-SA"/>
              </w:rPr>
              <w:t>酸</w:t>
            </w:r>
            <w:r>
              <w:rPr>
                <w:rFonts w:ascii="Times New Roman" w:hAnsi="Times New Roman" w:eastAsia="宋体" w:cs="Times New Roman"/>
                <w:color w:val="auto"/>
                <w:kern w:val="2"/>
                <w:sz w:val="21"/>
                <w:szCs w:val="21"/>
                <w:lang w:val="en-US" w:eastAsia="zh-CN" w:bidi="ar-SA"/>
              </w:rPr>
              <w:t>吸收</w:t>
            </w:r>
            <w:r>
              <w:rPr>
                <w:rFonts w:hint="eastAsia" w:ascii="Times New Roman" w:hAnsi="Times New Roman" w:cs="Times New Roman"/>
                <w:color w:val="auto"/>
                <w:kern w:val="2"/>
                <w:sz w:val="21"/>
                <w:szCs w:val="21"/>
                <w:lang w:val="en-US" w:eastAsia="zh-CN" w:bidi="ar-SA"/>
              </w:rPr>
              <w:t>+1根27</w:t>
            </w:r>
            <w:r>
              <w:rPr>
                <w:rFonts w:hint="eastAsia" w:ascii="Times New Roman" w:hAnsi="Times New Roman" w:eastAsia="宋体" w:cs="Times New Roman"/>
                <w:color w:val="auto"/>
                <w:kern w:val="2"/>
                <w:sz w:val="21"/>
                <w:szCs w:val="21"/>
                <w:lang w:val="en-US" w:eastAsia="zh-CN" w:bidi="ar-SA"/>
              </w:rPr>
              <w:t>m</w:t>
            </w:r>
            <w:r>
              <w:rPr>
                <w:rFonts w:ascii="Times New Roman" w:hAnsi="Times New Roman" w:eastAsia="宋体" w:cs="Times New Roman"/>
                <w:color w:val="auto"/>
                <w:kern w:val="2"/>
                <w:sz w:val="21"/>
                <w:szCs w:val="21"/>
                <w:lang w:val="en-US" w:eastAsia="zh-CN" w:bidi="ar-SA"/>
              </w:rPr>
              <w:t>排气筒达标排</w:t>
            </w:r>
            <w:r>
              <w:rPr>
                <w:rFonts w:hint="eastAsia" w:ascii="Times New Roman" w:hAnsi="Times New Roman" w:eastAsia="宋体" w:cs="Times New Roman"/>
                <w:color w:val="auto"/>
                <w:kern w:val="2"/>
                <w:sz w:val="21"/>
                <w:szCs w:val="21"/>
                <w:lang w:val="en-US" w:eastAsia="zh-CN" w:bidi="ar-SA"/>
              </w:rPr>
              <w:t>放</w:t>
            </w:r>
            <w:r>
              <w:rPr>
                <w:rFonts w:hint="eastAsia" w:ascii="Times New Roman" w:hAnsi="Times New Roman" w:cs="Times New Roman"/>
                <w:color w:val="auto"/>
                <w:kern w:val="2"/>
                <w:sz w:val="21"/>
                <w:szCs w:val="21"/>
                <w:lang w:val="en-US" w:eastAsia="zh-CN" w:bidi="ar-SA"/>
              </w:rPr>
              <w:t>，风量5000m</w:t>
            </w:r>
            <w:r>
              <w:rPr>
                <w:rFonts w:hint="eastAsia" w:ascii="Times New Roman" w:hAnsi="Times New Roman" w:cs="Times New Roman"/>
                <w:color w:val="auto"/>
                <w:kern w:val="2"/>
                <w:sz w:val="21"/>
                <w:szCs w:val="21"/>
                <w:vertAlign w:val="superscript"/>
                <w:lang w:val="en-US" w:eastAsia="zh-CN" w:bidi="ar-SA"/>
              </w:rPr>
              <w:t>3</w:t>
            </w:r>
            <w:r>
              <w:rPr>
                <w:rFonts w:hint="eastAsia" w:ascii="Times New Roman" w:hAnsi="Times New Roman" w:cs="Times New Roman"/>
                <w:color w:val="auto"/>
                <w:kern w:val="2"/>
                <w:sz w:val="21"/>
                <w:szCs w:val="21"/>
                <w:lang w:val="en-US" w:eastAsia="zh-CN" w:bidi="ar-SA"/>
              </w:rPr>
              <w:t>/h</w:t>
            </w:r>
          </w:p>
        </w:tc>
        <w:tc>
          <w:tcPr>
            <w:tcW w:w="360" w:type="pct"/>
            <w:tcBorders>
              <w:bottom w:val="single" w:color="auto" w:sz="4" w:space="0"/>
            </w:tcBorders>
            <w:vAlign w:val="center"/>
          </w:tcPr>
          <w:p w14:paraId="73EBC6FD">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313" w:type="pct"/>
            <w:vAlign w:val="center"/>
          </w:tcPr>
          <w:p w14:paraId="704D3CAC">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353" w:type="pct"/>
            <w:vAlign w:val="center"/>
          </w:tcPr>
          <w:p w14:paraId="4F684D40">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0.48</w:t>
            </w:r>
          </w:p>
        </w:tc>
        <w:tc>
          <w:tcPr>
            <w:tcW w:w="282" w:type="pct"/>
            <w:vAlign w:val="center"/>
          </w:tcPr>
          <w:p w14:paraId="14E44033">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20</w:t>
            </w:r>
          </w:p>
        </w:tc>
        <w:tc>
          <w:tcPr>
            <w:tcW w:w="671" w:type="pct"/>
            <w:vMerge w:val="restart"/>
            <w:vAlign w:val="center"/>
          </w:tcPr>
          <w:p w14:paraId="5F3D966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《石油化学工业污染物排放标准》（GB31571-2015，含2024年修改单）中表5</w:t>
            </w:r>
          </w:p>
        </w:tc>
        <w:tc>
          <w:tcPr>
            <w:tcW w:w="373" w:type="pct"/>
            <w:vMerge w:val="continue"/>
            <w:vAlign w:val="center"/>
          </w:tcPr>
          <w:p w14:paraId="2697B69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6A44F23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12" w:hRule="atLeast"/>
        </w:trPr>
        <w:tc>
          <w:tcPr>
            <w:tcW w:w="140" w:type="pct"/>
            <w:vMerge w:val="continue"/>
            <w:vAlign w:val="center"/>
          </w:tcPr>
          <w:p w14:paraId="34FB5FC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vMerge w:val="continue"/>
            <w:vAlign w:val="center"/>
          </w:tcPr>
          <w:p w14:paraId="36F0601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65" w:type="pct"/>
            <w:vAlign w:val="center"/>
          </w:tcPr>
          <w:p w14:paraId="701DA5A0">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非甲烷总烃</w:t>
            </w:r>
          </w:p>
        </w:tc>
        <w:tc>
          <w:tcPr>
            <w:tcW w:w="291" w:type="pct"/>
            <w:vMerge w:val="continue"/>
            <w:vAlign w:val="center"/>
          </w:tcPr>
          <w:p w14:paraId="7F28E27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02" w:type="pct"/>
            <w:vMerge w:val="continue"/>
            <w:vAlign w:val="center"/>
          </w:tcPr>
          <w:p w14:paraId="2F777C4D">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1" w:type="pct"/>
            <w:vMerge w:val="continue"/>
            <w:vAlign w:val="center"/>
          </w:tcPr>
          <w:p w14:paraId="34204D99">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33" w:type="pct"/>
            <w:tcBorders>
              <w:top w:val="single" w:color="auto" w:sz="4" w:space="0"/>
              <w:right w:val="single" w:color="auto" w:sz="4" w:space="0"/>
            </w:tcBorders>
            <w:vAlign w:val="center"/>
          </w:tcPr>
          <w:p w14:paraId="38D09EDA">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459" w:type="pct"/>
            <w:vMerge w:val="continue"/>
            <w:tcBorders>
              <w:left w:val="single" w:color="auto" w:sz="4" w:space="0"/>
            </w:tcBorders>
            <w:vAlign w:val="center"/>
          </w:tcPr>
          <w:p w14:paraId="272EB72E">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60" w:type="pct"/>
            <w:tcBorders>
              <w:top w:val="single" w:color="auto" w:sz="4" w:space="0"/>
            </w:tcBorders>
            <w:vAlign w:val="center"/>
          </w:tcPr>
          <w:p w14:paraId="37F2C7BA">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46.2</w:t>
            </w:r>
          </w:p>
        </w:tc>
        <w:tc>
          <w:tcPr>
            <w:tcW w:w="313" w:type="pct"/>
            <w:vAlign w:val="center"/>
          </w:tcPr>
          <w:p w14:paraId="64DF1E3D">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0.231 </w:t>
            </w:r>
          </w:p>
        </w:tc>
        <w:tc>
          <w:tcPr>
            <w:tcW w:w="353" w:type="pct"/>
            <w:vAlign w:val="center"/>
          </w:tcPr>
          <w:p w14:paraId="5A940731">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1.849 </w:t>
            </w:r>
          </w:p>
        </w:tc>
        <w:tc>
          <w:tcPr>
            <w:tcW w:w="282" w:type="pct"/>
            <w:tcBorders>
              <w:bottom w:val="single" w:color="auto" w:sz="4" w:space="0"/>
            </w:tcBorders>
            <w:vAlign w:val="center"/>
          </w:tcPr>
          <w:p w14:paraId="7F02D31F">
            <w:pPr>
              <w:widowControl w:val="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cs="Times New Roman"/>
                <w:bCs/>
                <w:kern w:val="0"/>
                <w:sz w:val="21"/>
                <w:szCs w:val="21"/>
                <w:highlight w:val="none"/>
                <w:lang w:val="en-US" w:eastAsia="zh-CN"/>
              </w:rPr>
              <w:t>去除效率≥97%</w:t>
            </w:r>
          </w:p>
        </w:tc>
        <w:tc>
          <w:tcPr>
            <w:tcW w:w="671" w:type="pct"/>
            <w:vMerge w:val="continue"/>
            <w:tcBorders>
              <w:bottom w:val="single" w:color="auto" w:sz="4" w:space="0"/>
            </w:tcBorders>
            <w:vAlign w:val="center"/>
          </w:tcPr>
          <w:p w14:paraId="0425CD4A">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3" w:type="pct"/>
            <w:vMerge w:val="continue"/>
            <w:vAlign w:val="center"/>
          </w:tcPr>
          <w:p w14:paraId="3BABB9A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50D1AFF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7BDAD959">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vMerge w:val="restart"/>
            <w:vAlign w:val="center"/>
          </w:tcPr>
          <w:p w14:paraId="1D4894B1">
            <w:pPr>
              <w:widowControl w:val="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导热油炉废气、甲醇制氢解吸气</w:t>
            </w:r>
          </w:p>
        </w:tc>
        <w:tc>
          <w:tcPr>
            <w:tcW w:w="365" w:type="pct"/>
            <w:shd w:val="clear" w:color="auto" w:fill="auto"/>
            <w:vAlign w:val="center"/>
          </w:tcPr>
          <w:p w14:paraId="0F26D55F">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颗粒物</w:t>
            </w:r>
          </w:p>
        </w:tc>
        <w:tc>
          <w:tcPr>
            <w:tcW w:w="291" w:type="pct"/>
            <w:vMerge w:val="continue"/>
            <w:vAlign w:val="center"/>
          </w:tcPr>
          <w:p w14:paraId="71F40A7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02" w:type="pct"/>
            <w:vMerge w:val="restart"/>
            <w:vAlign w:val="center"/>
          </w:tcPr>
          <w:p w14:paraId="32E271F3">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DA057</w:t>
            </w:r>
          </w:p>
        </w:tc>
        <w:tc>
          <w:tcPr>
            <w:tcW w:w="371" w:type="pct"/>
            <w:vMerge w:val="restart"/>
            <w:vAlign w:val="center"/>
          </w:tcPr>
          <w:p w14:paraId="18E9C2F9">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主要排放口</w:t>
            </w:r>
          </w:p>
        </w:tc>
        <w:tc>
          <w:tcPr>
            <w:tcW w:w="792" w:type="pct"/>
            <w:gridSpan w:val="2"/>
            <w:vMerge w:val="restart"/>
            <w:vAlign w:val="center"/>
          </w:tcPr>
          <w:p w14:paraId="13BC2CD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highlight w:val="none"/>
              </w:rPr>
              <w:t>“空气分级燃烧”低氮燃烧+</w:t>
            </w:r>
            <w:r>
              <w:rPr>
                <w:rFonts w:hint="default" w:ascii="Times New Roman" w:hAnsi="Times New Roman" w:eastAsia="宋体" w:cs="Times New Roman"/>
                <w:sz w:val="21"/>
                <w:szCs w:val="21"/>
                <w:highlight w:val="none"/>
                <w:lang w:val="en-US" w:eastAsia="zh-CN"/>
              </w:rPr>
              <w:t>导热油炉</w:t>
            </w:r>
            <w:r>
              <w:rPr>
                <w:rFonts w:hint="default" w:ascii="Times New Roman" w:hAnsi="Times New Roman" w:eastAsia="宋体" w:cs="Times New Roman"/>
                <w:sz w:val="21"/>
                <w:szCs w:val="21"/>
                <w:highlight w:val="none"/>
              </w:rPr>
              <w:t>燃烧</w:t>
            </w:r>
            <w:r>
              <w:rPr>
                <w:rFonts w:hint="eastAsia" w:ascii="Times New Roman" w:hAnsi="Times New Roman" w:cs="Times New Roman"/>
                <w:sz w:val="21"/>
                <w:szCs w:val="21"/>
                <w:highlight w:val="none"/>
                <w:lang w:val="en-US" w:eastAsia="zh-CN"/>
              </w:rPr>
              <w:t>+25m高排气筒</w:t>
            </w:r>
            <w:r>
              <w:rPr>
                <w:rFonts w:hint="default" w:ascii="Times New Roman" w:hAnsi="Times New Roman" w:eastAsia="宋体" w:cs="Times New Roman"/>
                <w:sz w:val="21"/>
                <w:szCs w:val="21"/>
                <w:highlight w:val="none"/>
              </w:rPr>
              <w:t>，风量</w:t>
            </w:r>
            <w:r>
              <w:rPr>
                <w:rFonts w:hint="eastAsia" w:ascii="Times New Roman" w:hAnsi="Times New Roman" w:eastAsia="宋体" w:cs="Times New Roman"/>
                <w:sz w:val="21"/>
                <w:szCs w:val="21"/>
                <w:highlight w:val="none"/>
                <w:lang w:val="en-US" w:eastAsia="zh-CN"/>
              </w:rPr>
              <w:t>9764</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/h</w:t>
            </w:r>
            <w:r>
              <w:rPr>
                <w:rFonts w:hint="eastAsia" w:ascii="Times New Roman" w:hAnsi="Times New Roman" w:eastAsia="宋体" w:cs="Times New Roman"/>
                <w:sz w:val="21"/>
                <w:szCs w:val="21"/>
                <w:highlight w:val="none"/>
                <w:lang w:eastAsia="zh-CN"/>
              </w:rPr>
              <w:t>（</w:t>
            </w:r>
            <w:r>
              <w:rPr>
                <w:rFonts w:hint="eastAsia" w:ascii="Times New Roman" w:hAnsi="Times New Roman" w:eastAsia="宋体" w:cs="Times New Roman"/>
                <w:sz w:val="21"/>
                <w:szCs w:val="21"/>
                <w:highlight w:val="none"/>
                <w:lang w:val="en-US" w:eastAsia="zh-CN"/>
              </w:rPr>
              <w:t>3.5%基准含氧量</w:t>
            </w:r>
            <w:r>
              <w:rPr>
                <w:rFonts w:hint="eastAsia" w:ascii="Times New Roman" w:hAnsi="Times New Roman" w:eastAsia="宋体" w:cs="Times New Roman"/>
                <w:sz w:val="21"/>
                <w:szCs w:val="21"/>
                <w:highlight w:val="none"/>
                <w:lang w:eastAsia="zh-CN"/>
              </w:rPr>
              <w:t>）、</w:t>
            </w:r>
            <w:r>
              <w:rPr>
                <w:rFonts w:hint="eastAsia" w:ascii="Times New Roman" w:hAnsi="Times New Roman" w:eastAsia="宋体" w:cs="Times New Roman"/>
                <w:sz w:val="21"/>
                <w:szCs w:val="21"/>
                <w:highlight w:val="none"/>
                <w:lang w:val="en-US" w:eastAsia="zh-CN"/>
              </w:rPr>
              <w:t>9493</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/h</w:t>
            </w:r>
            <w:r>
              <w:rPr>
                <w:rFonts w:hint="eastAsia" w:ascii="Times New Roman" w:hAnsi="Times New Roman" w:eastAsia="宋体" w:cs="Times New Roman"/>
                <w:sz w:val="21"/>
                <w:szCs w:val="21"/>
                <w:highlight w:val="none"/>
                <w:lang w:eastAsia="zh-CN"/>
              </w:rPr>
              <w:t>（</w:t>
            </w:r>
            <w:r>
              <w:rPr>
                <w:rFonts w:hint="eastAsia" w:ascii="Times New Roman" w:hAnsi="Times New Roman" w:eastAsia="宋体" w:cs="Times New Roman"/>
                <w:sz w:val="21"/>
                <w:szCs w:val="21"/>
                <w:highlight w:val="none"/>
                <w:lang w:val="en-US" w:eastAsia="zh-CN"/>
              </w:rPr>
              <w:t>3%基准含氧量</w:t>
            </w:r>
            <w:r>
              <w:rPr>
                <w:rFonts w:hint="eastAsia" w:ascii="Times New Roman" w:hAnsi="Times New Roman" w:eastAsia="宋体" w:cs="Times New Roman"/>
                <w:sz w:val="21"/>
                <w:szCs w:val="21"/>
                <w:highlight w:val="none"/>
                <w:lang w:eastAsia="zh-CN"/>
              </w:rPr>
              <w:t>）</w:t>
            </w:r>
          </w:p>
        </w:tc>
        <w:tc>
          <w:tcPr>
            <w:tcW w:w="360" w:type="pct"/>
            <w:shd w:val="clear" w:color="auto" w:fill="auto"/>
            <w:vAlign w:val="center"/>
          </w:tcPr>
          <w:p w14:paraId="5C790ECE">
            <w:pPr>
              <w:keepNext w:val="0"/>
              <w:keepLines w:val="0"/>
              <w:pageBreakBefore w:val="0"/>
              <w:widowControl/>
              <w:kinsoku/>
              <w:wordWrap/>
              <w:overflowPunct/>
              <w:topLinePunct w:val="0"/>
              <w:autoSpaceDE/>
              <w:autoSpaceDN/>
              <w:bidi w:val="0"/>
              <w:adjustRightInd w:val="0"/>
              <w:snapToGrid w:val="0"/>
              <w:spacing w:line="280" w:lineRule="exact"/>
              <w:jc w:val="center"/>
              <w:rPr>
                <w:rFonts w:hint="default" w:ascii="Times New Roman" w:hAnsi="Times New Roman" w:eastAsia="宋体" w:cs="Times New Roman"/>
                <w:b w:val="0"/>
                <w:bCs w:val="0"/>
                <w:color w:val="000000"/>
                <w:kern w:val="0"/>
                <w:sz w:val="21"/>
                <w:szCs w:val="21"/>
                <w:highlight w:val="none"/>
                <w:lang w:val="en-US" w:eastAsia="zh-CN" w:bidi="ar"/>
              </w:rPr>
            </w:pPr>
            <w:r>
              <w:rPr>
                <w:rFonts w:hint="default" w:ascii="Times New Roman" w:hAnsi="Times New Roman" w:eastAsia="宋体" w:cs="Times New Roman"/>
                <w:b w:val="0"/>
                <w:bCs w:val="0"/>
                <w:color w:val="000000"/>
                <w:kern w:val="0"/>
                <w:sz w:val="21"/>
                <w:szCs w:val="21"/>
                <w:highlight w:val="none"/>
                <w:lang w:val="en-US" w:eastAsia="zh-CN" w:bidi="ar"/>
              </w:rPr>
              <w:t>5</w:t>
            </w:r>
          </w:p>
        </w:tc>
        <w:tc>
          <w:tcPr>
            <w:tcW w:w="313" w:type="pct"/>
            <w:shd w:val="clear" w:color="auto" w:fill="auto"/>
            <w:vAlign w:val="center"/>
          </w:tcPr>
          <w:p w14:paraId="786513E5">
            <w:pPr>
              <w:spacing w:line="240" w:lineRule="exact"/>
              <w:jc w:val="center"/>
              <w:rPr>
                <w:rFonts w:hint="default" w:ascii="Times New Roman" w:hAnsi="Times New Roman" w:eastAsia="宋体" w:cs="Times New Roman"/>
                <w:b w:val="0"/>
                <w:bCs w:val="0"/>
                <w:color w:val="000000"/>
                <w:kern w:val="0"/>
                <w:sz w:val="21"/>
                <w:szCs w:val="21"/>
                <w:highlight w:val="none"/>
                <w:lang w:val="en-US" w:eastAsia="zh-CN" w:bidi="ar"/>
              </w:rPr>
            </w:pPr>
            <w:r>
              <w:rPr>
                <w:rFonts w:hint="eastAsia" w:ascii="Times New Roman" w:hAnsi="Times New Roman" w:cs="Times New Roman"/>
                <w:color w:val="auto"/>
                <w:sz w:val="21"/>
                <w:szCs w:val="21"/>
                <w:vertAlign w:val="baseline"/>
                <w:lang w:val="en-US" w:eastAsia="zh-CN"/>
              </w:rPr>
              <w:t>0.049</w:t>
            </w:r>
          </w:p>
        </w:tc>
        <w:tc>
          <w:tcPr>
            <w:tcW w:w="353" w:type="pct"/>
            <w:shd w:val="clear" w:color="auto" w:fill="auto"/>
            <w:vAlign w:val="center"/>
          </w:tcPr>
          <w:p w14:paraId="14B14D82">
            <w:pPr>
              <w:spacing w:line="24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color w:val="auto"/>
                <w:sz w:val="21"/>
                <w:szCs w:val="21"/>
                <w:vertAlign w:val="baseline"/>
                <w:lang w:val="en-US" w:eastAsia="zh-CN"/>
              </w:rPr>
              <w:t>0.391</w:t>
            </w:r>
          </w:p>
        </w:tc>
        <w:tc>
          <w:tcPr>
            <w:tcW w:w="282" w:type="pct"/>
            <w:tcBorders>
              <w:top w:val="single" w:color="auto" w:sz="4" w:space="0"/>
            </w:tcBorders>
            <w:shd w:val="clear" w:color="auto" w:fill="auto"/>
            <w:vAlign w:val="center"/>
          </w:tcPr>
          <w:p w14:paraId="1AFA40CE">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rPr>
              <w:t>20</w:t>
            </w:r>
          </w:p>
        </w:tc>
        <w:tc>
          <w:tcPr>
            <w:tcW w:w="671" w:type="pct"/>
            <w:vMerge w:val="restart"/>
            <w:tcBorders>
              <w:top w:val="single" w:color="auto" w:sz="4" w:space="0"/>
            </w:tcBorders>
            <w:vAlign w:val="center"/>
          </w:tcPr>
          <w:p w14:paraId="0EBC852A">
            <w:pPr>
              <w:spacing w:line="240" w:lineRule="exact"/>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《锅炉大气污染物排放标准》（GB13271-2014）表3</w:t>
            </w:r>
          </w:p>
        </w:tc>
        <w:tc>
          <w:tcPr>
            <w:tcW w:w="373" w:type="pct"/>
            <w:vMerge w:val="continue"/>
            <w:vAlign w:val="center"/>
          </w:tcPr>
          <w:p w14:paraId="4C616801">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695CBD0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60731AB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vMerge w:val="continue"/>
            <w:vAlign w:val="center"/>
          </w:tcPr>
          <w:p w14:paraId="26FCEC51">
            <w:pPr>
              <w:widowControl w:val="0"/>
              <w:jc w:val="center"/>
              <w:rPr>
                <w:rFonts w:hint="eastAsia" w:ascii="Times New Roman" w:hAnsi="Times New Roman" w:eastAsia="宋体" w:cs="Times New Roman"/>
                <w:color w:val="auto"/>
                <w:kern w:val="2"/>
                <w:sz w:val="21"/>
                <w:szCs w:val="24"/>
                <w:lang w:val="en-US" w:eastAsia="zh-CN" w:bidi="ar-SA"/>
              </w:rPr>
            </w:pPr>
          </w:p>
        </w:tc>
        <w:tc>
          <w:tcPr>
            <w:tcW w:w="365" w:type="pct"/>
            <w:shd w:val="clear" w:color="auto" w:fill="auto"/>
            <w:vAlign w:val="center"/>
          </w:tcPr>
          <w:p w14:paraId="1451E65F">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eastAsia="宋体" w:cs="Times New Roman"/>
                <w:b w:val="0"/>
                <w:bCs w:val="0"/>
                <w:sz w:val="21"/>
                <w:szCs w:val="21"/>
                <w:highlight w:val="none"/>
              </w:rPr>
              <w:t>二氧化硫</w:t>
            </w:r>
          </w:p>
        </w:tc>
        <w:tc>
          <w:tcPr>
            <w:tcW w:w="291" w:type="pct"/>
            <w:vMerge w:val="continue"/>
            <w:vAlign w:val="center"/>
          </w:tcPr>
          <w:p w14:paraId="7773462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02" w:type="pct"/>
            <w:vMerge w:val="continue"/>
            <w:vAlign w:val="center"/>
          </w:tcPr>
          <w:p w14:paraId="7C43723B">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1" w:type="pct"/>
            <w:vMerge w:val="continue"/>
            <w:vAlign w:val="center"/>
          </w:tcPr>
          <w:p w14:paraId="547998D9">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792" w:type="pct"/>
            <w:gridSpan w:val="2"/>
            <w:vMerge w:val="continue"/>
            <w:vAlign w:val="center"/>
          </w:tcPr>
          <w:p w14:paraId="2D6C5261">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60" w:type="pct"/>
            <w:shd w:val="clear" w:color="auto" w:fill="auto"/>
            <w:vAlign w:val="center"/>
          </w:tcPr>
          <w:p w14:paraId="1A5AE772">
            <w:pPr>
              <w:keepNext w:val="0"/>
              <w:keepLines w:val="0"/>
              <w:pageBreakBefore w:val="0"/>
              <w:widowControl/>
              <w:kinsoku/>
              <w:wordWrap/>
              <w:overflowPunct/>
              <w:topLinePunct w:val="0"/>
              <w:autoSpaceDE/>
              <w:autoSpaceDN/>
              <w:bidi w:val="0"/>
              <w:adjustRightInd w:val="0"/>
              <w:snapToGrid w:val="0"/>
              <w:spacing w:line="280" w:lineRule="exact"/>
              <w:jc w:val="center"/>
              <w:rPr>
                <w:rFonts w:hint="default" w:ascii="Times New Roman" w:hAnsi="Times New Roman" w:eastAsia="宋体" w:cs="Times New Roman"/>
                <w:b w:val="0"/>
                <w:bCs w:val="0"/>
                <w:color w:val="000000"/>
                <w:kern w:val="0"/>
                <w:sz w:val="21"/>
                <w:szCs w:val="21"/>
                <w:highlight w:val="none"/>
                <w:lang w:val="en-US" w:eastAsia="zh-CN" w:bidi="ar"/>
              </w:rPr>
            </w:pPr>
            <w:r>
              <w:rPr>
                <w:rFonts w:hint="eastAsia" w:ascii="Times New Roman" w:hAnsi="Times New Roman" w:cs="Times New Roman"/>
                <w:b w:val="0"/>
                <w:bCs w:val="0"/>
                <w:color w:val="000000"/>
                <w:kern w:val="0"/>
                <w:sz w:val="21"/>
                <w:szCs w:val="21"/>
                <w:highlight w:val="none"/>
                <w:lang w:val="en-US" w:eastAsia="zh-CN" w:bidi="ar"/>
              </w:rPr>
              <w:t>17.1</w:t>
            </w:r>
          </w:p>
        </w:tc>
        <w:tc>
          <w:tcPr>
            <w:tcW w:w="313" w:type="pct"/>
            <w:shd w:val="clear" w:color="auto" w:fill="auto"/>
            <w:vAlign w:val="center"/>
          </w:tcPr>
          <w:p w14:paraId="7F46EAA7">
            <w:pPr>
              <w:spacing w:line="240" w:lineRule="exact"/>
              <w:jc w:val="center"/>
              <w:rPr>
                <w:rFonts w:hint="default" w:ascii="Times New Roman" w:hAnsi="Times New Roman" w:eastAsia="宋体" w:cs="Times New Roman"/>
                <w:b w:val="0"/>
                <w:bCs w:val="0"/>
                <w:color w:val="000000"/>
                <w:kern w:val="0"/>
                <w:sz w:val="21"/>
                <w:szCs w:val="21"/>
                <w:highlight w:val="none"/>
                <w:lang w:val="en-US" w:eastAsia="zh-CN" w:bidi="ar"/>
              </w:rPr>
            </w:pPr>
            <w:r>
              <w:rPr>
                <w:rFonts w:hint="eastAsia" w:ascii="Times New Roman" w:hAnsi="Times New Roman" w:eastAsia="宋体" w:cs="Times New Roman"/>
                <w:b w:val="0"/>
                <w:bCs w:val="0"/>
                <w:color w:val="auto"/>
                <w:sz w:val="21"/>
                <w:szCs w:val="21"/>
                <w:vertAlign w:val="baseline"/>
                <w:lang w:val="en-US" w:eastAsia="zh-CN"/>
              </w:rPr>
              <w:t>0.167</w:t>
            </w:r>
          </w:p>
        </w:tc>
        <w:tc>
          <w:tcPr>
            <w:tcW w:w="353" w:type="pct"/>
            <w:shd w:val="clear" w:color="auto" w:fill="auto"/>
            <w:vAlign w:val="center"/>
          </w:tcPr>
          <w:p w14:paraId="55F1F7FA">
            <w:pPr>
              <w:spacing w:line="24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1.336</w:t>
            </w:r>
          </w:p>
        </w:tc>
        <w:tc>
          <w:tcPr>
            <w:tcW w:w="282" w:type="pct"/>
            <w:shd w:val="clear" w:color="auto" w:fill="auto"/>
            <w:vAlign w:val="center"/>
          </w:tcPr>
          <w:p w14:paraId="0BEB7312">
            <w:pPr>
              <w:keepNext w:val="0"/>
              <w:keepLines w:val="0"/>
              <w:pageBreakBefore w:val="0"/>
              <w:widowControl/>
              <w:kinsoku/>
              <w:wordWrap/>
              <w:overflowPunct/>
              <w:topLinePunct w:val="0"/>
              <w:autoSpaceDE/>
              <w:autoSpaceDN/>
              <w:bidi w:val="0"/>
              <w:spacing w:line="280" w:lineRule="exact"/>
              <w:jc w:val="center"/>
              <w:rPr>
                <w:rFonts w:hint="eastAsia"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rPr>
              <w:t>50</w:t>
            </w:r>
          </w:p>
        </w:tc>
        <w:tc>
          <w:tcPr>
            <w:tcW w:w="671" w:type="pct"/>
            <w:vMerge w:val="continue"/>
            <w:vAlign w:val="center"/>
          </w:tcPr>
          <w:p w14:paraId="1DB1E8EA">
            <w:pPr>
              <w:spacing w:line="240" w:lineRule="exact"/>
              <w:jc w:val="center"/>
              <w:rPr>
                <w:rFonts w:hint="eastAsia" w:ascii="Times New Roman" w:hAnsi="Times New Roman" w:eastAsia="宋体" w:cs="Times New Roman"/>
                <w:b w:val="0"/>
                <w:bCs w:val="0"/>
                <w:color w:val="auto"/>
                <w:sz w:val="21"/>
                <w:szCs w:val="21"/>
                <w:vertAlign w:val="baseline"/>
                <w:lang w:val="en-US" w:eastAsia="zh-CN"/>
              </w:rPr>
            </w:pPr>
          </w:p>
        </w:tc>
        <w:tc>
          <w:tcPr>
            <w:tcW w:w="373" w:type="pct"/>
            <w:vMerge w:val="continue"/>
            <w:vAlign w:val="center"/>
          </w:tcPr>
          <w:p w14:paraId="51EA22EE">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1BE0A0B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5DCB348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vMerge w:val="continue"/>
            <w:vAlign w:val="center"/>
          </w:tcPr>
          <w:p w14:paraId="6675F14F">
            <w:pPr>
              <w:widowControl w:val="0"/>
              <w:jc w:val="center"/>
              <w:rPr>
                <w:rFonts w:hint="eastAsia" w:ascii="Times New Roman" w:hAnsi="Times New Roman" w:eastAsia="宋体" w:cs="Times New Roman"/>
                <w:color w:val="auto"/>
                <w:kern w:val="2"/>
                <w:sz w:val="21"/>
                <w:szCs w:val="24"/>
                <w:lang w:val="en-US" w:eastAsia="zh-CN" w:bidi="ar-SA"/>
              </w:rPr>
            </w:pPr>
          </w:p>
        </w:tc>
        <w:tc>
          <w:tcPr>
            <w:tcW w:w="365" w:type="pct"/>
            <w:shd w:val="clear" w:color="auto" w:fill="auto"/>
            <w:vAlign w:val="center"/>
          </w:tcPr>
          <w:p w14:paraId="7F360D86">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烟气黑度</w:t>
            </w:r>
          </w:p>
        </w:tc>
        <w:tc>
          <w:tcPr>
            <w:tcW w:w="291" w:type="pct"/>
            <w:vMerge w:val="continue"/>
            <w:vAlign w:val="center"/>
          </w:tcPr>
          <w:p w14:paraId="1B2414D7">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02" w:type="pct"/>
            <w:vMerge w:val="continue"/>
            <w:vAlign w:val="center"/>
          </w:tcPr>
          <w:p w14:paraId="0CC055C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1" w:type="pct"/>
            <w:vMerge w:val="continue"/>
            <w:vAlign w:val="center"/>
          </w:tcPr>
          <w:p w14:paraId="0C49C254">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792" w:type="pct"/>
            <w:gridSpan w:val="2"/>
            <w:vMerge w:val="continue"/>
            <w:vAlign w:val="center"/>
          </w:tcPr>
          <w:p w14:paraId="4DFE3017">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60" w:type="pct"/>
            <w:shd w:val="clear" w:color="auto" w:fill="auto"/>
            <w:vAlign w:val="center"/>
          </w:tcPr>
          <w:p w14:paraId="6DADF070">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kern w:val="2"/>
                <w:sz w:val="21"/>
                <w:szCs w:val="21"/>
                <w:highlight w:val="none"/>
                <w:lang w:val="en-US" w:eastAsia="zh-CN" w:bidi="ar-SA"/>
              </w:rPr>
              <w:t>＜1</w:t>
            </w:r>
          </w:p>
        </w:tc>
        <w:tc>
          <w:tcPr>
            <w:tcW w:w="313" w:type="pct"/>
            <w:shd w:val="clear" w:color="auto" w:fill="auto"/>
            <w:vAlign w:val="center"/>
          </w:tcPr>
          <w:p w14:paraId="4B8DEFC7">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b w:val="0"/>
                <w:bCs w:val="0"/>
                <w:kern w:val="2"/>
                <w:sz w:val="21"/>
                <w:szCs w:val="21"/>
                <w:highlight w:val="none"/>
                <w:lang w:val="en-US" w:eastAsia="zh-CN" w:bidi="ar-SA"/>
              </w:rPr>
              <w:t>/</w:t>
            </w:r>
          </w:p>
        </w:tc>
        <w:tc>
          <w:tcPr>
            <w:tcW w:w="353" w:type="pct"/>
            <w:shd w:val="clear" w:color="auto" w:fill="auto"/>
            <w:vAlign w:val="center"/>
          </w:tcPr>
          <w:p w14:paraId="0619A929">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b w:val="0"/>
                <w:bCs w:val="0"/>
                <w:kern w:val="2"/>
                <w:sz w:val="21"/>
                <w:szCs w:val="21"/>
                <w:highlight w:val="none"/>
                <w:lang w:val="en-US" w:eastAsia="zh-CN" w:bidi="ar-SA"/>
              </w:rPr>
              <w:t>/</w:t>
            </w:r>
          </w:p>
        </w:tc>
        <w:tc>
          <w:tcPr>
            <w:tcW w:w="282" w:type="pct"/>
            <w:tcBorders>
              <w:bottom w:val="single" w:color="auto" w:sz="4" w:space="0"/>
            </w:tcBorders>
            <w:shd w:val="clear" w:color="auto" w:fill="auto"/>
            <w:vAlign w:val="center"/>
          </w:tcPr>
          <w:p w14:paraId="68B69CFB">
            <w:pPr>
              <w:keepNext w:val="0"/>
              <w:keepLines w:val="0"/>
              <w:pageBreakBefore w:val="0"/>
              <w:widowControl/>
              <w:kinsoku/>
              <w:wordWrap/>
              <w:overflowPunct/>
              <w:topLinePunct w:val="0"/>
              <w:autoSpaceDE/>
              <w:autoSpaceDN/>
              <w:bidi w:val="0"/>
              <w:spacing w:line="280" w:lineRule="exact"/>
              <w:jc w:val="center"/>
              <w:rPr>
                <w:rFonts w:hint="eastAsia" w:ascii="Times New Roman" w:hAnsi="Times New Roman" w:eastAsia="宋体" w:cs="Times New Roman"/>
                <w:bCs/>
                <w:kern w:val="0"/>
                <w:sz w:val="21"/>
                <w:szCs w:val="21"/>
                <w:highlight w:val="none"/>
                <w:lang w:val="en-US" w:eastAsia="zh-CN" w:bidi="ar-SA"/>
              </w:rPr>
            </w:pPr>
            <w:r>
              <w:rPr>
                <w:rFonts w:hint="eastAsia" w:ascii="Times New Roman" w:hAnsi="Times New Roman" w:cs="Times New Roman"/>
                <w:b w:val="0"/>
                <w:bCs w:val="0"/>
                <w:kern w:val="2"/>
                <w:sz w:val="21"/>
                <w:szCs w:val="21"/>
                <w:highlight w:val="none"/>
                <w:lang w:val="en-US" w:eastAsia="zh-CN" w:bidi="ar-SA"/>
              </w:rPr>
              <w:t>≤</w:t>
            </w:r>
            <w:r>
              <w:rPr>
                <w:rFonts w:hint="eastAsia" w:ascii="Times New Roman" w:hAnsi="Times New Roman" w:eastAsia="宋体" w:cs="Times New Roman"/>
                <w:b w:val="0"/>
                <w:bCs w:val="0"/>
                <w:kern w:val="2"/>
                <w:sz w:val="21"/>
                <w:szCs w:val="21"/>
                <w:highlight w:val="none"/>
                <w:lang w:val="en-US" w:eastAsia="zh-CN" w:bidi="ar-SA"/>
              </w:rPr>
              <w:t>1</w:t>
            </w:r>
          </w:p>
        </w:tc>
        <w:tc>
          <w:tcPr>
            <w:tcW w:w="671" w:type="pct"/>
            <w:vMerge w:val="continue"/>
            <w:tcBorders>
              <w:bottom w:val="single" w:color="auto" w:sz="4" w:space="0"/>
            </w:tcBorders>
            <w:vAlign w:val="center"/>
          </w:tcPr>
          <w:p w14:paraId="06353C83">
            <w:pPr>
              <w:spacing w:line="240" w:lineRule="exact"/>
              <w:jc w:val="center"/>
              <w:rPr>
                <w:rFonts w:hint="eastAsia" w:ascii="Times New Roman" w:hAnsi="Times New Roman" w:eastAsia="宋体" w:cs="Times New Roman"/>
                <w:b w:val="0"/>
                <w:bCs w:val="0"/>
                <w:color w:val="auto"/>
                <w:sz w:val="21"/>
                <w:szCs w:val="21"/>
                <w:vertAlign w:val="baseline"/>
                <w:lang w:val="en-US" w:eastAsia="zh-CN"/>
              </w:rPr>
            </w:pPr>
          </w:p>
        </w:tc>
        <w:tc>
          <w:tcPr>
            <w:tcW w:w="373" w:type="pct"/>
            <w:vMerge w:val="continue"/>
            <w:vAlign w:val="center"/>
          </w:tcPr>
          <w:p w14:paraId="070835D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29CA371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0779B7CB">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vMerge w:val="continue"/>
            <w:vAlign w:val="center"/>
          </w:tcPr>
          <w:p w14:paraId="6568DD28">
            <w:pPr>
              <w:widowControl w:val="0"/>
              <w:jc w:val="center"/>
              <w:rPr>
                <w:rFonts w:hint="eastAsia" w:ascii="Times New Roman" w:hAnsi="Times New Roman" w:eastAsia="宋体" w:cs="Times New Roman"/>
                <w:color w:val="auto"/>
                <w:kern w:val="2"/>
                <w:sz w:val="21"/>
                <w:szCs w:val="24"/>
                <w:lang w:val="en-US" w:eastAsia="zh-CN" w:bidi="ar-SA"/>
              </w:rPr>
            </w:pPr>
          </w:p>
        </w:tc>
        <w:tc>
          <w:tcPr>
            <w:tcW w:w="365" w:type="pct"/>
            <w:shd w:val="clear" w:color="auto" w:fill="auto"/>
            <w:vAlign w:val="center"/>
          </w:tcPr>
          <w:p w14:paraId="4144692C">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氮氧化物</w:t>
            </w:r>
          </w:p>
        </w:tc>
        <w:tc>
          <w:tcPr>
            <w:tcW w:w="291" w:type="pct"/>
            <w:vMerge w:val="continue"/>
            <w:vAlign w:val="center"/>
          </w:tcPr>
          <w:p w14:paraId="6E4EEE91">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02" w:type="pct"/>
            <w:vMerge w:val="continue"/>
            <w:vAlign w:val="center"/>
          </w:tcPr>
          <w:p w14:paraId="37C71C6A">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1" w:type="pct"/>
            <w:vMerge w:val="continue"/>
            <w:vAlign w:val="center"/>
          </w:tcPr>
          <w:p w14:paraId="4E57ACD7">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792" w:type="pct"/>
            <w:gridSpan w:val="2"/>
            <w:vMerge w:val="continue"/>
            <w:vAlign w:val="center"/>
          </w:tcPr>
          <w:p w14:paraId="2F9ACE1E">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60" w:type="pct"/>
            <w:shd w:val="clear" w:color="auto" w:fill="auto"/>
            <w:vAlign w:val="center"/>
          </w:tcPr>
          <w:p w14:paraId="3C684CFA">
            <w:pPr>
              <w:keepNext w:val="0"/>
              <w:keepLines w:val="0"/>
              <w:pageBreakBefore w:val="0"/>
              <w:widowControl/>
              <w:kinsoku/>
              <w:wordWrap/>
              <w:overflowPunct/>
              <w:topLinePunct w:val="0"/>
              <w:autoSpaceDE/>
              <w:autoSpaceDN/>
              <w:bidi w:val="0"/>
              <w:adjustRightInd w:val="0"/>
              <w:snapToGrid w:val="0"/>
              <w:spacing w:line="280" w:lineRule="exact"/>
              <w:jc w:val="center"/>
              <w:rPr>
                <w:rFonts w:hint="default" w:ascii="Times New Roman" w:hAnsi="Times New Roman" w:eastAsia="宋体" w:cs="Times New Roman"/>
                <w:b w:val="0"/>
                <w:bCs w:val="0"/>
                <w:color w:val="000000"/>
                <w:kern w:val="0"/>
                <w:sz w:val="21"/>
                <w:szCs w:val="21"/>
                <w:highlight w:val="none"/>
                <w:lang w:val="en-US" w:eastAsia="zh-CN" w:bidi="ar"/>
              </w:rPr>
            </w:pPr>
            <w:r>
              <w:rPr>
                <w:rFonts w:hint="eastAsia" w:ascii="Times New Roman" w:hAnsi="Times New Roman" w:cs="Times New Roman"/>
                <w:b w:val="0"/>
                <w:bCs w:val="0"/>
                <w:color w:val="000000"/>
                <w:kern w:val="0"/>
                <w:sz w:val="21"/>
                <w:szCs w:val="21"/>
                <w:lang w:val="en-US" w:eastAsia="zh-CN" w:bidi="ar"/>
              </w:rPr>
              <w:t>50</w:t>
            </w:r>
          </w:p>
        </w:tc>
        <w:tc>
          <w:tcPr>
            <w:tcW w:w="313" w:type="pct"/>
            <w:shd w:val="clear" w:color="auto" w:fill="auto"/>
            <w:vAlign w:val="center"/>
          </w:tcPr>
          <w:p w14:paraId="60CEAA7A">
            <w:pPr>
              <w:spacing w:line="240" w:lineRule="exact"/>
              <w:jc w:val="center"/>
              <w:rPr>
                <w:rFonts w:hint="default" w:ascii="Times New Roman" w:hAnsi="Times New Roman" w:eastAsia="宋体" w:cs="Times New Roman"/>
                <w:b w:val="0"/>
                <w:bCs w:val="0"/>
                <w:color w:val="000000"/>
                <w:kern w:val="0"/>
                <w:sz w:val="21"/>
                <w:szCs w:val="21"/>
                <w:highlight w:val="none"/>
                <w:lang w:val="en-US" w:eastAsia="zh-CN" w:bidi="ar"/>
              </w:rPr>
            </w:pPr>
            <w:r>
              <w:rPr>
                <w:rFonts w:hint="eastAsia" w:ascii="Times New Roman" w:hAnsi="Times New Roman" w:cs="Times New Roman"/>
                <w:color w:val="auto"/>
                <w:sz w:val="21"/>
                <w:szCs w:val="21"/>
                <w:vertAlign w:val="baseline"/>
                <w:lang w:val="en-US" w:eastAsia="zh-CN"/>
              </w:rPr>
              <w:t>0.488</w:t>
            </w:r>
          </w:p>
        </w:tc>
        <w:tc>
          <w:tcPr>
            <w:tcW w:w="353" w:type="pct"/>
            <w:shd w:val="clear" w:color="auto" w:fill="auto"/>
            <w:vAlign w:val="center"/>
          </w:tcPr>
          <w:p w14:paraId="48D66CC9">
            <w:pPr>
              <w:spacing w:line="24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color w:val="auto"/>
                <w:sz w:val="21"/>
                <w:szCs w:val="21"/>
                <w:vertAlign w:val="baseline"/>
                <w:lang w:val="en-US" w:eastAsia="zh-CN"/>
              </w:rPr>
              <w:t>3.906</w:t>
            </w:r>
          </w:p>
        </w:tc>
        <w:tc>
          <w:tcPr>
            <w:tcW w:w="282" w:type="pct"/>
            <w:tcBorders>
              <w:top w:val="single" w:color="auto" w:sz="4" w:space="0"/>
            </w:tcBorders>
            <w:shd w:val="clear" w:color="auto" w:fill="auto"/>
            <w:vAlign w:val="center"/>
          </w:tcPr>
          <w:p w14:paraId="2F94EB58">
            <w:pPr>
              <w:spacing w:line="240" w:lineRule="exact"/>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w:t>
            </w:r>
          </w:p>
        </w:tc>
        <w:tc>
          <w:tcPr>
            <w:tcW w:w="671" w:type="pct"/>
            <w:tcBorders>
              <w:top w:val="single" w:color="auto" w:sz="4" w:space="0"/>
            </w:tcBorders>
            <w:vAlign w:val="center"/>
          </w:tcPr>
          <w:p w14:paraId="0E228D8B">
            <w:pPr>
              <w:spacing w:line="240" w:lineRule="exact"/>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《关于开展自治区2022年度夏秋季大气污染防治“冬病夏治”工作的通知》（新环大气函〔2022〕483号）</w:t>
            </w:r>
            <w:r>
              <w:rPr>
                <w:rFonts w:hint="eastAsia" w:ascii="Times New Roman" w:hAnsi="Times New Roman" w:cs="Times New Roman"/>
                <w:b w:val="0"/>
                <w:bCs w:val="0"/>
                <w:color w:val="auto"/>
                <w:sz w:val="21"/>
                <w:szCs w:val="21"/>
                <w:vertAlign w:val="baseline"/>
                <w:lang w:val="en-US" w:eastAsia="zh-CN"/>
              </w:rPr>
              <w:t>中氮氧化物排放要求</w:t>
            </w:r>
          </w:p>
        </w:tc>
        <w:tc>
          <w:tcPr>
            <w:tcW w:w="373" w:type="pct"/>
            <w:vMerge w:val="continue"/>
            <w:vAlign w:val="center"/>
          </w:tcPr>
          <w:p w14:paraId="7FC5883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0D18B1E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4530844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vMerge w:val="continue"/>
            <w:vAlign w:val="center"/>
          </w:tcPr>
          <w:p w14:paraId="394EDA4E">
            <w:pPr>
              <w:widowControl w:val="0"/>
              <w:jc w:val="center"/>
              <w:rPr>
                <w:rFonts w:hint="eastAsia" w:ascii="Times New Roman" w:hAnsi="Times New Roman" w:eastAsia="宋体" w:cs="Times New Roman"/>
                <w:color w:val="auto"/>
                <w:kern w:val="2"/>
                <w:sz w:val="21"/>
                <w:szCs w:val="24"/>
                <w:lang w:val="en-US" w:eastAsia="zh-CN" w:bidi="ar-SA"/>
              </w:rPr>
            </w:pPr>
          </w:p>
        </w:tc>
        <w:tc>
          <w:tcPr>
            <w:tcW w:w="365" w:type="pct"/>
            <w:shd w:val="clear" w:color="auto" w:fill="auto"/>
            <w:vAlign w:val="center"/>
          </w:tcPr>
          <w:p w14:paraId="5695CEAC">
            <w:pPr>
              <w:keepNext w:val="0"/>
              <w:keepLines w:val="0"/>
              <w:pageBreakBefore w:val="0"/>
              <w:kinsoku/>
              <w:wordWrap/>
              <w:overflowPunct/>
              <w:topLinePunct w:val="0"/>
              <w:autoSpaceDE/>
              <w:autoSpaceDN/>
              <w:bidi w:val="0"/>
              <w:snapToGrid w:val="0"/>
              <w:spacing w:line="280" w:lineRule="exact"/>
              <w:jc w:val="center"/>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甲醇</w:t>
            </w:r>
          </w:p>
        </w:tc>
        <w:tc>
          <w:tcPr>
            <w:tcW w:w="291" w:type="pct"/>
            <w:vMerge w:val="continue"/>
            <w:vAlign w:val="center"/>
          </w:tcPr>
          <w:p w14:paraId="4B3976E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02" w:type="pct"/>
            <w:vMerge w:val="continue"/>
            <w:vAlign w:val="center"/>
          </w:tcPr>
          <w:p w14:paraId="5E92752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1" w:type="pct"/>
            <w:vMerge w:val="continue"/>
            <w:vAlign w:val="center"/>
          </w:tcPr>
          <w:p w14:paraId="5A2EEDCD">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792" w:type="pct"/>
            <w:gridSpan w:val="2"/>
            <w:vMerge w:val="continue"/>
            <w:vAlign w:val="center"/>
          </w:tcPr>
          <w:p w14:paraId="7D20624B">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60" w:type="pct"/>
            <w:shd w:val="clear" w:color="auto" w:fill="auto"/>
            <w:vAlign w:val="center"/>
          </w:tcPr>
          <w:p w14:paraId="03A590BF">
            <w:pPr>
              <w:spacing w:line="24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sz w:val="21"/>
                <w:szCs w:val="21"/>
                <w:lang w:val="en-US" w:eastAsia="zh-CN"/>
              </w:rPr>
              <w:t>1.26</w:t>
            </w:r>
          </w:p>
        </w:tc>
        <w:tc>
          <w:tcPr>
            <w:tcW w:w="313" w:type="pct"/>
            <w:shd w:val="clear" w:color="auto" w:fill="auto"/>
            <w:vAlign w:val="center"/>
          </w:tcPr>
          <w:p w14:paraId="5A92F942">
            <w:pPr>
              <w:spacing w:line="24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sz w:val="21"/>
                <w:szCs w:val="21"/>
                <w:lang w:val="en-US" w:eastAsia="zh-CN"/>
              </w:rPr>
              <w:t>0.012</w:t>
            </w:r>
          </w:p>
        </w:tc>
        <w:tc>
          <w:tcPr>
            <w:tcW w:w="353" w:type="pct"/>
            <w:shd w:val="clear" w:color="auto" w:fill="auto"/>
            <w:vAlign w:val="center"/>
          </w:tcPr>
          <w:p w14:paraId="6E13893E">
            <w:pPr>
              <w:spacing w:line="24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sz w:val="21"/>
                <w:szCs w:val="21"/>
                <w:lang w:val="en-US" w:eastAsia="zh-CN"/>
              </w:rPr>
              <w:t>0.098</w:t>
            </w:r>
          </w:p>
        </w:tc>
        <w:tc>
          <w:tcPr>
            <w:tcW w:w="282" w:type="pct"/>
            <w:shd w:val="clear" w:color="auto" w:fill="auto"/>
            <w:vAlign w:val="center"/>
          </w:tcPr>
          <w:p w14:paraId="4E4BE319">
            <w:pPr>
              <w:spacing w:line="240" w:lineRule="exact"/>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w:t>
            </w:r>
          </w:p>
        </w:tc>
        <w:tc>
          <w:tcPr>
            <w:tcW w:w="671" w:type="pct"/>
            <w:vMerge w:val="restart"/>
            <w:vAlign w:val="center"/>
          </w:tcPr>
          <w:p w14:paraId="73BEA564">
            <w:pPr>
              <w:spacing w:line="240" w:lineRule="exact"/>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《石油化学工业污染物排放标准》（GB31571-2015，含2024年修改单）中表</w:t>
            </w:r>
            <w:r>
              <w:rPr>
                <w:rFonts w:hint="eastAsia" w:ascii="Times New Roman" w:hAnsi="Times New Roman" w:cs="Times New Roman"/>
                <w:b w:val="0"/>
                <w:bCs w:val="0"/>
                <w:color w:val="auto"/>
                <w:sz w:val="21"/>
                <w:szCs w:val="21"/>
                <w:vertAlign w:val="baseline"/>
                <w:lang w:val="en-US" w:eastAsia="zh-CN"/>
              </w:rPr>
              <w:t>5及表6</w:t>
            </w:r>
          </w:p>
        </w:tc>
        <w:tc>
          <w:tcPr>
            <w:tcW w:w="373" w:type="pct"/>
            <w:vMerge w:val="continue"/>
            <w:vAlign w:val="center"/>
          </w:tcPr>
          <w:p w14:paraId="3EE6526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576FFA5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2088F7DA">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vMerge w:val="continue"/>
            <w:vAlign w:val="center"/>
          </w:tcPr>
          <w:p w14:paraId="6E58870A">
            <w:pPr>
              <w:widowControl w:val="0"/>
              <w:jc w:val="center"/>
              <w:rPr>
                <w:rFonts w:hint="eastAsia" w:ascii="Times New Roman" w:hAnsi="Times New Roman" w:eastAsia="宋体" w:cs="Times New Roman"/>
                <w:color w:val="auto"/>
                <w:kern w:val="2"/>
                <w:sz w:val="21"/>
                <w:szCs w:val="24"/>
                <w:lang w:val="en-US" w:eastAsia="zh-CN" w:bidi="ar-SA"/>
              </w:rPr>
            </w:pPr>
          </w:p>
        </w:tc>
        <w:tc>
          <w:tcPr>
            <w:tcW w:w="365" w:type="pct"/>
            <w:shd w:val="clear" w:color="auto" w:fill="auto"/>
            <w:vAlign w:val="center"/>
          </w:tcPr>
          <w:p w14:paraId="407994B9">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非甲烷总烃</w:t>
            </w:r>
          </w:p>
        </w:tc>
        <w:tc>
          <w:tcPr>
            <w:tcW w:w="291" w:type="pct"/>
            <w:vMerge w:val="continue"/>
            <w:vAlign w:val="center"/>
          </w:tcPr>
          <w:p w14:paraId="3652C766">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02" w:type="pct"/>
            <w:vMerge w:val="continue"/>
            <w:vAlign w:val="center"/>
          </w:tcPr>
          <w:p w14:paraId="436A05DE">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1" w:type="pct"/>
            <w:vMerge w:val="continue"/>
            <w:vAlign w:val="center"/>
          </w:tcPr>
          <w:p w14:paraId="59AF4372">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792" w:type="pct"/>
            <w:gridSpan w:val="2"/>
            <w:vMerge w:val="continue"/>
            <w:vAlign w:val="center"/>
          </w:tcPr>
          <w:p w14:paraId="4E4C6D35">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60" w:type="pct"/>
            <w:shd w:val="clear" w:color="auto" w:fill="auto"/>
            <w:vAlign w:val="center"/>
          </w:tcPr>
          <w:p w14:paraId="79184F6F">
            <w:pPr>
              <w:spacing w:line="24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sz w:val="21"/>
                <w:szCs w:val="21"/>
                <w:lang w:val="en-US" w:eastAsia="zh-CN"/>
              </w:rPr>
              <w:t>1.26</w:t>
            </w:r>
          </w:p>
        </w:tc>
        <w:tc>
          <w:tcPr>
            <w:tcW w:w="313" w:type="pct"/>
            <w:shd w:val="clear" w:color="auto" w:fill="auto"/>
            <w:vAlign w:val="center"/>
          </w:tcPr>
          <w:p w14:paraId="2EA8A7E2">
            <w:pPr>
              <w:spacing w:line="24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sz w:val="21"/>
                <w:szCs w:val="21"/>
                <w:lang w:val="en-US" w:eastAsia="zh-CN"/>
              </w:rPr>
              <w:t>0.012</w:t>
            </w:r>
          </w:p>
        </w:tc>
        <w:tc>
          <w:tcPr>
            <w:tcW w:w="353" w:type="pct"/>
            <w:shd w:val="clear" w:color="auto" w:fill="auto"/>
            <w:vAlign w:val="center"/>
          </w:tcPr>
          <w:p w14:paraId="03892BD0">
            <w:pPr>
              <w:spacing w:line="24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sz w:val="21"/>
                <w:szCs w:val="21"/>
                <w:lang w:val="en-US" w:eastAsia="zh-CN"/>
              </w:rPr>
              <w:t>0.098</w:t>
            </w:r>
          </w:p>
        </w:tc>
        <w:tc>
          <w:tcPr>
            <w:tcW w:w="282" w:type="pct"/>
            <w:shd w:val="clear" w:color="auto" w:fill="auto"/>
            <w:vAlign w:val="center"/>
          </w:tcPr>
          <w:p w14:paraId="4D248114">
            <w:pPr>
              <w:spacing w:line="240" w:lineRule="exact"/>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w:t>
            </w:r>
            <w:r>
              <w:rPr>
                <w:rFonts w:hint="eastAsia" w:ascii="Times New Roman" w:hAnsi="Times New Roman" w:eastAsia="宋体" w:cs="Times New Roman"/>
                <w:b w:val="0"/>
                <w:bCs w:val="0"/>
                <w:color w:val="auto"/>
                <w:sz w:val="21"/>
                <w:szCs w:val="21"/>
                <w:vertAlign w:val="baseline"/>
                <w:lang w:val="en-US" w:eastAsia="zh-CN"/>
              </w:rPr>
              <w:t>7</w:t>
            </w:r>
            <w:r>
              <w:rPr>
                <w:rFonts w:hint="default" w:ascii="Times New Roman" w:hAnsi="Times New Roman" w:eastAsia="宋体" w:cs="Times New Roman"/>
                <w:b w:val="0"/>
                <w:bCs w:val="0"/>
                <w:color w:val="auto"/>
                <w:sz w:val="21"/>
                <w:szCs w:val="21"/>
                <w:vertAlign w:val="baseline"/>
                <w:lang w:val="en-US" w:eastAsia="zh-CN"/>
              </w:rPr>
              <w:t>%</w:t>
            </w:r>
          </w:p>
        </w:tc>
        <w:tc>
          <w:tcPr>
            <w:tcW w:w="671" w:type="pct"/>
            <w:vMerge w:val="continue"/>
            <w:vAlign w:val="center"/>
          </w:tcPr>
          <w:p w14:paraId="5BC1DDBA">
            <w:pPr>
              <w:spacing w:line="240" w:lineRule="exact"/>
              <w:jc w:val="center"/>
              <w:rPr>
                <w:rFonts w:hint="eastAsia" w:ascii="Times New Roman" w:hAnsi="Times New Roman" w:eastAsia="宋体" w:cs="Times New Roman"/>
                <w:b w:val="0"/>
                <w:bCs w:val="0"/>
                <w:color w:val="auto"/>
                <w:sz w:val="21"/>
                <w:szCs w:val="21"/>
                <w:vertAlign w:val="baseline"/>
                <w:lang w:val="en-US" w:eastAsia="zh-CN"/>
              </w:rPr>
            </w:pPr>
          </w:p>
        </w:tc>
        <w:tc>
          <w:tcPr>
            <w:tcW w:w="373" w:type="pct"/>
            <w:vMerge w:val="continue"/>
            <w:vAlign w:val="center"/>
          </w:tcPr>
          <w:p w14:paraId="016AA76A">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72C451B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206F4FE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vMerge w:val="continue"/>
            <w:vAlign w:val="center"/>
          </w:tcPr>
          <w:p w14:paraId="69A724B0">
            <w:pPr>
              <w:widowControl w:val="0"/>
              <w:jc w:val="center"/>
              <w:rPr>
                <w:rFonts w:hint="eastAsia" w:ascii="Times New Roman" w:hAnsi="Times New Roman" w:eastAsia="宋体" w:cs="Times New Roman"/>
                <w:color w:val="auto"/>
                <w:kern w:val="2"/>
                <w:sz w:val="21"/>
                <w:szCs w:val="24"/>
                <w:lang w:val="en-US" w:eastAsia="zh-CN" w:bidi="ar-SA"/>
              </w:rPr>
            </w:pPr>
          </w:p>
        </w:tc>
        <w:tc>
          <w:tcPr>
            <w:tcW w:w="365" w:type="pct"/>
            <w:shd w:val="clear" w:color="auto" w:fill="auto"/>
            <w:vAlign w:val="center"/>
          </w:tcPr>
          <w:p w14:paraId="56FCF145">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CO</w:t>
            </w:r>
          </w:p>
        </w:tc>
        <w:tc>
          <w:tcPr>
            <w:tcW w:w="291" w:type="pct"/>
            <w:vMerge w:val="continue"/>
            <w:vAlign w:val="center"/>
          </w:tcPr>
          <w:p w14:paraId="0E5BA54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02" w:type="pct"/>
            <w:vMerge w:val="continue"/>
            <w:vAlign w:val="center"/>
          </w:tcPr>
          <w:p w14:paraId="218CCB7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1" w:type="pct"/>
            <w:vMerge w:val="continue"/>
            <w:vAlign w:val="center"/>
          </w:tcPr>
          <w:p w14:paraId="2C6DDC34">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792" w:type="pct"/>
            <w:gridSpan w:val="2"/>
            <w:vMerge w:val="continue"/>
            <w:vAlign w:val="center"/>
          </w:tcPr>
          <w:p w14:paraId="5B265E73">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60" w:type="pct"/>
            <w:shd w:val="clear" w:color="auto" w:fill="auto"/>
            <w:vAlign w:val="center"/>
          </w:tcPr>
          <w:p w14:paraId="627F06AF">
            <w:pPr>
              <w:spacing w:line="24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sz w:val="21"/>
                <w:szCs w:val="21"/>
                <w:lang w:val="en-US" w:eastAsia="zh-CN"/>
              </w:rPr>
              <w:t>4.35</w:t>
            </w:r>
          </w:p>
        </w:tc>
        <w:tc>
          <w:tcPr>
            <w:tcW w:w="313" w:type="pct"/>
            <w:shd w:val="clear" w:color="auto" w:fill="auto"/>
            <w:vAlign w:val="center"/>
          </w:tcPr>
          <w:p w14:paraId="6C343F8D">
            <w:pPr>
              <w:spacing w:line="24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sz w:val="21"/>
                <w:szCs w:val="21"/>
                <w:lang w:val="en-US" w:eastAsia="zh-CN"/>
              </w:rPr>
              <w:t>0.041</w:t>
            </w:r>
          </w:p>
        </w:tc>
        <w:tc>
          <w:tcPr>
            <w:tcW w:w="353" w:type="pct"/>
            <w:shd w:val="clear" w:color="auto" w:fill="auto"/>
            <w:vAlign w:val="center"/>
          </w:tcPr>
          <w:p w14:paraId="30C8AE73">
            <w:pPr>
              <w:spacing w:line="24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sz w:val="21"/>
                <w:szCs w:val="21"/>
                <w:lang w:val="en-US" w:eastAsia="zh-CN"/>
              </w:rPr>
              <w:t>0.331</w:t>
            </w:r>
          </w:p>
        </w:tc>
        <w:tc>
          <w:tcPr>
            <w:tcW w:w="282" w:type="pct"/>
            <w:shd w:val="clear" w:color="auto" w:fill="auto"/>
            <w:vAlign w:val="center"/>
          </w:tcPr>
          <w:p w14:paraId="1B010581">
            <w:pPr>
              <w:keepNext w:val="0"/>
              <w:keepLines w:val="0"/>
              <w:pageBreakBefore w:val="0"/>
              <w:widowControl/>
              <w:kinsoku/>
              <w:wordWrap/>
              <w:overflowPunct/>
              <w:topLinePunct w:val="0"/>
              <w:autoSpaceDE/>
              <w:autoSpaceDN/>
              <w:bidi w:val="0"/>
              <w:spacing w:line="280" w:lineRule="exact"/>
              <w:jc w:val="center"/>
              <w:rPr>
                <w:rFonts w:hint="eastAsia"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rPr>
              <w:t>/</w:t>
            </w:r>
          </w:p>
        </w:tc>
        <w:tc>
          <w:tcPr>
            <w:tcW w:w="671" w:type="pct"/>
            <w:vAlign w:val="center"/>
          </w:tcPr>
          <w:p w14:paraId="75468E42">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73" w:type="pct"/>
            <w:vMerge w:val="continue"/>
            <w:vAlign w:val="center"/>
          </w:tcPr>
          <w:p w14:paraId="10068C16">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05A75C2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3C4C4B1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shd w:val="clear" w:color="auto" w:fill="auto"/>
            <w:vAlign w:val="center"/>
          </w:tcPr>
          <w:p w14:paraId="1F9AC1C0">
            <w:pPr>
              <w:widowControl/>
              <w:spacing w:line="280" w:lineRule="exact"/>
              <w:jc w:val="center"/>
              <w:textAlignment w:val="center"/>
              <w:rPr>
                <w:rFonts w:hint="default" w:ascii="Times New Roman" w:hAnsi="Times New Roman" w:eastAsia="宋体" w:cs="Times New Roman"/>
                <w:b w:val="0"/>
                <w:bCs w:val="0"/>
                <w:kern w:val="0"/>
                <w:sz w:val="21"/>
                <w:szCs w:val="21"/>
                <w:lang w:val="en-US" w:eastAsia="zh-CN" w:bidi="ar"/>
              </w:rPr>
            </w:pPr>
            <w:r>
              <w:rPr>
                <w:rFonts w:hint="eastAsia" w:ascii="Times New Roman" w:hAnsi="Times New Roman" w:cs="Times New Roman"/>
                <w:b w:val="0"/>
                <w:bCs w:val="0"/>
                <w:kern w:val="0"/>
                <w:sz w:val="21"/>
                <w:szCs w:val="21"/>
                <w:lang w:val="en-US" w:eastAsia="zh-CN" w:bidi="ar"/>
              </w:rPr>
              <w:t>LCDN</w:t>
            </w:r>
            <w:r>
              <w:rPr>
                <w:rFonts w:hint="default" w:ascii="Times New Roman" w:hAnsi="Times New Roman" w:cs="Times New Roman"/>
                <w:b w:val="0"/>
                <w:bCs w:val="0"/>
                <w:kern w:val="0"/>
                <w:sz w:val="21"/>
                <w:szCs w:val="21"/>
                <w:lang w:bidi="ar"/>
              </w:rPr>
              <w:t>生产装置区</w:t>
            </w:r>
          </w:p>
        </w:tc>
        <w:tc>
          <w:tcPr>
            <w:tcW w:w="365" w:type="pct"/>
            <w:vAlign w:val="center"/>
          </w:tcPr>
          <w:p w14:paraId="58989EBE">
            <w:pPr>
              <w:widowControl w:val="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sz w:val="21"/>
                <w:szCs w:val="21"/>
                <w:highlight w:val="none"/>
                <w:lang w:val="en-US" w:eastAsia="zh-CN"/>
              </w:rPr>
              <w:t>非甲烷总烃</w:t>
            </w:r>
          </w:p>
        </w:tc>
        <w:tc>
          <w:tcPr>
            <w:tcW w:w="291" w:type="pct"/>
            <w:vMerge w:val="restart"/>
            <w:vAlign w:val="center"/>
          </w:tcPr>
          <w:p w14:paraId="10EE6600">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无组织</w:t>
            </w:r>
          </w:p>
        </w:tc>
        <w:tc>
          <w:tcPr>
            <w:tcW w:w="673" w:type="pct"/>
            <w:gridSpan w:val="2"/>
            <w:vAlign w:val="center"/>
          </w:tcPr>
          <w:p w14:paraId="01C66739">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792" w:type="pct"/>
            <w:gridSpan w:val="2"/>
            <w:vMerge w:val="restart"/>
            <w:vAlign w:val="center"/>
          </w:tcPr>
          <w:p w14:paraId="0987B2A4">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kern w:val="0"/>
                <w:sz w:val="21"/>
                <w:szCs w:val="21"/>
                <w:highlight w:val="none"/>
              </w:rPr>
              <w:t>加强管理，定期进行LDAR</w:t>
            </w:r>
          </w:p>
        </w:tc>
        <w:tc>
          <w:tcPr>
            <w:tcW w:w="360" w:type="pct"/>
            <w:shd w:val="clear" w:color="auto" w:fill="auto"/>
            <w:vAlign w:val="center"/>
          </w:tcPr>
          <w:p w14:paraId="470FAA04">
            <w:pPr>
              <w:keepNext w:val="0"/>
              <w:keepLines w:val="0"/>
              <w:pageBreakBefore w:val="0"/>
              <w:kinsoku/>
              <w:wordWrap/>
              <w:overflowPunct/>
              <w:topLinePunct w:val="0"/>
              <w:autoSpaceDE/>
              <w:autoSpaceDN/>
              <w:bidi w:val="0"/>
              <w:spacing w:line="280" w:lineRule="exact"/>
              <w:jc w:val="center"/>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t>
            </w:r>
          </w:p>
        </w:tc>
        <w:tc>
          <w:tcPr>
            <w:tcW w:w="313" w:type="pct"/>
            <w:shd w:val="clear" w:color="auto" w:fill="auto"/>
            <w:vAlign w:val="center"/>
          </w:tcPr>
          <w:p w14:paraId="187B7D5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cs="Times New Roman"/>
                <w:bCs/>
                <w:kern w:val="0"/>
                <w:sz w:val="21"/>
                <w:szCs w:val="21"/>
                <w:lang w:val="en-US" w:eastAsia="zh-CN"/>
              </w:rPr>
              <w:t>0.38</w:t>
            </w:r>
          </w:p>
        </w:tc>
        <w:tc>
          <w:tcPr>
            <w:tcW w:w="353" w:type="pct"/>
            <w:shd w:val="clear" w:color="auto" w:fill="auto"/>
            <w:vAlign w:val="center"/>
          </w:tcPr>
          <w:p w14:paraId="5D1922E8">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cs="Times New Roman"/>
                <w:bCs/>
                <w:kern w:val="0"/>
                <w:sz w:val="21"/>
                <w:szCs w:val="21"/>
                <w:lang w:val="en-US" w:eastAsia="zh-CN"/>
              </w:rPr>
              <w:t>3.036</w:t>
            </w:r>
          </w:p>
        </w:tc>
        <w:tc>
          <w:tcPr>
            <w:tcW w:w="282" w:type="pct"/>
            <w:vAlign w:val="center"/>
          </w:tcPr>
          <w:p w14:paraId="03DE433C">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671" w:type="pct"/>
            <w:vMerge w:val="restart"/>
            <w:vAlign w:val="center"/>
          </w:tcPr>
          <w:p w14:paraId="5381068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 w:val="21"/>
                <w:szCs w:val="21"/>
                <w:vertAlign w:val="baseline"/>
                <w:lang w:val="en-US" w:eastAsia="zh-CN"/>
              </w:rPr>
              <w:t>《石油化学工业污染物排放标准》（GB31571-2015，含2024年修改单）</w:t>
            </w:r>
            <w:r>
              <w:rPr>
                <w:rFonts w:hint="eastAsia" w:ascii="Times New Roman" w:hAnsi="Times New Roman" w:cs="Times New Roman"/>
                <w:b w:val="0"/>
                <w:bCs w:val="0"/>
                <w:color w:val="auto"/>
                <w:sz w:val="21"/>
                <w:szCs w:val="21"/>
                <w:vertAlign w:val="baseline"/>
                <w:lang w:val="en-US" w:eastAsia="zh-CN"/>
              </w:rPr>
              <w:t>表7及《挥发性有机物无组织排放控制标准》（GB37822-2019）表A.1</w:t>
            </w:r>
          </w:p>
        </w:tc>
        <w:tc>
          <w:tcPr>
            <w:tcW w:w="373" w:type="pct"/>
            <w:vMerge w:val="continue"/>
            <w:vAlign w:val="center"/>
          </w:tcPr>
          <w:p w14:paraId="15AA13A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21AA840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6C815A5A">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shd w:val="clear" w:color="auto" w:fill="auto"/>
            <w:vAlign w:val="center"/>
          </w:tcPr>
          <w:p w14:paraId="49ECA704">
            <w:pPr>
              <w:widowControl/>
              <w:jc w:val="center"/>
              <w:textAlignment w:val="center"/>
              <w:rPr>
                <w:rFonts w:hint="default" w:ascii="Times New Roman" w:hAnsi="Times New Roman" w:eastAsia="宋体" w:cs="Times New Roman"/>
                <w:b w:val="0"/>
                <w:bCs w:val="0"/>
                <w:kern w:val="0"/>
                <w:sz w:val="21"/>
                <w:szCs w:val="21"/>
                <w:lang w:val="en-US" w:eastAsia="zh-CN" w:bidi="ar"/>
              </w:rPr>
            </w:pPr>
            <w:r>
              <w:rPr>
                <w:rFonts w:hint="eastAsia" w:ascii="Times New Roman" w:hAnsi="Times New Roman" w:cs="Times New Roman"/>
                <w:b w:val="0"/>
                <w:bCs w:val="0"/>
                <w:kern w:val="0"/>
                <w:sz w:val="21"/>
                <w:szCs w:val="21"/>
                <w:lang w:val="en-US" w:eastAsia="zh-CN" w:bidi="ar"/>
              </w:rPr>
              <w:t>甲醇制氢装置区</w:t>
            </w:r>
          </w:p>
        </w:tc>
        <w:tc>
          <w:tcPr>
            <w:tcW w:w="365" w:type="pct"/>
            <w:vAlign w:val="center"/>
          </w:tcPr>
          <w:p w14:paraId="639F137D">
            <w:pPr>
              <w:widowControl w:val="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sz w:val="21"/>
                <w:szCs w:val="21"/>
                <w:highlight w:val="none"/>
                <w:lang w:val="en-US" w:eastAsia="zh-CN"/>
              </w:rPr>
              <w:t>非甲烷总烃</w:t>
            </w:r>
          </w:p>
        </w:tc>
        <w:tc>
          <w:tcPr>
            <w:tcW w:w="291" w:type="pct"/>
            <w:vMerge w:val="continue"/>
            <w:vAlign w:val="center"/>
          </w:tcPr>
          <w:p w14:paraId="55409652">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673" w:type="pct"/>
            <w:gridSpan w:val="2"/>
            <w:vAlign w:val="center"/>
          </w:tcPr>
          <w:p w14:paraId="28A22EF8">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792" w:type="pct"/>
            <w:gridSpan w:val="2"/>
            <w:vMerge w:val="continue"/>
            <w:vAlign w:val="center"/>
          </w:tcPr>
          <w:p w14:paraId="53D5986A">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360" w:type="pct"/>
            <w:shd w:val="clear" w:color="auto" w:fill="auto"/>
            <w:vAlign w:val="center"/>
          </w:tcPr>
          <w:p w14:paraId="3402B3F0">
            <w:pPr>
              <w:keepNext w:val="0"/>
              <w:keepLines w:val="0"/>
              <w:pageBreakBefore w:val="0"/>
              <w:kinsoku/>
              <w:wordWrap/>
              <w:overflowPunct/>
              <w:topLinePunct w:val="0"/>
              <w:autoSpaceDE/>
              <w:autoSpaceDN/>
              <w:bidi w:val="0"/>
              <w:spacing w:line="280" w:lineRule="exact"/>
              <w:jc w:val="center"/>
              <w:rPr>
                <w:rFonts w:hint="eastAsia"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bCs/>
                <w:sz w:val="21"/>
                <w:szCs w:val="21"/>
                <w:highlight w:val="none"/>
                <w:lang w:val="en-US" w:eastAsia="zh-CN"/>
              </w:rPr>
              <w:t>/</w:t>
            </w:r>
          </w:p>
        </w:tc>
        <w:tc>
          <w:tcPr>
            <w:tcW w:w="313" w:type="pct"/>
            <w:shd w:val="clear" w:color="auto" w:fill="auto"/>
            <w:vAlign w:val="center"/>
          </w:tcPr>
          <w:p w14:paraId="1949D571">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cs="Times New Roman"/>
                <w:bCs/>
                <w:kern w:val="0"/>
                <w:sz w:val="21"/>
                <w:szCs w:val="21"/>
                <w:lang w:val="en-US" w:eastAsia="zh-CN"/>
              </w:rPr>
              <w:t>0.08</w:t>
            </w:r>
          </w:p>
        </w:tc>
        <w:tc>
          <w:tcPr>
            <w:tcW w:w="353" w:type="pct"/>
            <w:shd w:val="clear" w:color="auto" w:fill="auto"/>
            <w:vAlign w:val="center"/>
          </w:tcPr>
          <w:p w14:paraId="2B97FFD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kern w:val="0"/>
                <w:sz w:val="21"/>
                <w:szCs w:val="21"/>
                <w:lang w:val="en-US" w:eastAsia="zh-CN" w:bidi="ar-SA"/>
              </w:rPr>
            </w:pPr>
            <w:r>
              <w:rPr>
                <w:rFonts w:hint="eastAsia" w:ascii="Times New Roman" w:hAnsi="Times New Roman" w:cs="Times New Roman"/>
                <w:bCs/>
                <w:kern w:val="0"/>
                <w:sz w:val="21"/>
                <w:szCs w:val="21"/>
                <w:lang w:val="en-US" w:eastAsia="zh-CN"/>
              </w:rPr>
              <w:t>0.639</w:t>
            </w:r>
          </w:p>
        </w:tc>
        <w:tc>
          <w:tcPr>
            <w:tcW w:w="282" w:type="pct"/>
            <w:vAlign w:val="center"/>
          </w:tcPr>
          <w:p w14:paraId="507247BB">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671" w:type="pct"/>
            <w:vMerge w:val="continue"/>
            <w:vAlign w:val="center"/>
          </w:tcPr>
          <w:p w14:paraId="0EC20722">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73" w:type="pct"/>
            <w:vMerge w:val="continue"/>
            <w:vAlign w:val="center"/>
          </w:tcPr>
          <w:p w14:paraId="2E67C5DB">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75024D3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600" w:hRule="atLeast"/>
        </w:trPr>
        <w:tc>
          <w:tcPr>
            <w:tcW w:w="140" w:type="pct"/>
            <w:vMerge w:val="continue"/>
            <w:vAlign w:val="center"/>
          </w:tcPr>
          <w:p w14:paraId="1A2F833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shd w:val="clear" w:color="auto" w:fill="auto"/>
            <w:vAlign w:val="center"/>
          </w:tcPr>
          <w:p w14:paraId="5B8282FB">
            <w:pPr>
              <w:widowControl/>
              <w:jc w:val="center"/>
              <w:textAlignment w:val="center"/>
              <w:rPr>
                <w:rFonts w:hint="default" w:ascii="Times New Roman" w:hAnsi="Times New Roman" w:eastAsia="宋体" w:cs="Times New Roman"/>
                <w:b w:val="0"/>
                <w:bCs w:val="0"/>
                <w:kern w:val="0"/>
                <w:sz w:val="21"/>
                <w:szCs w:val="21"/>
                <w:lang w:val="en-US" w:eastAsia="zh-CN" w:bidi="ar"/>
              </w:rPr>
            </w:pPr>
            <w:r>
              <w:rPr>
                <w:rFonts w:hint="default" w:ascii="Times New Roman" w:hAnsi="Times New Roman" w:cs="Times New Roman"/>
                <w:b w:val="0"/>
                <w:bCs w:val="0"/>
                <w:kern w:val="0"/>
                <w:sz w:val="21"/>
                <w:szCs w:val="21"/>
                <w:lang w:bidi="ar"/>
              </w:rPr>
              <w:t>罐区</w:t>
            </w:r>
          </w:p>
        </w:tc>
        <w:tc>
          <w:tcPr>
            <w:tcW w:w="365" w:type="pct"/>
            <w:vAlign w:val="center"/>
          </w:tcPr>
          <w:p w14:paraId="45F23CDE">
            <w:pPr>
              <w:widowControl w:val="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sz w:val="21"/>
                <w:szCs w:val="21"/>
                <w:highlight w:val="none"/>
                <w:lang w:val="en-US" w:eastAsia="zh-CN"/>
              </w:rPr>
              <w:t>非甲烷总烃</w:t>
            </w:r>
          </w:p>
        </w:tc>
        <w:tc>
          <w:tcPr>
            <w:tcW w:w="291" w:type="pct"/>
            <w:vMerge w:val="continue"/>
            <w:vAlign w:val="center"/>
          </w:tcPr>
          <w:p w14:paraId="23EFBE5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673" w:type="pct"/>
            <w:gridSpan w:val="2"/>
            <w:vAlign w:val="center"/>
          </w:tcPr>
          <w:p w14:paraId="79D31B57">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792" w:type="pct"/>
            <w:gridSpan w:val="2"/>
            <w:vMerge w:val="continue"/>
            <w:vAlign w:val="center"/>
          </w:tcPr>
          <w:p w14:paraId="57743387">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60" w:type="pct"/>
            <w:shd w:val="clear" w:color="auto" w:fill="auto"/>
            <w:vAlign w:val="center"/>
          </w:tcPr>
          <w:p w14:paraId="2C029587">
            <w:pPr>
              <w:keepNext w:val="0"/>
              <w:keepLines w:val="0"/>
              <w:pageBreakBefore w:val="0"/>
              <w:kinsoku/>
              <w:wordWrap/>
              <w:overflowPunct/>
              <w:topLinePunct w:val="0"/>
              <w:autoSpaceDE/>
              <w:autoSpaceDN/>
              <w:bidi w:val="0"/>
              <w:snapToGrid w:val="0"/>
              <w:spacing w:line="280" w:lineRule="exact"/>
              <w:jc w:val="center"/>
              <w:rPr>
                <w:rFonts w:hint="eastAsia"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bCs/>
                <w:sz w:val="21"/>
                <w:szCs w:val="21"/>
                <w:highlight w:val="none"/>
                <w:lang w:val="en-US" w:eastAsia="zh-CN"/>
              </w:rPr>
              <w:t>/</w:t>
            </w:r>
          </w:p>
        </w:tc>
        <w:tc>
          <w:tcPr>
            <w:tcW w:w="313" w:type="pct"/>
            <w:shd w:val="clear" w:color="auto" w:fill="auto"/>
            <w:vAlign w:val="center"/>
          </w:tcPr>
          <w:p w14:paraId="0B5E6998">
            <w:pPr>
              <w:keepNext w:val="0"/>
              <w:keepLines w:val="0"/>
              <w:pageBreakBefore w:val="0"/>
              <w:kinsoku/>
              <w:wordWrap/>
              <w:overflowPunct/>
              <w:topLinePunct w:val="0"/>
              <w:autoSpaceDE/>
              <w:autoSpaceDN/>
              <w:bidi w:val="0"/>
              <w:spacing w:line="280" w:lineRule="exact"/>
              <w:jc w:val="center"/>
              <w:rPr>
                <w:rFonts w:hint="eastAsia" w:ascii="Times New Roman" w:hAnsi="Times New Roman" w:eastAsia="宋体" w:cs="Times New Roman"/>
                <w:bCs/>
                <w:sz w:val="21"/>
                <w:szCs w:val="21"/>
                <w:highlight w:val="none"/>
                <w:lang w:val="en-US" w:eastAsia="zh-CN" w:bidi="ar-SA"/>
              </w:rPr>
            </w:pPr>
            <w:r>
              <w:rPr>
                <w:rFonts w:hint="eastAsia" w:ascii="Times New Roman" w:hAnsi="Times New Roman" w:cs="Times New Roman"/>
                <w:bCs/>
                <w:kern w:val="0"/>
                <w:sz w:val="21"/>
                <w:szCs w:val="21"/>
                <w:lang w:val="en-US" w:eastAsia="zh-CN"/>
              </w:rPr>
              <w:t>0.023</w:t>
            </w:r>
          </w:p>
        </w:tc>
        <w:tc>
          <w:tcPr>
            <w:tcW w:w="353" w:type="pct"/>
            <w:shd w:val="clear" w:color="auto" w:fill="auto"/>
            <w:vAlign w:val="center"/>
          </w:tcPr>
          <w:p w14:paraId="569AB01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kern w:val="0"/>
                <w:sz w:val="21"/>
                <w:szCs w:val="21"/>
                <w:lang w:val="en-US" w:eastAsia="zh-CN" w:bidi="ar-SA"/>
              </w:rPr>
            </w:pPr>
            <w:r>
              <w:rPr>
                <w:rFonts w:hint="eastAsia" w:ascii="Times New Roman" w:hAnsi="Times New Roman" w:cs="Times New Roman"/>
                <w:bCs/>
                <w:kern w:val="0"/>
                <w:sz w:val="21"/>
                <w:szCs w:val="21"/>
                <w:lang w:val="en-US" w:eastAsia="zh-CN"/>
              </w:rPr>
              <w:t>0.182</w:t>
            </w:r>
          </w:p>
        </w:tc>
        <w:tc>
          <w:tcPr>
            <w:tcW w:w="282" w:type="pct"/>
            <w:vAlign w:val="center"/>
          </w:tcPr>
          <w:p w14:paraId="6C56D9DE">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671" w:type="pct"/>
            <w:vMerge w:val="continue"/>
            <w:vAlign w:val="center"/>
          </w:tcPr>
          <w:p w14:paraId="195348F7">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3" w:type="pct"/>
            <w:vMerge w:val="continue"/>
            <w:vAlign w:val="center"/>
          </w:tcPr>
          <w:p w14:paraId="49D8DFBE">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46DB50E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restart"/>
            <w:vAlign w:val="center"/>
          </w:tcPr>
          <w:p w14:paraId="43E63864">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废水</w:t>
            </w:r>
          </w:p>
        </w:tc>
        <w:tc>
          <w:tcPr>
            <w:tcW w:w="381" w:type="pct"/>
            <w:vMerge w:val="restart"/>
            <w:shd w:val="clear" w:color="auto" w:fill="auto"/>
            <w:vAlign w:val="center"/>
          </w:tcPr>
          <w:p w14:paraId="5156045F">
            <w:pPr>
              <w:widowControl/>
              <w:jc w:val="center"/>
              <w:textAlignment w:val="center"/>
              <w:rPr>
                <w:rFonts w:hint="default" w:ascii="Times New Roman" w:hAnsi="Times New Roman" w:cs="Times New Roman"/>
                <w:b w:val="0"/>
                <w:bCs w:val="0"/>
                <w:kern w:val="0"/>
                <w:sz w:val="21"/>
                <w:szCs w:val="21"/>
                <w:lang w:bidi="ar"/>
              </w:rPr>
            </w:pPr>
            <w:r>
              <w:rPr>
                <w:rFonts w:hint="eastAsia" w:ascii="Times New Roman" w:hAnsi="Times New Roman" w:eastAsia="宋体" w:cs="Times New Roman"/>
                <w:color w:val="000000"/>
                <w:kern w:val="2"/>
                <w:sz w:val="21"/>
                <w:szCs w:val="21"/>
                <w:highlight w:val="none"/>
                <w:lang w:val="en-US" w:eastAsia="zh-CN" w:bidi="ar-SA"/>
              </w:rPr>
              <w:t>静置分离废水、设备清洗废水、车间清洗废水、喷淋塔定排废水、循环冷却排水、纯水制备废水、生活污水</w:t>
            </w:r>
          </w:p>
        </w:tc>
        <w:tc>
          <w:tcPr>
            <w:tcW w:w="365" w:type="pct"/>
            <w:vAlign w:val="center"/>
          </w:tcPr>
          <w:p w14:paraId="5FFD4BCF">
            <w:pPr>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pH</w:t>
            </w:r>
          </w:p>
        </w:tc>
        <w:tc>
          <w:tcPr>
            <w:tcW w:w="291" w:type="pct"/>
            <w:vMerge w:val="restart"/>
            <w:vAlign w:val="center"/>
          </w:tcPr>
          <w:p w14:paraId="68A07220">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02" w:type="pct"/>
            <w:vMerge w:val="restart"/>
            <w:tcBorders>
              <w:right w:val="single" w:color="auto" w:sz="4" w:space="0"/>
            </w:tcBorders>
            <w:vAlign w:val="center"/>
          </w:tcPr>
          <w:p w14:paraId="581F33BB">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DW001</w:t>
            </w:r>
          </w:p>
        </w:tc>
        <w:tc>
          <w:tcPr>
            <w:tcW w:w="371" w:type="pct"/>
            <w:vMerge w:val="restart"/>
            <w:tcBorders>
              <w:left w:val="single" w:color="auto" w:sz="4" w:space="0"/>
            </w:tcBorders>
            <w:vAlign w:val="center"/>
          </w:tcPr>
          <w:p w14:paraId="6B31622C">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792" w:type="pct"/>
            <w:gridSpan w:val="2"/>
            <w:vMerge w:val="restart"/>
            <w:vAlign w:val="center"/>
          </w:tcPr>
          <w:p w14:paraId="725BE6F5">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静置分离废水、</w:t>
            </w:r>
            <w:r>
              <w:rPr>
                <w:rFonts w:hint="eastAsia" w:ascii="Times New Roman" w:hAnsi="Times New Roman" w:eastAsia="宋体" w:cs="Times New Roman"/>
                <w:color w:val="000000"/>
                <w:kern w:val="2"/>
                <w:sz w:val="21"/>
                <w:szCs w:val="21"/>
                <w:highlight w:val="none"/>
                <w:lang w:val="en-US" w:eastAsia="zh-CN" w:bidi="ar-SA"/>
              </w:rPr>
              <w:t>设备清洗废水、车间清洗废水、喷淋塔定排废水、生活污水</w:t>
            </w:r>
            <w:r>
              <w:rPr>
                <w:rFonts w:hint="eastAsia" w:ascii="Times New Roman" w:hAnsi="Times New Roman" w:cs="Times New Roman"/>
                <w:color w:val="000000"/>
                <w:kern w:val="2"/>
                <w:sz w:val="21"/>
                <w:szCs w:val="21"/>
                <w:highlight w:val="none"/>
                <w:lang w:val="en-US" w:eastAsia="zh-CN" w:bidi="ar-SA"/>
              </w:rPr>
              <w:t>进入厂区污水处理站处理后，与</w:t>
            </w:r>
            <w:r>
              <w:rPr>
                <w:rFonts w:hint="eastAsia" w:ascii="Times New Roman" w:hAnsi="Times New Roman" w:eastAsia="宋体" w:cs="Times New Roman"/>
                <w:color w:val="000000"/>
                <w:kern w:val="2"/>
                <w:sz w:val="21"/>
                <w:szCs w:val="21"/>
                <w:highlight w:val="none"/>
                <w:lang w:val="en-US" w:eastAsia="zh-CN" w:bidi="ar-SA"/>
              </w:rPr>
              <w:t>循环冷却排水、纯水制备废水</w:t>
            </w:r>
            <w:r>
              <w:rPr>
                <w:rFonts w:hint="eastAsia" w:ascii="Times New Roman" w:hAnsi="Times New Roman" w:cs="Times New Roman"/>
                <w:color w:val="000000"/>
                <w:kern w:val="2"/>
                <w:sz w:val="21"/>
                <w:szCs w:val="21"/>
                <w:highlight w:val="none"/>
                <w:lang w:val="en-US" w:eastAsia="zh-CN" w:bidi="ar-SA"/>
              </w:rPr>
              <w:t>一同经厂区总排口排入园区污水管网，废水量共计160.11m</w:t>
            </w:r>
            <w:r>
              <w:rPr>
                <w:rFonts w:hint="eastAsia" w:ascii="Times New Roman" w:hAnsi="Times New Roman" w:cs="Times New Roman"/>
                <w:color w:val="000000"/>
                <w:kern w:val="2"/>
                <w:sz w:val="21"/>
                <w:szCs w:val="21"/>
                <w:highlight w:val="none"/>
                <w:vertAlign w:val="superscript"/>
                <w:lang w:val="en-US" w:eastAsia="zh-CN" w:bidi="ar-SA"/>
              </w:rPr>
              <w:t>3</w:t>
            </w:r>
            <w:r>
              <w:rPr>
                <w:rFonts w:hint="eastAsia" w:ascii="Times New Roman" w:hAnsi="Times New Roman" w:cs="Times New Roman"/>
                <w:color w:val="000000"/>
                <w:kern w:val="2"/>
                <w:sz w:val="21"/>
                <w:szCs w:val="21"/>
                <w:highlight w:val="none"/>
                <w:lang w:val="en-US" w:eastAsia="zh-CN" w:bidi="ar-SA"/>
              </w:rPr>
              <w:t>/d、53359.106m</w:t>
            </w:r>
            <w:r>
              <w:rPr>
                <w:rFonts w:hint="eastAsia" w:ascii="Times New Roman" w:hAnsi="Times New Roman" w:cs="Times New Roman"/>
                <w:color w:val="000000"/>
                <w:kern w:val="2"/>
                <w:sz w:val="21"/>
                <w:szCs w:val="21"/>
                <w:highlight w:val="none"/>
                <w:vertAlign w:val="superscript"/>
                <w:lang w:val="en-US" w:eastAsia="zh-CN" w:bidi="ar-SA"/>
              </w:rPr>
              <w:t>3</w:t>
            </w:r>
            <w:r>
              <w:rPr>
                <w:rFonts w:hint="eastAsia" w:ascii="Times New Roman" w:hAnsi="Times New Roman" w:cs="Times New Roman"/>
                <w:color w:val="000000"/>
                <w:kern w:val="2"/>
                <w:sz w:val="21"/>
                <w:szCs w:val="21"/>
                <w:highlight w:val="none"/>
                <w:lang w:val="en-US" w:eastAsia="zh-CN" w:bidi="ar-SA"/>
              </w:rPr>
              <w:t>/a</w:t>
            </w:r>
          </w:p>
        </w:tc>
        <w:tc>
          <w:tcPr>
            <w:tcW w:w="360" w:type="pct"/>
            <w:shd w:val="clear" w:color="auto" w:fill="auto"/>
            <w:vAlign w:val="center"/>
          </w:tcPr>
          <w:p w14:paraId="20A4E84A">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7.7无量纲</w:t>
            </w:r>
          </w:p>
        </w:tc>
        <w:tc>
          <w:tcPr>
            <w:tcW w:w="313" w:type="pct"/>
            <w:shd w:val="clear" w:color="auto" w:fill="auto"/>
            <w:vAlign w:val="center"/>
          </w:tcPr>
          <w:p w14:paraId="2D85ED2D">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w:t>
            </w:r>
          </w:p>
        </w:tc>
        <w:tc>
          <w:tcPr>
            <w:tcW w:w="353" w:type="pct"/>
            <w:shd w:val="clear" w:color="auto" w:fill="auto"/>
            <w:vAlign w:val="center"/>
          </w:tcPr>
          <w:p w14:paraId="60F43A7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w:t>
            </w:r>
          </w:p>
        </w:tc>
        <w:tc>
          <w:tcPr>
            <w:tcW w:w="282" w:type="pct"/>
            <w:vAlign w:val="center"/>
          </w:tcPr>
          <w:p w14:paraId="1631679E">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6.5~9.5</w:t>
            </w:r>
            <w:r>
              <w:rPr>
                <w:rFonts w:hint="eastAsia" w:ascii="Times New Roman" w:hAnsi="Times New Roman" w:cs="Times New Roman"/>
                <w:bCs/>
                <w:sz w:val="21"/>
                <w:szCs w:val="21"/>
                <w:highlight w:val="none"/>
                <w:lang w:val="en-US" w:eastAsia="zh-CN"/>
              </w:rPr>
              <w:t>无量纲</w:t>
            </w:r>
          </w:p>
        </w:tc>
        <w:tc>
          <w:tcPr>
            <w:tcW w:w="671" w:type="pct"/>
            <w:vMerge w:val="restart"/>
            <w:vAlign w:val="center"/>
          </w:tcPr>
          <w:p w14:paraId="32489ADA">
            <w:pPr>
              <w:keepNext w:val="0"/>
              <w:keepLines w:val="0"/>
              <w:pageBreakBefore w:val="0"/>
              <w:kinsoku/>
              <w:wordWrap/>
              <w:overflowPunct/>
              <w:topLinePunct w:val="0"/>
              <w:autoSpaceDE/>
              <w:autoSpaceDN/>
              <w:bidi w:val="0"/>
              <w:snapToGrid w:val="0"/>
              <w:spacing w:line="280" w:lineRule="exact"/>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sz w:val="21"/>
                <w:szCs w:val="21"/>
                <w:highlight w:val="none"/>
                <w:lang w:val="en-US" w:eastAsia="zh-CN"/>
              </w:rPr>
              <w:t>《污水排入城镇下水道水质标准》（GB/T30962-2015）中表1B级标准</w:t>
            </w:r>
          </w:p>
        </w:tc>
        <w:tc>
          <w:tcPr>
            <w:tcW w:w="373" w:type="pct"/>
            <w:vMerge w:val="continue"/>
            <w:vAlign w:val="center"/>
          </w:tcPr>
          <w:p w14:paraId="4890E4D0">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5C58292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632B7C26">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381" w:type="pct"/>
            <w:vMerge w:val="continue"/>
            <w:shd w:val="clear" w:color="auto" w:fill="auto"/>
            <w:vAlign w:val="center"/>
          </w:tcPr>
          <w:p w14:paraId="3257B053">
            <w:pPr>
              <w:widowControl/>
              <w:jc w:val="center"/>
              <w:textAlignment w:val="center"/>
              <w:rPr>
                <w:rFonts w:hint="default" w:ascii="Times New Roman" w:hAnsi="Times New Roman" w:cs="Times New Roman"/>
                <w:b w:val="0"/>
                <w:bCs w:val="0"/>
                <w:kern w:val="0"/>
                <w:sz w:val="21"/>
                <w:szCs w:val="21"/>
                <w:lang w:bidi="ar"/>
              </w:rPr>
            </w:pPr>
          </w:p>
        </w:tc>
        <w:tc>
          <w:tcPr>
            <w:tcW w:w="365" w:type="pct"/>
            <w:vAlign w:val="center"/>
          </w:tcPr>
          <w:p w14:paraId="00DE2A8A">
            <w:pPr>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COD</w:t>
            </w:r>
          </w:p>
        </w:tc>
        <w:tc>
          <w:tcPr>
            <w:tcW w:w="291" w:type="pct"/>
            <w:vMerge w:val="continue"/>
            <w:vAlign w:val="center"/>
          </w:tcPr>
          <w:p w14:paraId="15609685">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302" w:type="pct"/>
            <w:vMerge w:val="continue"/>
            <w:tcBorders>
              <w:right w:val="single" w:color="auto" w:sz="4" w:space="0"/>
            </w:tcBorders>
            <w:vAlign w:val="center"/>
          </w:tcPr>
          <w:p w14:paraId="53B2A40C">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371" w:type="pct"/>
            <w:vMerge w:val="continue"/>
            <w:tcBorders>
              <w:left w:val="single" w:color="auto" w:sz="4" w:space="0"/>
            </w:tcBorders>
            <w:vAlign w:val="center"/>
          </w:tcPr>
          <w:p w14:paraId="750CAA2A">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792" w:type="pct"/>
            <w:gridSpan w:val="2"/>
            <w:vMerge w:val="continue"/>
            <w:vAlign w:val="center"/>
          </w:tcPr>
          <w:p w14:paraId="720A1EC2">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60" w:type="pct"/>
            <w:shd w:val="clear" w:color="auto" w:fill="auto"/>
            <w:vAlign w:val="center"/>
          </w:tcPr>
          <w:p w14:paraId="1BF52A20">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26.18</w:t>
            </w:r>
          </w:p>
        </w:tc>
        <w:tc>
          <w:tcPr>
            <w:tcW w:w="313" w:type="pct"/>
            <w:shd w:val="clear" w:color="auto" w:fill="auto"/>
            <w:vAlign w:val="center"/>
          </w:tcPr>
          <w:p w14:paraId="1EDA407D">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w:t>
            </w:r>
          </w:p>
        </w:tc>
        <w:tc>
          <w:tcPr>
            <w:tcW w:w="353" w:type="pct"/>
            <w:shd w:val="clear" w:color="auto" w:fill="auto"/>
            <w:vAlign w:val="center"/>
          </w:tcPr>
          <w:p w14:paraId="024A2D8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1.395</w:t>
            </w:r>
          </w:p>
        </w:tc>
        <w:tc>
          <w:tcPr>
            <w:tcW w:w="282" w:type="pct"/>
            <w:vAlign w:val="center"/>
          </w:tcPr>
          <w:p w14:paraId="7A8AB82F">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500mg/L</w:t>
            </w:r>
          </w:p>
        </w:tc>
        <w:tc>
          <w:tcPr>
            <w:tcW w:w="671" w:type="pct"/>
            <w:vMerge w:val="continue"/>
            <w:vAlign w:val="center"/>
          </w:tcPr>
          <w:p w14:paraId="2FF4D07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3" w:type="pct"/>
            <w:vMerge w:val="continue"/>
            <w:vAlign w:val="center"/>
          </w:tcPr>
          <w:p w14:paraId="28553AD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7A5489D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1D909368">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381" w:type="pct"/>
            <w:vMerge w:val="continue"/>
            <w:shd w:val="clear" w:color="auto" w:fill="auto"/>
            <w:vAlign w:val="center"/>
          </w:tcPr>
          <w:p w14:paraId="5F09F03A">
            <w:pPr>
              <w:widowControl/>
              <w:jc w:val="center"/>
              <w:textAlignment w:val="center"/>
              <w:rPr>
                <w:rFonts w:hint="default" w:ascii="Times New Roman" w:hAnsi="Times New Roman" w:cs="Times New Roman"/>
                <w:b w:val="0"/>
                <w:bCs w:val="0"/>
                <w:kern w:val="0"/>
                <w:sz w:val="21"/>
                <w:szCs w:val="21"/>
                <w:lang w:bidi="ar"/>
              </w:rPr>
            </w:pPr>
          </w:p>
        </w:tc>
        <w:tc>
          <w:tcPr>
            <w:tcW w:w="365" w:type="pct"/>
            <w:vAlign w:val="center"/>
          </w:tcPr>
          <w:p w14:paraId="3A29142E">
            <w:pPr>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BOD</w:t>
            </w:r>
            <w:r>
              <w:rPr>
                <w:rFonts w:hint="eastAsia" w:ascii="Times New Roman" w:hAnsi="Times New Roman" w:eastAsia="宋体" w:cs="Times New Roman"/>
                <w:sz w:val="21"/>
                <w:szCs w:val="21"/>
                <w:highlight w:val="none"/>
                <w:vertAlign w:val="subscript"/>
                <w:lang w:val="en-US" w:eastAsia="zh-CN"/>
              </w:rPr>
              <w:t>5</w:t>
            </w:r>
          </w:p>
        </w:tc>
        <w:tc>
          <w:tcPr>
            <w:tcW w:w="291" w:type="pct"/>
            <w:vMerge w:val="continue"/>
            <w:vAlign w:val="center"/>
          </w:tcPr>
          <w:p w14:paraId="1B18E0F2">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302" w:type="pct"/>
            <w:vMerge w:val="continue"/>
            <w:tcBorders>
              <w:right w:val="single" w:color="auto" w:sz="4" w:space="0"/>
            </w:tcBorders>
            <w:vAlign w:val="center"/>
          </w:tcPr>
          <w:p w14:paraId="5E321361">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371" w:type="pct"/>
            <w:vMerge w:val="continue"/>
            <w:tcBorders>
              <w:left w:val="single" w:color="auto" w:sz="4" w:space="0"/>
            </w:tcBorders>
            <w:vAlign w:val="center"/>
          </w:tcPr>
          <w:p w14:paraId="02039C50">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792" w:type="pct"/>
            <w:gridSpan w:val="2"/>
            <w:vMerge w:val="continue"/>
            <w:vAlign w:val="center"/>
          </w:tcPr>
          <w:p w14:paraId="2AF79F1B">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60" w:type="pct"/>
            <w:shd w:val="clear" w:color="auto" w:fill="auto"/>
            <w:vAlign w:val="center"/>
          </w:tcPr>
          <w:p w14:paraId="01D2A119">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6.432</w:t>
            </w:r>
          </w:p>
        </w:tc>
        <w:tc>
          <w:tcPr>
            <w:tcW w:w="313" w:type="pct"/>
            <w:shd w:val="clear" w:color="auto" w:fill="auto"/>
            <w:vAlign w:val="center"/>
          </w:tcPr>
          <w:p w14:paraId="3123CCFB">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w:t>
            </w:r>
          </w:p>
        </w:tc>
        <w:tc>
          <w:tcPr>
            <w:tcW w:w="353" w:type="pct"/>
            <w:shd w:val="clear" w:color="auto" w:fill="auto"/>
            <w:vAlign w:val="center"/>
          </w:tcPr>
          <w:p w14:paraId="37777102">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0.344</w:t>
            </w:r>
          </w:p>
        </w:tc>
        <w:tc>
          <w:tcPr>
            <w:tcW w:w="282" w:type="pct"/>
            <w:vAlign w:val="center"/>
          </w:tcPr>
          <w:p w14:paraId="739A7268">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350mg/L</w:t>
            </w:r>
          </w:p>
        </w:tc>
        <w:tc>
          <w:tcPr>
            <w:tcW w:w="671" w:type="pct"/>
            <w:vMerge w:val="continue"/>
            <w:vAlign w:val="center"/>
          </w:tcPr>
          <w:p w14:paraId="74359486">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3" w:type="pct"/>
            <w:vMerge w:val="continue"/>
            <w:vAlign w:val="center"/>
          </w:tcPr>
          <w:p w14:paraId="3B15E38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749F7CB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0A3C39A7">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381" w:type="pct"/>
            <w:vMerge w:val="continue"/>
            <w:shd w:val="clear" w:color="auto" w:fill="auto"/>
            <w:vAlign w:val="center"/>
          </w:tcPr>
          <w:p w14:paraId="31EEF864">
            <w:pPr>
              <w:widowControl/>
              <w:jc w:val="center"/>
              <w:textAlignment w:val="center"/>
              <w:rPr>
                <w:rFonts w:hint="default" w:ascii="Times New Roman" w:hAnsi="Times New Roman" w:cs="Times New Roman"/>
                <w:b w:val="0"/>
                <w:bCs w:val="0"/>
                <w:kern w:val="0"/>
                <w:sz w:val="21"/>
                <w:szCs w:val="21"/>
                <w:lang w:bidi="ar"/>
              </w:rPr>
            </w:pPr>
          </w:p>
        </w:tc>
        <w:tc>
          <w:tcPr>
            <w:tcW w:w="365" w:type="pct"/>
            <w:vAlign w:val="center"/>
          </w:tcPr>
          <w:p w14:paraId="02F2B969">
            <w:pPr>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氨氮</w:t>
            </w:r>
          </w:p>
        </w:tc>
        <w:tc>
          <w:tcPr>
            <w:tcW w:w="291" w:type="pct"/>
            <w:vMerge w:val="continue"/>
            <w:vAlign w:val="center"/>
          </w:tcPr>
          <w:p w14:paraId="29A5AC35">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302" w:type="pct"/>
            <w:vMerge w:val="continue"/>
            <w:tcBorders>
              <w:right w:val="single" w:color="auto" w:sz="4" w:space="0"/>
            </w:tcBorders>
            <w:vAlign w:val="center"/>
          </w:tcPr>
          <w:p w14:paraId="61910D7B">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371" w:type="pct"/>
            <w:vMerge w:val="continue"/>
            <w:tcBorders>
              <w:left w:val="single" w:color="auto" w:sz="4" w:space="0"/>
            </w:tcBorders>
            <w:vAlign w:val="center"/>
          </w:tcPr>
          <w:p w14:paraId="79462AD1">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792" w:type="pct"/>
            <w:gridSpan w:val="2"/>
            <w:vMerge w:val="continue"/>
            <w:vAlign w:val="center"/>
          </w:tcPr>
          <w:p w14:paraId="69ED5532">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60" w:type="pct"/>
            <w:shd w:val="clear" w:color="auto" w:fill="auto"/>
            <w:vAlign w:val="center"/>
          </w:tcPr>
          <w:p w14:paraId="017F58B8">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1.191</w:t>
            </w:r>
          </w:p>
        </w:tc>
        <w:tc>
          <w:tcPr>
            <w:tcW w:w="313" w:type="pct"/>
            <w:shd w:val="clear" w:color="auto" w:fill="auto"/>
            <w:vAlign w:val="center"/>
          </w:tcPr>
          <w:p w14:paraId="119C90B1">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w:t>
            </w:r>
          </w:p>
        </w:tc>
        <w:tc>
          <w:tcPr>
            <w:tcW w:w="353" w:type="pct"/>
            <w:shd w:val="clear" w:color="auto" w:fill="auto"/>
            <w:vAlign w:val="center"/>
          </w:tcPr>
          <w:p w14:paraId="3B3CD3F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0.062</w:t>
            </w:r>
          </w:p>
        </w:tc>
        <w:tc>
          <w:tcPr>
            <w:tcW w:w="282" w:type="pct"/>
            <w:vAlign w:val="center"/>
          </w:tcPr>
          <w:p w14:paraId="3BF268A0">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45mg/L</w:t>
            </w:r>
          </w:p>
        </w:tc>
        <w:tc>
          <w:tcPr>
            <w:tcW w:w="671" w:type="pct"/>
            <w:vMerge w:val="continue"/>
            <w:vAlign w:val="center"/>
          </w:tcPr>
          <w:p w14:paraId="02C3FC69">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3" w:type="pct"/>
            <w:vMerge w:val="continue"/>
            <w:vAlign w:val="center"/>
          </w:tcPr>
          <w:p w14:paraId="0543AD1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3C06A8A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590428A3">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381" w:type="pct"/>
            <w:vMerge w:val="continue"/>
            <w:shd w:val="clear" w:color="auto" w:fill="auto"/>
            <w:vAlign w:val="center"/>
          </w:tcPr>
          <w:p w14:paraId="6B8892F2">
            <w:pPr>
              <w:widowControl/>
              <w:jc w:val="center"/>
              <w:textAlignment w:val="center"/>
              <w:rPr>
                <w:rFonts w:hint="default" w:ascii="Times New Roman" w:hAnsi="Times New Roman" w:cs="Times New Roman"/>
                <w:b w:val="0"/>
                <w:bCs w:val="0"/>
                <w:kern w:val="0"/>
                <w:sz w:val="21"/>
                <w:szCs w:val="21"/>
                <w:lang w:bidi="ar"/>
              </w:rPr>
            </w:pPr>
          </w:p>
        </w:tc>
        <w:tc>
          <w:tcPr>
            <w:tcW w:w="365" w:type="pct"/>
            <w:vAlign w:val="center"/>
          </w:tcPr>
          <w:p w14:paraId="58AEC7EA">
            <w:pPr>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SS</w:t>
            </w:r>
          </w:p>
        </w:tc>
        <w:tc>
          <w:tcPr>
            <w:tcW w:w="291" w:type="pct"/>
            <w:vMerge w:val="continue"/>
            <w:vAlign w:val="center"/>
          </w:tcPr>
          <w:p w14:paraId="04879657">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302" w:type="pct"/>
            <w:vMerge w:val="continue"/>
            <w:tcBorders>
              <w:right w:val="single" w:color="auto" w:sz="4" w:space="0"/>
            </w:tcBorders>
            <w:vAlign w:val="center"/>
          </w:tcPr>
          <w:p w14:paraId="599659FD">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371" w:type="pct"/>
            <w:vMerge w:val="continue"/>
            <w:tcBorders>
              <w:left w:val="single" w:color="auto" w:sz="4" w:space="0"/>
            </w:tcBorders>
            <w:vAlign w:val="center"/>
          </w:tcPr>
          <w:p w14:paraId="0B6B9379">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792" w:type="pct"/>
            <w:gridSpan w:val="2"/>
            <w:vMerge w:val="continue"/>
            <w:vAlign w:val="center"/>
          </w:tcPr>
          <w:p w14:paraId="1487F859">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60" w:type="pct"/>
            <w:shd w:val="clear" w:color="auto" w:fill="auto"/>
            <w:vAlign w:val="center"/>
          </w:tcPr>
          <w:p w14:paraId="0D660E23">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9.499</w:t>
            </w:r>
          </w:p>
        </w:tc>
        <w:tc>
          <w:tcPr>
            <w:tcW w:w="313" w:type="pct"/>
            <w:shd w:val="clear" w:color="auto" w:fill="auto"/>
            <w:vAlign w:val="center"/>
          </w:tcPr>
          <w:p w14:paraId="7A14FDF5">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w:t>
            </w:r>
          </w:p>
        </w:tc>
        <w:tc>
          <w:tcPr>
            <w:tcW w:w="353" w:type="pct"/>
            <w:shd w:val="clear" w:color="auto" w:fill="auto"/>
            <w:vAlign w:val="center"/>
          </w:tcPr>
          <w:p w14:paraId="2343F942">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0.507</w:t>
            </w:r>
          </w:p>
        </w:tc>
        <w:tc>
          <w:tcPr>
            <w:tcW w:w="282" w:type="pct"/>
            <w:vAlign w:val="center"/>
          </w:tcPr>
          <w:p w14:paraId="7B10FA6A">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400mg/L</w:t>
            </w:r>
          </w:p>
        </w:tc>
        <w:tc>
          <w:tcPr>
            <w:tcW w:w="671" w:type="pct"/>
            <w:vMerge w:val="continue"/>
            <w:vAlign w:val="center"/>
          </w:tcPr>
          <w:p w14:paraId="5AB2E6CB">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3" w:type="pct"/>
            <w:vMerge w:val="continue"/>
            <w:vAlign w:val="center"/>
          </w:tcPr>
          <w:p w14:paraId="52D6A99B">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743C5B9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579D1BB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vMerge w:val="continue"/>
            <w:shd w:val="clear" w:color="auto" w:fill="auto"/>
            <w:vAlign w:val="center"/>
          </w:tcPr>
          <w:p w14:paraId="61328797">
            <w:pPr>
              <w:widowControl/>
              <w:jc w:val="center"/>
              <w:textAlignment w:val="center"/>
              <w:rPr>
                <w:rFonts w:hint="default" w:ascii="Times New Roman" w:hAnsi="Times New Roman" w:cs="Times New Roman"/>
                <w:b w:val="0"/>
                <w:bCs w:val="0"/>
                <w:kern w:val="0"/>
                <w:sz w:val="21"/>
                <w:szCs w:val="21"/>
                <w:lang w:bidi="ar"/>
              </w:rPr>
            </w:pPr>
          </w:p>
        </w:tc>
        <w:tc>
          <w:tcPr>
            <w:tcW w:w="365" w:type="pct"/>
            <w:vAlign w:val="center"/>
          </w:tcPr>
          <w:p w14:paraId="6B212069">
            <w:pPr>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总磷</w:t>
            </w:r>
          </w:p>
        </w:tc>
        <w:tc>
          <w:tcPr>
            <w:tcW w:w="291" w:type="pct"/>
            <w:vMerge w:val="continue"/>
            <w:vAlign w:val="center"/>
          </w:tcPr>
          <w:p w14:paraId="7C43FAE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02" w:type="pct"/>
            <w:vMerge w:val="continue"/>
            <w:tcBorders>
              <w:right w:val="single" w:color="auto" w:sz="4" w:space="0"/>
            </w:tcBorders>
            <w:vAlign w:val="center"/>
          </w:tcPr>
          <w:p w14:paraId="59948FBB">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71" w:type="pct"/>
            <w:vMerge w:val="continue"/>
            <w:tcBorders>
              <w:left w:val="single" w:color="auto" w:sz="4" w:space="0"/>
            </w:tcBorders>
            <w:vAlign w:val="center"/>
          </w:tcPr>
          <w:p w14:paraId="0A6A50ED">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792" w:type="pct"/>
            <w:gridSpan w:val="2"/>
            <w:vMerge w:val="continue"/>
            <w:vAlign w:val="center"/>
          </w:tcPr>
          <w:p w14:paraId="1FC31A1E">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60" w:type="pct"/>
            <w:shd w:val="clear" w:color="auto" w:fill="auto"/>
            <w:vAlign w:val="center"/>
          </w:tcPr>
          <w:p w14:paraId="1A6CD85F">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3.968</w:t>
            </w:r>
          </w:p>
        </w:tc>
        <w:tc>
          <w:tcPr>
            <w:tcW w:w="313" w:type="pct"/>
            <w:shd w:val="clear" w:color="auto" w:fill="auto"/>
            <w:vAlign w:val="center"/>
          </w:tcPr>
          <w:p w14:paraId="5DA2CB7B">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w:t>
            </w:r>
          </w:p>
        </w:tc>
        <w:tc>
          <w:tcPr>
            <w:tcW w:w="353" w:type="pct"/>
            <w:shd w:val="clear" w:color="auto" w:fill="auto"/>
            <w:vAlign w:val="center"/>
          </w:tcPr>
          <w:p w14:paraId="2F2009A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0.211</w:t>
            </w:r>
          </w:p>
        </w:tc>
        <w:tc>
          <w:tcPr>
            <w:tcW w:w="282" w:type="pct"/>
            <w:vAlign w:val="center"/>
          </w:tcPr>
          <w:p w14:paraId="4D9171D2">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8mg/L</w:t>
            </w:r>
          </w:p>
        </w:tc>
        <w:tc>
          <w:tcPr>
            <w:tcW w:w="671" w:type="pct"/>
            <w:vMerge w:val="continue"/>
            <w:vAlign w:val="center"/>
          </w:tcPr>
          <w:p w14:paraId="58BD9A9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3" w:type="pct"/>
            <w:vMerge w:val="continue"/>
            <w:vAlign w:val="center"/>
          </w:tcPr>
          <w:p w14:paraId="3C92E900">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49F3467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1E07492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vMerge w:val="continue"/>
            <w:shd w:val="clear" w:color="auto" w:fill="auto"/>
            <w:vAlign w:val="center"/>
          </w:tcPr>
          <w:p w14:paraId="19C4F837">
            <w:pPr>
              <w:widowControl/>
              <w:jc w:val="center"/>
              <w:textAlignment w:val="center"/>
              <w:rPr>
                <w:rFonts w:hint="default" w:ascii="Times New Roman" w:hAnsi="Times New Roman" w:cs="Times New Roman"/>
                <w:b w:val="0"/>
                <w:bCs w:val="0"/>
                <w:kern w:val="0"/>
                <w:sz w:val="21"/>
                <w:szCs w:val="21"/>
                <w:lang w:bidi="ar"/>
              </w:rPr>
            </w:pPr>
          </w:p>
        </w:tc>
        <w:tc>
          <w:tcPr>
            <w:tcW w:w="365" w:type="pct"/>
            <w:vAlign w:val="center"/>
          </w:tcPr>
          <w:p w14:paraId="620786CE">
            <w:pPr>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总氮</w:t>
            </w:r>
          </w:p>
        </w:tc>
        <w:tc>
          <w:tcPr>
            <w:tcW w:w="291" w:type="pct"/>
            <w:vMerge w:val="continue"/>
            <w:vAlign w:val="center"/>
          </w:tcPr>
          <w:p w14:paraId="336B4C3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02" w:type="pct"/>
            <w:vMerge w:val="continue"/>
            <w:tcBorders>
              <w:right w:val="single" w:color="auto" w:sz="4" w:space="0"/>
            </w:tcBorders>
            <w:vAlign w:val="center"/>
          </w:tcPr>
          <w:p w14:paraId="7E6CAF50">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71" w:type="pct"/>
            <w:vMerge w:val="continue"/>
            <w:tcBorders>
              <w:left w:val="single" w:color="auto" w:sz="4" w:space="0"/>
            </w:tcBorders>
            <w:vAlign w:val="center"/>
          </w:tcPr>
          <w:p w14:paraId="356EE39B">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792" w:type="pct"/>
            <w:gridSpan w:val="2"/>
            <w:vMerge w:val="continue"/>
            <w:vAlign w:val="center"/>
          </w:tcPr>
          <w:p w14:paraId="5991A757">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60" w:type="pct"/>
            <w:shd w:val="clear" w:color="auto" w:fill="auto"/>
            <w:vAlign w:val="center"/>
          </w:tcPr>
          <w:p w14:paraId="27FCDF6F">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5.374</w:t>
            </w:r>
          </w:p>
        </w:tc>
        <w:tc>
          <w:tcPr>
            <w:tcW w:w="313" w:type="pct"/>
            <w:shd w:val="clear" w:color="auto" w:fill="auto"/>
            <w:vAlign w:val="center"/>
          </w:tcPr>
          <w:p w14:paraId="1E7C5BC1">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w:t>
            </w:r>
          </w:p>
        </w:tc>
        <w:tc>
          <w:tcPr>
            <w:tcW w:w="353" w:type="pct"/>
            <w:shd w:val="clear" w:color="auto" w:fill="auto"/>
            <w:vAlign w:val="center"/>
          </w:tcPr>
          <w:p w14:paraId="3CC511F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0.286</w:t>
            </w:r>
          </w:p>
        </w:tc>
        <w:tc>
          <w:tcPr>
            <w:tcW w:w="282" w:type="pct"/>
            <w:vAlign w:val="center"/>
          </w:tcPr>
          <w:p w14:paraId="09EB75D6">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70mg/L</w:t>
            </w:r>
          </w:p>
        </w:tc>
        <w:tc>
          <w:tcPr>
            <w:tcW w:w="671" w:type="pct"/>
            <w:vMerge w:val="continue"/>
            <w:vAlign w:val="center"/>
          </w:tcPr>
          <w:p w14:paraId="06FB66CB">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3" w:type="pct"/>
            <w:vMerge w:val="continue"/>
            <w:vAlign w:val="center"/>
          </w:tcPr>
          <w:p w14:paraId="6076C1DE">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7939C8B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131F5690">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81" w:type="pct"/>
            <w:vMerge w:val="continue"/>
            <w:shd w:val="clear" w:color="auto" w:fill="auto"/>
            <w:vAlign w:val="center"/>
          </w:tcPr>
          <w:p w14:paraId="5DA82FAA">
            <w:pPr>
              <w:widowControl/>
              <w:jc w:val="center"/>
              <w:textAlignment w:val="center"/>
              <w:rPr>
                <w:rFonts w:hint="default" w:ascii="Times New Roman" w:hAnsi="Times New Roman" w:cs="Times New Roman"/>
                <w:b w:val="0"/>
                <w:bCs w:val="0"/>
                <w:kern w:val="0"/>
                <w:sz w:val="21"/>
                <w:szCs w:val="21"/>
                <w:lang w:bidi="ar"/>
              </w:rPr>
            </w:pPr>
          </w:p>
        </w:tc>
        <w:tc>
          <w:tcPr>
            <w:tcW w:w="365" w:type="pct"/>
            <w:vAlign w:val="center"/>
          </w:tcPr>
          <w:p w14:paraId="51466F1E">
            <w:pPr>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溶解性固体</w:t>
            </w:r>
          </w:p>
        </w:tc>
        <w:tc>
          <w:tcPr>
            <w:tcW w:w="291" w:type="pct"/>
            <w:vMerge w:val="continue"/>
            <w:vAlign w:val="center"/>
          </w:tcPr>
          <w:p w14:paraId="5AFFB31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02" w:type="pct"/>
            <w:vMerge w:val="continue"/>
            <w:tcBorders>
              <w:right w:val="single" w:color="auto" w:sz="4" w:space="0"/>
            </w:tcBorders>
            <w:vAlign w:val="center"/>
          </w:tcPr>
          <w:p w14:paraId="14D5AE64">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71" w:type="pct"/>
            <w:vMerge w:val="continue"/>
            <w:tcBorders>
              <w:left w:val="single" w:color="auto" w:sz="4" w:space="0"/>
            </w:tcBorders>
            <w:vAlign w:val="center"/>
          </w:tcPr>
          <w:p w14:paraId="2FA331F5">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792" w:type="pct"/>
            <w:gridSpan w:val="2"/>
            <w:vMerge w:val="continue"/>
            <w:vAlign w:val="center"/>
          </w:tcPr>
          <w:p w14:paraId="0198F6DE">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60" w:type="pct"/>
            <w:shd w:val="clear" w:color="auto" w:fill="auto"/>
            <w:vAlign w:val="center"/>
          </w:tcPr>
          <w:p w14:paraId="5B183932">
            <w:pPr>
              <w:keepNext w:val="0"/>
              <w:keepLines w:val="0"/>
              <w:pageBreakBefore w:val="0"/>
              <w:kinsoku/>
              <w:wordWrap/>
              <w:overflowPunct/>
              <w:topLinePunct w:val="0"/>
              <w:autoSpaceDE/>
              <w:autoSpaceDN/>
              <w:bidi w:val="0"/>
              <w:snapToGrid w:val="0"/>
              <w:spacing w:line="280" w:lineRule="exact"/>
              <w:jc w:val="center"/>
              <w:rPr>
                <w:rFonts w:hint="eastAsia" w:ascii="Times New Roman" w:hAnsi="Times New Roman" w:eastAsia="宋体"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1697</w:t>
            </w:r>
          </w:p>
        </w:tc>
        <w:tc>
          <w:tcPr>
            <w:tcW w:w="313" w:type="pct"/>
            <w:shd w:val="clear" w:color="auto" w:fill="auto"/>
            <w:vAlign w:val="center"/>
          </w:tcPr>
          <w:p w14:paraId="09703EE2">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w:t>
            </w:r>
          </w:p>
        </w:tc>
        <w:tc>
          <w:tcPr>
            <w:tcW w:w="353" w:type="pct"/>
            <w:shd w:val="clear" w:color="auto" w:fill="auto"/>
            <w:vAlign w:val="center"/>
          </w:tcPr>
          <w:p w14:paraId="66D4748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90.55</w:t>
            </w:r>
          </w:p>
        </w:tc>
        <w:tc>
          <w:tcPr>
            <w:tcW w:w="282" w:type="pct"/>
            <w:vAlign w:val="center"/>
          </w:tcPr>
          <w:p w14:paraId="02FCFB6A">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2000mg/L</w:t>
            </w:r>
          </w:p>
        </w:tc>
        <w:tc>
          <w:tcPr>
            <w:tcW w:w="671" w:type="pct"/>
            <w:vMerge w:val="continue"/>
            <w:vAlign w:val="center"/>
          </w:tcPr>
          <w:p w14:paraId="2A8B7BD9">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3" w:type="pct"/>
            <w:vMerge w:val="continue"/>
            <w:vAlign w:val="center"/>
          </w:tcPr>
          <w:p w14:paraId="7E87DDDA">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486C718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Align w:val="center"/>
          </w:tcPr>
          <w:p w14:paraId="59117C86">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噪声</w:t>
            </w:r>
          </w:p>
        </w:tc>
        <w:tc>
          <w:tcPr>
            <w:tcW w:w="381" w:type="pct"/>
            <w:shd w:val="clear" w:color="auto" w:fill="auto"/>
            <w:vAlign w:val="center"/>
          </w:tcPr>
          <w:p w14:paraId="590A1AAB">
            <w:pPr>
              <w:widowControl/>
              <w:jc w:val="center"/>
              <w:textAlignment w:val="center"/>
              <w:rPr>
                <w:rFonts w:hint="default" w:ascii="Times New Roman" w:hAnsi="Times New Roman" w:eastAsia="宋体" w:cs="Times New Roman"/>
                <w:b w:val="0"/>
                <w:bCs w:val="0"/>
                <w:kern w:val="0"/>
                <w:sz w:val="21"/>
                <w:szCs w:val="21"/>
                <w:lang w:val="en-US" w:eastAsia="zh-CN" w:bidi="ar"/>
              </w:rPr>
            </w:pPr>
            <w:r>
              <w:rPr>
                <w:rFonts w:hint="eastAsia" w:ascii="Times New Roman" w:hAnsi="Times New Roman" w:cs="Times New Roman"/>
                <w:b w:val="0"/>
                <w:bCs w:val="0"/>
                <w:kern w:val="0"/>
                <w:sz w:val="21"/>
                <w:szCs w:val="21"/>
                <w:lang w:val="en-US" w:eastAsia="zh-CN" w:bidi="ar"/>
              </w:rPr>
              <w:t>高噪声设备</w:t>
            </w:r>
          </w:p>
        </w:tc>
        <w:tc>
          <w:tcPr>
            <w:tcW w:w="365" w:type="pct"/>
            <w:vAlign w:val="center"/>
          </w:tcPr>
          <w:p w14:paraId="08669C17">
            <w:pPr>
              <w:widowControl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等效A声级</w:t>
            </w:r>
          </w:p>
        </w:tc>
        <w:tc>
          <w:tcPr>
            <w:tcW w:w="965" w:type="pct"/>
            <w:gridSpan w:val="3"/>
            <w:vAlign w:val="center"/>
          </w:tcPr>
          <w:p w14:paraId="7A708910">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792" w:type="pct"/>
            <w:gridSpan w:val="2"/>
            <w:vAlign w:val="center"/>
          </w:tcPr>
          <w:p w14:paraId="284BA6BB">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厂房隔声、基础减振、进风口消声器等</w:t>
            </w:r>
          </w:p>
        </w:tc>
        <w:tc>
          <w:tcPr>
            <w:tcW w:w="1027" w:type="pct"/>
            <w:gridSpan w:val="3"/>
            <w:shd w:val="clear" w:color="auto" w:fill="auto"/>
            <w:vAlign w:val="center"/>
          </w:tcPr>
          <w:p w14:paraId="080FB650">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w:t>
            </w:r>
          </w:p>
        </w:tc>
        <w:tc>
          <w:tcPr>
            <w:tcW w:w="282" w:type="pct"/>
            <w:vAlign w:val="center"/>
          </w:tcPr>
          <w:p w14:paraId="48239E26">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昼间65DB（A）、夜间55DB（A）</w:t>
            </w:r>
          </w:p>
        </w:tc>
        <w:tc>
          <w:tcPr>
            <w:tcW w:w="671" w:type="pct"/>
            <w:vAlign w:val="center"/>
          </w:tcPr>
          <w:p w14:paraId="444FB401">
            <w:pPr>
              <w:keepNext w:val="0"/>
              <w:keepLines w:val="0"/>
              <w:pageBreakBefore w:val="0"/>
              <w:kinsoku/>
              <w:wordWrap/>
              <w:overflowPunct/>
              <w:topLinePunct w:val="0"/>
              <w:autoSpaceDE/>
              <w:autoSpaceDN/>
              <w:bidi w:val="0"/>
              <w:snapToGrid w:val="0"/>
              <w:spacing w:line="280" w:lineRule="exact"/>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sz w:val="21"/>
                <w:szCs w:val="21"/>
                <w:highlight w:val="none"/>
                <w:lang w:val="en-US" w:eastAsia="zh-CN"/>
              </w:rPr>
              <w:t>《工业企业厂界环境噪声排放标准》（GB12348-2008）3类标准</w:t>
            </w:r>
          </w:p>
        </w:tc>
        <w:tc>
          <w:tcPr>
            <w:tcW w:w="373" w:type="pct"/>
            <w:vMerge w:val="continue"/>
            <w:vAlign w:val="center"/>
          </w:tcPr>
          <w:p w14:paraId="2E2CDC7A">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5ADD55A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restart"/>
            <w:vAlign w:val="center"/>
          </w:tcPr>
          <w:p w14:paraId="13D91D6B">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固废</w:t>
            </w:r>
          </w:p>
        </w:tc>
        <w:tc>
          <w:tcPr>
            <w:tcW w:w="381" w:type="pct"/>
            <w:shd w:val="clear" w:color="auto" w:fill="auto"/>
            <w:vAlign w:val="center"/>
          </w:tcPr>
          <w:p w14:paraId="14735ADE">
            <w:pPr>
              <w:keepNext w:val="0"/>
              <w:keepLines w:val="0"/>
              <w:pageBreakBefore w:val="0"/>
              <w:widowControl w:val="0"/>
              <w:kinsoku/>
              <w:wordWrap/>
              <w:overflowPunct/>
              <w:topLinePunct/>
              <w:autoSpaceDE/>
              <w:autoSpaceDN/>
              <w:bidi w:val="0"/>
              <w:adjustRightInd w:val="0"/>
              <w:snapToGrid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二级反应加氢工艺</w:t>
            </w:r>
          </w:p>
        </w:tc>
        <w:tc>
          <w:tcPr>
            <w:tcW w:w="365" w:type="pct"/>
            <w:shd w:val="clear" w:color="auto" w:fill="auto"/>
            <w:vAlign w:val="center"/>
          </w:tcPr>
          <w:p w14:paraId="7FF92109">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rPr>
              <w:t>废加氢催化剂</w:t>
            </w:r>
          </w:p>
        </w:tc>
        <w:tc>
          <w:tcPr>
            <w:tcW w:w="291" w:type="pct"/>
            <w:vMerge w:val="restart"/>
            <w:vAlign w:val="center"/>
          </w:tcPr>
          <w:p w14:paraId="2F822759">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危险废物</w:t>
            </w:r>
          </w:p>
        </w:tc>
        <w:tc>
          <w:tcPr>
            <w:tcW w:w="1466" w:type="pct"/>
            <w:gridSpan w:val="4"/>
            <w:vAlign w:val="center"/>
          </w:tcPr>
          <w:p w14:paraId="5371F108">
            <w:pPr>
              <w:widowControl w:val="0"/>
              <w:jc w:val="center"/>
              <w:rPr>
                <w:rFonts w:ascii="Times New Roman" w:hAnsi="Times New Roman" w:eastAsia="宋体" w:cs="Times New Roman"/>
                <w:color w:val="auto"/>
                <w:kern w:val="2"/>
                <w:sz w:val="21"/>
                <w:szCs w:val="24"/>
                <w:lang w:val="en-US" w:eastAsia="zh-CN" w:bidi="ar-SA"/>
              </w:rPr>
            </w:pPr>
            <w:r>
              <w:rPr>
                <w:rFonts w:hint="default" w:ascii="Times New Roman" w:hAnsi="Times New Roman" w:cs="Times New Roman"/>
                <w:spacing w:val="0"/>
                <w:kern w:val="0"/>
                <w:sz w:val="21"/>
                <w:szCs w:val="21"/>
              </w:rPr>
              <w:t>交有资质单位处理</w:t>
            </w:r>
          </w:p>
        </w:tc>
        <w:tc>
          <w:tcPr>
            <w:tcW w:w="360" w:type="pct"/>
            <w:vAlign w:val="center"/>
          </w:tcPr>
          <w:p w14:paraId="53EB7EB1">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13" w:type="pct"/>
            <w:vAlign w:val="center"/>
          </w:tcPr>
          <w:p w14:paraId="7D81030F">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353" w:type="pct"/>
            <w:shd w:val="clear" w:color="auto" w:fill="auto"/>
            <w:vAlign w:val="center"/>
          </w:tcPr>
          <w:p w14:paraId="12339FD2">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0.3t/a</w:t>
            </w:r>
          </w:p>
        </w:tc>
        <w:tc>
          <w:tcPr>
            <w:tcW w:w="282" w:type="pct"/>
            <w:shd w:val="clear" w:color="auto" w:fill="auto"/>
            <w:vAlign w:val="center"/>
          </w:tcPr>
          <w:p w14:paraId="75C7BD7A">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71" w:type="pct"/>
            <w:vMerge w:val="restart"/>
            <w:vAlign w:val="center"/>
          </w:tcPr>
          <w:p w14:paraId="2928EAE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《危险废物贮存污染控制标准》</w:t>
            </w:r>
            <w:r>
              <w:rPr>
                <w:rFonts w:hint="eastAsia" w:ascii="Times New Roman" w:hAnsi="Times New Roman" w:eastAsia="宋体" w:cs="Times New Roman"/>
                <w:color w:val="auto"/>
                <w:kern w:val="2"/>
                <w:sz w:val="21"/>
                <w:szCs w:val="21"/>
                <w:lang w:val="en-US" w:eastAsia="zh-CN" w:bidi="ar-SA"/>
              </w:rPr>
              <w:t>（</w:t>
            </w:r>
            <w:r>
              <w:rPr>
                <w:rFonts w:ascii="Times New Roman" w:hAnsi="Times New Roman" w:eastAsia="宋体" w:cs="Times New Roman"/>
                <w:color w:val="auto"/>
                <w:kern w:val="2"/>
                <w:sz w:val="21"/>
                <w:szCs w:val="21"/>
                <w:lang w:val="en-US" w:eastAsia="zh-CN" w:bidi="ar-SA"/>
              </w:rPr>
              <w:t>GB 18597-2023</w:t>
            </w:r>
            <w:r>
              <w:rPr>
                <w:rFonts w:hint="eastAsia" w:ascii="Times New Roman" w:hAnsi="Times New Roman" w:eastAsia="宋体" w:cs="Times New Roman"/>
                <w:color w:val="auto"/>
                <w:kern w:val="2"/>
                <w:sz w:val="21"/>
                <w:szCs w:val="21"/>
                <w:lang w:val="en-US" w:eastAsia="zh-CN" w:bidi="ar-SA"/>
              </w:rPr>
              <w:t>）</w:t>
            </w:r>
          </w:p>
        </w:tc>
        <w:tc>
          <w:tcPr>
            <w:tcW w:w="373" w:type="pct"/>
            <w:vMerge w:val="continue"/>
            <w:shd w:val="clear" w:color="auto" w:fill="auto"/>
            <w:vAlign w:val="center"/>
          </w:tcPr>
          <w:p w14:paraId="14DA8531">
            <w:pPr>
              <w:widowControl w:val="0"/>
              <w:jc w:val="center"/>
              <w:rPr>
                <w:rFonts w:hint="default" w:ascii="Times New Roman" w:hAnsi="Times New Roman" w:eastAsia="宋体" w:cs="Times New Roman"/>
                <w:color w:val="auto"/>
                <w:kern w:val="2"/>
                <w:sz w:val="21"/>
                <w:szCs w:val="24"/>
                <w:lang w:val="en-US" w:eastAsia="zh-CN" w:bidi="ar-SA"/>
              </w:rPr>
            </w:pPr>
          </w:p>
        </w:tc>
      </w:tr>
      <w:tr w14:paraId="62FE35C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5889BAF2">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81" w:type="pct"/>
            <w:shd w:val="clear" w:color="auto" w:fill="auto"/>
            <w:vAlign w:val="center"/>
          </w:tcPr>
          <w:p w14:paraId="353EEB03">
            <w:pPr>
              <w:keepNext w:val="0"/>
              <w:keepLines w:val="0"/>
              <w:pageBreakBefore w:val="0"/>
              <w:widowControl w:val="0"/>
              <w:kinsoku/>
              <w:wordWrap/>
              <w:overflowPunct/>
              <w:topLinePunct/>
              <w:autoSpaceDE/>
              <w:autoSpaceDN/>
              <w:bidi w:val="0"/>
              <w:adjustRightInd w:val="0"/>
              <w:snapToGrid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甲醇制氢</w:t>
            </w:r>
            <w:r>
              <w:rPr>
                <w:rFonts w:hint="default" w:ascii="Times New Roman" w:hAnsi="Times New Roman" w:cs="Times New Roman"/>
                <w:sz w:val="21"/>
                <w:szCs w:val="21"/>
              </w:rPr>
              <w:t>工艺</w:t>
            </w:r>
          </w:p>
        </w:tc>
        <w:tc>
          <w:tcPr>
            <w:tcW w:w="365" w:type="pct"/>
            <w:shd w:val="clear" w:color="auto" w:fill="auto"/>
            <w:vAlign w:val="center"/>
          </w:tcPr>
          <w:p w14:paraId="3C944D98">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废变压吸附剂</w:t>
            </w:r>
          </w:p>
        </w:tc>
        <w:tc>
          <w:tcPr>
            <w:tcW w:w="291" w:type="pct"/>
            <w:vMerge w:val="continue"/>
            <w:vAlign w:val="center"/>
          </w:tcPr>
          <w:p w14:paraId="741AA1B9">
            <w:pPr>
              <w:widowControl w:val="0"/>
              <w:jc w:val="center"/>
              <w:rPr>
                <w:rFonts w:ascii="Times New Roman" w:hAnsi="Times New Roman" w:eastAsia="宋体" w:cs="Times New Roman"/>
                <w:color w:val="auto"/>
                <w:kern w:val="2"/>
                <w:sz w:val="21"/>
                <w:szCs w:val="24"/>
                <w:lang w:val="en-US" w:eastAsia="zh-CN" w:bidi="ar-SA"/>
              </w:rPr>
            </w:pPr>
          </w:p>
        </w:tc>
        <w:tc>
          <w:tcPr>
            <w:tcW w:w="1466" w:type="pct"/>
            <w:gridSpan w:val="4"/>
            <w:vAlign w:val="center"/>
          </w:tcPr>
          <w:p w14:paraId="33A10EB5">
            <w:pPr>
              <w:widowControl w:val="0"/>
              <w:jc w:val="center"/>
              <w:rPr>
                <w:rFonts w:ascii="Times New Roman" w:hAnsi="Times New Roman" w:eastAsia="宋体" w:cs="Times New Roman"/>
                <w:color w:val="auto"/>
                <w:spacing w:val="0"/>
                <w:kern w:val="2"/>
                <w:sz w:val="21"/>
                <w:szCs w:val="24"/>
                <w:lang w:val="en-US" w:eastAsia="zh-CN" w:bidi="ar-SA"/>
              </w:rPr>
            </w:pPr>
            <w:r>
              <w:rPr>
                <w:rFonts w:hint="default" w:ascii="Times New Roman" w:hAnsi="Times New Roman" w:cs="Times New Roman"/>
                <w:spacing w:val="0"/>
                <w:kern w:val="0"/>
                <w:sz w:val="21"/>
                <w:szCs w:val="21"/>
              </w:rPr>
              <w:t>交有资质单位处理</w:t>
            </w:r>
          </w:p>
        </w:tc>
        <w:tc>
          <w:tcPr>
            <w:tcW w:w="360" w:type="pct"/>
            <w:vAlign w:val="center"/>
          </w:tcPr>
          <w:p w14:paraId="534C2BA8">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13" w:type="pct"/>
            <w:vAlign w:val="center"/>
          </w:tcPr>
          <w:p w14:paraId="4F3EE81C">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353" w:type="pct"/>
            <w:shd w:val="clear" w:color="auto" w:fill="auto"/>
            <w:vAlign w:val="center"/>
          </w:tcPr>
          <w:p w14:paraId="73AFA6F4">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5t/10a</w:t>
            </w:r>
          </w:p>
        </w:tc>
        <w:tc>
          <w:tcPr>
            <w:tcW w:w="282" w:type="pct"/>
            <w:shd w:val="clear" w:color="auto" w:fill="auto"/>
            <w:vAlign w:val="center"/>
          </w:tcPr>
          <w:p w14:paraId="23871655">
            <w:pPr>
              <w:widowControl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71" w:type="pct"/>
            <w:vMerge w:val="continue"/>
            <w:vAlign w:val="center"/>
          </w:tcPr>
          <w:p w14:paraId="5D93D8D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3" w:type="pct"/>
            <w:vMerge w:val="continue"/>
            <w:shd w:val="clear" w:color="auto" w:fill="auto"/>
            <w:vAlign w:val="center"/>
          </w:tcPr>
          <w:p w14:paraId="760F2763">
            <w:pPr>
              <w:widowControl w:val="0"/>
              <w:jc w:val="center"/>
              <w:rPr>
                <w:rFonts w:hint="eastAsia" w:ascii="Times New Roman" w:hAnsi="Times New Roman" w:eastAsia="宋体" w:cs="Times New Roman"/>
                <w:color w:val="auto"/>
                <w:kern w:val="2"/>
                <w:sz w:val="21"/>
                <w:szCs w:val="24"/>
                <w:lang w:val="en-US" w:eastAsia="zh-CN" w:bidi="ar-SA"/>
              </w:rPr>
            </w:pPr>
          </w:p>
        </w:tc>
      </w:tr>
      <w:tr w14:paraId="351B1F5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5768B35A">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81" w:type="pct"/>
            <w:shd w:val="clear" w:color="auto" w:fill="auto"/>
            <w:vAlign w:val="center"/>
          </w:tcPr>
          <w:p w14:paraId="08E3B5CE">
            <w:pPr>
              <w:keepNext w:val="0"/>
              <w:keepLines w:val="0"/>
              <w:pageBreakBefore w:val="0"/>
              <w:widowControl w:val="0"/>
              <w:kinsoku/>
              <w:wordWrap/>
              <w:overflowPunct/>
              <w:topLinePunct/>
              <w:autoSpaceDE/>
              <w:autoSpaceDN/>
              <w:bidi w:val="0"/>
              <w:adjustRightInd w:val="0"/>
              <w:snapToGrid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甲醇制氢</w:t>
            </w:r>
            <w:r>
              <w:rPr>
                <w:rFonts w:hint="default" w:ascii="Times New Roman" w:hAnsi="Times New Roman" w:cs="Times New Roman"/>
                <w:sz w:val="21"/>
                <w:szCs w:val="21"/>
              </w:rPr>
              <w:t>工艺</w:t>
            </w:r>
          </w:p>
        </w:tc>
        <w:tc>
          <w:tcPr>
            <w:tcW w:w="365" w:type="pct"/>
            <w:shd w:val="clear" w:color="auto" w:fill="auto"/>
            <w:vAlign w:val="center"/>
          </w:tcPr>
          <w:p w14:paraId="2103D6FA">
            <w:pPr>
              <w:keepNext w:val="0"/>
              <w:keepLines w:val="0"/>
              <w:pageBreakBefore w:val="0"/>
              <w:widowControl w:val="0"/>
              <w:kinsoku/>
              <w:wordWrap/>
              <w:overflowPunct/>
              <w:autoSpaceDE/>
              <w:autoSpaceDN/>
              <w:bidi w:val="0"/>
              <w:spacing w:line="280" w:lineRule="exact"/>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sz w:val="21"/>
                <w:szCs w:val="21"/>
              </w:rPr>
              <w:t>废</w:t>
            </w:r>
            <w:r>
              <w:rPr>
                <w:rFonts w:hint="eastAsia" w:ascii="Times New Roman" w:hAnsi="Times New Roman" w:cs="Times New Roman"/>
                <w:sz w:val="21"/>
                <w:szCs w:val="21"/>
                <w:lang w:val="en-US" w:eastAsia="zh-CN"/>
              </w:rPr>
              <w:t>甲醇制氢催化剂</w:t>
            </w:r>
          </w:p>
        </w:tc>
        <w:tc>
          <w:tcPr>
            <w:tcW w:w="291" w:type="pct"/>
            <w:vMerge w:val="continue"/>
            <w:vAlign w:val="center"/>
          </w:tcPr>
          <w:p w14:paraId="236C13C4">
            <w:pPr>
              <w:widowControl w:val="0"/>
              <w:jc w:val="center"/>
              <w:rPr>
                <w:rFonts w:ascii="Times New Roman" w:hAnsi="Times New Roman" w:eastAsia="宋体" w:cs="Times New Roman"/>
                <w:color w:val="auto"/>
                <w:kern w:val="2"/>
                <w:sz w:val="21"/>
                <w:szCs w:val="24"/>
                <w:lang w:val="en-US" w:eastAsia="zh-CN" w:bidi="ar-SA"/>
              </w:rPr>
            </w:pPr>
          </w:p>
        </w:tc>
        <w:tc>
          <w:tcPr>
            <w:tcW w:w="1466" w:type="pct"/>
            <w:gridSpan w:val="4"/>
            <w:vAlign w:val="center"/>
          </w:tcPr>
          <w:p w14:paraId="5C79D5C4">
            <w:pPr>
              <w:widowControl w:val="0"/>
              <w:jc w:val="center"/>
              <w:rPr>
                <w:rFonts w:ascii="Times New Roman" w:hAnsi="Times New Roman" w:eastAsia="宋体" w:cs="Times New Roman"/>
                <w:color w:val="auto"/>
                <w:spacing w:val="0"/>
                <w:kern w:val="2"/>
                <w:sz w:val="21"/>
                <w:szCs w:val="24"/>
                <w:lang w:val="en-US" w:eastAsia="zh-CN" w:bidi="ar-SA"/>
              </w:rPr>
            </w:pPr>
            <w:r>
              <w:rPr>
                <w:rFonts w:hint="default" w:ascii="Times New Roman" w:hAnsi="Times New Roman" w:cs="Times New Roman"/>
                <w:spacing w:val="0"/>
                <w:kern w:val="0"/>
                <w:sz w:val="21"/>
                <w:szCs w:val="21"/>
              </w:rPr>
              <w:t>交有资质单位处理</w:t>
            </w:r>
          </w:p>
        </w:tc>
        <w:tc>
          <w:tcPr>
            <w:tcW w:w="360" w:type="pct"/>
            <w:shd w:val="clear" w:color="auto" w:fill="auto"/>
            <w:vAlign w:val="center"/>
          </w:tcPr>
          <w:p w14:paraId="4914321B">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13" w:type="pct"/>
            <w:shd w:val="clear" w:color="auto" w:fill="auto"/>
            <w:vAlign w:val="center"/>
          </w:tcPr>
          <w:p w14:paraId="38266020">
            <w:pPr>
              <w:widowControl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353" w:type="pct"/>
            <w:shd w:val="clear" w:color="auto" w:fill="auto"/>
            <w:vAlign w:val="center"/>
          </w:tcPr>
          <w:p w14:paraId="60534769">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0.8t/3a</w:t>
            </w:r>
          </w:p>
        </w:tc>
        <w:tc>
          <w:tcPr>
            <w:tcW w:w="282" w:type="pct"/>
            <w:shd w:val="clear" w:color="auto" w:fill="auto"/>
            <w:vAlign w:val="center"/>
          </w:tcPr>
          <w:p w14:paraId="7BDB73C9">
            <w:pPr>
              <w:widowControl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71" w:type="pct"/>
            <w:vMerge w:val="continue"/>
            <w:vAlign w:val="center"/>
          </w:tcPr>
          <w:p w14:paraId="1E32276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3" w:type="pct"/>
            <w:vMerge w:val="continue"/>
            <w:shd w:val="clear" w:color="auto" w:fill="auto"/>
            <w:vAlign w:val="center"/>
          </w:tcPr>
          <w:p w14:paraId="4F7069D2">
            <w:pPr>
              <w:widowControl w:val="0"/>
              <w:jc w:val="center"/>
              <w:rPr>
                <w:rFonts w:hint="eastAsia" w:ascii="Times New Roman" w:hAnsi="Times New Roman" w:eastAsia="宋体" w:cs="Times New Roman"/>
                <w:color w:val="auto"/>
                <w:kern w:val="2"/>
                <w:sz w:val="21"/>
                <w:szCs w:val="24"/>
                <w:lang w:val="en-US" w:eastAsia="zh-CN" w:bidi="ar-SA"/>
              </w:rPr>
            </w:pPr>
          </w:p>
        </w:tc>
      </w:tr>
      <w:tr w14:paraId="4D7BDD2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113CD894">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81" w:type="pct"/>
            <w:shd w:val="clear" w:color="auto" w:fill="auto"/>
            <w:vAlign w:val="center"/>
          </w:tcPr>
          <w:p w14:paraId="1CBA7B2B">
            <w:pPr>
              <w:keepNext w:val="0"/>
              <w:keepLines w:val="0"/>
              <w:pageBreakBefore w:val="0"/>
              <w:widowControl w:val="0"/>
              <w:kinsoku/>
              <w:wordWrap/>
              <w:overflowPunct/>
              <w:topLinePunct/>
              <w:autoSpaceDE/>
              <w:autoSpaceDN/>
              <w:bidi w:val="0"/>
              <w:adjustRightInd w:val="0"/>
              <w:snapToGrid w:val="0"/>
              <w:spacing w:line="280" w:lineRule="exact"/>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检修</w:t>
            </w:r>
          </w:p>
        </w:tc>
        <w:tc>
          <w:tcPr>
            <w:tcW w:w="365" w:type="pct"/>
            <w:shd w:val="clear" w:color="auto" w:fill="auto"/>
            <w:vAlign w:val="center"/>
          </w:tcPr>
          <w:p w14:paraId="65256B56">
            <w:pPr>
              <w:keepNext w:val="0"/>
              <w:keepLines w:val="0"/>
              <w:pageBreakBefore w:val="0"/>
              <w:widowControl w:val="0"/>
              <w:kinsoku/>
              <w:wordWrap/>
              <w:overflowPunct/>
              <w:autoSpaceDE/>
              <w:autoSpaceDN/>
              <w:bidi w:val="0"/>
              <w:spacing w:line="280" w:lineRule="exact"/>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sz w:val="21"/>
                <w:szCs w:val="21"/>
              </w:rPr>
              <w:t>废</w:t>
            </w:r>
            <w:r>
              <w:rPr>
                <w:rFonts w:hint="eastAsia" w:ascii="Times New Roman" w:hAnsi="Times New Roman" w:cs="Times New Roman"/>
                <w:sz w:val="21"/>
                <w:szCs w:val="21"/>
                <w:lang w:val="en-US" w:eastAsia="zh-CN"/>
              </w:rPr>
              <w:t>润滑油</w:t>
            </w:r>
          </w:p>
        </w:tc>
        <w:tc>
          <w:tcPr>
            <w:tcW w:w="291" w:type="pct"/>
            <w:vMerge w:val="continue"/>
            <w:vAlign w:val="center"/>
          </w:tcPr>
          <w:p w14:paraId="32180E4B">
            <w:pPr>
              <w:widowControl w:val="0"/>
              <w:jc w:val="center"/>
              <w:rPr>
                <w:rFonts w:ascii="Times New Roman" w:hAnsi="Times New Roman" w:eastAsia="宋体" w:cs="Times New Roman"/>
                <w:color w:val="auto"/>
                <w:kern w:val="2"/>
                <w:sz w:val="21"/>
                <w:szCs w:val="24"/>
                <w:lang w:val="en-US" w:eastAsia="zh-CN" w:bidi="ar-SA"/>
              </w:rPr>
            </w:pPr>
          </w:p>
        </w:tc>
        <w:tc>
          <w:tcPr>
            <w:tcW w:w="1466" w:type="pct"/>
            <w:gridSpan w:val="4"/>
            <w:shd w:val="clear" w:color="auto" w:fill="auto"/>
            <w:vAlign w:val="center"/>
          </w:tcPr>
          <w:p w14:paraId="664E5D03">
            <w:pPr>
              <w:widowControl w:val="0"/>
              <w:jc w:val="center"/>
              <w:rPr>
                <w:rFonts w:ascii="Times New Roman" w:hAnsi="Times New Roman" w:eastAsia="宋体" w:cs="Times New Roman"/>
                <w:color w:val="auto"/>
                <w:spacing w:val="0"/>
                <w:kern w:val="2"/>
                <w:sz w:val="21"/>
                <w:szCs w:val="24"/>
                <w:lang w:val="en-US" w:eastAsia="zh-CN" w:bidi="ar-SA"/>
              </w:rPr>
            </w:pPr>
            <w:r>
              <w:rPr>
                <w:rFonts w:hint="default" w:ascii="Times New Roman" w:hAnsi="Times New Roman" w:cs="Times New Roman"/>
                <w:spacing w:val="0"/>
                <w:kern w:val="0"/>
                <w:sz w:val="21"/>
                <w:szCs w:val="21"/>
              </w:rPr>
              <w:t>交有资质单位处理</w:t>
            </w:r>
          </w:p>
        </w:tc>
        <w:tc>
          <w:tcPr>
            <w:tcW w:w="360" w:type="pct"/>
            <w:shd w:val="clear" w:color="auto" w:fill="auto"/>
            <w:vAlign w:val="center"/>
          </w:tcPr>
          <w:p w14:paraId="13E41AAA">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13" w:type="pct"/>
            <w:shd w:val="clear" w:color="auto" w:fill="auto"/>
            <w:vAlign w:val="center"/>
          </w:tcPr>
          <w:p w14:paraId="4BACAAF4">
            <w:pPr>
              <w:widowControl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353" w:type="pct"/>
            <w:shd w:val="clear" w:color="auto" w:fill="auto"/>
            <w:vAlign w:val="center"/>
          </w:tcPr>
          <w:p w14:paraId="151BF3A6">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2t/a</w:t>
            </w:r>
          </w:p>
        </w:tc>
        <w:tc>
          <w:tcPr>
            <w:tcW w:w="282" w:type="pct"/>
            <w:shd w:val="clear" w:color="auto" w:fill="auto"/>
            <w:vAlign w:val="center"/>
          </w:tcPr>
          <w:p w14:paraId="0445C799">
            <w:pPr>
              <w:widowControl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71" w:type="pct"/>
            <w:vMerge w:val="continue"/>
            <w:vAlign w:val="center"/>
          </w:tcPr>
          <w:p w14:paraId="720CD9F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3" w:type="pct"/>
            <w:vMerge w:val="continue"/>
            <w:shd w:val="clear" w:color="auto" w:fill="auto"/>
            <w:vAlign w:val="center"/>
          </w:tcPr>
          <w:p w14:paraId="02905FC7">
            <w:pPr>
              <w:widowControl w:val="0"/>
              <w:jc w:val="center"/>
              <w:rPr>
                <w:rFonts w:hint="eastAsia" w:ascii="Times New Roman" w:hAnsi="Times New Roman" w:eastAsia="宋体" w:cs="Times New Roman"/>
                <w:color w:val="auto"/>
                <w:kern w:val="2"/>
                <w:sz w:val="21"/>
                <w:szCs w:val="24"/>
                <w:lang w:val="en-US" w:eastAsia="zh-CN" w:bidi="ar-SA"/>
              </w:rPr>
            </w:pPr>
          </w:p>
        </w:tc>
      </w:tr>
      <w:tr w14:paraId="0CE967C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07F5F632">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81" w:type="pct"/>
            <w:shd w:val="clear" w:color="auto" w:fill="auto"/>
            <w:vAlign w:val="center"/>
          </w:tcPr>
          <w:p w14:paraId="1C799AF8">
            <w:pPr>
              <w:keepNext w:val="0"/>
              <w:keepLines w:val="0"/>
              <w:pageBreakBefore w:val="0"/>
              <w:widowControl w:val="0"/>
              <w:kinsoku/>
              <w:wordWrap/>
              <w:overflowPunct/>
              <w:topLinePunct/>
              <w:autoSpaceDE/>
              <w:autoSpaceDN/>
              <w:bidi w:val="0"/>
              <w:adjustRightInd w:val="0"/>
              <w:snapToGrid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2#尾气处理装置</w:t>
            </w:r>
          </w:p>
        </w:tc>
        <w:tc>
          <w:tcPr>
            <w:tcW w:w="365" w:type="pct"/>
            <w:shd w:val="clear" w:color="auto" w:fill="auto"/>
            <w:vAlign w:val="center"/>
          </w:tcPr>
          <w:p w14:paraId="5F527A98">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废活性炭</w:t>
            </w:r>
          </w:p>
        </w:tc>
        <w:tc>
          <w:tcPr>
            <w:tcW w:w="291" w:type="pct"/>
            <w:vMerge w:val="continue"/>
            <w:vAlign w:val="center"/>
          </w:tcPr>
          <w:p w14:paraId="37CC386E">
            <w:pPr>
              <w:widowControl w:val="0"/>
              <w:jc w:val="center"/>
              <w:rPr>
                <w:rFonts w:ascii="Times New Roman" w:hAnsi="Times New Roman" w:eastAsia="宋体" w:cs="Times New Roman"/>
                <w:color w:val="auto"/>
                <w:kern w:val="2"/>
                <w:sz w:val="21"/>
                <w:szCs w:val="24"/>
                <w:lang w:val="en-US" w:eastAsia="zh-CN" w:bidi="ar-SA"/>
              </w:rPr>
            </w:pPr>
          </w:p>
        </w:tc>
        <w:tc>
          <w:tcPr>
            <w:tcW w:w="1466" w:type="pct"/>
            <w:gridSpan w:val="4"/>
            <w:shd w:val="clear" w:color="auto" w:fill="auto"/>
            <w:vAlign w:val="center"/>
          </w:tcPr>
          <w:p w14:paraId="588E3718">
            <w:pPr>
              <w:widowControl w:val="0"/>
              <w:jc w:val="center"/>
              <w:rPr>
                <w:rFonts w:ascii="Times New Roman" w:hAnsi="Times New Roman" w:eastAsia="宋体" w:cs="Times New Roman"/>
                <w:color w:val="auto"/>
                <w:spacing w:val="0"/>
                <w:kern w:val="2"/>
                <w:sz w:val="21"/>
                <w:szCs w:val="24"/>
                <w:lang w:val="en-US" w:eastAsia="zh-CN" w:bidi="ar-SA"/>
              </w:rPr>
            </w:pPr>
            <w:r>
              <w:rPr>
                <w:rFonts w:hint="default" w:ascii="Times New Roman" w:hAnsi="Times New Roman" w:cs="Times New Roman"/>
                <w:spacing w:val="0"/>
                <w:kern w:val="0"/>
                <w:sz w:val="21"/>
                <w:szCs w:val="21"/>
              </w:rPr>
              <w:t>交有资质单位处理</w:t>
            </w:r>
          </w:p>
        </w:tc>
        <w:tc>
          <w:tcPr>
            <w:tcW w:w="360" w:type="pct"/>
            <w:shd w:val="clear" w:color="auto" w:fill="auto"/>
            <w:vAlign w:val="center"/>
          </w:tcPr>
          <w:p w14:paraId="07034D6A">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13" w:type="pct"/>
            <w:shd w:val="clear" w:color="auto" w:fill="auto"/>
            <w:vAlign w:val="center"/>
          </w:tcPr>
          <w:p w14:paraId="25C2EE47">
            <w:pPr>
              <w:widowControl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353" w:type="pct"/>
            <w:shd w:val="clear" w:color="auto" w:fill="auto"/>
            <w:vAlign w:val="center"/>
          </w:tcPr>
          <w:p w14:paraId="5E05EBB0">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7.2t/a</w:t>
            </w:r>
          </w:p>
        </w:tc>
        <w:tc>
          <w:tcPr>
            <w:tcW w:w="282" w:type="pct"/>
            <w:shd w:val="clear" w:color="auto" w:fill="auto"/>
            <w:vAlign w:val="center"/>
          </w:tcPr>
          <w:p w14:paraId="057F0936">
            <w:pPr>
              <w:widowControl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71" w:type="pct"/>
            <w:vMerge w:val="continue"/>
            <w:vAlign w:val="center"/>
          </w:tcPr>
          <w:p w14:paraId="4D0D1DBB">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3" w:type="pct"/>
            <w:vMerge w:val="continue"/>
            <w:shd w:val="clear" w:color="auto" w:fill="auto"/>
            <w:vAlign w:val="center"/>
          </w:tcPr>
          <w:p w14:paraId="799F83DA">
            <w:pPr>
              <w:widowControl w:val="0"/>
              <w:jc w:val="center"/>
              <w:rPr>
                <w:rFonts w:hint="eastAsia" w:ascii="Times New Roman" w:hAnsi="Times New Roman" w:eastAsia="宋体" w:cs="Times New Roman"/>
                <w:color w:val="auto"/>
                <w:kern w:val="2"/>
                <w:sz w:val="21"/>
                <w:szCs w:val="24"/>
                <w:lang w:val="en-US" w:eastAsia="zh-CN" w:bidi="ar-SA"/>
              </w:rPr>
            </w:pPr>
          </w:p>
        </w:tc>
      </w:tr>
      <w:tr w14:paraId="7D61E3A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380D897D">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81" w:type="pct"/>
            <w:shd w:val="clear" w:color="auto" w:fill="auto"/>
            <w:vAlign w:val="center"/>
          </w:tcPr>
          <w:p w14:paraId="1C9638E7">
            <w:pPr>
              <w:keepNext w:val="0"/>
              <w:keepLines w:val="0"/>
              <w:pageBreakBefore w:val="0"/>
              <w:widowControl w:val="0"/>
              <w:kinsoku/>
              <w:wordWrap/>
              <w:overflowPunct/>
              <w:topLinePunct/>
              <w:autoSpaceDE/>
              <w:autoSpaceDN/>
              <w:bidi w:val="0"/>
              <w:adjustRightInd w:val="0"/>
              <w:snapToGrid w:val="0"/>
              <w:spacing w:line="280" w:lineRule="exact"/>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天然气导热油炉</w:t>
            </w:r>
          </w:p>
        </w:tc>
        <w:tc>
          <w:tcPr>
            <w:tcW w:w="365" w:type="pct"/>
            <w:shd w:val="clear" w:color="auto" w:fill="auto"/>
            <w:vAlign w:val="center"/>
          </w:tcPr>
          <w:p w14:paraId="406A0F0E">
            <w:pPr>
              <w:keepNext w:val="0"/>
              <w:keepLines w:val="0"/>
              <w:pageBreakBefore w:val="0"/>
              <w:widowControl w:val="0"/>
              <w:kinsoku/>
              <w:wordWrap/>
              <w:overflowPunct/>
              <w:autoSpaceDE/>
              <w:autoSpaceDN/>
              <w:bidi w:val="0"/>
              <w:spacing w:line="280" w:lineRule="exact"/>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sz w:val="21"/>
                <w:szCs w:val="21"/>
              </w:rPr>
              <w:t>废导热油</w:t>
            </w:r>
          </w:p>
        </w:tc>
        <w:tc>
          <w:tcPr>
            <w:tcW w:w="291" w:type="pct"/>
            <w:vMerge w:val="continue"/>
            <w:vAlign w:val="center"/>
          </w:tcPr>
          <w:p w14:paraId="01818D91">
            <w:pPr>
              <w:widowControl w:val="0"/>
              <w:jc w:val="center"/>
              <w:rPr>
                <w:rFonts w:ascii="Times New Roman" w:hAnsi="Times New Roman" w:eastAsia="宋体" w:cs="Times New Roman"/>
                <w:color w:val="auto"/>
                <w:kern w:val="2"/>
                <w:sz w:val="21"/>
                <w:szCs w:val="24"/>
                <w:lang w:val="en-US" w:eastAsia="zh-CN" w:bidi="ar-SA"/>
              </w:rPr>
            </w:pPr>
          </w:p>
        </w:tc>
        <w:tc>
          <w:tcPr>
            <w:tcW w:w="1466" w:type="pct"/>
            <w:gridSpan w:val="4"/>
            <w:shd w:val="clear" w:color="auto" w:fill="auto"/>
            <w:vAlign w:val="center"/>
          </w:tcPr>
          <w:p w14:paraId="4B659AB3">
            <w:pPr>
              <w:widowControl w:val="0"/>
              <w:jc w:val="center"/>
              <w:rPr>
                <w:rFonts w:hint="default" w:ascii="Times New Roman" w:hAnsi="Times New Roman" w:eastAsia="宋体" w:cs="Times New Roman"/>
                <w:color w:val="auto"/>
                <w:spacing w:val="0"/>
                <w:kern w:val="2"/>
                <w:sz w:val="21"/>
                <w:szCs w:val="24"/>
                <w:lang w:val="en-US" w:eastAsia="zh-CN" w:bidi="ar-SA"/>
              </w:rPr>
            </w:pPr>
            <w:r>
              <w:rPr>
                <w:rFonts w:hint="default" w:ascii="Times New Roman" w:hAnsi="Times New Roman" w:cs="Times New Roman"/>
                <w:spacing w:val="0"/>
                <w:kern w:val="0"/>
                <w:sz w:val="21"/>
                <w:szCs w:val="21"/>
              </w:rPr>
              <w:t>交有资质单位处理</w:t>
            </w:r>
          </w:p>
        </w:tc>
        <w:tc>
          <w:tcPr>
            <w:tcW w:w="360" w:type="pct"/>
            <w:shd w:val="clear" w:color="auto" w:fill="auto"/>
            <w:vAlign w:val="center"/>
          </w:tcPr>
          <w:p w14:paraId="68A81CBA">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13" w:type="pct"/>
            <w:shd w:val="clear" w:color="auto" w:fill="auto"/>
            <w:vAlign w:val="center"/>
          </w:tcPr>
          <w:p w14:paraId="23A8B647">
            <w:pPr>
              <w:widowControl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353" w:type="pct"/>
            <w:shd w:val="clear" w:color="auto" w:fill="auto"/>
            <w:vAlign w:val="center"/>
          </w:tcPr>
          <w:p w14:paraId="36EC8DBF">
            <w:pPr>
              <w:keepNext w:val="0"/>
              <w:keepLines w:val="0"/>
              <w:pageBreakBefore w:val="0"/>
              <w:widowControl w:val="0"/>
              <w:kinsoku/>
              <w:wordWrap/>
              <w:overflowPunct/>
              <w:autoSpaceDE/>
              <w:autoSpaceDN/>
              <w:bidi w:val="0"/>
              <w:spacing w:line="280" w:lineRule="exact"/>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15t/3a</w:t>
            </w:r>
          </w:p>
        </w:tc>
        <w:tc>
          <w:tcPr>
            <w:tcW w:w="282" w:type="pct"/>
            <w:shd w:val="clear" w:color="auto" w:fill="auto"/>
            <w:vAlign w:val="center"/>
          </w:tcPr>
          <w:p w14:paraId="31CB8F4B">
            <w:pPr>
              <w:widowControl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71" w:type="pct"/>
            <w:vMerge w:val="continue"/>
            <w:vAlign w:val="center"/>
          </w:tcPr>
          <w:p w14:paraId="1295D37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3" w:type="pct"/>
            <w:vMerge w:val="continue"/>
            <w:shd w:val="clear" w:color="auto" w:fill="auto"/>
            <w:vAlign w:val="center"/>
          </w:tcPr>
          <w:p w14:paraId="0CE0F8C9">
            <w:pPr>
              <w:widowControl w:val="0"/>
              <w:jc w:val="center"/>
              <w:rPr>
                <w:rFonts w:hint="eastAsia" w:ascii="Times New Roman" w:hAnsi="Times New Roman" w:eastAsia="宋体" w:cs="Times New Roman"/>
                <w:color w:val="auto"/>
                <w:kern w:val="2"/>
                <w:sz w:val="21"/>
                <w:szCs w:val="24"/>
                <w:lang w:val="en-US" w:eastAsia="zh-CN" w:bidi="ar-SA"/>
              </w:rPr>
            </w:pPr>
          </w:p>
        </w:tc>
      </w:tr>
      <w:tr w14:paraId="2035A57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6D0C5FAC">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81" w:type="pct"/>
            <w:shd w:val="clear" w:color="auto" w:fill="auto"/>
            <w:vAlign w:val="center"/>
          </w:tcPr>
          <w:p w14:paraId="66F1852A">
            <w:pPr>
              <w:keepNext w:val="0"/>
              <w:keepLines w:val="0"/>
              <w:pageBreakBefore w:val="0"/>
              <w:widowControl w:val="0"/>
              <w:kinsoku/>
              <w:wordWrap/>
              <w:overflowPunct/>
              <w:topLinePunct/>
              <w:autoSpaceDE/>
              <w:autoSpaceDN/>
              <w:bidi w:val="0"/>
              <w:adjustRightInd w:val="0"/>
              <w:snapToGrid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原辅材料使用</w:t>
            </w:r>
          </w:p>
        </w:tc>
        <w:tc>
          <w:tcPr>
            <w:tcW w:w="365" w:type="pct"/>
            <w:shd w:val="clear" w:color="auto" w:fill="auto"/>
            <w:vAlign w:val="center"/>
          </w:tcPr>
          <w:p w14:paraId="18BD2165">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化学品废包装材料</w:t>
            </w:r>
          </w:p>
        </w:tc>
        <w:tc>
          <w:tcPr>
            <w:tcW w:w="291" w:type="pct"/>
            <w:vMerge w:val="continue"/>
            <w:vAlign w:val="center"/>
          </w:tcPr>
          <w:p w14:paraId="04CB7FB5">
            <w:pPr>
              <w:widowControl w:val="0"/>
              <w:jc w:val="center"/>
              <w:rPr>
                <w:rFonts w:ascii="Times New Roman" w:hAnsi="Times New Roman" w:eastAsia="宋体" w:cs="Times New Roman"/>
                <w:color w:val="auto"/>
                <w:kern w:val="2"/>
                <w:sz w:val="21"/>
                <w:szCs w:val="24"/>
                <w:lang w:val="en-US" w:eastAsia="zh-CN" w:bidi="ar-SA"/>
              </w:rPr>
            </w:pPr>
          </w:p>
        </w:tc>
        <w:tc>
          <w:tcPr>
            <w:tcW w:w="1466" w:type="pct"/>
            <w:gridSpan w:val="4"/>
            <w:shd w:val="clear" w:color="auto" w:fill="auto"/>
            <w:vAlign w:val="center"/>
          </w:tcPr>
          <w:p w14:paraId="07C6A3F8">
            <w:pPr>
              <w:widowControl w:val="0"/>
              <w:jc w:val="center"/>
              <w:rPr>
                <w:rFonts w:ascii="Times New Roman" w:hAnsi="Times New Roman" w:eastAsia="宋体" w:cs="Times New Roman"/>
                <w:color w:val="auto"/>
                <w:spacing w:val="0"/>
                <w:kern w:val="2"/>
                <w:sz w:val="21"/>
                <w:szCs w:val="24"/>
                <w:lang w:val="en-US" w:eastAsia="zh-CN" w:bidi="ar-SA"/>
              </w:rPr>
            </w:pPr>
            <w:r>
              <w:rPr>
                <w:rFonts w:hint="default" w:ascii="Times New Roman" w:hAnsi="Times New Roman" w:cs="Times New Roman"/>
                <w:spacing w:val="0"/>
                <w:kern w:val="0"/>
                <w:sz w:val="21"/>
                <w:szCs w:val="21"/>
              </w:rPr>
              <w:t>交有资质单位处理</w:t>
            </w:r>
          </w:p>
        </w:tc>
        <w:tc>
          <w:tcPr>
            <w:tcW w:w="360" w:type="pct"/>
            <w:shd w:val="clear" w:color="auto" w:fill="auto"/>
            <w:vAlign w:val="center"/>
          </w:tcPr>
          <w:p w14:paraId="21517D98">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13" w:type="pct"/>
            <w:shd w:val="clear" w:color="auto" w:fill="auto"/>
            <w:vAlign w:val="center"/>
          </w:tcPr>
          <w:p w14:paraId="2A8FF6AC">
            <w:pPr>
              <w:widowControl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353" w:type="pct"/>
            <w:shd w:val="clear" w:color="auto" w:fill="auto"/>
            <w:vAlign w:val="center"/>
          </w:tcPr>
          <w:p w14:paraId="6E81DDF1">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0.5t/a</w:t>
            </w:r>
          </w:p>
        </w:tc>
        <w:tc>
          <w:tcPr>
            <w:tcW w:w="282" w:type="pct"/>
            <w:tcBorders>
              <w:bottom w:val="single" w:color="auto" w:sz="4" w:space="0"/>
            </w:tcBorders>
            <w:shd w:val="clear" w:color="auto" w:fill="auto"/>
            <w:vAlign w:val="center"/>
          </w:tcPr>
          <w:p w14:paraId="39958F11">
            <w:pPr>
              <w:widowControl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71" w:type="pct"/>
            <w:vMerge w:val="continue"/>
            <w:tcBorders>
              <w:bottom w:val="single" w:color="auto" w:sz="4" w:space="0"/>
            </w:tcBorders>
            <w:vAlign w:val="center"/>
          </w:tcPr>
          <w:p w14:paraId="16762A4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73" w:type="pct"/>
            <w:vMerge w:val="continue"/>
            <w:shd w:val="clear" w:color="auto" w:fill="auto"/>
            <w:vAlign w:val="center"/>
          </w:tcPr>
          <w:p w14:paraId="6CDC0985">
            <w:pPr>
              <w:widowControl w:val="0"/>
              <w:jc w:val="center"/>
              <w:rPr>
                <w:rFonts w:hint="eastAsia" w:ascii="Times New Roman" w:hAnsi="Times New Roman" w:eastAsia="宋体" w:cs="Times New Roman"/>
                <w:color w:val="auto"/>
                <w:kern w:val="2"/>
                <w:sz w:val="21"/>
                <w:szCs w:val="24"/>
                <w:lang w:val="en-US" w:eastAsia="zh-CN" w:bidi="ar-SA"/>
              </w:rPr>
            </w:pPr>
          </w:p>
        </w:tc>
      </w:tr>
      <w:tr w14:paraId="07E97F3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591306FE">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81" w:type="pct"/>
            <w:shd w:val="clear" w:color="auto" w:fill="auto"/>
            <w:vAlign w:val="center"/>
          </w:tcPr>
          <w:p w14:paraId="74572A3D">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DC粗品处理工序</w:t>
            </w:r>
          </w:p>
        </w:tc>
        <w:tc>
          <w:tcPr>
            <w:tcW w:w="365" w:type="pct"/>
            <w:shd w:val="clear" w:color="auto" w:fill="auto"/>
            <w:vAlign w:val="center"/>
          </w:tcPr>
          <w:p w14:paraId="495644D0">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废硅藻土</w:t>
            </w:r>
          </w:p>
        </w:tc>
        <w:tc>
          <w:tcPr>
            <w:tcW w:w="291" w:type="pct"/>
            <w:vMerge w:val="restart"/>
            <w:vAlign w:val="center"/>
          </w:tcPr>
          <w:p w14:paraId="4B084528">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一般工业固体废物</w:t>
            </w:r>
          </w:p>
        </w:tc>
        <w:tc>
          <w:tcPr>
            <w:tcW w:w="1466" w:type="pct"/>
            <w:gridSpan w:val="4"/>
            <w:vAlign w:val="center"/>
          </w:tcPr>
          <w:p w14:paraId="0957A66B">
            <w:pPr>
              <w:widowControl w:val="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sz w:val="21"/>
                <w:szCs w:val="21"/>
                <w:lang w:val="en-US" w:eastAsia="zh-CN"/>
              </w:rPr>
              <w:t>清运至</w:t>
            </w:r>
            <w:r>
              <w:rPr>
                <w:rFonts w:hint="eastAsia" w:ascii="Times New Roman" w:hAnsi="Times New Roman" w:cs="Times New Roman"/>
                <w:sz w:val="21"/>
                <w:szCs w:val="21"/>
                <w:lang w:val="en-US" w:eastAsia="zh-CN"/>
              </w:rPr>
              <w:t>园区一般工业固废填埋场</w:t>
            </w:r>
            <w:r>
              <w:rPr>
                <w:rFonts w:hint="eastAsia" w:ascii="Times New Roman" w:hAnsi="Times New Roman" w:eastAsia="宋体" w:cs="Times New Roman"/>
                <w:sz w:val="21"/>
                <w:szCs w:val="21"/>
                <w:lang w:val="en-US" w:eastAsia="zh-CN"/>
              </w:rPr>
              <w:t>填埋处置</w:t>
            </w:r>
          </w:p>
        </w:tc>
        <w:tc>
          <w:tcPr>
            <w:tcW w:w="360" w:type="pct"/>
            <w:shd w:val="clear" w:color="auto" w:fill="auto"/>
            <w:vAlign w:val="center"/>
          </w:tcPr>
          <w:p w14:paraId="0CE5178C">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13" w:type="pct"/>
            <w:shd w:val="clear" w:color="auto" w:fill="auto"/>
            <w:vAlign w:val="center"/>
          </w:tcPr>
          <w:p w14:paraId="33810D9E">
            <w:pPr>
              <w:widowControl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353" w:type="pct"/>
            <w:shd w:val="clear" w:color="auto" w:fill="auto"/>
            <w:vAlign w:val="center"/>
          </w:tcPr>
          <w:p w14:paraId="7AAC16CE">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865.325t/a</w:t>
            </w:r>
          </w:p>
        </w:tc>
        <w:tc>
          <w:tcPr>
            <w:tcW w:w="282" w:type="pct"/>
            <w:tcBorders>
              <w:top w:val="single" w:color="auto" w:sz="4" w:space="0"/>
            </w:tcBorders>
            <w:shd w:val="clear" w:color="auto" w:fill="auto"/>
            <w:vAlign w:val="center"/>
          </w:tcPr>
          <w:p w14:paraId="1B9D2473">
            <w:pPr>
              <w:widowControl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71" w:type="pct"/>
            <w:vMerge w:val="restart"/>
            <w:tcBorders>
              <w:top w:val="single" w:color="auto" w:sz="4" w:space="0"/>
            </w:tcBorders>
            <w:vAlign w:val="center"/>
          </w:tcPr>
          <w:p w14:paraId="799FCC0D">
            <w:pPr>
              <w:widowControl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zh-CN" w:eastAsia="zh-CN"/>
              </w:rPr>
              <w:t>《一般工业固体废物贮存和填埋污染控制标准》（GB18559-2020）</w:t>
            </w:r>
          </w:p>
        </w:tc>
        <w:tc>
          <w:tcPr>
            <w:tcW w:w="373" w:type="pct"/>
            <w:vMerge w:val="continue"/>
            <w:shd w:val="clear" w:color="auto" w:fill="auto"/>
            <w:vAlign w:val="center"/>
          </w:tcPr>
          <w:p w14:paraId="1BF0357C">
            <w:pPr>
              <w:widowControl w:val="0"/>
              <w:jc w:val="center"/>
              <w:rPr>
                <w:rFonts w:hint="eastAsia" w:ascii="Times New Roman" w:hAnsi="Times New Roman" w:eastAsia="宋体" w:cs="Times New Roman"/>
                <w:sz w:val="21"/>
                <w:szCs w:val="21"/>
                <w:lang w:val="en-US" w:eastAsia="zh-CN" w:bidi="ar-SA"/>
              </w:rPr>
            </w:pPr>
          </w:p>
        </w:tc>
      </w:tr>
      <w:tr w14:paraId="12C6CFE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2298121A">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81" w:type="pct"/>
            <w:shd w:val="clear" w:color="auto" w:fill="auto"/>
            <w:vAlign w:val="center"/>
          </w:tcPr>
          <w:p w14:paraId="26D947C8">
            <w:pPr>
              <w:keepNext w:val="0"/>
              <w:keepLines w:val="0"/>
              <w:pageBreakBefore w:val="0"/>
              <w:widowControl w:val="0"/>
              <w:kinsoku/>
              <w:wordWrap/>
              <w:overflowPunct/>
              <w:topLinePunct/>
              <w:autoSpaceDE/>
              <w:autoSpaceDN/>
              <w:bidi w:val="0"/>
              <w:adjustRightInd w:val="0"/>
              <w:snapToGrid w:val="0"/>
              <w:spacing w:line="280" w:lineRule="exact"/>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污水处理站</w:t>
            </w:r>
          </w:p>
        </w:tc>
        <w:tc>
          <w:tcPr>
            <w:tcW w:w="365" w:type="pct"/>
            <w:shd w:val="clear" w:color="auto" w:fill="auto"/>
            <w:vAlign w:val="center"/>
          </w:tcPr>
          <w:p w14:paraId="7CCEB185">
            <w:pPr>
              <w:keepNext w:val="0"/>
              <w:keepLines w:val="0"/>
              <w:pageBreakBefore w:val="0"/>
              <w:widowControl w:val="0"/>
              <w:kinsoku/>
              <w:wordWrap/>
              <w:overflowPunct/>
              <w:autoSpaceDE/>
              <w:autoSpaceDN/>
              <w:bidi w:val="0"/>
              <w:spacing w:line="280" w:lineRule="exact"/>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污水处理站污泥</w:t>
            </w:r>
          </w:p>
        </w:tc>
        <w:tc>
          <w:tcPr>
            <w:tcW w:w="291" w:type="pct"/>
            <w:vMerge w:val="continue"/>
            <w:vAlign w:val="center"/>
          </w:tcPr>
          <w:p w14:paraId="4266AF55">
            <w:pPr>
              <w:widowControl w:val="0"/>
              <w:jc w:val="center"/>
              <w:rPr>
                <w:rFonts w:hint="eastAsia" w:ascii="Times New Roman" w:hAnsi="Times New Roman" w:eastAsia="宋体" w:cs="Times New Roman"/>
                <w:color w:val="auto"/>
                <w:kern w:val="2"/>
                <w:sz w:val="21"/>
                <w:szCs w:val="24"/>
                <w:lang w:val="en-US" w:eastAsia="zh-CN" w:bidi="ar-SA"/>
              </w:rPr>
            </w:pPr>
          </w:p>
        </w:tc>
        <w:tc>
          <w:tcPr>
            <w:tcW w:w="1466" w:type="pct"/>
            <w:gridSpan w:val="4"/>
            <w:shd w:val="clear" w:color="auto" w:fill="auto"/>
            <w:vAlign w:val="center"/>
          </w:tcPr>
          <w:p w14:paraId="759A33CB">
            <w:pPr>
              <w:widowControl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sz w:val="21"/>
                <w:szCs w:val="21"/>
                <w:lang w:val="en-US" w:eastAsia="zh-CN"/>
              </w:rPr>
              <w:t>清运至</w:t>
            </w:r>
            <w:r>
              <w:rPr>
                <w:rFonts w:hint="eastAsia" w:ascii="Times New Roman" w:hAnsi="Times New Roman" w:cs="Times New Roman"/>
                <w:sz w:val="21"/>
                <w:szCs w:val="21"/>
                <w:lang w:val="en-US" w:eastAsia="zh-CN"/>
              </w:rPr>
              <w:t>园区一般工业固废填埋场</w:t>
            </w:r>
            <w:r>
              <w:rPr>
                <w:rFonts w:hint="eastAsia" w:ascii="Times New Roman" w:hAnsi="Times New Roman" w:eastAsia="宋体" w:cs="Times New Roman"/>
                <w:sz w:val="21"/>
                <w:szCs w:val="21"/>
                <w:lang w:val="en-US" w:eastAsia="zh-CN"/>
              </w:rPr>
              <w:t>填埋处置</w:t>
            </w:r>
          </w:p>
        </w:tc>
        <w:tc>
          <w:tcPr>
            <w:tcW w:w="360" w:type="pct"/>
            <w:shd w:val="clear" w:color="auto" w:fill="auto"/>
            <w:vAlign w:val="center"/>
          </w:tcPr>
          <w:p w14:paraId="06D71130">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13" w:type="pct"/>
            <w:shd w:val="clear" w:color="auto" w:fill="auto"/>
            <w:vAlign w:val="center"/>
          </w:tcPr>
          <w:p w14:paraId="10D94A4A">
            <w:pPr>
              <w:widowControl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353" w:type="pct"/>
            <w:shd w:val="clear" w:color="auto" w:fill="auto"/>
            <w:vAlign w:val="center"/>
          </w:tcPr>
          <w:p w14:paraId="16ABA8F9">
            <w:pPr>
              <w:keepNext w:val="0"/>
              <w:keepLines w:val="0"/>
              <w:pageBreakBefore w:val="0"/>
              <w:widowControl w:val="0"/>
              <w:kinsoku/>
              <w:wordWrap/>
              <w:overflowPunct/>
              <w:autoSpaceDE/>
              <w:autoSpaceDN/>
              <w:bidi w:val="0"/>
              <w:spacing w:line="280" w:lineRule="exact"/>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1.1t/a</w:t>
            </w:r>
          </w:p>
        </w:tc>
        <w:tc>
          <w:tcPr>
            <w:tcW w:w="282" w:type="pct"/>
            <w:tcBorders>
              <w:top w:val="single" w:color="auto" w:sz="4" w:space="0"/>
            </w:tcBorders>
            <w:shd w:val="clear" w:color="auto" w:fill="auto"/>
            <w:vAlign w:val="center"/>
          </w:tcPr>
          <w:p w14:paraId="457E94EF">
            <w:pPr>
              <w:widowControl w:val="0"/>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w:t>
            </w:r>
          </w:p>
        </w:tc>
        <w:tc>
          <w:tcPr>
            <w:tcW w:w="671" w:type="pct"/>
            <w:vMerge w:val="continue"/>
            <w:vAlign w:val="center"/>
          </w:tcPr>
          <w:p w14:paraId="734BE757">
            <w:pPr>
              <w:widowControl w:val="0"/>
              <w:jc w:val="center"/>
              <w:rPr>
                <w:rFonts w:hint="eastAsia" w:ascii="Times New Roman" w:hAnsi="Times New Roman" w:eastAsia="宋体" w:cs="Times New Roman"/>
                <w:sz w:val="21"/>
                <w:szCs w:val="21"/>
                <w:lang w:val="zh-CN" w:eastAsia="zh-CN"/>
              </w:rPr>
            </w:pPr>
          </w:p>
        </w:tc>
        <w:tc>
          <w:tcPr>
            <w:tcW w:w="373" w:type="pct"/>
            <w:vMerge w:val="continue"/>
            <w:shd w:val="clear" w:color="auto" w:fill="auto"/>
            <w:vAlign w:val="center"/>
          </w:tcPr>
          <w:p w14:paraId="480A056F">
            <w:pPr>
              <w:widowControl w:val="0"/>
              <w:jc w:val="center"/>
              <w:rPr>
                <w:rFonts w:hint="eastAsia" w:ascii="Times New Roman" w:hAnsi="Times New Roman" w:eastAsia="宋体" w:cs="Times New Roman"/>
                <w:sz w:val="21"/>
                <w:szCs w:val="21"/>
                <w:lang w:val="en-US" w:eastAsia="zh-CN" w:bidi="ar-SA"/>
              </w:rPr>
            </w:pPr>
          </w:p>
        </w:tc>
      </w:tr>
      <w:tr w14:paraId="5FBBDD2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2B328609">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81" w:type="pct"/>
            <w:shd w:val="clear" w:color="auto" w:fill="auto"/>
            <w:vAlign w:val="center"/>
          </w:tcPr>
          <w:p w14:paraId="3D5E1474">
            <w:pPr>
              <w:keepNext w:val="0"/>
              <w:keepLines w:val="0"/>
              <w:pageBreakBefore w:val="0"/>
              <w:widowControl w:val="0"/>
              <w:kinsoku/>
              <w:wordWrap/>
              <w:overflowPunct/>
              <w:topLinePunct/>
              <w:autoSpaceDE/>
              <w:autoSpaceDN/>
              <w:bidi w:val="0"/>
              <w:adjustRightInd w:val="0"/>
              <w:snapToGrid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原辅材料使用</w:t>
            </w:r>
          </w:p>
        </w:tc>
        <w:tc>
          <w:tcPr>
            <w:tcW w:w="365" w:type="pct"/>
            <w:shd w:val="clear" w:color="auto" w:fill="auto"/>
            <w:vAlign w:val="center"/>
          </w:tcPr>
          <w:p w14:paraId="66E6127A">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硅藻土废包装材料</w:t>
            </w:r>
          </w:p>
        </w:tc>
        <w:tc>
          <w:tcPr>
            <w:tcW w:w="291" w:type="pct"/>
            <w:vMerge w:val="continue"/>
            <w:vAlign w:val="center"/>
          </w:tcPr>
          <w:p w14:paraId="27D9ECE3">
            <w:pPr>
              <w:widowControl w:val="0"/>
              <w:jc w:val="center"/>
              <w:rPr>
                <w:rFonts w:ascii="Times New Roman" w:hAnsi="Times New Roman" w:eastAsia="宋体" w:cs="Times New Roman"/>
                <w:color w:val="auto"/>
                <w:kern w:val="2"/>
                <w:sz w:val="21"/>
                <w:szCs w:val="24"/>
                <w:lang w:val="en-US" w:eastAsia="zh-CN" w:bidi="ar-SA"/>
              </w:rPr>
            </w:pPr>
          </w:p>
        </w:tc>
        <w:tc>
          <w:tcPr>
            <w:tcW w:w="1466" w:type="pct"/>
            <w:gridSpan w:val="4"/>
            <w:vAlign w:val="center"/>
          </w:tcPr>
          <w:p w14:paraId="3114A086">
            <w:pPr>
              <w:widowControl w:val="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sz w:val="21"/>
                <w:szCs w:val="21"/>
                <w:lang w:val="en-US" w:eastAsia="zh-CN"/>
              </w:rPr>
              <w:t>清运至</w:t>
            </w:r>
            <w:r>
              <w:rPr>
                <w:rFonts w:hint="eastAsia" w:ascii="Times New Roman" w:hAnsi="Times New Roman" w:cs="Times New Roman"/>
                <w:sz w:val="21"/>
                <w:szCs w:val="21"/>
                <w:lang w:val="en-US" w:eastAsia="zh-CN"/>
              </w:rPr>
              <w:t>园区一般工业固废填埋场</w:t>
            </w:r>
            <w:r>
              <w:rPr>
                <w:rFonts w:hint="eastAsia" w:ascii="Times New Roman" w:hAnsi="Times New Roman" w:eastAsia="宋体" w:cs="Times New Roman"/>
                <w:sz w:val="21"/>
                <w:szCs w:val="21"/>
                <w:lang w:val="en-US" w:eastAsia="zh-CN"/>
              </w:rPr>
              <w:t>填埋处置</w:t>
            </w:r>
          </w:p>
        </w:tc>
        <w:tc>
          <w:tcPr>
            <w:tcW w:w="360" w:type="pct"/>
            <w:shd w:val="clear" w:color="auto" w:fill="auto"/>
            <w:vAlign w:val="center"/>
          </w:tcPr>
          <w:p w14:paraId="116651F1">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13" w:type="pct"/>
            <w:shd w:val="clear" w:color="auto" w:fill="auto"/>
            <w:vAlign w:val="center"/>
          </w:tcPr>
          <w:p w14:paraId="773E2AED">
            <w:pPr>
              <w:widowControl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353" w:type="pct"/>
            <w:shd w:val="clear" w:color="auto" w:fill="auto"/>
            <w:vAlign w:val="center"/>
          </w:tcPr>
          <w:p w14:paraId="7595FF06">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1t/a</w:t>
            </w:r>
          </w:p>
        </w:tc>
        <w:tc>
          <w:tcPr>
            <w:tcW w:w="282" w:type="pct"/>
            <w:tcBorders>
              <w:bottom w:val="single" w:color="auto" w:sz="4" w:space="0"/>
            </w:tcBorders>
            <w:shd w:val="clear" w:color="auto" w:fill="auto"/>
            <w:vAlign w:val="center"/>
          </w:tcPr>
          <w:p w14:paraId="2CD47C9D">
            <w:pPr>
              <w:widowControl w:val="0"/>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w:t>
            </w:r>
          </w:p>
        </w:tc>
        <w:tc>
          <w:tcPr>
            <w:tcW w:w="671" w:type="pct"/>
            <w:vMerge w:val="continue"/>
            <w:tcBorders>
              <w:bottom w:val="single" w:color="auto" w:sz="4" w:space="0"/>
            </w:tcBorders>
            <w:vAlign w:val="center"/>
          </w:tcPr>
          <w:p w14:paraId="4BB6BD0E">
            <w:pPr>
              <w:widowControl w:val="0"/>
              <w:jc w:val="center"/>
              <w:rPr>
                <w:rFonts w:hint="eastAsia" w:ascii="Times New Roman" w:hAnsi="Times New Roman" w:eastAsia="宋体" w:cs="Times New Roman"/>
                <w:sz w:val="21"/>
                <w:szCs w:val="21"/>
                <w:lang w:val="en-US" w:eastAsia="zh-CN"/>
              </w:rPr>
            </w:pPr>
          </w:p>
        </w:tc>
        <w:tc>
          <w:tcPr>
            <w:tcW w:w="373" w:type="pct"/>
            <w:vMerge w:val="continue"/>
            <w:shd w:val="clear" w:color="auto" w:fill="auto"/>
            <w:vAlign w:val="center"/>
          </w:tcPr>
          <w:p w14:paraId="6CB3698F">
            <w:pPr>
              <w:widowControl w:val="0"/>
              <w:jc w:val="center"/>
              <w:rPr>
                <w:rFonts w:hint="eastAsia" w:ascii="Times New Roman" w:hAnsi="Times New Roman" w:eastAsia="宋体" w:cs="Times New Roman"/>
                <w:sz w:val="21"/>
                <w:szCs w:val="21"/>
                <w:lang w:val="en-US" w:eastAsia="zh-CN" w:bidi="ar-SA"/>
              </w:rPr>
            </w:pPr>
          </w:p>
        </w:tc>
      </w:tr>
      <w:tr w14:paraId="7D1DF2A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20" w:hRule="atLeast"/>
        </w:trPr>
        <w:tc>
          <w:tcPr>
            <w:tcW w:w="140" w:type="pct"/>
            <w:vMerge w:val="continue"/>
            <w:vAlign w:val="center"/>
          </w:tcPr>
          <w:p w14:paraId="794DD8F4">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81" w:type="pct"/>
            <w:shd w:val="clear" w:color="auto" w:fill="auto"/>
            <w:vAlign w:val="center"/>
          </w:tcPr>
          <w:p w14:paraId="4A32390D">
            <w:pPr>
              <w:keepNext w:val="0"/>
              <w:keepLines w:val="0"/>
              <w:pageBreakBefore w:val="0"/>
              <w:widowControl w:val="0"/>
              <w:kinsoku/>
              <w:wordWrap/>
              <w:overflowPunct/>
              <w:topLinePunct/>
              <w:autoSpaceDE/>
              <w:autoSpaceDN/>
              <w:bidi w:val="0"/>
              <w:adjustRightInd w:val="0"/>
              <w:snapToGrid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员工办公生活</w:t>
            </w:r>
          </w:p>
        </w:tc>
        <w:tc>
          <w:tcPr>
            <w:tcW w:w="365" w:type="pct"/>
            <w:shd w:val="clear" w:color="auto" w:fill="auto"/>
            <w:vAlign w:val="center"/>
          </w:tcPr>
          <w:p w14:paraId="6F79B2BD">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生活垃圾</w:t>
            </w:r>
          </w:p>
        </w:tc>
        <w:tc>
          <w:tcPr>
            <w:tcW w:w="291" w:type="pct"/>
            <w:vAlign w:val="center"/>
          </w:tcPr>
          <w:p w14:paraId="5498FE54">
            <w:pPr>
              <w:widowControl w:val="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cs="Times New Roman"/>
                <w:sz w:val="21"/>
                <w:szCs w:val="21"/>
                <w:lang w:val="en-US" w:eastAsia="zh-CN"/>
              </w:rPr>
              <w:t>生活垃圾</w:t>
            </w:r>
          </w:p>
        </w:tc>
        <w:tc>
          <w:tcPr>
            <w:tcW w:w="1466" w:type="pct"/>
            <w:gridSpan w:val="4"/>
            <w:vAlign w:val="center"/>
          </w:tcPr>
          <w:p w14:paraId="2283EBA9">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交由环卫部门处理</w:t>
            </w:r>
          </w:p>
        </w:tc>
        <w:tc>
          <w:tcPr>
            <w:tcW w:w="360" w:type="pct"/>
            <w:vAlign w:val="center"/>
          </w:tcPr>
          <w:p w14:paraId="01FAF242">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13" w:type="pct"/>
            <w:vAlign w:val="center"/>
          </w:tcPr>
          <w:p w14:paraId="47039FC8">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353" w:type="pct"/>
            <w:shd w:val="clear" w:color="auto" w:fill="auto"/>
            <w:vAlign w:val="center"/>
          </w:tcPr>
          <w:p w14:paraId="6A797BC3">
            <w:pPr>
              <w:keepNext w:val="0"/>
              <w:keepLines w:val="0"/>
              <w:pageBreakBefore w:val="0"/>
              <w:widowControl w:val="0"/>
              <w:kinsoku/>
              <w:wordWrap/>
              <w:overflowPunct/>
              <w:autoSpaceDE/>
              <w:autoSpaceDN/>
              <w:bidi w:val="0"/>
              <w:spacing w:line="280" w:lineRule="exac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12t/a</w:t>
            </w:r>
          </w:p>
        </w:tc>
        <w:tc>
          <w:tcPr>
            <w:tcW w:w="282" w:type="pct"/>
            <w:tcBorders>
              <w:top w:val="single" w:color="auto" w:sz="4" w:space="0"/>
              <w:bottom w:val="single" w:color="auto" w:sz="4" w:space="0"/>
            </w:tcBorders>
            <w:shd w:val="clear" w:color="auto" w:fill="auto"/>
            <w:vAlign w:val="center"/>
          </w:tcPr>
          <w:p w14:paraId="2B8EB124">
            <w:pPr>
              <w:widowControl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71" w:type="pct"/>
            <w:tcBorders>
              <w:top w:val="single" w:color="auto" w:sz="4" w:space="0"/>
              <w:bottom w:val="single" w:color="auto" w:sz="4" w:space="0"/>
            </w:tcBorders>
            <w:vAlign w:val="center"/>
          </w:tcPr>
          <w:p w14:paraId="284D031D">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73" w:type="pct"/>
            <w:vMerge w:val="continue"/>
            <w:shd w:val="clear" w:color="auto" w:fill="auto"/>
            <w:vAlign w:val="center"/>
          </w:tcPr>
          <w:p w14:paraId="564890F0">
            <w:pPr>
              <w:widowControl w:val="0"/>
              <w:jc w:val="center"/>
              <w:rPr>
                <w:rFonts w:hint="eastAsia" w:ascii="Times New Roman" w:hAnsi="Times New Roman" w:eastAsia="宋体" w:cs="Times New Roman"/>
                <w:color w:val="auto"/>
                <w:kern w:val="2"/>
                <w:sz w:val="21"/>
                <w:szCs w:val="24"/>
                <w:lang w:val="en-US" w:eastAsia="zh-CN" w:bidi="ar-SA"/>
              </w:rPr>
            </w:pPr>
          </w:p>
        </w:tc>
      </w:tr>
    </w:tbl>
    <w:p w14:paraId="3D4806F0">
      <w:pPr>
        <w:ind w:firstLine="480"/>
        <w:rPr>
          <w:rFonts w:cs="Times New Roman"/>
        </w:rPr>
        <w:sectPr>
          <w:headerReference r:id="rId12" w:type="default"/>
          <w:footerReference r:id="rId13" w:type="default"/>
          <w:pgSz w:w="16838" w:h="11906" w:orient="landscape"/>
          <w:pgMar w:top="1440" w:right="1800" w:bottom="1440" w:left="1800" w:header="850" w:footer="850" w:gutter="0"/>
          <w:pgBorders>
            <w:top w:val="none" w:sz="0" w:space="0"/>
            <w:left w:val="none" w:sz="0" w:space="0"/>
            <w:bottom w:val="none" w:sz="0" w:space="0"/>
            <w:right w:val="none" w:sz="0" w:space="0"/>
          </w:pgBorders>
          <w:pgNumType w:fmt="decimal"/>
          <w:cols w:space="0" w:num="1"/>
          <w:docGrid w:type="lines" w:linePitch="326" w:charSpace="0"/>
        </w:sectPr>
      </w:pPr>
    </w:p>
    <w:p w14:paraId="31E9F84D">
      <w:pPr>
        <w:widowControl/>
        <w:adjustRightInd w:val="0"/>
        <w:spacing w:line="360" w:lineRule="auto"/>
        <w:ind w:firstLine="0" w:firstLineChars="0"/>
        <w:contextualSpacing/>
        <w:jc w:val="center"/>
        <w:rPr>
          <w:rFonts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表10.4-1</w:t>
      </w:r>
      <w:r>
        <w:rPr>
          <w:rFonts w:ascii="Times New Roman" w:hAnsi="Times New Roman" w:eastAsia="宋体" w:cs="Times New Roman"/>
          <w:b/>
          <w:kern w:val="2"/>
          <w:sz w:val="24"/>
          <w:szCs w:val="24"/>
          <w:lang w:val="en-US" w:eastAsia="zh-CN" w:bidi="ar-SA"/>
        </w:rPr>
        <w:t xml:space="preserve">   环保竣工验收一览表</w:t>
      </w:r>
    </w:p>
    <w:tbl>
      <w:tblPr>
        <w:tblStyle w:val="107"/>
        <w:tblW w:w="4986"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28" w:type="dxa"/>
          <w:bottom w:w="0" w:type="dxa"/>
          <w:right w:w="28" w:type="dxa"/>
        </w:tblCellMar>
      </w:tblPr>
      <w:tblGrid>
        <w:gridCol w:w="564"/>
        <w:gridCol w:w="1553"/>
        <w:gridCol w:w="893"/>
        <w:gridCol w:w="1453"/>
        <w:gridCol w:w="727"/>
        <w:gridCol w:w="578"/>
        <w:gridCol w:w="507"/>
        <w:gridCol w:w="615"/>
        <w:gridCol w:w="902"/>
        <w:gridCol w:w="1548"/>
        <w:gridCol w:w="1201"/>
        <w:gridCol w:w="2716"/>
      </w:tblGrid>
      <w:tr w14:paraId="0E0763E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23" w:hRule="atLeast"/>
          <w:tblHeader/>
        </w:trPr>
        <w:tc>
          <w:tcPr>
            <w:tcW w:w="213" w:type="pct"/>
            <w:vMerge w:val="restart"/>
            <w:vAlign w:val="center"/>
          </w:tcPr>
          <w:p w14:paraId="1E7B729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类别</w:t>
            </w:r>
          </w:p>
        </w:tc>
        <w:tc>
          <w:tcPr>
            <w:tcW w:w="923" w:type="pct"/>
            <w:gridSpan w:val="2"/>
            <w:vMerge w:val="restart"/>
            <w:vAlign w:val="center"/>
          </w:tcPr>
          <w:p w14:paraId="494FAFAE">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验收内容</w:t>
            </w:r>
          </w:p>
        </w:tc>
        <w:tc>
          <w:tcPr>
            <w:tcW w:w="547" w:type="pct"/>
            <w:vMerge w:val="restart"/>
            <w:vAlign w:val="center"/>
          </w:tcPr>
          <w:p w14:paraId="3C8C2846">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污染物</w:t>
            </w:r>
          </w:p>
        </w:tc>
        <w:tc>
          <w:tcPr>
            <w:tcW w:w="915" w:type="pct"/>
            <w:gridSpan w:val="4"/>
            <w:vMerge w:val="restart"/>
            <w:vAlign w:val="center"/>
          </w:tcPr>
          <w:p w14:paraId="386C803A">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治理设施及措施污染</w:t>
            </w:r>
          </w:p>
        </w:tc>
        <w:tc>
          <w:tcPr>
            <w:tcW w:w="1376" w:type="pct"/>
            <w:gridSpan w:val="3"/>
            <w:vAlign w:val="center"/>
          </w:tcPr>
          <w:p w14:paraId="69462A8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验收指标</w:t>
            </w:r>
          </w:p>
        </w:tc>
        <w:tc>
          <w:tcPr>
            <w:tcW w:w="1023" w:type="pct"/>
            <w:vMerge w:val="restart"/>
            <w:vAlign w:val="center"/>
          </w:tcPr>
          <w:p w14:paraId="1A0E1369">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验收标准</w:t>
            </w:r>
          </w:p>
        </w:tc>
      </w:tr>
      <w:tr w14:paraId="38848EA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323" w:hRule="atLeast"/>
          <w:tblHeader/>
        </w:trPr>
        <w:tc>
          <w:tcPr>
            <w:tcW w:w="213" w:type="pct"/>
            <w:vMerge w:val="continue"/>
            <w:vAlign w:val="center"/>
          </w:tcPr>
          <w:p w14:paraId="504373E7">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923" w:type="pct"/>
            <w:gridSpan w:val="2"/>
            <w:vMerge w:val="continue"/>
            <w:vAlign w:val="center"/>
          </w:tcPr>
          <w:p w14:paraId="3FDB8BBE">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547" w:type="pct"/>
            <w:vMerge w:val="continue"/>
            <w:vAlign w:val="center"/>
          </w:tcPr>
          <w:p w14:paraId="3E1C2FD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915" w:type="pct"/>
            <w:gridSpan w:val="4"/>
            <w:vMerge w:val="continue"/>
            <w:vAlign w:val="center"/>
          </w:tcPr>
          <w:p w14:paraId="603CA9D1">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40" w:type="pct"/>
            <w:vAlign w:val="center"/>
          </w:tcPr>
          <w:p w14:paraId="61378130">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处理效率</w:t>
            </w:r>
          </w:p>
        </w:tc>
        <w:tc>
          <w:tcPr>
            <w:tcW w:w="583" w:type="pct"/>
            <w:vAlign w:val="center"/>
          </w:tcPr>
          <w:p w14:paraId="60D16108">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浓度</w:t>
            </w:r>
            <w:r>
              <w:rPr>
                <w:rFonts w:hint="eastAsia" w:ascii="Times New Roman" w:hAnsi="Times New Roman" w:eastAsia="宋体" w:cs="Times New Roman"/>
                <w:color w:val="auto"/>
                <w:kern w:val="2"/>
                <w:sz w:val="21"/>
                <w:szCs w:val="21"/>
                <w:lang w:val="en-US" w:eastAsia="zh-CN" w:bidi="ar-SA"/>
              </w:rPr>
              <w:t>（mg/m</w:t>
            </w:r>
            <w:r>
              <w:rPr>
                <w:rFonts w:hint="eastAsia" w:ascii="Times New Roman" w:hAnsi="Times New Roman" w:eastAsia="宋体" w:cs="Times New Roman"/>
                <w:color w:val="auto"/>
                <w:kern w:val="2"/>
                <w:sz w:val="21"/>
                <w:szCs w:val="21"/>
                <w:vertAlign w:val="superscript"/>
                <w:lang w:val="en-US" w:eastAsia="zh-CN" w:bidi="ar-SA"/>
              </w:rPr>
              <w:t>3</w:t>
            </w:r>
            <w:r>
              <w:rPr>
                <w:rFonts w:hint="eastAsia" w:ascii="Times New Roman" w:hAnsi="Times New Roman" w:eastAsia="宋体" w:cs="Times New Roman"/>
                <w:color w:val="auto"/>
                <w:kern w:val="2"/>
                <w:sz w:val="21"/>
                <w:szCs w:val="21"/>
                <w:lang w:val="en-US" w:eastAsia="zh-CN" w:bidi="ar-SA"/>
              </w:rPr>
              <w:t>）</w:t>
            </w:r>
          </w:p>
        </w:tc>
        <w:tc>
          <w:tcPr>
            <w:tcW w:w="452" w:type="pct"/>
            <w:vAlign w:val="center"/>
          </w:tcPr>
          <w:p w14:paraId="4322493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速率kg/h</w:t>
            </w:r>
          </w:p>
        </w:tc>
        <w:tc>
          <w:tcPr>
            <w:tcW w:w="1023" w:type="pct"/>
            <w:vMerge w:val="continue"/>
            <w:vAlign w:val="center"/>
          </w:tcPr>
          <w:p w14:paraId="3609CE67">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5128252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638" w:hRule="atLeast"/>
        </w:trPr>
        <w:tc>
          <w:tcPr>
            <w:tcW w:w="213" w:type="pct"/>
            <w:vMerge w:val="restart"/>
            <w:vAlign w:val="center"/>
          </w:tcPr>
          <w:p w14:paraId="0C115C5B">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废气</w:t>
            </w:r>
          </w:p>
        </w:tc>
        <w:tc>
          <w:tcPr>
            <w:tcW w:w="586" w:type="pct"/>
            <w:vAlign w:val="center"/>
          </w:tcPr>
          <w:p w14:paraId="79128EAE">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bidi="ar-SA"/>
              </w:rPr>
              <w:t>干燥废气</w:t>
            </w:r>
          </w:p>
        </w:tc>
        <w:tc>
          <w:tcPr>
            <w:tcW w:w="336" w:type="pct"/>
            <w:vAlign w:val="center"/>
          </w:tcPr>
          <w:p w14:paraId="5FE867D0">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DA0</w:t>
            </w:r>
            <w:r>
              <w:rPr>
                <w:rFonts w:hint="eastAsia" w:ascii="Times New Roman" w:hAnsi="Times New Roman" w:cs="Times New Roman"/>
                <w:color w:val="auto"/>
                <w:kern w:val="2"/>
                <w:sz w:val="21"/>
                <w:szCs w:val="21"/>
                <w:lang w:val="en-US" w:eastAsia="zh-CN" w:bidi="ar-SA"/>
              </w:rPr>
              <w:t>54</w:t>
            </w:r>
          </w:p>
        </w:tc>
        <w:tc>
          <w:tcPr>
            <w:tcW w:w="547" w:type="pct"/>
            <w:vAlign w:val="center"/>
          </w:tcPr>
          <w:p w14:paraId="155F19A1">
            <w:pPr>
              <w:widowControl w:val="0"/>
              <w:jc w:val="center"/>
              <w:rPr>
                <w:rFonts w:hint="eastAsia" w:ascii="Times New Roman" w:hAnsi="Times New Roman" w:eastAsia="宋体" w:cs="Times New Roman"/>
                <w:color w:val="auto"/>
                <w:kern w:val="0"/>
                <w:sz w:val="21"/>
                <w:szCs w:val="24"/>
                <w:lang w:val="en-US" w:eastAsia="zh-CN" w:bidi="ar"/>
              </w:rPr>
            </w:pPr>
            <w:r>
              <w:rPr>
                <w:rFonts w:hint="eastAsia" w:ascii="Times New Roman" w:hAnsi="Times New Roman" w:eastAsia="宋体" w:cs="Times New Roman"/>
                <w:color w:val="auto"/>
                <w:kern w:val="0"/>
                <w:sz w:val="21"/>
                <w:szCs w:val="24"/>
                <w:lang w:val="en-US" w:eastAsia="zh-CN" w:bidi="ar"/>
              </w:rPr>
              <w:t>颗粒物</w:t>
            </w:r>
          </w:p>
        </w:tc>
        <w:tc>
          <w:tcPr>
            <w:tcW w:w="915" w:type="pct"/>
            <w:gridSpan w:val="4"/>
            <w:vAlign w:val="center"/>
          </w:tcPr>
          <w:p w14:paraId="7DBFF0AE">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袋式除尘器+</w:t>
            </w:r>
            <w:r>
              <w:rPr>
                <w:rFonts w:ascii="Times New Roman" w:hAnsi="Times New Roman" w:eastAsia="宋体" w:cs="Times New Roman"/>
                <w:color w:val="auto"/>
                <w:kern w:val="2"/>
                <w:sz w:val="21"/>
                <w:szCs w:val="21"/>
                <w:lang w:val="en-US" w:eastAsia="zh-CN" w:bidi="ar-SA"/>
              </w:rPr>
              <w:t>一级水吸收</w:t>
            </w:r>
            <w:r>
              <w:rPr>
                <w:rFonts w:hint="eastAsia" w:ascii="Times New Roman" w:hAnsi="Times New Roman" w:eastAsia="宋体" w:cs="Times New Roman"/>
                <w:color w:val="auto"/>
                <w:kern w:val="2"/>
                <w:sz w:val="21"/>
                <w:szCs w:val="21"/>
                <w:lang w:val="en-US" w:eastAsia="zh-CN" w:bidi="ar-SA"/>
              </w:rPr>
              <w:t>+</w:t>
            </w:r>
            <w:r>
              <w:rPr>
                <w:rFonts w:ascii="Times New Roman" w:hAnsi="Times New Roman" w:eastAsia="宋体" w:cs="Times New Roman"/>
                <w:color w:val="auto"/>
                <w:kern w:val="2"/>
                <w:sz w:val="21"/>
                <w:szCs w:val="21"/>
                <w:lang w:val="en-US" w:eastAsia="zh-CN" w:bidi="ar-SA"/>
              </w:rPr>
              <w:t>一级</w:t>
            </w:r>
            <w:r>
              <w:rPr>
                <w:rFonts w:hint="eastAsia" w:ascii="Times New Roman" w:hAnsi="Times New Roman" w:cs="Times New Roman"/>
                <w:color w:val="auto"/>
                <w:kern w:val="2"/>
                <w:sz w:val="21"/>
                <w:szCs w:val="21"/>
                <w:lang w:val="en-US" w:eastAsia="zh-CN" w:bidi="ar-SA"/>
              </w:rPr>
              <w:t>碱</w:t>
            </w:r>
            <w:r>
              <w:rPr>
                <w:rFonts w:ascii="Times New Roman" w:hAnsi="Times New Roman" w:eastAsia="宋体" w:cs="Times New Roman"/>
                <w:color w:val="auto"/>
                <w:kern w:val="2"/>
                <w:sz w:val="21"/>
                <w:szCs w:val="21"/>
                <w:lang w:val="en-US" w:eastAsia="zh-CN" w:bidi="ar-SA"/>
              </w:rPr>
              <w:t>吸收</w:t>
            </w:r>
            <w:r>
              <w:rPr>
                <w:rFonts w:hint="eastAsia" w:ascii="Times New Roman" w:hAnsi="Times New Roman" w:cs="Times New Roman"/>
                <w:color w:val="auto"/>
                <w:kern w:val="2"/>
                <w:sz w:val="21"/>
                <w:szCs w:val="21"/>
                <w:lang w:val="en-US" w:eastAsia="zh-CN" w:bidi="ar-SA"/>
              </w:rPr>
              <w:t>+1根27</w:t>
            </w:r>
            <w:r>
              <w:rPr>
                <w:rFonts w:hint="eastAsia" w:ascii="Times New Roman" w:hAnsi="Times New Roman" w:eastAsia="宋体" w:cs="Times New Roman"/>
                <w:color w:val="auto"/>
                <w:kern w:val="2"/>
                <w:sz w:val="21"/>
                <w:szCs w:val="21"/>
                <w:lang w:val="en-US" w:eastAsia="zh-CN" w:bidi="ar-SA"/>
              </w:rPr>
              <w:t>m</w:t>
            </w:r>
            <w:r>
              <w:rPr>
                <w:rFonts w:ascii="Times New Roman" w:hAnsi="Times New Roman" w:eastAsia="宋体" w:cs="Times New Roman"/>
                <w:color w:val="auto"/>
                <w:kern w:val="2"/>
                <w:sz w:val="21"/>
                <w:szCs w:val="21"/>
                <w:lang w:val="en-US" w:eastAsia="zh-CN" w:bidi="ar-SA"/>
              </w:rPr>
              <w:t>排气筒达标排</w:t>
            </w:r>
            <w:r>
              <w:rPr>
                <w:rFonts w:hint="eastAsia" w:ascii="Times New Roman" w:hAnsi="Times New Roman" w:eastAsia="宋体" w:cs="Times New Roman"/>
                <w:color w:val="auto"/>
                <w:kern w:val="2"/>
                <w:sz w:val="21"/>
                <w:szCs w:val="21"/>
                <w:lang w:val="en-US" w:eastAsia="zh-CN" w:bidi="ar-SA"/>
              </w:rPr>
              <w:t>放</w:t>
            </w:r>
            <w:r>
              <w:rPr>
                <w:rFonts w:hint="eastAsia" w:ascii="Times New Roman" w:hAnsi="Times New Roman" w:cs="Times New Roman"/>
                <w:color w:val="auto"/>
                <w:kern w:val="2"/>
                <w:sz w:val="21"/>
                <w:szCs w:val="21"/>
                <w:lang w:val="en-US" w:eastAsia="zh-CN" w:bidi="ar-SA"/>
              </w:rPr>
              <w:t>，风量5000m</w:t>
            </w:r>
            <w:r>
              <w:rPr>
                <w:rFonts w:hint="eastAsia" w:ascii="Times New Roman" w:hAnsi="Times New Roman" w:cs="Times New Roman"/>
                <w:color w:val="auto"/>
                <w:kern w:val="2"/>
                <w:sz w:val="21"/>
                <w:szCs w:val="21"/>
                <w:vertAlign w:val="superscript"/>
                <w:lang w:val="en-US" w:eastAsia="zh-CN" w:bidi="ar-SA"/>
              </w:rPr>
              <w:t>3</w:t>
            </w:r>
            <w:r>
              <w:rPr>
                <w:rFonts w:hint="eastAsia" w:ascii="Times New Roman" w:hAnsi="Times New Roman" w:cs="Times New Roman"/>
                <w:color w:val="auto"/>
                <w:kern w:val="2"/>
                <w:sz w:val="21"/>
                <w:szCs w:val="21"/>
                <w:lang w:val="en-US" w:eastAsia="zh-CN" w:bidi="ar-SA"/>
              </w:rPr>
              <w:t>/h</w:t>
            </w:r>
          </w:p>
        </w:tc>
        <w:tc>
          <w:tcPr>
            <w:tcW w:w="340" w:type="pct"/>
            <w:vAlign w:val="center"/>
          </w:tcPr>
          <w:p w14:paraId="6961EF6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w:t>
            </w:r>
          </w:p>
        </w:tc>
        <w:tc>
          <w:tcPr>
            <w:tcW w:w="583" w:type="pct"/>
            <w:vAlign w:val="center"/>
          </w:tcPr>
          <w:p w14:paraId="5F75CD1B">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p>
        </w:tc>
        <w:tc>
          <w:tcPr>
            <w:tcW w:w="452" w:type="pct"/>
            <w:vAlign w:val="center"/>
          </w:tcPr>
          <w:p w14:paraId="26B0AA8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w:t>
            </w:r>
          </w:p>
        </w:tc>
        <w:tc>
          <w:tcPr>
            <w:tcW w:w="1023" w:type="pct"/>
            <w:vAlign w:val="center"/>
          </w:tcPr>
          <w:p w14:paraId="7AAE3C7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《石油化学工业污染物排放标准》（GB31571-2015，含2024年修改单）中表5</w:t>
            </w:r>
          </w:p>
        </w:tc>
      </w:tr>
      <w:tr w14:paraId="248ED70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42" w:hRule="atLeast"/>
        </w:trPr>
        <w:tc>
          <w:tcPr>
            <w:tcW w:w="213" w:type="pct"/>
            <w:vMerge w:val="continue"/>
            <w:vAlign w:val="center"/>
          </w:tcPr>
          <w:p w14:paraId="3047F3B1">
            <w:pPr>
              <w:widowControl w:val="0"/>
              <w:spacing w:line="360" w:lineRule="exact"/>
              <w:ind w:firstLine="0" w:firstLineChars="0"/>
              <w:jc w:val="center"/>
              <w:rPr>
                <w:rFonts w:ascii="Times New Roman" w:hAnsi="Times New Roman" w:eastAsia="宋体" w:cs="Times New Roman"/>
                <w:color w:val="auto"/>
                <w:kern w:val="2"/>
                <w:sz w:val="21"/>
                <w:szCs w:val="21"/>
                <w:highlight w:val="yellow"/>
                <w:lang w:val="en-US" w:eastAsia="zh-CN" w:bidi="ar-SA"/>
              </w:rPr>
            </w:pPr>
          </w:p>
        </w:tc>
        <w:tc>
          <w:tcPr>
            <w:tcW w:w="586" w:type="pct"/>
            <w:vMerge w:val="restart"/>
            <w:vAlign w:val="center"/>
          </w:tcPr>
          <w:p w14:paraId="54E13BA1">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一级精馏真空不凝气、二级精馏真空不凝气、储罐呼吸及装卸车废气</w:t>
            </w:r>
          </w:p>
        </w:tc>
        <w:tc>
          <w:tcPr>
            <w:tcW w:w="336" w:type="pct"/>
            <w:vMerge w:val="restart"/>
            <w:vAlign w:val="center"/>
          </w:tcPr>
          <w:p w14:paraId="6422147D">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DA0</w:t>
            </w:r>
            <w:r>
              <w:rPr>
                <w:rFonts w:hint="eastAsia" w:ascii="Times New Roman" w:hAnsi="Times New Roman" w:cs="Times New Roman"/>
                <w:color w:val="auto"/>
                <w:kern w:val="2"/>
                <w:sz w:val="21"/>
                <w:szCs w:val="21"/>
                <w:lang w:val="en-US" w:eastAsia="zh-CN" w:bidi="ar-SA"/>
              </w:rPr>
              <w:t>55</w:t>
            </w:r>
          </w:p>
        </w:tc>
        <w:tc>
          <w:tcPr>
            <w:tcW w:w="547" w:type="pct"/>
            <w:vAlign w:val="center"/>
          </w:tcPr>
          <w:p w14:paraId="766DE1A4">
            <w:pPr>
              <w:widowControl w:val="0"/>
              <w:spacing w:line="360" w:lineRule="exact"/>
              <w:ind w:firstLine="0" w:firstLineChars="0"/>
              <w:jc w:val="center"/>
              <w:rPr>
                <w:rFonts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2"/>
                <w:sz w:val="21"/>
                <w:szCs w:val="21"/>
                <w:lang w:val="en-US" w:eastAsia="zh-CN" w:bidi="ar-SA"/>
              </w:rPr>
              <w:t>氨</w:t>
            </w:r>
          </w:p>
        </w:tc>
        <w:tc>
          <w:tcPr>
            <w:tcW w:w="915" w:type="pct"/>
            <w:gridSpan w:val="4"/>
            <w:vMerge w:val="restart"/>
            <w:vAlign w:val="center"/>
          </w:tcPr>
          <w:p w14:paraId="2EA9D9A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两级</w:t>
            </w:r>
            <w:r>
              <w:rPr>
                <w:rFonts w:hint="eastAsia" w:ascii="Times New Roman" w:hAnsi="Times New Roman" w:eastAsia="宋体" w:cs="Times New Roman"/>
                <w:color w:val="auto"/>
                <w:kern w:val="2"/>
                <w:sz w:val="21"/>
                <w:szCs w:val="21"/>
                <w:lang w:val="en-US" w:eastAsia="zh-CN" w:bidi="ar-SA"/>
              </w:rPr>
              <w:t>冷凝+</w:t>
            </w:r>
            <w:r>
              <w:rPr>
                <w:rFonts w:ascii="Times New Roman" w:hAnsi="Times New Roman" w:eastAsia="宋体" w:cs="Times New Roman"/>
                <w:color w:val="auto"/>
                <w:kern w:val="2"/>
                <w:sz w:val="21"/>
                <w:szCs w:val="21"/>
                <w:lang w:val="en-US" w:eastAsia="zh-CN" w:bidi="ar-SA"/>
              </w:rPr>
              <w:t>一级水吸收</w:t>
            </w:r>
            <w:r>
              <w:rPr>
                <w:rFonts w:hint="eastAsia" w:ascii="Times New Roman" w:hAnsi="Times New Roman" w:eastAsia="宋体" w:cs="Times New Roman"/>
                <w:color w:val="auto"/>
                <w:kern w:val="2"/>
                <w:sz w:val="21"/>
                <w:szCs w:val="21"/>
                <w:lang w:val="en-US" w:eastAsia="zh-CN" w:bidi="ar-SA"/>
              </w:rPr>
              <w:t>+</w:t>
            </w:r>
            <w:r>
              <w:rPr>
                <w:rFonts w:ascii="Times New Roman" w:hAnsi="Times New Roman" w:eastAsia="宋体" w:cs="Times New Roman"/>
                <w:color w:val="auto"/>
                <w:kern w:val="2"/>
                <w:sz w:val="21"/>
                <w:szCs w:val="21"/>
                <w:lang w:val="en-US" w:eastAsia="zh-CN" w:bidi="ar-SA"/>
              </w:rPr>
              <w:t>一级</w:t>
            </w:r>
            <w:r>
              <w:rPr>
                <w:rFonts w:hint="eastAsia" w:ascii="Times New Roman" w:hAnsi="Times New Roman" w:cs="Times New Roman"/>
                <w:color w:val="auto"/>
                <w:kern w:val="2"/>
                <w:sz w:val="21"/>
                <w:szCs w:val="21"/>
                <w:lang w:val="en-US" w:eastAsia="zh-CN" w:bidi="ar-SA"/>
              </w:rPr>
              <w:t>酸</w:t>
            </w:r>
            <w:r>
              <w:rPr>
                <w:rFonts w:ascii="Times New Roman" w:hAnsi="Times New Roman" w:eastAsia="宋体" w:cs="Times New Roman"/>
                <w:color w:val="auto"/>
                <w:kern w:val="2"/>
                <w:sz w:val="21"/>
                <w:szCs w:val="21"/>
                <w:lang w:val="en-US" w:eastAsia="zh-CN" w:bidi="ar-SA"/>
              </w:rPr>
              <w:t>吸收</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auto"/>
                <w:kern w:val="2"/>
                <w:sz w:val="21"/>
                <w:szCs w:val="21"/>
                <w:lang w:val="en-US" w:eastAsia="zh-CN" w:bidi="ar-SA"/>
              </w:rPr>
              <w:t>两级活性炭吸附+1根27</w:t>
            </w:r>
            <w:r>
              <w:rPr>
                <w:rFonts w:hint="eastAsia" w:ascii="Times New Roman" w:hAnsi="Times New Roman" w:eastAsia="宋体" w:cs="Times New Roman"/>
                <w:color w:val="auto"/>
                <w:kern w:val="2"/>
                <w:sz w:val="21"/>
                <w:szCs w:val="21"/>
                <w:lang w:val="en-US" w:eastAsia="zh-CN" w:bidi="ar-SA"/>
              </w:rPr>
              <w:t>m</w:t>
            </w:r>
            <w:r>
              <w:rPr>
                <w:rFonts w:ascii="Times New Roman" w:hAnsi="Times New Roman" w:eastAsia="宋体" w:cs="Times New Roman"/>
                <w:color w:val="auto"/>
                <w:kern w:val="2"/>
                <w:sz w:val="21"/>
                <w:szCs w:val="21"/>
                <w:lang w:val="en-US" w:eastAsia="zh-CN" w:bidi="ar-SA"/>
              </w:rPr>
              <w:t>排气筒达标排</w:t>
            </w:r>
            <w:r>
              <w:rPr>
                <w:rFonts w:hint="eastAsia" w:ascii="Times New Roman" w:hAnsi="Times New Roman" w:eastAsia="宋体" w:cs="Times New Roman"/>
                <w:color w:val="auto"/>
                <w:kern w:val="2"/>
                <w:sz w:val="21"/>
                <w:szCs w:val="21"/>
                <w:lang w:val="en-US" w:eastAsia="zh-CN" w:bidi="ar-SA"/>
              </w:rPr>
              <w:t>放</w:t>
            </w:r>
            <w:r>
              <w:rPr>
                <w:rFonts w:hint="eastAsia" w:ascii="Times New Roman" w:hAnsi="Times New Roman" w:cs="Times New Roman"/>
                <w:color w:val="auto"/>
                <w:kern w:val="2"/>
                <w:sz w:val="21"/>
                <w:szCs w:val="21"/>
                <w:lang w:val="en-US" w:eastAsia="zh-CN" w:bidi="ar-SA"/>
              </w:rPr>
              <w:t>，风量5000m</w:t>
            </w:r>
            <w:r>
              <w:rPr>
                <w:rFonts w:hint="eastAsia" w:ascii="Times New Roman" w:hAnsi="Times New Roman" w:cs="Times New Roman"/>
                <w:color w:val="auto"/>
                <w:kern w:val="2"/>
                <w:sz w:val="21"/>
                <w:szCs w:val="21"/>
                <w:vertAlign w:val="superscript"/>
                <w:lang w:val="en-US" w:eastAsia="zh-CN" w:bidi="ar-SA"/>
              </w:rPr>
              <w:t>3</w:t>
            </w:r>
            <w:r>
              <w:rPr>
                <w:rFonts w:hint="eastAsia" w:ascii="Times New Roman" w:hAnsi="Times New Roman" w:cs="Times New Roman"/>
                <w:color w:val="auto"/>
                <w:kern w:val="2"/>
                <w:sz w:val="21"/>
                <w:szCs w:val="21"/>
                <w:lang w:val="en-US" w:eastAsia="zh-CN" w:bidi="ar-SA"/>
              </w:rPr>
              <w:t>/h</w:t>
            </w:r>
          </w:p>
        </w:tc>
        <w:tc>
          <w:tcPr>
            <w:tcW w:w="340" w:type="pct"/>
            <w:vAlign w:val="center"/>
          </w:tcPr>
          <w:p w14:paraId="74CA6880">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w:t>
            </w:r>
          </w:p>
        </w:tc>
        <w:tc>
          <w:tcPr>
            <w:tcW w:w="583" w:type="pct"/>
            <w:shd w:val="clear" w:color="auto" w:fill="auto"/>
            <w:vAlign w:val="center"/>
          </w:tcPr>
          <w:p w14:paraId="10F71FC8">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452" w:type="pct"/>
            <w:tcBorders>
              <w:bottom w:val="single" w:color="auto" w:sz="4" w:space="0"/>
            </w:tcBorders>
            <w:vAlign w:val="center"/>
          </w:tcPr>
          <w:p w14:paraId="10376392">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w:t>
            </w:r>
          </w:p>
        </w:tc>
        <w:tc>
          <w:tcPr>
            <w:tcW w:w="1023" w:type="pct"/>
            <w:tcBorders>
              <w:bottom w:val="single" w:color="auto" w:sz="4" w:space="0"/>
            </w:tcBorders>
            <w:vAlign w:val="center"/>
          </w:tcPr>
          <w:p w14:paraId="4421EBA6">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《恶臭污染物排放标准》（GB14554-93）表2</w:t>
            </w:r>
          </w:p>
        </w:tc>
      </w:tr>
      <w:tr w14:paraId="7682C91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784" w:hRule="atLeast"/>
        </w:trPr>
        <w:tc>
          <w:tcPr>
            <w:tcW w:w="213" w:type="pct"/>
            <w:vMerge w:val="continue"/>
            <w:vAlign w:val="center"/>
          </w:tcPr>
          <w:p w14:paraId="181F11B5">
            <w:pPr>
              <w:widowControl w:val="0"/>
              <w:spacing w:line="360" w:lineRule="exact"/>
              <w:ind w:firstLine="0" w:firstLineChars="0"/>
              <w:jc w:val="center"/>
              <w:rPr>
                <w:rFonts w:ascii="Times New Roman" w:hAnsi="Times New Roman" w:eastAsia="宋体" w:cs="Times New Roman"/>
                <w:color w:val="auto"/>
                <w:kern w:val="2"/>
                <w:sz w:val="21"/>
                <w:szCs w:val="21"/>
                <w:highlight w:val="yellow"/>
                <w:lang w:val="en-US" w:eastAsia="zh-CN" w:bidi="ar-SA"/>
              </w:rPr>
            </w:pPr>
          </w:p>
        </w:tc>
        <w:tc>
          <w:tcPr>
            <w:tcW w:w="586" w:type="pct"/>
            <w:vMerge w:val="continue"/>
            <w:vAlign w:val="center"/>
          </w:tcPr>
          <w:p w14:paraId="77C33BF7">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36" w:type="pct"/>
            <w:vMerge w:val="continue"/>
            <w:vAlign w:val="center"/>
          </w:tcPr>
          <w:p w14:paraId="6BE98DF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547" w:type="pct"/>
            <w:tcBorders>
              <w:bottom w:val="single" w:color="auto" w:sz="4" w:space="0"/>
            </w:tcBorders>
            <w:vAlign w:val="center"/>
          </w:tcPr>
          <w:p w14:paraId="531C815F">
            <w:pPr>
              <w:widowControl w:val="0"/>
              <w:spacing w:line="360" w:lineRule="exact"/>
              <w:ind w:firstLine="0" w:firstLineChars="0"/>
              <w:jc w:val="center"/>
              <w:rPr>
                <w:rFonts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2"/>
                <w:sz w:val="21"/>
                <w:szCs w:val="21"/>
                <w:lang w:val="en-US" w:eastAsia="zh-CN" w:bidi="ar-SA"/>
              </w:rPr>
              <w:t>甲醇</w:t>
            </w:r>
          </w:p>
        </w:tc>
        <w:tc>
          <w:tcPr>
            <w:tcW w:w="915" w:type="pct"/>
            <w:gridSpan w:val="4"/>
            <w:vMerge w:val="continue"/>
            <w:vAlign w:val="center"/>
          </w:tcPr>
          <w:p w14:paraId="3E3C4C1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40" w:type="pct"/>
            <w:tcBorders>
              <w:bottom w:val="single" w:color="auto" w:sz="4" w:space="0"/>
            </w:tcBorders>
            <w:vAlign w:val="center"/>
          </w:tcPr>
          <w:p w14:paraId="0A8A21B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w:t>
            </w:r>
          </w:p>
        </w:tc>
        <w:tc>
          <w:tcPr>
            <w:tcW w:w="583" w:type="pct"/>
            <w:tcBorders>
              <w:bottom w:val="single" w:color="auto" w:sz="4" w:space="0"/>
            </w:tcBorders>
            <w:shd w:val="clear" w:color="auto" w:fill="auto"/>
            <w:vAlign w:val="center"/>
          </w:tcPr>
          <w:p w14:paraId="21AD77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w:t>
            </w:r>
          </w:p>
        </w:tc>
        <w:tc>
          <w:tcPr>
            <w:tcW w:w="452" w:type="pct"/>
            <w:tcBorders>
              <w:top w:val="single" w:color="auto" w:sz="4" w:space="0"/>
              <w:bottom w:val="single" w:color="auto" w:sz="4" w:space="0"/>
            </w:tcBorders>
            <w:vAlign w:val="center"/>
          </w:tcPr>
          <w:p w14:paraId="7CFFFE3E">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w:t>
            </w:r>
          </w:p>
        </w:tc>
        <w:tc>
          <w:tcPr>
            <w:tcW w:w="1023" w:type="pct"/>
            <w:vMerge w:val="restart"/>
            <w:tcBorders>
              <w:top w:val="single" w:color="auto" w:sz="4" w:space="0"/>
            </w:tcBorders>
            <w:vAlign w:val="center"/>
          </w:tcPr>
          <w:p w14:paraId="3470B22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《石油化学工业污染物排放标准》（GB31571-2015，含2024年修改单）中表5及表6</w:t>
            </w:r>
          </w:p>
        </w:tc>
      </w:tr>
      <w:tr w14:paraId="33ACAF6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656" w:hRule="atLeast"/>
        </w:trPr>
        <w:tc>
          <w:tcPr>
            <w:tcW w:w="213" w:type="pct"/>
            <w:vMerge w:val="continue"/>
            <w:vAlign w:val="center"/>
          </w:tcPr>
          <w:p w14:paraId="72D1DE63">
            <w:pPr>
              <w:widowControl w:val="0"/>
              <w:spacing w:line="360" w:lineRule="exact"/>
              <w:ind w:firstLine="0" w:firstLineChars="0"/>
              <w:jc w:val="center"/>
              <w:rPr>
                <w:rFonts w:ascii="Times New Roman" w:hAnsi="Times New Roman" w:eastAsia="宋体" w:cs="Times New Roman"/>
                <w:color w:val="auto"/>
                <w:kern w:val="2"/>
                <w:sz w:val="21"/>
                <w:szCs w:val="21"/>
                <w:highlight w:val="yellow"/>
                <w:lang w:val="en-US" w:eastAsia="zh-CN" w:bidi="ar-SA"/>
              </w:rPr>
            </w:pPr>
          </w:p>
        </w:tc>
        <w:tc>
          <w:tcPr>
            <w:tcW w:w="586" w:type="pct"/>
            <w:vMerge w:val="continue"/>
            <w:vAlign w:val="center"/>
          </w:tcPr>
          <w:p w14:paraId="244B034E">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36" w:type="pct"/>
            <w:vMerge w:val="continue"/>
            <w:vAlign w:val="center"/>
          </w:tcPr>
          <w:p w14:paraId="055CBFE1">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547" w:type="pct"/>
            <w:tcBorders>
              <w:top w:val="single" w:color="auto" w:sz="4" w:space="0"/>
            </w:tcBorders>
            <w:vAlign w:val="center"/>
          </w:tcPr>
          <w:p w14:paraId="75231286">
            <w:pPr>
              <w:widowControl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非甲烷总烃</w:t>
            </w:r>
          </w:p>
        </w:tc>
        <w:tc>
          <w:tcPr>
            <w:tcW w:w="915" w:type="pct"/>
            <w:gridSpan w:val="4"/>
            <w:vMerge w:val="continue"/>
            <w:vAlign w:val="center"/>
          </w:tcPr>
          <w:p w14:paraId="4BDB33A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40" w:type="pct"/>
            <w:tcBorders>
              <w:top w:val="single" w:color="auto" w:sz="4" w:space="0"/>
            </w:tcBorders>
            <w:vAlign w:val="center"/>
          </w:tcPr>
          <w:p w14:paraId="0EED1D8C">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97%</w:t>
            </w:r>
          </w:p>
        </w:tc>
        <w:tc>
          <w:tcPr>
            <w:tcW w:w="583" w:type="pct"/>
            <w:tcBorders>
              <w:top w:val="single" w:color="auto" w:sz="4" w:space="0"/>
            </w:tcBorders>
            <w:shd w:val="clear" w:color="auto" w:fill="auto"/>
            <w:vAlign w:val="center"/>
          </w:tcPr>
          <w:p w14:paraId="5625D98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452" w:type="pct"/>
            <w:tcBorders>
              <w:top w:val="single" w:color="auto" w:sz="4" w:space="0"/>
              <w:bottom w:val="single" w:color="auto" w:sz="4" w:space="0"/>
            </w:tcBorders>
            <w:vAlign w:val="center"/>
          </w:tcPr>
          <w:p w14:paraId="652BE43E">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23" w:type="pct"/>
            <w:vMerge w:val="continue"/>
            <w:tcBorders>
              <w:bottom w:val="single" w:color="auto" w:sz="4" w:space="0"/>
            </w:tcBorders>
            <w:vAlign w:val="center"/>
          </w:tcPr>
          <w:p w14:paraId="380A4291">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09C8C04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525" w:hRule="atLeast"/>
        </w:trPr>
        <w:tc>
          <w:tcPr>
            <w:tcW w:w="213" w:type="pct"/>
            <w:vMerge w:val="continue"/>
            <w:vAlign w:val="center"/>
          </w:tcPr>
          <w:p w14:paraId="5F18ADD2">
            <w:pPr>
              <w:widowControl w:val="0"/>
              <w:spacing w:line="360" w:lineRule="exact"/>
              <w:ind w:firstLine="0" w:firstLineChars="0"/>
              <w:jc w:val="center"/>
              <w:rPr>
                <w:rFonts w:ascii="Times New Roman" w:hAnsi="Times New Roman" w:eastAsia="宋体" w:cs="Times New Roman"/>
                <w:color w:val="auto"/>
                <w:kern w:val="2"/>
                <w:sz w:val="21"/>
                <w:szCs w:val="21"/>
                <w:highlight w:val="yellow"/>
                <w:lang w:val="en-US" w:eastAsia="zh-CN" w:bidi="ar-SA"/>
              </w:rPr>
            </w:pPr>
          </w:p>
        </w:tc>
        <w:tc>
          <w:tcPr>
            <w:tcW w:w="586" w:type="pct"/>
            <w:vMerge w:val="restart"/>
            <w:vAlign w:val="center"/>
          </w:tcPr>
          <w:p w14:paraId="0B93BE6B">
            <w:pPr>
              <w:widowControl w:val="0"/>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乙醇回收废气、成品处理废气</w:t>
            </w:r>
          </w:p>
        </w:tc>
        <w:tc>
          <w:tcPr>
            <w:tcW w:w="336" w:type="pct"/>
            <w:vMerge w:val="restart"/>
            <w:vAlign w:val="center"/>
          </w:tcPr>
          <w:p w14:paraId="64B859AC">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DA0</w:t>
            </w:r>
            <w:r>
              <w:rPr>
                <w:rFonts w:hint="eastAsia" w:ascii="Times New Roman" w:hAnsi="Times New Roman" w:cs="Times New Roman"/>
                <w:color w:val="auto"/>
                <w:kern w:val="2"/>
                <w:sz w:val="21"/>
                <w:szCs w:val="21"/>
                <w:lang w:val="en-US" w:eastAsia="zh-CN" w:bidi="ar-SA"/>
              </w:rPr>
              <w:t>56</w:t>
            </w:r>
          </w:p>
        </w:tc>
        <w:tc>
          <w:tcPr>
            <w:tcW w:w="547" w:type="pct"/>
            <w:tcBorders>
              <w:bottom w:val="single" w:color="auto" w:sz="4" w:space="0"/>
            </w:tcBorders>
            <w:vAlign w:val="center"/>
          </w:tcPr>
          <w:p w14:paraId="467A14FE">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颗粒物</w:t>
            </w:r>
          </w:p>
        </w:tc>
        <w:tc>
          <w:tcPr>
            <w:tcW w:w="274" w:type="pct"/>
            <w:tcBorders>
              <w:bottom w:val="single" w:color="auto" w:sz="4" w:space="0"/>
              <w:right w:val="single" w:color="auto" w:sz="4" w:space="0"/>
            </w:tcBorders>
            <w:shd w:val="clear" w:color="auto" w:fill="auto"/>
            <w:vAlign w:val="center"/>
          </w:tcPr>
          <w:p w14:paraId="5030E228">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袋式除尘器</w:t>
            </w:r>
          </w:p>
        </w:tc>
        <w:tc>
          <w:tcPr>
            <w:tcW w:w="641" w:type="pct"/>
            <w:gridSpan w:val="3"/>
            <w:vMerge w:val="restart"/>
            <w:tcBorders>
              <w:left w:val="single" w:color="auto" w:sz="4" w:space="0"/>
            </w:tcBorders>
            <w:vAlign w:val="center"/>
          </w:tcPr>
          <w:p w14:paraId="7E7E8780">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两</w:t>
            </w:r>
            <w:r>
              <w:rPr>
                <w:rFonts w:ascii="Times New Roman" w:hAnsi="Times New Roman" w:eastAsia="宋体" w:cs="Times New Roman"/>
                <w:color w:val="auto"/>
                <w:kern w:val="2"/>
                <w:sz w:val="21"/>
                <w:szCs w:val="21"/>
                <w:lang w:val="en-US" w:eastAsia="zh-CN" w:bidi="ar-SA"/>
              </w:rPr>
              <w:t>级水吸收</w:t>
            </w:r>
            <w:r>
              <w:rPr>
                <w:rFonts w:hint="eastAsia" w:ascii="Times New Roman" w:hAnsi="Times New Roman" w:eastAsia="宋体" w:cs="Times New Roman"/>
                <w:color w:val="auto"/>
                <w:kern w:val="2"/>
                <w:sz w:val="21"/>
                <w:szCs w:val="21"/>
                <w:lang w:val="en-US" w:eastAsia="zh-CN" w:bidi="ar-SA"/>
              </w:rPr>
              <w:t>+</w:t>
            </w:r>
            <w:r>
              <w:rPr>
                <w:rFonts w:ascii="Times New Roman" w:hAnsi="Times New Roman" w:eastAsia="宋体" w:cs="Times New Roman"/>
                <w:color w:val="auto"/>
                <w:kern w:val="2"/>
                <w:sz w:val="21"/>
                <w:szCs w:val="21"/>
                <w:lang w:val="en-US" w:eastAsia="zh-CN" w:bidi="ar-SA"/>
              </w:rPr>
              <w:t>一级</w:t>
            </w:r>
            <w:r>
              <w:rPr>
                <w:rFonts w:hint="eastAsia" w:ascii="Times New Roman" w:hAnsi="Times New Roman" w:cs="Times New Roman"/>
                <w:color w:val="auto"/>
                <w:kern w:val="2"/>
                <w:sz w:val="21"/>
                <w:szCs w:val="21"/>
                <w:lang w:val="en-US" w:eastAsia="zh-CN" w:bidi="ar-SA"/>
              </w:rPr>
              <w:t>酸</w:t>
            </w:r>
            <w:r>
              <w:rPr>
                <w:rFonts w:ascii="Times New Roman" w:hAnsi="Times New Roman" w:eastAsia="宋体" w:cs="Times New Roman"/>
                <w:color w:val="auto"/>
                <w:kern w:val="2"/>
                <w:sz w:val="21"/>
                <w:szCs w:val="21"/>
                <w:lang w:val="en-US" w:eastAsia="zh-CN" w:bidi="ar-SA"/>
              </w:rPr>
              <w:t>吸收</w:t>
            </w:r>
            <w:r>
              <w:rPr>
                <w:rFonts w:hint="eastAsia" w:ascii="Times New Roman" w:hAnsi="Times New Roman" w:cs="Times New Roman"/>
                <w:color w:val="auto"/>
                <w:kern w:val="2"/>
                <w:sz w:val="21"/>
                <w:szCs w:val="21"/>
                <w:lang w:val="en-US" w:eastAsia="zh-CN" w:bidi="ar-SA"/>
              </w:rPr>
              <w:t>+1根27</w:t>
            </w:r>
            <w:r>
              <w:rPr>
                <w:rFonts w:hint="eastAsia" w:ascii="Times New Roman" w:hAnsi="Times New Roman" w:eastAsia="宋体" w:cs="Times New Roman"/>
                <w:color w:val="auto"/>
                <w:kern w:val="2"/>
                <w:sz w:val="21"/>
                <w:szCs w:val="21"/>
                <w:lang w:val="en-US" w:eastAsia="zh-CN" w:bidi="ar-SA"/>
              </w:rPr>
              <w:t>m</w:t>
            </w:r>
            <w:r>
              <w:rPr>
                <w:rFonts w:ascii="Times New Roman" w:hAnsi="Times New Roman" w:eastAsia="宋体" w:cs="Times New Roman"/>
                <w:color w:val="auto"/>
                <w:kern w:val="2"/>
                <w:sz w:val="21"/>
                <w:szCs w:val="21"/>
                <w:lang w:val="en-US" w:eastAsia="zh-CN" w:bidi="ar-SA"/>
              </w:rPr>
              <w:t>排气筒达标排</w:t>
            </w:r>
            <w:r>
              <w:rPr>
                <w:rFonts w:hint="eastAsia" w:ascii="Times New Roman" w:hAnsi="Times New Roman" w:eastAsia="宋体" w:cs="Times New Roman"/>
                <w:color w:val="auto"/>
                <w:kern w:val="2"/>
                <w:sz w:val="21"/>
                <w:szCs w:val="21"/>
                <w:lang w:val="en-US" w:eastAsia="zh-CN" w:bidi="ar-SA"/>
              </w:rPr>
              <w:t>放</w:t>
            </w:r>
            <w:r>
              <w:rPr>
                <w:rFonts w:hint="eastAsia" w:ascii="Times New Roman" w:hAnsi="Times New Roman" w:cs="Times New Roman"/>
                <w:color w:val="auto"/>
                <w:kern w:val="2"/>
                <w:sz w:val="21"/>
                <w:szCs w:val="21"/>
                <w:lang w:val="en-US" w:eastAsia="zh-CN" w:bidi="ar-SA"/>
              </w:rPr>
              <w:t>，风量5000m</w:t>
            </w:r>
            <w:r>
              <w:rPr>
                <w:rFonts w:hint="eastAsia" w:ascii="Times New Roman" w:hAnsi="Times New Roman" w:cs="Times New Roman"/>
                <w:color w:val="auto"/>
                <w:kern w:val="2"/>
                <w:sz w:val="21"/>
                <w:szCs w:val="21"/>
                <w:vertAlign w:val="superscript"/>
                <w:lang w:val="en-US" w:eastAsia="zh-CN" w:bidi="ar-SA"/>
              </w:rPr>
              <w:t>3</w:t>
            </w:r>
            <w:r>
              <w:rPr>
                <w:rFonts w:hint="eastAsia" w:ascii="Times New Roman" w:hAnsi="Times New Roman" w:cs="Times New Roman"/>
                <w:color w:val="auto"/>
                <w:kern w:val="2"/>
                <w:sz w:val="21"/>
                <w:szCs w:val="21"/>
                <w:lang w:val="en-US" w:eastAsia="zh-CN" w:bidi="ar-SA"/>
              </w:rPr>
              <w:t>/h</w:t>
            </w:r>
          </w:p>
        </w:tc>
        <w:tc>
          <w:tcPr>
            <w:tcW w:w="340" w:type="pct"/>
            <w:tcBorders>
              <w:bottom w:val="single" w:color="auto" w:sz="4" w:space="0"/>
            </w:tcBorders>
            <w:vAlign w:val="center"/>
          </w:tcPr>
          <w:p w14:paraId="3C56D26D">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83" w:type="pct"/>
            <w:tcBorders>
              <w:bottom w:val="single" w:color="auto" w:sz="4" w:space="0"/>
            </w:tcBorders>
            <w:vAlign w:val="center"/>
          </w:tcPr>
          <w:p w14:paraId="71F62856">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p>
        </w:tc>
        <w:tc>
          <w:tcPr>
            <w:tcW w:w="452" w:type="pct"/>
            <w:tcBorders>
              <w:top w:val="single" w:color="auto" w:sz="4" w:space="0"/>
              <w:bottom w:val="single" w:color="auto" w:sz="4" w:space="0"/>
            </w:tcBorders>
            <w:vAlign w:val="center"/>
          </w:tcPr>
          <w:p w14:paraId="5B339E57">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23" w:type="pct"/>
            <w:vMerge w:val="restart"/>
            <w:tcBorders>
              <w:top w:val="single" w:color="auto" w:sz="4" w:space="0"/>
            </w:tcBorders>
            <w:vAlign w:val="center"/>
          </w:tcPr>
          <w:p w14:paraId="2170691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《石油化学工业污染物排放标准》（GB31571-2015，含2024年修改单）中表5</w:t>
            </w:r>
          </w:p>
        </w:tc>
      </w:tr>
      <w:tr w14:paraId="4AA51EE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05" w:hRule="atLeast"/>
        </w:trPr>
        <w:tc>
          <w:tcPr>
            <w:tcW w:w="213" w:type="pct"/>
            <w:vMerge w:val="continue"/>
            <w:vAlign w:val="center"/>
          </w:tcPr>
          <w:p w14:paraId="73B02E72">
            <w:pPr>
              <w:widowControl w:val="0"/>
              <w:spacing w:line="360" w:lineRule="exact"/>
              <w:ind w:firstLine="0" w:firstLineChars="0"/>
              <w:jc w:val="center"/>
              <w:rPr>
                <w:rFonts w:ascii="Times New Roman" w:hAnsi="Times New Roman" w:eastAsia="宋体" w:cs="Times New Roman"/>
                <w:color w:val="auto"/>
                <w:kern w:val="2"/>
                <w:sz w:val="21"/>
                <w:szCs w:val="21"/>
                <w:highlight w:val="yellow"/>
                <w:lang w:val="en-US" w:eastAsia="zh-CN" w:bidi="ar-SA"/>
              </w:rPr>
            </w:pPr>
          </w:p>
        </w:tc>
        <w:tc>
          <w:tcPr>
            <w:tcW w:w="586" w:type="pct"/>
            <w:vMerge w:val="continue"/>
            <w:vAlign w:val="center"/>
          </w:tcPr>
          <w:p w14:paraId="470E270C">
            <w:pPr>
              <w:widowControl w:val="0"/>
              <w:jc w:val="center"/>
              <w:rPr>
                <w:rFonts w:ascii="Times New Roman" w:hAnsi="Times New Roman" w:eastAsia="宋体" w:cs="Times New Roman"/>
                <w:color w:val="auto"/>
                <w:kern w:val="2"/>
                <w:sz w:val="21"/>
                <w:szCs w:val="24"/>
                <w:lang w:val="en-US" w:eastAsia="zh-CN" w:bidi="ar-SA"/>
              </w:rPr>
            </w:pPr>
          </w:p>
        </w:tc>
        <w:tc>
          <w:tcPr>
            <w:tcW w:w="336" w:type="pct"/>
            <w:vMerge w:val="continue"/>
            <w:vAlign w:val="center"/>
          </w:tcPr>
          <w:p w14:paraId="5809FE76">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547" w:type="pct"/>
            <w:tcBorders>
              <w:top w:val="single" w:color="auto" w:sz="4" w:space="0"/>
            </w:tcBorders>
            <w:vAlign w:val="center"/>
          </w:tcPr>
          <w:p w14:paraId="29BD7E08">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非甲烷总烃</w:t>
            </w:r>
          </w:p>
        </w:tc>
        <w:tc>
          <w:tcPr>
            <w:tcW w:w="274" w:type="pct"/>
            <w:tcBorders>
              <w:top w:val="single" w:color="auto" w:sz="4" w:space="0"/>
              <w:right w:val="single" w:color="auto" w:sz="4" w:space="0"/>
            </w:tcBorders>
            <w:shd w:val="clear" w:color="auto" w:fill="auto"/>
            <w:vAlign w:val="center"/>
          </w:tcPr>
          <w:p w14:paraId="3C3B4AD1">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641" w:type="pct"/>
            <w:gridSpan w:val="3"/>
            <w:vMerge w:val="continue"/>
            <w:tcBorders>
              <w:left w:val="single" w:color="auto" w:sz="4" w:space="0"/>
            </w:tcBorders>
            <w:vAlign w:val="center"/>
          </w:tcPr>
          <w:p w14:paraId="4164A802">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340" w:type="pct"/>
            <w:tcBorders>
              <w:top w:val="single" w:color="auto" w:sz="4" w:space="0"/>
            </w:tcBorders>
            <w:vAlign w:val="center"/>
          </w:tcPr>
          <w:p w14:paraId="0FCEC86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97%</w:t>
            </w:r>
          </w:p>
        </w:tc>
        <w:tc>
          <w:tcPr>
            <w:tcW w:w="583" w:type="pct"/>
            <w:tcBorders>
              <w:top w:val="single" w:color="auto" w:sz="4" w:space="0"/>
            </w:tcBorders>
            <w:shd w:val="clear" w:color="auto" w:fill="auto"/>
            <w:vAlign w:val="center"/>
          </w:tcPr>
          <w:p w14:paraId="4E56DAF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452" w:type="pct"/>
            <w:tcBorders>
              <w:top w:val="single" w:color="auto" w:sz="4" w:space="0"/>
              <w:bottom w:val="single" w:color="auto" w:sz="4" w:space="0"/>
            </w:tcBorders>
            <w:shd w:val="clear" w:color="auto" w:fill="auto"/>
            <w:vAlign w:val="center"/>
          </w:tcPr>
          <w:p w14:paraId="2FBBCFA9">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23" w:type="pct"/>
            <w:vMerge w:val="continue"/>
            <w:tcBorders>
              <w:bottom w:val="single" w:color="auto" w:sz="4" w:space="0"/>
            </w:tcBorders>
            <w:vAlign w:val="center"/>
          </w:tcPr>
          <w:p w14:paraId="1F71AC6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39F30A9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43" w:hRule="atLeast"/>
        </w:trPr>
        <w:tc>
          <w:tcPr>
            <w:tcW w:w="213" w:type="pct"/>
            <w:vMerge w:val="continue"/>
            <w:vAlign w:val="center"/>
          </w:tcPr>
          <w:p w14:paraId="680271DF">
            <w:pPr>
              <w:widowControl w:val="0"/>
              <w:spacing w:line="360" w:lineRule="exact"/>
              <w:ind w:firstLine="0" w:firstLineChars="0"/>
              <w:jc w:val="center"/>
              <w:rPr>
                <w:rFonts w:ascii="Times New Roman" w:hAnsi="Times New Roman" w:eastAsia="宋体" w:cs="Times New Roman"/>
                <w:color w:val="auto"/>
                <w:kern w:val="2"/>
                <w:sz w:val="21"/>
                <w:szCs w:val="21"/>
                <w:highlight w:val="yellow"/>
                <w:lang w:val="en-US" w:eastAsia="zh-CN" w:bidi="ar-SA"/>
              </w:rPr>
            </w:pPr>
          </w:p>
        </w:tc>
        <w:tc>
          <w:tcPr>
            <w:tcW w:w="586" w:type="pct"/>
            <w:vMerge w:val="restart"/>
            <w:vAlign w:val="center"/>
          </w:tcPr>
          <w:p w14:paraId="23C5CB47">
            <w:pPr>
              <w:widowControl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导热油炉废气、甲醇制氢解吸气</w:t>
            </w:r>
          </w:p>
        </w:tc>
        <w:tc>
          <w:tcPr>
            <w:tcW w:w="336" w:type="pct"/>
            <w:vMerge w:val="restart"/>
            <w:vAlign w:val="center"/>
          </w:tcPr>
          <w:p w14:paraId="4239B84E">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DA057</w:t>
            </w:r>
          </w:p>
        </w:tc>
        <w:tc>
          <w:tcPr>
            <w:tcW w:w="547" w:type="pct"/>
            <w:tcBorders>
              <w:bottom w:val="single" w:color="auto" w:sz="4" w:space="0"/>
            </w:tcBorders>
            <w:shd w:val="clear" w:color="auto" w:fill="auto"/>
            <w:vAlign w:val="center"/>
          </w:tcPr>
          <w:p w14:paraId="679D5175">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颗粒物</w:t>
            </w:r>
          </w:p>
        </w:tc>
        <w:tc>
          <w:tcPr>
            <w:tcW w:w="915" w:type="pct"/>
            <w:gridSpan w:val="4"/>
            <w:vMerge w:val="restart"/>
            <w:vAlign w:val="center"/>
          </w:tcPr>
          <w:p w14:paraId="544E50A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highlight w:val="none"/>
              </w:rPr>
              <w:t>“空气分级燃烧”低氮燃烧+</w:t>
            </w:r>
            <w:r>
              <w:rPr>
                <w:rFonts w:hint="default" w:ascii="Times New Roman" w:hAnsi="Times New Roman" w:eastAsia="宋体" w:cs="Times New Roman"/>
                <w:sz w:val="21"/>
                <w:szCs w:val="21"/>
                <w:highlight w:val="none"/>
                <w:lang w:val="en-US" w:eastAsia="zh-CN"/>
              </w:rPr>
              <w:t>导热油炉</w:t>
            </w:r>
            <w:r>
              <w:rPr>
                <w:rFonts w:hint="default" w:ascii="Times New Roman" w:hAnsi="Times New Roman" w:eastAsia="宋体" w:cs="Times New Roman"/>
                <w:sz w:val="21"/>
                <w:szCs w:val="21"/>
                <w:highlight w:val="none"/>
              </w:rPr>
              <w:t>燃烧</w:t>
            </w:r>
            <w:r>
              <w:rPr>
                <w:rFonts w:hint="eastAsia" w:ascii="Times New Roman" w:hAnsi="Times New Roman" w:cs="Times New Roman"/>
                <w:sz w:val="21"/>
                <w:szCs w:val="21"/>
                <w:highlight w:val="none"/>
                <w:lang w:val="en-US" w:eastAsia="zh-CN"/>
              </w:rPr>
              <w:t>+25m高排气筒</w:t>
            </w:r>
          </w:p>
        </w:tc>
        <w:tc>
          <w:tcPr>
            <w:tcW w:w="340" w:type="pct"/>
            <w:tcBorders>
              <w:bottom w:val="single" w:color="auto" w:sz="4" w:space="0"/>
            </w:tcBorders>
            <w:vAlign w:val="center"/>
          </w:tcPr>
          <w:p w14:paraId="683EB272">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83" w:type="pct"/>
            <w:tcBorders>
              <w:bottom w:val="single" w:color="auto" w:sz="4" w:space="0"/>
            </w:tcBorders>
            <w:vAlign w:val="center"/>
          </w:tcPr>
          <w:p w14:paraId="2CD2FB3D">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p>
        </w:tc>
        <w:tc>
          <w:tcPr>
            <w:tcW w:w="452" w:type="pct"/>
            <w:tcBorders>
              <w:top w:val="single" w:color="auto" w:sz="4" w:space="0"/>
              <w:bottom w:val="single" w:color="auto" w:sz="4" w:space="0"/>
            </w:tcBorders>
            <w:vAlign w:val="center"/>
          </w:tcPr>
          <w:p w14:paraId="0914969B">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23" w:type="pct"/>
            <w:vMerge w:val="restart"/>
            <w:tcBorders>
              <w:top w:val="single" w:color="auto" w:sz="4" w:space="0"/>
            </w:tcBorders>
            <w:vAlign w:val="center"/>
          </w:tcPr>
          <w:p w14:paraId="5C60A610">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《锅炉大气污染物排放标准》（GB13271-2014）表3</w:t>
            </w:r>
          </w:p>
        </w:tc>
      </w:tr>
      <w:tr w14:paraId="4558E3A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61" w:hRule="atLeast"/>
        </w:trPr>
        <w:tc>
          <w:tcPr>
            <w:tcW w:w="213" w:type="pct"/>
            <w:vMerge w:val="continue"/>
            <w:vAlign w:val="center"/>
          </w:tcPr>
          <w:p w14:paraId="405D0390">
            <w:pPr>
              <w:widowControl w:val="0"/>
              <w:spacing w:line="360" w:lineRule="exact"/>
              <w:ind w:firstLine="0" w:firstLineChars="0"/>
              <w:jc w:val="center"/>
              <w:rPr>
                <w:rFonts w:ascii="Times New Roman" w:hAnsi="Times New Roman" w:eastAsia="宋体" w:cs="Times New Roman"/>
                <w:color w:val="auto"/>
                <w:kern w:val="2"/>
                <w:sz w:val="21"/>
                <w:szCs w:val="21"/>
                <w:highlight w:val="yellow"/>
                <w:lang w:val="en-US" w:eastAsia="zh-CN" w:bidi="ar-SA"/>
              </w:rPr>
            </w:pPr>
          </w:p>
        </w:tc>
        <w:tc>
          <w:tcPr>
            <w:tcW w:w="586" w:type="pct"/>
            <w:vMerge w:val="continue"/>
            <w:vAlign w:val="center"/>
          </w:tcPr>
          <w:p w14:paraId="2DDE3BF8">
            <w:pPr>
              <w:widowControl w:val="0"/>
              <w:jc w:val="center"/>
              <w:rPr>
                <w:rFonts w:hint="eastAsia" w:ascii="Times New Roman" w:hAnsi="Times New Roman" w:eastAsia="宋体" w:cs="Times New Roman"/>
                <w:color w:val="auto"/>
                <w:kern w:val="2"/>
                <w:sz w:val="21"/>
                <w:szCs w:val="24"/>
                <w:lang w:val="en-US" w:eastAsia="zh-CN" w:bidi="ar-SA"/>
              </w:rPr>
            </w:pPr>
          </w:p>
        </w:tc>
        <w:tc>
          <w:tcPr>
            <w:tcW w:w="336" w:type="pct"/>
            <w:vMerge w:val="continue"/>
            <w:vAlign w:val="center"/>
          </w:tcPr>
          <w:p w14:paraId="3D7F88FC">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547" w:type="pct"/>
            <w:tcBorders>
              <w:top w:val="single" w:color="auto" w:sz="4" w:space="0"/>
              <w:bottom w:val="single" w:color="auto" w:sz="4" w:space="0"/>
            </w:tcBorders>
            <w:shd w:val="clear" w:color="auto" w:fill="auto"/>
            <w:vAlign w:val="center"/>
          </w:tcPr>
          <w:p w14:paraId="450AD0B3">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eastAsia="宋体" w:cs="Times New Roman"/>
                <w:b w:val="0"/>
                <w:bCs w:val="0"/>
                <w:sz w:val="21"/>
                <w:szCs w:val="21"/>
                <w:highlight w:val="none"/>
              </w:rPr>
              <w:t>二氧化硫</w:t>
            </w:r>
          </w:p>
        </w:tc>
        <w:tc>
          <w:tcPr>
            <w:tcW w:w="915" w:type="pct"/>
            <w:gridSpan w:val="4"/>
            <w:vMerge w:val="continue"/>
            <w:vAlign w:val="center"/>
          </w:tcPr>
          <w:p w14:paraId="6FC6704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40" w:type="pct"/>
            <w:tcBorders>
              <w:top w:val="single" w:color="auto" w:sz="4" w:space="0"/>
              <w:bottom w:val="single" w:color="auto" w:sz="4" w:space="0"/>
            </w:tcBorders>
            <w:vAlign w:val="center"/>
          </w:tcPr>
          <w:p w14:paraId="7F198580">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83" w:type="pct"/>
            <w:tcBorders>
              <w:top w:val="single" w:color="auto" w:sz="4" w:space="0"/>
              <w:bottom w:val="single" w:color="auto" w:sz="4" w:space="0"/>
            </w:tcBorders>
            <w:vAlign w:val="center"/>
          </w:tcPr>
          <w:p w14:paraId="77DE1AFD">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50</w:t>
            </w:r>
          </w:p>
        </w:tc>
        <w:tc>
          <w:tcPr>
            <w:tcW w:w="452" w:type="pct"/>
            <w:tcBorders>
              <w:top w:val="single" w:color="auto" w:sz="4" w:space="0"/>
              <w:bottom w:val="single" w:color="auto" w:sz="4" w:space="0"/>
            </w:tcBorders>
            <w:vAlign w:val="center"/>
          </w:tcPr>
          <w:p w14:paraId="51E9991E">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23" w:type="pct"/>
            <w:vMerge w:val="continue"/>
            <w:vAlign w:val="center"/>
          </w:tcPr>
          <w:p w14:paraId="3EE3FD0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04C57EC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09" w:hRule="atLeast"/>
        </w:trPr>
        <w:tc>
          <w:tcPr>
            <w:tcW w:w="213" w:type="pct"/>
            <w:vMerge w:val="continue"/>
            <w:vAlign w:val="center"/>
          </w:tcPr>
          <w:p w14:paraId="5C24B7AA">
            <w:pPr>
              <w:widowControl w:val="0"/>
              <w:spacing w:line="360" w:lineRule="exact"/>
              <w:ind w:firstLine="0" w:firstLineChars="0"/>
              <w:jc w:val="center"/>
              <w:rPr>
                <w:rFonts w:ascii="Times New Roman" w:hAnsi="Times New Roman" w:eastAsia="宋体" w:cs="Times New Roman"/>
                <w:color w:val="auto"/>
                <w:kern w:val="2"/>
                <w:sz w:val="21"/>
                <w:szCs w:val="21"/>
                <w:highlight w:val="yellow"/>
                <w:lang w:val="en-US" w:eastAsia="zh-CN" w:bidi="ar-SA"/>
              </w:rPr>
            </w:pPr>
          </w:p>
        </w:tc>
        <w:tc>
          <w:tcPr>
            <w:tcW w:w="586" w:type="pct"/>
            <w:vMerge w:val="continue"/>
            <w:vAlign w:val="center"/>
          </w:tcPr>
          <w:p w14:paraId="6C41F531">
            <w:pPr>
              <w:widowControl w:val="0"/>
              <w:jc w:val="center"/>
              <w:rPr>
                <w:rFonts w:hint="eastAsia" w:ascii="Times New Roman" w:hAnsi="Times New Roman" w:eastAsia="宋体" w:cs="Times New Roman"/>
                <w:color w:val="auto"/>
                <w:kern w:val="2"/>
                <w:sz w:val="21"/>
                <w:szCs w:val="24"/>
                <w:lang w:val="en-US" w:eastAsia="zh-CN" w:bidi="ar-SA"/>
              </w:rPr>
            </w:pPr>
          </w:p>
        </w:tc>
        <w:tc>
          <w:tcPr>
            <w:tcW w:w="336" w:type="pct"/>
            <w:vMerge w:val="continue"/>
            <w:vAlign w:val="center"/>
          </w:tcPr>
          <w:p w14:paraId="7533FACC">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547" w:type="pct"/>
            <w:tcBorders>
              <w:top w:val="single" w:color="auto" w:sz="4" w:space="0"/>
              <w:bottom w:val="single" w:color="auto" w:sz="4" w:space="0"/>
            </w:tcBorders>
            <w:shd w:val="clear" w:color="auto" w:fill="auto"/>
            <w:vAlign w:val="center"/>
          </w:tcPr>
          <w:p w14:paraId="0E785E50">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烟气黑度</w:t>
            </w:r>
          </w:p>
        </w:tc>
        <w:tc>
          <w:tcPr>
            <w:tcW w:w="915" w:type="pct"/>
            <w:gridSpan w:val="4"/>
            <w:vMerge w:val="continue"/>
            <w:vAlign w:val="center"/>
          </w:tcPr>
          <w:p w14:paraId="1A59FA7D">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40" w:type="pct"/>
            <w:tcBorders>
              <w:top w:val="single" w:color="auto" w:sz="4" w:space="0"/>
              <w:bottom w:val="single" w:color="auto" w:sz="4" w:space="0"/>
            </w:tcBorders>
            <w:vAlign w:val="center"/>
          </w:tcPr>
          <w:p w14:paraId="35605D49">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83" w:type="pct"/>
            <w:tcBorders>
              <w:top w:val="single" w:color="auto" w:sz="4" w:space="0"/>
              <w:bottom w:val="single" w:color="auto" w:sz="4" w:space="0"/>
            </w:tcBorders>
            <w:vAlign w:val="center"/>
          </w:tcPr>
          <w:p w14:paraId="0E90A504">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452" w:type="pct"/>
            <w:tcBorders>
              <w:top w:val="single" w:color="auto" w:sz="4" w:space="0"/>
              <w:bottom w:val="single" w:color="auto" w:sz="4" w:space="0"/>
            </w:tcBorders>
            <w:vAlign w:val="center"/>
          </w:tcPr>
          <w:p w14:paraId="71185AB6">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23" w:type="pct"/>
            <w:vMerge w:val="continue"/>
            <w:tcBorders>
              <w:bottom w:val="single" w:color="auto" w:sz="4" w:space="0"/>
            </w:tcBorders>
            <w:vAlign w:val="center"/>
          </w:tcPr>
          <w:p w14:paraId="1CE834CA">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03440CA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65" w:hRule="atLeast"/>
        </w:trPr>
        <w:tc>
          <w:tcPr>
            <w:tcW w:w="213" w:type="pct"/>
            <w:vMerge w:val="continue"/>
            <w:vAlign w:val="center"/>
          </w:tcPr>
          <w:p w14:paraId="5AC5E815">
            <w:pPr>
              <w:widowControl w:val="0"/>
              <w:spacing w:line="360" w:lineRule="exact"/>
              <w:ind w:firstLine="0" w:firstLineChars="0"/>
              <w:jc w:val="center"/>
              <w:rPr>
                <w:rFonts w:ascii="Times New Roman" w:hAnsi="Times New Roman" w:eastAsia="宋体" w:cs="Times New Roman"/>
                <w:color w:val="auto"/>
                <w:kern w:val="2"/>
                <w:sz w:val="21"/>
                <w:szCs w:val="21"/>
                <w:highlight w:val="yellow"/>
                <w:lang w:val="en-US" w:eastAsia="zh-CN" w:bidi="ar-SA"/>
              </w:rPr>
            </w:pPr>
          </w:p>
        </w:tc>
        <w:tc>
          <w:tcPr>
            <w:tcW w:w="586" w:type="pct"/>
            <w:vMerge w:val="continue"/>
            <w:vAlign w:val="center"/>
          </w:tcPr>
          <w:p w14:paraId="70D04EC1">
            <w:pPr>
              <w:widowControl w:val="0"/>
              <w:jc w:val="center"/>
              <w:rPr>
                <w:rFonts w:hint="eastAsia" w:ascii="Times New Roman" w:hAnsi="Times New Roman" w:eastAsia="宋体" w:cs="Times New Roman"/>
                <w:color w:val="auto"/>
                <w:kern w:val="2"/>
                <w:sz w:val="21"/>
                <w:szCs w:val="24"/>
                <w:lang w:val="en-US" w:eastAsia="zh-CN" w:bidi="ar-SA"/>
              </w:rPr>
            </w:pPr>
          </w:p>
        </w:tc>
        <w:tc>
          <w:tcPr>
            <w:tcW w:w="336" w:type="pct"/>
            <w:vMerge w:val="continue"/>
            <w:vAlign w:val="center"/>
          </w:tcPr>
          <w:p w14:paraId="5D49FAFC">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547" w:type="pct"/>
            <w:tcBorders>
              <w:top w:val="single" w:color="auto" w:sz="4" w:space="0"/>
              <w:bottom w:val="single" w:color="auto" w:sz="4" w:space="0"/>
            </w:tcBorders>
            <w:shd w:val="clear" w:color="auto" w:fill="auto"/>
            <w:vAlign w:val="center"/>
          </w:tcPr>
          <w:p w14:paraId="0C8F4805">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氮氧化物</w:t>
            </w:r>
          </w:p>
        </w:tc>
        <w:tc>
          <w:tcPr>
            <w:tcW w:w="915" w:type="pct"/>
            <w:gridSpan w:val="4"/>
            <w:vMerge w:val="continue"/>
            <w:vAlign w:val="center"/>
          </w:tcPr>
          <w:p w14:paraId="4462EBB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40" w:type="pct"/>
            <w:tcBorders>
              <w:top w:val="single" w:color="auto" w:sz="4" w:space="0"/>
              <w:bottom w:val="single" w:color="auto" w:sz="4" w:space="0"/>
            </w:tcBorders>
            <w:vAlign w:val="center"/>
          </w:tcPr>
          <w:p w14:paraId="6F37F865">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83" w:type="pct"/>
            <w:tcBorders>
              <w:top w:val="single" w:color="auto" w:sz="4" w:space="0"/>
              <w:bottom w:val="single" w:color="auto" w:sz="4" w:space="0"/>
            </w:tcBorders>
            <w:vAlign w:val="center"/>
          </w:tcPr>
          <w:p w14:paraId="62E742D5">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50</w:t>
            </w:r>
          </w:p>
        </w:tc>
        <w:tc>
          <w:tcPr>
            <w:tcW w:w="452" w:type="pct"/>
            <w:tcBorders>
              <w:top w:val="single" w:color="auto" w:sz="4" w:space="0"/>
              <w:bottom w:val="single" w:color="auto" w:sz="4" w:space="0"/>
            </w:tcBorders>
            <w:vAlign w:val="center"/>
          </w:tcPr>
          <w:p w14:paraId="69E0396B">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23" w:type="pct"/>
            <w:tcBorders>
              <w:top w:val="single" w:color="auto" w:sz="4" w:space="0"/>
              <w:bottom w:val="single" w:color="auto" w:sz="4" w:space="0"/>
            </w:tcBorders>
            <w:vAlign w:val="center"/>
          </w:tcPr>
          <w:p w14:paraId="6B391E40">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《关于开展自治区2022年度夏秋季大气污染防治“冬病夏治”工作的通知》（新环大气函〔2022〕483号）</w:t>
            </w:r>
            <w:r>
              <w:rPr>
                <w:rFonts w:hint="eastAsia" w:ascii="Times New Roman" w:hAnsi="Times New Roman" w:cs="Times New Roman"/>
                <w:b w:val="0"/>
                <w:bCs w:val="0"/>
                <w:color w:val="auto"/>
                <w:sz w:val="21"/>
                <w:szCs w:val="21"/>
                <w:vertAlign w:val="baseline"/>
                <w:lang w:val="en-US" w:eastAsia="zh-CN"/>
              </w:rPr>
              <w:t>中氮氧化物排放要求</w:t>
            </w:r>
          </w:p>
        </w:tc>
      </w:tr>
      <w:tr w14:paraId="1BB2373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1" w:hRule="atLeast"/>
        </w:trPr>
        <w:tc>
          <w:tcPr>
            <w:tcW w:w="213" w:type="pct"/>
            <w:vMerge w:val="continue"/>
            <w:vAlign w:val="center"/>
          </w:tcPr>
          <w:p w14:paraId="3EFF0181">
            <w:pPr>
              <w:widowControl w:val="0"/>
              <w:spacing w:line="360" w:lineRule="exact"/>
              <w:ind w:firstLine="0" w:firstLineChars="0"/>
              <w:jc w:val="center"/>
              <w:rPr>
                <w:rFonts w:ascii="Times New Roman" w:hAnsi="Times New Roman" w:eastAsia="宋体" w:cs="Times New Roman"/>
                <w:color w:val="auto"/>
                <w:kern w:val="2"/>
                <w:sz w:val="21"/>
                <w:szCs w:val="21"/>
                <w:highlight w:val="yellow"/>
                <w:lang w:val="en-US" w:eastAsia="zh-CN" w:bidi="ar-SA"/>
              </w:rPr>
            </w:pPr>
          </w:p>
        </w:tc>
        <w:tc>
          <w:tcPr>
            <w:tcW w:w="586" w:type="pct"/>
            <w:vMerge w:val="continue"/>
            <w:vAlign w:val="center"/>
          </w:tcPr>
          <w:p w14:paraId="6A4802B0">
            <w:pPr>
              <w:widowControl w:val="0"/>
              <w:jc w:val="center"/>
              <w:rPr>
                <w:rFonts w:hint="eastAsia" w:ascii="Times New Roman" w:hAnsi="Times New Roman" w:eastAsia="宋体" w:cs="Times New Roman"/>
                <w:color w:val="auto"/>
                <w:kern w:val="2"/>
                <w:sz w:val="21"/>
                <w:szCs w:val="24"/>
                <w:lang w:val="en-US" w:eastAsia="zh-CN" w:bidi="ar-SA"/>
              </w:rPr>
            </w:pPr>
          </w:p>
        </w:tc>
        <w:tc>
          <w:tcPr>
            <w:tcW w:w="336" w:type="pct"/>
            <w:vMerge w:val="continue"/>
            <w:vAlign w:val="center"/>
          </w:tcPr>
          <w:p w14:paraId="2B7819ED">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547" w:type="pct"/>
            <w:tcBorders>
              <w:top w:val="single" w:color="auto" w:sz="4" w:space="0"/>
              <w:bottom w:val="single" w:color="auto" w:sz="4" w:space="0"/>
            </w:tcBorders>
            <w:shd w:val="clear" w:color="auto" w:fill="auto"/>
            <w:vAlign w:val="center"/>
          </w:tcPr>
          <w:p w14:paraId="3A6F4441">
            <w:pPr>
              <w:keepNext w:val="0"/>
              <w:keepLines w:val="0"/>
              <w:pageBreakBefore w:val="0"/>
              <w:kinsoku/>
              <w:wordWrap/>
              <w:overflowPunct/>
              <w:topLinePunct w:val="0"/>
              <w:autoSpaceDE/>
              <w:autoSpaceDN/>
              <w:bidi w:val="0"/>
              <w:snapToGrid w:val="0"/>
              <w:spacing w:line="280" w:lineRule="exact"/>
              <w:jc w:val="center"/>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非甲烷总烃</w:t>
            </w:r>
          </w:p>
        </w:tc>
        <w:tc>
          <w:tcPr>
            <w:tcW w:w="915" w:type="pct"/>
            <w:gridSpan w:val="4"/>
            <w:vMerge w:val="continue"/>
            <w:vAlign w:val="center"/>
          </w:tcPr>
          <w:p w14:paraId="05F8516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1376" w:type="pct"/>
            <w:gridSpan w:val="3"/>
            <w:tcBorders>
              <w:top w:val="single" w:color="auto" w:sz="4" w:space="0"/>
              <w:bottom w:val="single" w:color="auto" w:sz="4" w:space="0"/>
            </w:tcBorders>
            <w:vAlign w:val="center"/>
          </w:tcPr>
          <w:p w14:paraId="2822EAAE">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甲醇制氢解吸气进入导热油炉燃烧</w:t>
            </w:r>
          </w:p>
        </w:tc>
        <w:tc>
          <w:tcPr>
            <w:tcW w:w="1023" w:type="pct"/>
            <w:vMerge w:val="restart"/>
            <w:tcBorders>
              <w:top w:val="single" w:color="auto" w:sz="4" w:space="0"/>
            </w:tcBorders>
            <w:vAlign w:val="center"/>
          </w:tcPr>
          <w:p w14:paraId="254A8E96">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《石油化学工业污染物排放标准》（GB31571-2015，含2024年修改单）中表5及表6</w:t>
            </w:r>
          </w:p>
        </w:tc>
      </w:tr>
      <w:tr w14:paraId="1FFCD94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08" w:hRule="atLeast"/>
        </w:trPr>
        <w:tc>
          <w:tcPr>
            <w:tcW w:w="213" w:type="pct"/>
            <w:vMerge w:val="continue"/>
            <w:vAlign w:val="center"/>
          </w:tcPr>
          <w:p w14:paraId="7B00E08C">
            <w:pPr>
              <w:widowControl w:val="0"/>
              <w:spacing w:line="360" w:lineRule="exact"/>
              <w:ind w:firstLine="0" w:firstLineChars="0"/>
              <w:jc w:val="center"/>
              <w:rPr>
                <w:rFonts w:ascii="Times New Roman" w:hAnsi="Times New Roman" w:eastAsia="宋体" w:cs="Times New Roman"/>
                <w:color w:val="auto"/>
                <w:kern w:val="2"/>
                <w:sz w:val="21"/>
                <w:szCs w:val="21"/>
                <w:highlight w:val="yellow"/>
                <w:lang w:val="en-US" w:eastAsia="zh-CN" w:bidi="ar-SA"/>
              </w:rPr>
            </w:pPr>
          </w:p>
        </w:tc>
        <w:tc>
          <w:tcPr>
            <w:tcW w:w="586" w:type="pct"/>
            <w:vMerge w:val="continue"/>
            <w:vAlign w:val="center"/>
          </w:tcPr>
          <w:p w14:paraId="5FF44B09">
            <w:pPr>
              <w:widowControl w:val="0"/>
              <w:jc w:val="center"/>
              <w:rPr>
                <w:rFonts w:hint="eastAsia" w:ascii="Times New Roman" w:hAnsi="Times New Roman" w:eastAsia="宋体" w:cs="Times New Roman"/>
                <w:color w:val="auto"/>
                <w:kern w:val="2"/>
                <w:sz w:val="21"/>
                <w:szCs w:val="24"/>
                <w:lang w:val="en-US" w:eastAsia="zh-CN" w:bidi="ar-SA"/>
              </w:rPr>
            </w:pPr>
          </w:p>
        </w:tc>
        <w:tc>
          <w:tcPr>
            <w:tcW w:w="336" w:type="pct"/>
            <w:vMerge w:val="continue"/>
            <w:vAlign w:val="center"/>
          </w:tcPr>
          <w:p w14:paraId="54775967">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547" w:type="pct"/>
            <w:tcBorders>
              <w:top w:val="single" w:color="auto" w:sz="4" w:space="0"/>
              <w:bottom w:val="single" w:color="auto" w:sz="4" w:space="0"/>
            </w:tcBorders>
            <w:shd w:val="clear" w:color="auto" w:fill="auto"/>
            <w:vAlign w:val="center"/>
          </w:tcPr>
          <w:p w14:paraId="5E790286">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甲醇</w:t>
            </w:r>
          </w:p>
        </w:tc>
        <w:tc>
          <w:tcPr>
            <w:tcW w:w="915" w:type="pct"/>
            <w:gridSpan w:val="4"/>
            <w:vMerge w:val="continue"/>
            <w:vAlign w:val="center"/>
          </w:tcPr>
          <w:p w14:paraId="1982F84A">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40" w:type="pct"/>
            <w:tcBorders>
              <w:top w:val="single" w:color="auto" w:sz="4" w:space="0"/>
              <w:bottom w:val="single" w:color="auto" w:sz="4" w:space="0"/>
            </w:tcBorders>
            <w:vAlign w:val="center"/>
          </w:tcPr>
          <w:p w14:paraId="459D9E11">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83" w:type="pct"/>
            <w:tcBorders>
              <w:top w:val="single" w:color="auto" w:sz="4" w:space="0"/>
              <w:bottom w:val="single" w:color="auto" w:sz="4" w:space="0"/>
            </w:tcBorders>
            <w:vAlign w:val="center"/>
          </w:tcPr>
          <w:p w14:paraId="1440D9DC">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50</w:t>
            </w:r>
          </w:p>
        </w:tc>
        <w:tc>
          <w:tcPr>
            <w:tcW w:w="452" w:type="pct"/>
            <w:tcBorders>
              <w:top w:val="single" w:color="auto" w:sz="4" w:space="0"/>
              <w:bottom w:val="single" w:color="auto" w:sz="4" w:space="0"/>
            </w:tcBorders>
            <w:vAlign w:val="center"/>
          </w:tcPr>
          <w:p w14:paraId="38F82876">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23" w:type="pct"/>
            <w:vMerge w:val="continue"/>
            <w:tcBorders>
              <w:bottom w:val="single" w:color="auto" w:sz="4" w:space="0"/>
            </w:tcBorders>
            <w:vAlign w:val="center"/>
          </w:tcPr>
          <w:p w14:paraId="5BAF3431">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724A852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67" w:hRule="atLeast"/>
        </w:trPr>
        <w:tc>
          <w:tcPr>
            <w:tcW w:w="213" w:type="pct"/>
            <w:vMerge w:val="continue"/>
            <w:vAlign w:val="center"/>
          </w:tcPr>
          <w:p w14:paraId="29891CFB">
            <w:pPr>
              <w:widowControl w:val="0"/>
              <w:spacing w:line="360" w:lineRule="exact"/>
              <w:ind w:firstLine="0" w:firstLineChars="0"/>
              <w:jc w:val="center"/>
              <w:rPr>
                <w:rFonts w:ascii="Times New Roman" w:hAnsi="Times New Roman" w:eastAsia="宋体" w:cs="Times New Roman"/>
                <w:color w:val="auto"/>
                <w:kern w:val="2"/>
                <w:sz w:val="21"/>
                <w:szCs w:val="21"/>
                <w:highlight w:val="yellow"/>
                <w:lang w:val="en-US" w:eastAsia="zh-CN" w:bidi="ar-SA"/>
              </w:rPr>
            </w:pPr>
          </w:p>
        </w:tc>
        <w:tc>
          <w:tcPr>
            <w:tcW w:w="586" w:type="pct"/>
            <w:vMerge w:val="continue"/>
            <w:vAlign w:val="center"/>
          </w:tcPr>
          <w:p w14:paraId="021A0F3F">
            <w:pPr>
              <w:widowControl w:val="0"/>
              <w:jc w:val="center"/>
              <w:rPr>
                <w:rFonts w:hint="eastAsia" w:ascii="Times New Roman" w:hAnsi="Times New Roman" w:eastAsia="宋体" w:cs="Times New Roman"/>
                <w:color w:val="auto"/>
                <w:kern w:val="2"/>
                <w:sz w:val="21"/>
                <w:szCs w:val="24"/>
                <w:lang w:val="en-US" w:eastAsia="zh-CN" w:bidi="ar-SA"/>
              </w:rPr>
            </w:pPr>
          </w:p>
        </w:tc>
        <w:tc>
          <w:tcPr>
            <w:tcW w:w="336" w:type="pct"/>
            <w:vMerge w:val="continue"/>
            <w:vAlign w:val="center"/>
          </w:tcPr>
          <w:p w14:paraId="186B41C6">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547" w:type="pct"/>
            <w:tcBorders>
              <w:top w:val="single" w:color="auto" w:sz="4" w:space="0"/>
            </w:tcBorders>
            <w:shd w:val="clear" w:color="auto" w:fill="auto"/>
            <w:vAlign w:val="center"/>
          </w:tcPr>
          <w:p w14:paraId="001E0849">
            <w:pPr>
              <w:keepNext w:val="0"/>
              <w:keepLines w:val="0"/>
              <w:pageBreakBefore w:val="0"/>
              <w:kinsoku/>
              <w:wordWrap/>
              <w:overflowPunct/>
              <w:topLinePunct w:val="0"/>
              <w:autoSpaceDE/>
              <w:autoSpaceDN/>
              <w:bidi w:val="0"/>
              <w:snapToGrid w:val="0"/>
              <w:spacing w:line="280" w:lineRule="exact"/>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CO</w:t>
            </w:r>
          </w:p>
        </w:tc>
        <w:tc>
          <w:tcPr>
            <w:tcW w:w="915" w:type="pct"/>
            <w:gridSpan w:val="4"/>
            <w:vMerge w:val="continue"/>
            <w:vAlign w:val="center"/>
          </w:tcPr>
          <w:p w14:paraId="34D09DB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40" w:type="pct"/>
            <w:tcBorders>
              <w:top w:val="single" w:color="auto" w:sz="4" w:space="0"/>
            </w:tcBorders>
            <w:vAlign w:val="center"/>
          </w:tcPr>
          <w:p w14:paraId="5A82400E">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83" w:type="pct"/>
            <w:tcBorders>
              <w:top w:val="single" w:color="auto" w:sz="4" w:space="0"/>
            </w:tcBorders>
            <w:vAlign w:val="center"/>
          </w:tcPr>
          <w:p w14:paraId="341E708D">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452" w:type="pct"/>
            <w:tcBorders>
              <w:top w:val="single" w:color="auto" w:sz="4" w:space="0"/>
              <w:bottom w:val="single" w:color="auto" w:sz="4" w:space="0"/>
            </w:tcBorders>
            <w:vAlign w:val="center"/>
          </w:tcPr>
          <w:p w14:paraId="0C019CE9">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23" w:type="pct"/>
            <w:tcBorders>
              <w:top w:val="single" w:color="auto" w:sz="4" w:space="0"/>
              <w:bottom w:val="single" w:color="auto" w:sz="4" w:space="0"/>
            </w:tcBorders>
            <w:vAlign w:val="center"/>
          </w:tcPr>
          <w:p w14:paraId="7AD85F87">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3354A4A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90" w:hRule="atLeast"/>
        </w:trPr>
        <w:tc>
          <w:tcPr>
            <w:tcW w:w="213" w:type="pct"/>
            <w:vMerge w:val="restart"/>
            <w:vAlign w:val="center"/>
          </w:tcPr>
          <w:p w14:paraId="69F5DF2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废水</w:t>
            </w:r>
          </w:p>
        </w:tc>
        <w:tc>
          <w:tcPr>
            <w:tcW w:w="923" w:type="pct"/>
            <w:gridSpan w:val="2"/>
            <w:vAlign w:val="center"/>
          </w:tcPr>
          <w:p w14:paraId="5B6F904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kern w:val="2"/>
                <w:sz w:val="21"/>
                <w:szCs w:val="21"/>
                <w:highlight w:val="none"/>
                <w:lang w:val="en-US" w:eastAsia="zh-CN" w:bidi="ar-SA"/>
              </w:rPr>
              <w:t>静置分离废水、设备清洗废水、车间清洗废水、喷淋塔定排废水、循环冷却排水、纯水制备废水、生活污水</w:t>
            </w:r>
          </w:p>
        </w:tc>
        <w:tc>
          <w:tcPr>
            <w:tcW w:w="547" w:type="pct"/>
            <w:tcBorders>
              <w:bottom w:val="single" w:color="auto" w:sz="4" w:space="0"/>
            </w:tcBorders>
            <w:vAlign w:val="center"/>
          </w:tcPr>
          <w:p w14:paraId="7B2B2F9A">
            <w:pPr>
              <w:widowControl w:val="0"/>
              <w:spacing w:line="360" w:lineRule="exact"/>
              <w:ind w:firstLine="0" w:firstLineChars="0"/>
              <w:jc w:val="center"/>
              <w:rPr>
                <w:rFonts w:ascii="Times New Roman" w:hAnsi="Times New Roman" w:eastAsia="宋体" w:cs="Times New Roman"/>
                <w:color w:val="auto"/>
                <w:kern w:val="0"/>
                <w:sz w:val="21"/>
                <w:szCs w:val="21"/>
                <w:lang w:val="en-US" w:eastAsia="zh-CN" w:bidi="ar"/>
              </w:rPr>
            </w:pPr>
            <w:r>
              <w:rPr>
                <w:rFonts w:ascii="Times New Roman" w:hAnsi="Times New Roman" w:eastAsia="宋体" w:cs="Times New Roman"/>
                <w:color w:val="auto"/>
                <w:kern w:val="0"/>
                <w:sz w:val="21"/>
                <w:szCs w:val="21"/>
                <w:lang w:val="en-US" w:eastAsia="zh-CN" w:bidi="ar"/>
              </w:rPr>
              <w:t>pH</w:t>
            </w:r>
            <w:r>
              <w:rPr>
                <w:rFonts w:hint="eastAsia" w:ascii="Times New Roman" w:hAnsi="Times New Roman" w:eastAsia="宋体" w:cs="Times New Roman"/>
                <w:color w:val="auto"/>
                <w:kern w:val="0"/>
                <w:sz w:val="21"/>
                <w:szCs w:val="21"/>
                <w:lang w:val="en-US" w:eastAsia="zh-CN" w:bidi="ar"/>
              </w:rPr>
              <w:t>、</w:t>
            </w:r>
            <w:r>
              <w:rPr>
                <w:rFonts w:ascii="Times New Roman" w:hAnsi="Times New Roman" w:eastAsia="宋体" w:cs="Times New Roman"/>
                <w:color w:val="auto"/>
                <w:kern w:val="0"/>
                <w:sz w:val="21"/>
                <w:szCs w:val="21"/>
                <w:lang w:val="en-US" w:eastAsia="zh-CN" w:bidi="ar"/>
              </w:rPr>
              <w:t>CODcr</w:t>
            </w:r>
          </w:p>
          <w:p w14:paraId="1D0AEC7B">
            <w:pPr>
              <w:widowControl w:val="0"/>
              <w:spacing w:line="360" w:lineRule="exact"/>
              <w:ind w:firstLine="0" w:firstLineChars="0"/>
              <w:jc w:val="center"/>
              <w:rPr>
                <w:rFonts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、BOD</w:t>
            </w:r>
            <w:r>
              <w:rPr>
                <w:rFonts w:hint="eastAsia" w:ascii="Times New Roman" w:hAnsi="Times New Roman" w:eastAsia="宋体" w:cs="Times New Roman"/>
                <w:color w:val="auto"/>
                <w:kern w:val="0"/>
                <w:sz w:val="21"/>
                <w:szCs w:val="21"/>
                <w:vertAlign w:val="subscript"/>
                <w:lang w:val="en-US" w:eastAsia="zh-CN" w:bidi="ar"/>
              </w:rPr>
              <w:t>5</w:t>
            </w:r>
            <w:r>
              <w:rPr>
                <w:rFonts w:hint="eastAsia" w:ascii="Times New Roman" w:hAnsi="Times New Roman" w:eastAsia="宋体" w:cs="Times New Roman"/>
                <w:color w:val="auto"/>
                <w:kern w:val="0"/>
                <w:sz w:val="21"/>
                <w:szCs w:val="21"/>
                <w:lang w:val="en-US" w:eastAsia="zh-CN" w:bidi="ar"/>
              </w:rPr>
              <w:t>、</w:t>
            </w:r>
            <w:r>
              <w:rPr>
                <w:rFonts w:ascii="Times New Roman" w:hAnsi="Times New Roman" w:eastAsia="宋体" w:cs="Times New Roman"/>
                <w:color w:val="auto"/>
                <w:kern w:val="0"/>
                <w:sz w:val="21"/>
                <w:szCs w:val="21"/>
                <w:lang w:val="en-US" w:eastAsia="zh-CN" w:bidi="ar"/>
              </w:rPr>
              <w:t>SS</w:t>
            </w:r>
            <w:r>
              <w:rPr>
                <w:rFonts w:hint="eastAsia" w:ascii="Times New Roman" w:hAnsi="Times New Roman" w:eastAsia="宋体" w:cs="Times New Roman"/>
                <w:color w:val="auto"/>
                <w:kern w:val="0"/>
                <w:sz w:val="21"/>
                <w:szCs w:val="21"/>
                <w:lang w:val="en-US" w:eastAsia="zh-CN" w:bidi="ar"/>
              </w:rPr>
              <w:t>、</w:t>
            </w:r>
            <w:r>
              <w:rPr>
                <w:rFonts w:ascii="Times New Roman" w:hAnsi="Times New Roman" w:eastAsia="宋体" w:cs="Times New Roman"/>
                <w:color w:val="auto"/>
                <w:kern w:val="0"/>
                <w:sz w:val="21"/>
                <w:szCs w:val="21"/>
                <w:lang w:val="en-US" w:eastAsia="zh-CN" w:bidi="ar"/>
              </w:rPr>
              <w:t>NH</w:t>
            </w:r>
            <w:r>
              <w:rPr>
                <w:rFonts w:ascii="Times New Roman" w:hAnsi="Times New Roman" w:eastAsia="宋体" w:cs="Times New Roman"/>
                <w:color w:val="auto"/>
                <w:kern w:val="0"/>
                <w:sz w:val="21"/>
                <w:szCs w:val="21"/>
                <w:vertAlign w:val="subscript"/>
                <w:lang w:val="en-US" w:eastAsia="zh-CN" w:bidi="ar"/>
              </w:rPr>
              <w:t>3</w:t>
            </w:r>
            <w:r>
              <w:rPr>
                <w:rFonts w:ascii="Times New Roman" w:hAnsi="Times New Roman" w:eastAsia="宋体" w:cs="Times New Roman"/>
                <w:color w:val="auto"/>
                <w:kern w:val="0"/>
                <w:sz w:val="21"/>
                <w:szCs w:val="21"/>
                <w:lang w:val="en-US" w:eastAsia="zh-CN" w:bidi="ar"/>
              </w:rPr>
              <w:t>-N</w:t>
            </w:r>
          </w:p>
          <w:p w14:paraId="2F9D7C1F">
            <w:pPr>
              <w:widowControl w:val="0"/>
              <w:spacing w:line="360" w:lineRule="exact"/>
              <w:ind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、总氮、总磷</w:t>
            </w:r>
            <w:r>
              <w:rPr>
                <w:rFonts w:hint="eastAsia" w:ascii="Times New Roman" w:hAnsi="Times New Roman" w:cs="Times New Roman"/>
                <w:color w:val="auto"/>
                <w:kern w:val="0"/>
                <w:sz w:val="21"/>
                <w:szCs w:val="21"/>
                <w:lang w:val="en-US" w:eastAsia="zh-CN" w:bidi="ar"/>
              </w:rPr>
              <w:t>、溶解性固体</w:t>
            </w:r>
          </w:p>
        </w:tc>
        <w:tc>
          <w:tcPr>
            <w:tcW w:w="492" w:type="pct"/>
            <w:gridSpan w:val="2"/>
            <w:tcBorders>
              <w:bottom w:val="single" w:color="auto" w:sz="4" w:space="0"/>
              <w:right w:val="single" w:color="auto" w:sz="4" w:space="0"/>
            </w:tcBorders>
            <w:vAlign w:val="center"/>
          </w:tcPr>
          <w:p w14:paraId="26F35BBC">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进入厂区污水处理站处理</w:t>
            </w:r>
          </w:p>
        </w:tc>
        <w:tc>
          <w:tcPr>
            <w:tcW w:w="423" w:type="pct"/>
            <w:gridSpan w:val="2"/>
            <w:vMerge w:val="restart"/>
            <w:tcBorders>
              <w:left w:val="single" w:color="auto" w:sz="4" w:space="0"/>
            </w:tcBorders>
            <w:vAlign w:val="center"/>
          </w:tcPr>
          <w:p w14:paraId="775CEC81">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经厂区废水总排口进入园区污水管网，最终进入乌苏市西区污水处理厂</w:t>
            </w:r>
          </w:p>
        </w:tc>
        <w:tc>
          <w:tcPr>
            <w:tcW w:w="340" w:type="pct"/>
            <w:vMerge w:val="restart"/>
            <w:vAlign w:val="center"/>
          </w:tcPr>
          <w:p w14:paraId="5DF62DA6">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w:t>
            </w:r>
          </w:p>
        </w:tc>
        <w:tc>
          <w:tcPr>
            <w:tcW w:w="583" w:type="pct"/>
            <w:vMerge w:val="restart"/>
            <w:vAlign w:val="center"/>
          </w:tcPr>
          <w:p w14:paraId="1C6757AC">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pH6.5~9.5、COD500mg/L、</w:t>
            </w:r>
            <w:r>
              <w:rPr>
                <w:rFonts w:hint="eastAsia" w:ascii="Times New Roman" w:hAnsi="Times New Roman" w:eastAsia="宋体" w:cs="Times New Roman"/>
                <w:color w:val="auto"/>
                <w:kern w:val="0"/>
                <w:sz w:val="21"/>
                <w:szCs w:val="21"/>
                <w:lang w:val="en-US" w:eastAsia="zh-CN" w:bidi="ar"/>
              </w:rPr>
              <w:t>BOD</w:t>
            </w:r>
            <w:r>
              <w:rPr>
                <w:rFonts w:hint="eastAsia" w:ascii="Times New Roman" w:hAnsi="Times New Roman" w:eastAsia="宋体" w:cs="Times New Roman"/>
                <w:color w:val="auto"/>
                <w:kern w:val="0"/>
                <w:sz w:val="21"/>
                <w:szCs w:val="21"/>
                <w:vertAlign w:val="subscript"/>
                <w:lang w:val="en-US" w:eastAsia="zh-CN" w:bidi="ar"/>
              </w:rPr>
              <w:t>5</w:t>
            </w:r>
            <w:r>
              <w:rPr>
                <w:rFonts w:hint="eastAsia" w:ascii="Times New Roman" w:hAnsi="Times New Roman" w:eastAsia="宋体" w:cs="Times New Roman"/>
                <w:color w:val="auto"/>
                <w:kern w:val="0"/>
                <w:sz w:val="21"/>
                <w:szCs w:val="21"/>
                <w:vertAlign w:val="baseline"/>
                <w:lang w:val="en-US" w:eastAsia="zh-CN" w:bidi="ar"/>
              </w:rPr>
              <w:t>350</w:t>
            </w:r>
            <w:r>
              <w:rPr>
                <w:rFonts w:hint="eastAsia" w:ascii="Times New Roman" w:hAnsi="Times New Roman" w:eastAsia="宋体" w:cs="Times New Roman"/>
                <w:color w:val="auto"/>
                <w:kern w:val="2"/>
                <w:sz w:val="21"/>
                <w:szCs w:val="21"/>
                <w:lang w:val="en-US" w:eastAsia="zh-CN" w:bidi="ar-SA"/>
              </w:rPr>
              <w:t>mg/L、氨氮45mg/L、SS</w:t>
            </w:r>
            <w:r>
              <w:rPr>
                <w:rFonts w:hint="eastAsia" w:ascii="Times New Roman" w:hAnsi="Times New Roman" w:cs="Times New Roman"/>
                <w:sz w:val="21"/>
                <w:szCs w:val="21"/>
                <w:lang w:val="en-US" w:eastAsia="zh-CN"/>
              </w:rPr>
              <w:t>400mg/L、总磷8mg/L、总氮70mg/L、溶解性总固体2000mg/L</w:t>
            </w:r>
          </w:p>
        </w:tc>
        <w:tc>
          <w:tcPr>
            <w:tcW w:w="452" w:type="pct"/>
            <w:vMerge w:val="restart"/>
            <w:vAlign w:val="center"/>
          </w:tcPr>
          <w:p w14:paraId="01FCF5FC">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023" w:type="pct"/>
            <w:vMerge w:val="restart"/>
            <w:vAlign w:val="center"/>
          </w:tcPr>
          <w:p w14:paraId="024DFA7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sz w:val="21"/>
                <w:szCs w:val="21"/>
                <w:highlight w:val="none"/>
                <w:lang w:val="en-US" w:eastAsia="zh-CN"/>
              </w:rPr>
              <w:t>《污水排入城镇下水道水质标准》（GB/T30962-2015）中表1B级标准</w:t>
            </w:r>
          </w:p>
        </w:tc>
      </w:tr>
      <w:tr w14:paraId="61B7626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43" w:hRule="atLeast"/>
        </w:trPr>
        <w:tc>
          <w:tcPr>
            <w:tcW w:w="213" w:type="pct"/>
            <w:vMerge w:val="continue"/>
            <w:vAlign w:val="center"/>
          </w:tcPr>
          <w:p w14:paraId="737CF3C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923" w:type="pct"/>
            <w:gridSpan w:val="2"/>
            <w:vAlign w:val="center"/>
          </w:tcPr>
          <w:p w14:paraId="49119722">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纯水制备废水、循环冷却排水</w:t>
            </w:r>
          </w:p>
        </w:tc>
        <w:tc>
          <w:tcPr>
            <w:tcW w:w="547" w:type="pct"/>
            <w:tcBorders>
              <w:top w:val="single" w:color="auto" w:sz="4" w:space="0"/>
              <w:bottom w:val="single" w:color="auto" w:sz="4" w:space="0"/>
            </w:tcBorders>
            <w:vAlign w:val="center"/>
          </w:tcPr>
          <w:p w14:paraId="64296959">
            <w:pPr>
              <w:widowControl/>
              <w:spacing w:line="240" w:lineRule="auto"/>
              <w:ind w:firstLine="0" w:firstLineChars="0"/>
              <w:jc w:val="center"/>
              <w:textAlignment w:val="center"/>
              <w:rPr>
                <w:rFonts w:ascii="Times New Roman" w:hAnsi="Times New Roman" w:cs="Times New Roman"/>
                <w:color w:val="auto"/>
                <w:kern w:val="2"/>
                <w:sz w:val="24"/>
                <w:szCs w:val="24"/>
              </w:rPr>
            </w:pPr>
            <w:r>
              <w:rPr>
                <w:rFonts w:ascii="Times New Roman" w:hAnsi="Times New Roman" w:cs="Times New Roman"/>
                <w:color w:val="auto"/>
                <w:kern w:val="0"/>
                <w:sz w:val="21"/>
                <w:szCs w:val="21"/>
                <w:lang w:bidi="ar"/>
              </w:rPr>
              <w:t>pH</w:t>
            </w:r>
            <w:r>
              <w:rPr>
                <w:rFonts w:hint="eastAsia" w:ascii="Times New Roman" w:hAnsi="Times New Roman" w:cs="Times New Roman"/>
                <w:color w:val="auto"/>
                <w:kern w:val="0"/>
                <w:sz w:val="21"/>
                <w:szCs w:val="21"/>
                <w:lang w:bidi="ar"/>
              </w:rPr>
              <w:t>、</w:t>
            </w:r>
            <w:r>
              <w:rPr>
                <w:rFonts w:ascii="Times New Roman" w:hAnsi="Times New Roman" w:cs="Times New Roman"/>
                <w:color w:val="auto"/>
                <w:kern w:val="0"/>
                <w:sz w:val="21"/>
                <w:szCs w:val="21"/>
                <w:lang w:bidi="ar"/>
              </w:rPr>
              <w:t>CODcr</w:t>
            </w:r>
          </w:p>
          <w:p w14:paraId="6858C851">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
              </w:rPr>
              <w:t>、</w:t>
            </w:r>
            <w:r>
              <w:rPr>
                <w:rFonts w:ascii="Times New Roman" w:hAnsi="Times New Roman" w:eastAsia="宋体" w:cs="Times New Roman"/>
                <w:color w:val="auto"/>
                <w:kern w:val="0"/>
                <w:sz w:val="21"/>
                <w:szCs w:val="21"/>
                <w:lang w:val="en-US" w:eastAsia="zh-CN" w:bidi="ar"/>
              </w:rPr>
              <w:t>SS</w:t>
            </w:r>
            <w:r>
              <w:rPr>
                <w:rFonts w:hint="eastAsia" w:ascii="Times New Roman" w:hAnsi="Times New Roman" w:eastAsia="宋体" w:cs="Times New Roman"/>
                <w:color w:val="auto"/>
                <w:kern w:val="0"/>
                <w:sz w:val="21"/>
                <w:szCs w:val="21"/>
                <w:lang w:val="en-US" w:eastAsia="zh-CN" w:bidi="ar"/>
              </w:rPr>
              <w:t>、TDS</w:t>
            </w:r>
          </w:p>
        </w:tc>
        <w:tc>
          <w:tcPr>
            <w:tcW w:w="492" w:type="pct"/>
            <w:gridSpan w:val="2"/>
            <w:tcBorders>
              <w:top w:val="single" w:color="auto" w:sz="4" w:space="0"/>
              <w:bottom w:val="single" w:color="auto" w:sz="4" w:space="0"/>
              <w:right w:val="single" w:color="auto" w:sz="4" w:space="0"/>
            </w:tcBorders>
            <w:vAlign w:val="center"/>
          </w:tcPr>
          <w:p w14:paraId="45734E63">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423" w:type="pct"/>
            <w:gridSpan w:val="2"/>
            <w:vMerge w:val="continue"/>
            <w:tcBorders>
              <w:left w:val="single" w:color="auto" w:sz="4" w:space="0"/>
              <w:bottom w:val="single" w:color="auto" w:sz="4" w:space="0"/>
            </w:tcBorders>
            <w:vAlign w:val="center"/>
          </w:tcPr>
          <w:p w14:paraId="4DD717B7">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340" w:type="pct"/>
            <w:vMerge w:val="continue"/>
            <w:vAlign w:val="center"/>
          </w:tcPr>
          <w:p w14:paraId="4C56AB7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583" w:type="pct"/>
            <w:vMerge w:val="continue"/>
            <w:vAlign w:val="center"/>
          </w:tcPr>
          <w:p w14:paraId="3E7F431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452" w:type="pct"/>
            <w:vMerge w:val="continue"/>
            <w:tcBorders>
              <w:bottom w:val="single" w:color="auto" w:sz="4" w:space="0"/>
            </w:tcBorders>
            <w:vAlign w:val="center"/>
          </w:tcPr>
          <w:p w14:paraId="6E2BCBEE">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1023" w:type="pct"/>
            <w:vMerge w:val="continue"/>
            <w:tcBorders>
              <w:bottom w:val="single" w:color="auto" w:sz="4" w:space="0"/>
            </w:tcBorders>
            <w:vAlign w:val="center"/>
          </w:tcPr>
          <w:p w14:paraId="65D76690">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07861D3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3" w:type="pct"/>
            <w:vAlign w:val="center"/>
          </w:tcPr>
          <w:p w14:paraId="1521F30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噪声</w:t>
            </w:r>
          </w:p>
        </w:tc>
        <w:tc>
          <w:tcPr>
            <w:tcW w:w="923" w:type="pct"/>
            <w:gridSpan w:val="2"/>
            <w:vAlign w:val="center"/>
          </w:tcPr>
          <w:p w14:paraId="6DB0B2B1">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压缩机、</w:t>
            </w:r>
            <w:r>
              <w:rPr>
                <w:rFonts w:hint="eastAsia" w:ascii="Times New Roman" w:hAnsi="Times New Roman" w:cs="Times New Roman"/>
                <w:color w:val="auto"/>
                <w:kern w:val="2"/>
                <w:sz w:val="21"/>
                <w:szCs w:val="21"/>
                <w:lang w:val="en-US" w:eastAsia="zh-CN" w:bidi="ar-SA"/>
              </w:rPr>
              <w:t>搅拌器、风机</w:t>
            </w:r>
            <w:r>
              <w:rPr>
                <w:rFonts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auto"/>
                <w:kern w:val="2"/>
                <w:sz w:val="21"/>
                <w:szCs w:val="21"/>
                <w:lang w:val="en-US" w:eastAsia="zh-CN" w:bidi="ar-SA"/>
              </w:rPr>
              <w:t>燃烧器、</w:t>
            </w:r>
            <w:r>
              <w:rPr>
                <w:rFonts w:ascii="Times New Roman" w:hAnsi="Times New Roman" w:eastAsia="宋体" w:cs="Times New Roman"/>
                <w:color w:val="auto"/>
                <w:kern w:val="2"/>
                <w:sz w:val="21"/>
                <w:szCs w:val="21"/>
                <w:lang w:val="en-US" w:eastAsia="zh-CN" w:bidi="ar-SA"/>
              </w:rPr>
              <w:t>各类泵等</w:t>
            </w:r>
          </w:p>
        </w:tc>
        <w:tc>
          <w:tcPr>
            <w:tcW w:w="547" w:type="pct"/>
            <w:vAlign w:val="center"/>
          </w:tcPr>
          <w:p w14:paraId="750EA84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噪声</w:t>
            </w:r>
          </w:p>
        </w:tc>
        <w:tc>
          <w:tcPr>
            <w:tcW w:w="915" w:type="pct"/>
            <w:gridSpan w:val="4"/>
            <w:vAlign w:val="center"/>
          </w:tcPr>
          <w:p w14:paraId="4DD013A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低噪声设备、消声、隔声及减振措施及</w:t>
            </w:r>
            <w:r>
              <w:rPr>
                <w:rFonts w:hint="eastAsia" w:ascii="Times New Roman" w:hAnsi="Times New Roman" w:cs="Times New Roman"/>
                <w:color w:val="auto"/>
                <w:kern w:val="2"/>
                <w:sz w:val="21"/>
                <w:szCs w:val="21"/>
                <w:lang w:val="en-US" w:eastAsia="zh-CN" w:bidi="ar-SA"/>
              </w:rPr>
              <w:t>厂房隔声</w:t>
            </w:r>
            <w:r>
              <w:rPr>
                <w:rFonts w:ascii="Times New Roman" w:hAnsi="Times New Roman" w:eastAsia="宋体" w:cs="Times New Roman"/>
                <w:color w:val="auto"/>
                <w:kern w:val="2"/>
                <w:sz w:val="21"/>
                <w:szCs w:val="21"/>
                <w:lang w:val="en-US" w:eastAsia="zh-CN" w:bidi="ar-SA"/>
              </w:rPr>
              <w:t>、合理安排生产区各设施的位置等</w:t>
            </w:r>
          </w:p>
        </w:tc>
        <w:tc>
          <w:tcPr>
            <w:tcW w:w="1376" w:type="pct"/>
            <w:gridSpan w:val="3"/>
            <w:vAlign w:val="center"/>
          </w:tcPr>
          <w:p w14:paraId="575C155D">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昼间≤65dB</w:t>
            </w:r>
            <w:r>
              <w:rPr>
                <w:rFonts w:hint="eastAsia" w:ascii="Times New Roman" w:hAnsi="Times New Roman" w:eastAsia="宋体" w:cs="Times New Roman"/>
                <w:color w:val="auto"/>
                <w:kern w:val="2"/>
                <w:sz w:val="21"/>
                <w:szCs w:val="21"/>
                <w:lang w:val="en-US" w:eastAsia="zh-CN" w:bidi="ar-SA"/>
              </w:rPr>
              <w:t>（</w:t>
            </w:r>
            <w:r>
              <w:rPr>
                <w:rFonts w:ascii="Times New Roman" w:hAnsi="Times New Roman" w:eastAsia="宋体" w:cs="Times New Roman"/>
                <w:color w:val="auto"/>
                <w:kern w:val="2"/>
                <w:sz w:val="21"/>
                <w:szCs w:val="21"/>
                <w:lang w:val="en-US" w:eastAsia="zh-CN" w:bidi="ar-SA"/>
              </w:rPr>
              <w:t>A</w:t>
            </w:r>
            <w:r>
              <w:rPr>
                <w:rFonts w:hint="eastAsia" w:ascii="Times New Roman" w:hAnsi="Times New Roman" w:eastAsia="宋体" w:cs="Times New Roman"/>
                <w:color w:val="auto"/>
                <w:kern w:val="2"/>
                <w:sz w:val="21"/>
                <w:szCs w:val="21"/>
                <w:lang w:val="en-US" w:eastAsia="zh-CN" w:bidi="ar-SA"/>
              </w:rPr>
              <w:t>）</w:t>
            </w:r>
          </w:p>
          <w:p w14:paraId="1BF2C13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夜间≤55dB</w:t>
            </w:r>
            <w:r>
              <w:rPr>
                <w:rFonts w:hint="eastAsia" w:ascii="Times New Roman" w:hAnsi="Times New Roman" w:eastAsia="宋体" w:cs="Times New Roman"/>
                <w:color w:val="auto"/>
                <w:kern w:val="2"/>
                <w:sz w:val="21"/>
                <w:szCs w:val="21"/>
                <w:lang w:val="en-US" w:eastAsia="zh-CN" w:bidi="ar-SA"/>
              </w:rPr>
              <w:t>（</w:t>
            </w:r>
            <w:r>
              <w:rPr>
                <w:rFonts w:ascii="Times New Roman" w:hAnsi="Times New Roman" w:eastAsia="宋体" w:cs="Times New Roman"/>
                <w:color w:val="auto"/>
                <w:kern w:val="2"/>
                <w:sz w:val="21"/>
                <w:szCs w:val="21"/>
                <w:lang w:val="en-US" w:eastAsia="zh-CN" w:bidi="ar-SA"/>
              </w:rPr>
              <w:t>A</w:t>
            </w:r>
            <w:r>
              <w:rPr>
                <w:rFonts w:hint="eastAsia" w:ascii="Times New Roman" w:hAnsi="Times New Roman" w:eastAsia="宋体" w:cs="Times New Roman"/>
                <w:color w:val="auto"/>
                <w:kern w:val="2"/>
                <w:sz w:val="21"/>
                <w:szCs w:val="21"/>
                <w:lang w:val="en-US" w:eastAsia="zh-CN" w:bidi="ar-SA"/>
              </w:rPr>
              <w:t>）</w:t>
            </w:r>
          </w:p>
        </w:tc>
        <w:tc>
          <w:tcPr>
            <w:tcW w:w="1023" w:type="pct"/>
            <w:vAlign w:val="center"/>
          </w:tcPr>
          <w:p w14:paraId="7E3D527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《工业企业厂界环境噪声排放标准》（GB</w:t>
            </w:r>
            <w:r>
              <w:rPr>
                <w:rFonts w:hint="eastAsia" w:ascii="Times New Roman" w:hAnsi="Times New Roman" w:eastAsia="宋体" w:cs="Times New Roman"/>
                <w:color w:val="auto"/>
                <w:kern w:val="2"/>
                <w:sz w:val="21"/>
                <w:szCs w:val="21"/>
                <w:lang w:val="en-US" w:eastAsia="zh-CN" w:bidi="ar-SA"/>
              </w:rPr>
              <w:t xml:space="preserve"> </w:t>
            </w:r>
            <w:r>
              <w:rPr>
                <w:rFonts w:ascii="Times New Roman" w:hAnsi="Times New Roman" w:eastAsia="宋体" w:cs="Times New Roman"/>
                <w:color w:val="auto"/>
                <w:kern w:val="2"/>
                <w:sz w:val="21"/>
                <w:szCs w:val="21"/>
                <w:lang w:val="en-US" w:eastAsia="zh-CN" w:bidi="ar-SA"/>
              </w:rPr>
              <w:t>12348-2008）3类标准</w:t>
            </w:r>
          </w:p>
        </w:tc>
      </w:tr>
      <w:tr w14:paraId="3628F38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14" w:hRule="atLeast"/>
        </w:trPr>
        <w:tc>
          <w:tcPr>
            <w:tcW w:w="213" w:type="pct"/>
            <w:vMerge w:val="restart"/>
            <w:vAlign w:val="center"/>
          </w:tcPr>
          <w:p w14:paraId="16486307">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固体废物</w:t>
            </w:r>
          </w:p>
        </w:tc>
        <w:tc>
          <w:tcPr>
            <w:tcW w:w="923" w:type="pct"/>
            <w:gridSpan w:val="2"/>
            <w:vMerge w:val="restart"/>
            <w:vAlign w:val="center"/>
          </w:tcPr>
          <w:p w14:paraId="7C0567C1">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一般工业固体废物</w:t>
            </w:r>
          </w:p>
        </w:tc>
        <w:tc>
          <w:tcPr>
            <w:tcW w:w="547" w:type="pct"/>
            <w:tcBorders>
              <w:bottom w:val="single" w:color="auto" w:sz="4" w:space="0"/>
            </w:tcBorders>
            <w:vAlign w:val="center"/>
          </w:tcPr>
          <w:p w14:paraId="71FB60B8">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废硅藻土</w:t>
            </w:r>
          </w:p>
        </w:tc>
        <w:tc>
          <w:tcPr>
            <w:tcW w:w="683" w:type="pct"/>
            <w:gridSpan w:val="3"/>
            <w:vMerge w:val="restart"/>
            <w:tcBorders>
              <w:right w:val="single" w:color="auto" w:sz="4" w:space="0"/>
            </w:tcBorders>
            <w:vAlign w:val="center"/>
          </w:tcPr>
          <w:p w14:paraId="59979844">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依托现有工程已建一般工业固体废物贮存库暂存</w:t>
            </w:r>
          </w:p>
        </w:tc>
        <w:tc>
          <w:tcPr>
            <w:tcW w:w="1608" w:type="pct"/>
            <w:gridSpan w:val="4"/>
            <w:vMerge w:val="restart"/>
            <w:tcBorders>
              <w:left w:val="single" w:color="auto" w:sz="4" w:space="0"/>
            </w:tcBorders>
            <w:vAlign w:val="center"/>
          </w:tcPr>
          <w:p w14:paraId="2193733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定期清运至</w:t>
            </w:r>
            <w:r>
              <w:rPr>
                <w:rFonts w:hint="eastAsia" w:ascii="Times New Roman" w:hAnsi="Times New Roman" w:cs="Times New Roman"/>
                <w:sz w:val="21"/>
                <w:szCs w:val="21"/>
                <w:lang w:val="en-US" w:eastAsia="zh-CN"/>
              </w:rPr>
              <w:t>园区一般工业固废填埋场</w:t>
            </w:r>
            <w:r>
              <w:rPr>
                <w:rFonts w:hint="eastAsia" w:ascii="Times New Roman" w:hAnsi="Times New Roman" w:eastAsia="宋体" w:cs="Times New Roman"/>
                <w:color w:val="auto"/>
                <w:kern w:val="2"/>
                <w:sz w:val="21"/>
                <w:szCs w:val="21"/>
                <w:lang w:val="en-US" w:eastAsia="zh-CN" w:bidi="ar-SA"/>
              </w:rPr>
              <w:t>填埋处置</w:t>
            </w:r>
          </w:p>
        </w:tc>
        <w:tc>
          <w:tcPr>
            <w:tcW w:w="1023" w:type="pct"/>
            <w:vMerge w:val="restart"/>
            <w:vAlign w:val="center"/>
          </w:tcPr>
          <w:p w14:paraId="3CEE7F3A">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《一般工业固体废物贮存和填埋污染控制标准》（GB18559-2020）标准</w:t>
            </w:r>
          </w:p>
        </w:tc>
      </w:tr>
      <w:tr w14:paraId="1D53D68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14" w:hRule="atLeast"/>
        </w:trPr>
        <w:tc>
          <w:tcPr>
            <w:tcW w:w="213" w:type="pct"/>
            <w:vMerge w:val="continue"/>
            <w:vAlign w:val="center"/>
          </w:tcPr>
          <w:p w14:paraId="10CC00A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923" w:type="pct"/>
            <w:gridSpan w:val="2"/>
            <w:vMerge w:val="continue"/>
            <w:vAlign w:val="center"/>
          </w:tcPr>
          <w:p w14:paraId="49A7074B">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547" w:type="pct"/>
            <w:tcBorders>
              <w:bottom w:val="single" w:color="auto" w:sz="4" w:space="0"/>
            </w:tcBorders>
            <w:vAlign w:val="center"/>
          </w:tcPr>
          <w:p w14:paraId="75AF83B3">
            <w:pPr>
              <w:widowControl w:val="0"/>
              <w:spacing w:line="360" w:lineRule="exact"/>
              <w:ind w:firstLine="0" w:firstLineChars="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硅藻土废包装材料</w:t>
            </w:r>
          </w:p>
        </w:tc>
        <w:tc>
          <w:tcPr>
            <w:tcW w:w="683" w:type="pct"/>
            <w:gridSpan w:val="3"/>
            <w:vMerge w:val="continue"/>
            <w:tcBorders>
              <w:right w:val="single" w:color="auto" w:sz="4" w:space="0"/>
            </w:tcBorders>
            <w:vAlign w:val="center"/>
          </w:tcPr>
          <w:p w14:paraId="496BB199">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1608" w:type="pct"/>
            <w:gridSpan w:val="4"/>
            <w:vMerge w:val="continue"/>
            <w:tcBorders>
              <w:left w:val="single" w:color="auto" w:sz="4" w:space="0"/>
            </w:tcBorders>
            <w:vAlign w:val="center"/>
          </w:tcPr>
          <w:p w14:paraId="2083D9BF">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1023" w:type="pct"/>
            <w:vMerge w:val="continue"/>
            <w:vAlign w:val="center"/>
          </w:tcPr>
          <w:p w14:paraId="077F2A3B">
            <w:pPr>
              <w:widowControl w:val="0"/>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r>
      <w:tr w14:paraId="6CBE4DB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151" w:hRule="atLeast"/>
        </w:trPr>
        <w:tc>
          <w:tcPr>
            <w:tcW w:w="213" w:type="pct"/>
            <w:vMerge w:val="continue"/>
            <w:vAlign w:val="center"/>
          </w:tcPr>
          <w:p w14:paraId="4EC7C96B">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923" w:type="pct"/>
            <w:gridSpan w:val="2"/>
            <w:vMerge w:val="continue"/>
            <w:vAlign w:val="center"/>
          </w:tcPr>
          <w:p w14:paraId="3AF54ACB">
            <w:pPr>
              <w:widowControl w:val="0"/>
              <w:spacing w:line="360" w:lineRule="exact"/>
              <w:ind w:firstLine="0" w:firstLineChars="0"/>
              <w:jc w:val="center"/>
              <w:rPr>
                <w:rFonts w:hint="eastAsia" w:ascii="Times New Roman" w:hAnsi="Times New Roman" w:cs="Times New Roman"/>
                <w:color w:val="auto"/>
                <w:kern w:val="2"/>
                <w:sz w:val="21"/>
                <w:szCs w:val="21"/>
                <w:lang w:val="en-US" w:eastAsia="zh-CN" w:bidi="ar-SA"/>
              </w:rPr>
            </w:pPr>
          </w:p>
        </w:tc>
        <w:tc>
          <w:tcPr>
            <w:tcW w:w="547" w:type="pct"/>
            <w:tcBorders>
              <w:top w:val="single" w:color="auto" w:sz="4" w:space="0"/>
            </w:tcBorders>
            <w:vAlign w:val="center"/>
          </w:tcPr>
          <w:p w14:paraId="2CDF3806">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污水处理站污泥</w:t>
            </w:r>
          </w:p>
        </w:tc>
        <w:tc>
          <w:tcPr>
            <w:tcW w:w="683" w:type="pct"/>
            <w:gridSpan w:val="3"/>
            <w:vMerge w:val="continue"/>
            <w:tcBorders>
              <w:right w:val="single" w:color="auto" w:sz="4" w:space="0"/>
            </w:tcBorders>
            <w:vAlign w:val="center"/>
          </w:tcPr>
          <w:p w14:paraId="5522C06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1608" w:type="pct"/>
            <w:gridSpan w:val="4"/>
            <w:vMerge w:val="continue"/>
            <w:tcBorders>
              <w:left w:val="single" w:color="auto" w:sz="4" w:space="0"/>
            </w:tcBorders>
            <w:vAlign w:val="center"/>
          </w:tcPr>
          <w:p w14:paraId="1953D0B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1023" w:type="pct"/>
            <w:vMerge w:val="continue"/>
            <w:vAlign w:val="center"/>
          </w:tcPr>
          <w:p w14:paraId="4CA54D00">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00A3097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3" w:type="pct"/>
            <w:vMerge w:val="continue"/>
            <w:vAlign w:val="center"/>
          </w:tcPr>
          <w:p w14:paraId="7339B177">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923" w:type="pct"/>
            <w:gridSpan w:val="2"/>
            <w:vMerge w:val="restart"/>
            <w:vAlign w:val="center"/>
          </w:tcPr>
          <w:p w14:paraId="7B28F35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危险废物</w:t>
            </w:r>
          </w:p>
        </w:tc>
        <w:tc>
          <w:tcPr>
            <w:tcW w:w="547" w:type="pct"/>
            <w:vAlign w:val="center"/>
          </w:tcPr>
          <w:p w14:paraId="2D00EDD0">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废润滑油</w:t>
            </w:r>
          </w:p>
        </w:tc>
        <w:tc>
          <w:tcPr>
            <w:tcW w:w="683" w:type="pct"/>
            <w:gridSpan w:val="3"/>
            <w:vMerge w:val="restart"/>
            <w:tcBorders>
              <w:right w:val="single" w:color="auto" w:sz="4" w:space="0"/>
            </w:tcBorders>
            <w:vAlign w:val="center"/>
          </w:tcPr>
          <w:p w14:paraId="71615EC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依托</w:t>
            </w:r>
            <w:r>
              <w:rPr>
                <w:rFonts w:hint="eastAsia" w:ascii="Times New Roman" w:hAnsi="Times New Roman" w:cs="Times New Roman"/>
                <w:color w:val="auto"/>
                <w:kern w:val="2"/>
                <w:sz w:val="21"/>
                <w:szCs w:val="21"/>
                <w:lang w:val="en-US" w:eastAsia="zh-CN" w:bidi="ar-SA"/>
              </w:rPr>
              <w:t>现有工程已建</w:t>
            </w:r>
            <w:r>
              <w:rPr>
                <w:rFonts w:hint="eastAsia" w:ascii="Times New Roman" w:hAnsi="Times New Roman" w:eastAsia="宋体" w:cs="Times New Roman"/>
                <w:color w:val="auto"/>
                <w:kern w:val="2"/>
                <w:sz w:val="21"/>
                <w:szCs w:val="21"/>
                <w:lang w:val="en-US" w:eastAsia="zh-CN" w:bidi="ar-SA"/>
              </w:rPr>
              <w:t>危险废物贮存库</w:t>
            </w:r>
          </w:p>
        </w:tc>
        <w:tc>
          <w:tcPr>
            <w:tcW w:w="1608" w:type="pct"/>
            <w:gridSpan w:val="4"/>
            <w:vMerge w:val="restart"/>
            <w:tcBorders>
              <w:left w:val="single" w:color="auto" w:sz="4" w:space="0"/>
            </w:tcBorders>
            <w:vAlign w:val="center"/>
          </w:tcPr>
          <w:p w14:paraId="7B9AADA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定期委托有资质单位清运处置</w:t>
            </w:r>
          </w:p>
        </w:tc>
        <w:tc>
          <w:tcPr>
            <w:tcW w:w="1023" w:type="pct"/>
            <w:vMerge w:val="restart"/>
            <w:vAlign w:val="center"/>
          </w:tcPr>
          <w:p w14:paraId="74DE7DF7">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《危险废物贮存污染控制标准》（GB 18597</w:t>
            </w:r>
            <w:r>
              <w:rPr>
                <w:rFonts w:hint="eastAsia" w:ascii="Times New Roman" w:hAnsi="Times New Roman" w:eastAsia="宋体" w:cs="Times New Roman"/>
                <w:color w:val="auto"/>
                <w:kern w:val="2"/>
                <w:sz w:val="21"/>
                <w:szCs w:val="21"/>
                <w:lang w:val="en-US" w:eastAsia="zh-CN" w:bidi="ar-SA"/>
              </w:rPr>
              <w:t>-</w:t>
            </w:r>
            <w:r>
              <w:rPr>
                <w:rFonts w:ascii="Times New Roman" w:hAnsi="Times New Roman" w:eastAsia="宋体" w:cs="Times New Roman"/>
                <w:color w:val="auto"/>
                <w:kern w:val="2"/>
                <w:sz w:val="21"/>
                <w:szCs w:val="21"/>
                <w:lang w:val="en-US" w:eastAsia="zh-CN" w:bidi="ar-SA"/>
              </w:rPr>
              <w:t>2023）</w:t>
            </w:r>
          </w:p>
        </w:tc>
      </w:tr>
      <w:tr w14:paraId="6D5123F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3" w:type="pct"/>
            <w:vMerge w:val="continue"/>
            <w:vAlign w:val="center"/>
          </w:tcPr>
          <w:p w14:paraId="0A2C60AD">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923" w:type="pct"/>
            <w:gridSpan w:val="2"/>
            <w:vMerge w:val="continue"/>
            <w:vAlign w:val="center"/>
          </w:tcPr>
          <w:p w14:paraId="04BCBF7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547" w:type="pct"/>
            <w:vAlign w:val="center"/>
          </w:tcPr>
          <w:p w14:paraId="5BD25D08">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废加氢催化剂</w:t>
            </w:r>
          </w:p>
        </w:tc>
        <w:tc>
          <w:tcPr>
            <w:tcW w:w="683" w:type="pct"/>
            <w:gridSpan w:val="3"/>
            <w:vMerge w:val="continue"/>
            <w:tcBorders>
              <w:right w:val="single" w:color="auto" w:sz="4" w:space="0"/>
            </w:tcBorders>
            <w:vAlign w:val="center"/>
          </w:tcPr>
          <w:p w14:paraId="663F766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1608" w:type="pct"/>
            <w:gridSpan w:val="4"/>
            <w:vMerge w:val="continue"/>
            <w:tcBorders>
              <w:left w:val="single" w:color="auto" w:sz="4" w:space="0"/>
            </w:tcBorders>
            <w:vAlign w:val="center"/>
          </w:tcPr>
          <w:p w14:paraId="32CE1166">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1023" w:type="pct"/>
            <w:vMerge w:val="continue"/>
            <w:vAlign w:val="center"/>
          </w:tcPr>
          <w:p w14:paraId="78447D39">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14ED77D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3" w:type="pct"/>
            <w:vMerge w:val="continue"/>
            <w:vAlign w:val="center"/>
          </w:tcPr>
          <w:p w14:paraId="3E3FB29B">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923" w:type="pct"/>
            <w:gridSpan w:val="2"/>
            <w:vMerge w:val="continue"/>
            <w:vAlign w:val="center"/>
          </w:tcPr>
          <w:p w14:paraId="2B56021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547" w:type="pct"/>
            <w:vAlign w:val="center"/>
          </w:tcPr>
          <w:p w14:paraId="52B38961">
            <w:pPr>
              <w:widowControl w:val="0"/>
              <w:spacing w:line="360" w:lineRule="exact"/>
              <w:ind w:firstLine="0" w:firstLineChars="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化学品废包装材料</w:t>
            </w:r>
          </w:p>
        </w:tc>
        <w:tc>
          <w:tcPr>
            <w:tcW w:w="683" w:type="pct"/>
            <w:gridSpan w:val="3"/>
            <w:vMerge w:val="continue"/>
            <w:tcBorders>
              <w:right w:val="single" w:color="auto" w:sz="4" w:space="0"/>
            </w:tcBorders>
            <w:vAlign w:val="center"/>
          </w:tcPr>
          <w:p w14:paraId="19EA68E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1608" w:type="pct"/>
            <w:gridSpan w:val="4"/>
            <w:vMerge w:val="continue"/>
            <w:tcBorders>
              <w:left w:val="single" w:color="auto" w:sz="4" w:space="0"/>
            </w:tcBorders>
            <w:vAlign w:val="center"/>
          </w:tcPr>
          <w:p w14:paraId="4E40ABDA">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1023" w:type="pct"/>
            <w:vMerge w:val="continue"/>
            <w:vAlign w:val="center"/>
          </w:tcPr>
          <w:p w14:paraId="740303E7">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52F9DB5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3" w:type="pct"/>
            <w:vMerge w:val="continue"/>
            <w:vAlign w:val="center"/>
          </w:tcPr>
          <w:p w14:paraId="5101A75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923" w:type="pct"/>
            <w:gridSpan w:val="2"/>
            <w:vMerge w:val="continue"/>
            <w:vAlign w:val="center"/>
          </w:tcPr>
          <w:p w14:paraId="194FAF5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547" w:type="pct"/>
            <w:tcBorders>
              <w:bottom w:val="single" w:color="auto" w:sz="4" w:space="0"/>
            </w:tcBorders>
            <w:vAlign w:val="center"/>
          </w:tcPr>
          <w:p w14:paraId="40F9F921">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废活性炭</w:t>
            </w:r>
          </w:p>
        </w:tc>
        <w:tc>
          <w:tcPr>
            <w:tcW w:w="683" w:type="pct"/>
            <w:gridSpan w:val="3"/>
            <w:vMerge w:val="continue"/>
            <w:tcBorders>
              <w:bottom w:val="single" w:color="auto" w:sz="4" w:space="0"/>
              <w:right w:val="single" w:color="auto" w:sz="4" w:space="0"/>
            </w:tcBorders>
            <w:vAlign w:val="center"/>
          </w:tcPr>
          <w:p w14:paraId="06F211D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1608" w:type="pct"/>
            <w:gridSpan w:val="4"/>
            <w:vMerge w:val="continue"/>
            <w:tcBorders>
              <w:left w:val="single" w:color="auto" w:sz="4" w:space="0"/>
              <w:bottom w:val="single" w:color="auto" w:sz="4" w:space="0"/>
            </w:tcBorders>
            <w:vAlign w:val="center"/>
          </w:tcPr>
          <w:p w14:paraId="3FBC650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1023" w:type="pct"/>
            <w:vMerge w:val="continue"/>
            <w:vAlign w:val="center"/>
          </w:tcPr>
          <w:p w14:paraId="687F1D31">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215CFE6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3" w:type="pct"/>
            <w:vMerge w:val="continue"/>
            <w:vAlign w:val="center"/>
          </w:tcPr>
          <w:p w14:paraId="004E34E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923" w:type="pct"/>
            <w:gridSpan w:val="2"/>
            <w:vMerge w:val="continue"/>
            <w:vAlign w:val="center"/>
          </w:tcPr>
          <w:p w14:paraId="17998D2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547" w:type="pct"/>
            <w:tcBorders>
              <w:top w:val="single" w:color="auto" w:sz="4" w:space="0"/>
            </w:tcBorders>
            <w:vAlign w:val="center"/>
          </w:tcPr>
          <w:p w14:paraId="00F14016">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废导热油</w:t>
            </w:r>
          </w:p>
        </w:tc>
        <w:tc>
          <w:tcPr>
            <w:tcW w:w="2291" w:type="pct"/>
            <w:gridSpan w:val="7"/>
            <w:vMerge w:val="restart"/>
            <w:tcBorders>
              <w:top w:val="single" w:color="auto" w:sz="4" w:space="0"/>
            </w:tcBorders>
            <w:vAlign w:val="center"/>
          </w:tcPr>
          <w:p w14:paraId="2D35F1D5">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在检修期产生，不在厂区贮存，</w:t>
            </w:r>
            <w:r>
              <w:rPr>
                <w:rFonts w:hint="eastAsia" w:ascii="Times New Roman" w:hAnsi="Times New Roman" w:eastAsia="宋体" w:cs="Times New Roman"/>
                <w:color w:val="auto"/>
                <w:kern w:val="2"/>
                <w:sz w:val="21"/>
                <w:szCs w:val="21"/>
                <w:lang w:val="en-US" w:eastAsia="zh-CN" w:bidi="ar-SA"/>
              </w:rPr>
              <w:t>直接交由有资质单位处理</w:t>
            </w:r>
          </w:p>
        </w:tc>
        <w:tc>
          <w:tcPr>
            <w:tcW w:w="1023" w:type="pct"/>
            <w:vMerge w:val="continue"/>
            <w:vAlign w:val="center"/>
          </w:tcPr>
          <w:p w14:paraId="5FFC49FB">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70947F7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3" w:type="pct"/>
            <w:vMerge w:val="continue"/>
            <w:vAlign w:val="center"/>
          </w:tcPr>
          <w:p w14:paraId="4F4989E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923" w:type="pct"/>
            <w:gridSpan w:val="2"/>
            <w:vMerge w:val="continue"/>
            <w:vAlign w:val="center"/>
          </w:tcPr>
          <w:p w14:paraId="6C99FE2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547" w:type="pct"/>
            <w:vAlign w:val="center"/>
          </w:tcPr>
          <w:p w14:paraId="396F8F7B">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废甲醇制氢催化剂</w:t>
            </w:r>
          </w:p>
        </w:tc>
        <w:tc>
          <w:tcPr>
            <w:tcW w:w="2291" w:type="pct"/>
            <w:gridSpan w:val="7"/>
            <w:vMerge w:val="continue"/>
            <w:vAlign w:val="center"/>
          </w:tcPr>
          <w:p w14:paraId="4BF04E0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1023" w:type="pct"/>
            <w:vMerge w:val="continue"/>
            <w:vAlign w:val="center"/>
          </w:tcPr>
          <w:p w14:paraId="0E9B851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68B3AE4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3" w:type="pct"/>
            <w:vMerge w:val="continue"/>
            <w:vAlign w:val="center"/>
          </w:tcPr>
          <w:p w14:paraId="0A50DE7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923" w:type="pct"/>
            <w:gridSpan w:val="2"/>
            <w:vMerge w:val="continue"/>
            <w:vAlign w:val="center"/>
          </w:tcPr>
          <w:p w14:paraId="7A603427">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547" w:type="pct"/>
            <w:vAlign w:val="center"/>
          </w:tcPr>
          <w:p w14:paraId="4F0ABDAB">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废变压吸附剂</w:t>
            </w:r>
          </w:p>
        </w:tc>
        <w:tc>
          <w:tcPr>
            <w:tcW w:w="2291" w:type="pct"/>
            <w:gridSpan w:val="7"/>
            <w:vMerge w:val="continue"/>
            <w:vAlign w:val="center"/>
          </w:tcPr>
          <w:p w14:paraId="4420159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1023" w:type="pct"/>
            <w:vMerge w:val="continue"/>
            <w:vAlign w:val="center"/>
          </w:tcPr>
          <w:p w14:paraId="2DB4D2E8">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r>
      <w:tr w14:paraId="31A808A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c>
          <w:tcPr>
            <w:tcW w:w="213" w:type="pct"/>
            <w:vMerge w:val="continue"/>
            <w:vAlign w:val="center"/>
          </w:tcPr>
          <w:p w14:paraId="1832B819">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p>
        </w:tc>
        <w:tc>
          <w:tcPr>
            <w:tcW w:w="923" w:type="pct"/>
            <w:gridSpan w:val="2"/>
            <w:vAlign w:val="center"/>
          </w:tcPr>
          <w:p w14:paraId="36FAC54D">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生活垃圾</w:t>
            </w:r>
          </w:p>
        </w:tc>
        <w:tc>
          <w:tcPr>
            <w:tcW w:w="547" w:type="pct"/>
            <w:vAlign w:val="center"/>
          </w:tcPr>
          <w:p w14:paraId="7D04C71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生活垃圾</w:t>
            </w:r>
          </w:p>
        </w:tc>
        <w:tc>
          <w:tcPr>
            <w:tcW w:w="2291" w:type="pct"/>
            <w:gridSpan w:val="7"/>
            <w:vAlign w:val="center"/>
          </w:tcPr>
          <w:p w14:paraId="0B30740E">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按照园区环卫部门要求统一收集处置</w:t>
            </w:r>
          </w:p>
        </w:tc>
        <w:tc>
          <w:tcPr>
            <w:tcW w:w="1023" w:type="pct"/>
            <w:vAlign w:val="center"/>
          </w:tcPr>
          <w:p w14:paraId="654B49EA">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w:t>
            </w:r>
          </w:p>
        </w:tc>
      </w:tr>
      <w:tr w14:paraId="7B3EC42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90" w:hRule="atLeast"/>
        </w:trPr>
        <w:tc>
          <w:tcPr>
            <w:tcW w:w="213" w:type="pct"/>
            <w:vAlign w:val="center"/>
          </w:tcPr>
          <w:p w14:paraId="68832EBA">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环保图形标志化</w:t>
            </w:r>
          </w:p>
        </w:tc>
        <w:tc>
          <w:tcPr>
            <w:tcW w:w="3762" w:type="pct"/>
            <w:gridSpan w:val="10"/>
            <w:vAlign w:val="center"/>
          </w:tcPr>
          <w:p w14:paraId="089EE23B">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废气、废水、固废、噪声排放口标识牌</w:t>
            </w:r>
          </w:p>
        </w:tc>
        <w:tc>
          <w:tcPr>
            <w:tcW w:w="1023" w:type="pct"/>
            <w:vAlign w:val="center"/>
          </w:tcPr>
          <w:p w14:paraId="3E47089F">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《环境保护图形标志-排放口（源）》</w:t>
            </w:r>
          </w:p>
        </w:tc>
      </w:tr>
      <w:tr w14:paraId="55C2871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90" w:hRule="atLeast"/>
        </w:trPr>
        <w:tc>
          <w:tcPr>
            <w:tcW w:w="213" w:type="pct"/>
            <w:vAlign w:val="center"/>
          </w:tcPr>
          <w:p w14:paraId="01F431F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地下水</w:t>
            </w:r>
          </w:p>
        </w:tc>
        <w:tc>
          <w:tcPr>
            <w:tcW w:w="1471" w:type="pct"/>
            <w:gridSpan w:val="3"/>
            <w:vAlign w:val="center"/>
          </w:tcPr>
          <w:p w14:paraId="6898ACD6">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地下水污染</w:t>
            </w:r>
          </w:p>
        </w:tc>
        <w:tc>
          <w:tcPr>
            <w:tcW w:w="915" w:type="pct"/>
            <w:gridSpan w:val="4"/>
            <w:vAlign w:val="center"/>
          </w:tcPr>
          <w:p w14:paraId="77FDB2B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储罐围堰及</w:t>
            </w:r>
            <w:r>
              <w:rPr>
                <w:rFonts w:hint="eastAsia" w:ascii="Times New Roman" w:hAnsi="Times New Roman" w:cs="Times New Roman"/>
                <w:color w:val="auto"/>
                <w:kern w:val="2"/>
                <w:sz w:val="21"/>
                <w:szCs w:val="21"/>
                <w:lang w:val="en-US" w:eastAsia="zh-CN" w:bidi="ar-SA"/>
              </w:rPr>
              <w:t>装置区</w:t>
            </w:r>
            <w:r>
              <w:rPr>
                <w:rFonts w:ascii="Times New Roman" w:hAnsi="Times New Roman" w:eastAsia="宋体" w:cs="Times New Roman"/>
                <w:color w:val="auto"/>
                <w:kern w:val="2"/>
                <w:sz w:val="21"/>
                <w:szCs w:val="21"/>
                <w:lang w:val="en-US" w:eastAsia="zh-CN" w:bidi="ar-SA"/>
              </w:rPr>
              <w:t>分区防渗、跟踪监测</w:t>
            </w:r>
          </w:p>
        </w:tc>
        <w:tc>
          <w:tcPr>
            <w:tcW w:w="1376" w:type="pct"/>
            <w:gridSpan w:val="3"/>
            <w:vAlign w:val="center"/>
          </w:tcPr>
          <w:p w14:paraId="5586DED6">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w:t>
            </w:r>
          </w:p>
        </w:tc>
        <w:tc>
          <w:tcPr>
            <w:tcW w:w="1023" w:type="pct"/>
            <w:vAlign w:val="center"/>
          </w:tcPr>
          <w:p w14:paraId="40DF2856">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《石油化工工程防渗技术规范》（GB/T</w:t>
            </w:r>
            <w:r>
              <w:rPr>
                <w:rFonts w:hint="eastAsia" w:ascii="Times New Roman" w:hAnsi="Times New Roman" w:eastAsia="宋体" w:cs="Times New Roman"/>
                <w:color w:val="auto"/>
                <w:kern w:val="2"/>
                <w:sz w:val="21"/>
                <w:szCs w:val="21"/>
                <w:lang w:val="en-US" w:eastAsia="zh-CN" w:bidi="ar-SA"/>
              </w:rPr>
              <w:t xml:space="preserve"> </w:t>
            </w:r>
            <w:r>
              <w:rPr>
                <w:rFonts w:ascii="Times New Roman" w:hAnsi="Times New Roman" w:eastAsia="宋体" w:cs="Times New Roman"/>
                <w:color w:val="auto"/>
                <w:kern w:val="2"/>
                <w:sz w:val="21"/>
                <w:szCs w:val="21"/>
                <w:lang w:val="en-US" w:eastAsia="zh-CN" w:bidi="ar-SA"/>
              </w:rPr>
              <w:t>50934）、《环境影响评价技术导则 地下水环境》（HJ</w:t>
            </w:r>
            <w:r>
              <w:rPr>
                <w:rFonts w:hint="eastAsia" w:ascii="Times New Roman" w:hAnsi="Times New Roman" w:eastAsia="宋体" w:cs="Times New Roman"/>
                <w:color w:val="auto"/>
                <w:kern w:val="2"/>
                <w:sz w:val="21"/>
                <w:szCs w:val="21"/>
                <w:lang w:val="en-US" w:eastAsia="zh-CN" w:bidi="ar-SA"/>
              </w:rPr>
              <w:t xml:space="preserve"> </w:t>
            </w:r>
            <w:r>
              <w:rPr>
                <w:rFonts w:ascii="Times New Roman" w:hAnsi="Times New Roman" w:eastAsia="宋体" w:cs="Times New Roman"/>
                <w:color w:val="auto"/>
                <w:kern w:val="2"/>
                <w:sz w:val="21"/>
                <w:szCs w:val="21"/>
                <w:lang w:val="en-US" w:eastAsia="zh-CN" w:bidi="ar-SA"/>
              </w:rPr>
              <w:t>610-2016）等</w:t>
            </w:r>
          </w:p>
        </w:tc>
      </w:tr>
      <w:tr w14:paraId="2EF260E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90" w:hRule="atLeast"/>
        </w:trPr>
        <w:tc>
          <w:tcPr>
            <w:tcW w:w="213" w:type="pct"/>
            <w:vAlign w:val="center"/>
          </w:tcPr>
          <w:p w14:paraId="26117FC3">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土壤</w:t>
            </w:r>
          </w:p>
        </w:tc>
        <w:tc>
          <w:tcPr>
            <w:tcW w:w="1471" w:type="pct"/>
            <w:gridSpan w:val="3"/>
            <w:vAlign w:val="center"/>
          </w:tcPr>
          <w:p w14:paraId="7EEA47A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土壤污染</w:t>
            </w:r>
          </w:p>
        </w:tc>
        <w:tc>
          <w:tcPr>
            <w:tcW w:w="915" w:type="pct"/>
            <w:gridSpan w:val="4"/>
            <w:vAlign w:val="center"/>
          </w:tcPr>
          <w:p w14:paraId="77477509">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跟踪监测</w:t>
            </w:r>
          </w:p>
        </w:tc>
        <w:tc>
          <w:tcPr>
            <w:tcW w:w="1376" w:type="pct"/>
            <w:gridSpan w:val="3"/>
            <w:vAlign w:val="center"/>
          </w:tcPr>
          <w:p w14:paraId="6DB46B16">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w:t>
            </w:r>
          </w:p>
        </w:tc>
        <w:tc>
          <w:tcPr>
            <w:tcW w:w="1023" w:type="pct"/>
            <w:vAlign w:val="center"/>
          </w:tcPr>
          <w:p w14:paraId="021AB5B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《环境影响评价技术导则 土壤环境（试行）》（HJ</w:t>
            </w:r>
            <w:r>
              <w:rPr>
                <w:rFonts w:hint="eastAsia" w:ascii="Times New Roman" w:hAnsi="Times New Roman" w:eastAsia="宋体" w:cs="Times New Roman"/>
                <w:color w:val="auto"/>
                <w:kern w:val="2"/>
                <w:sz w:val="21"/>
                <w:szCs w:val="21"/>
                <w:lang w:val="en-US" w:eastAsia="zh-CN" w:bidi="ar-SA"/>
              </w:rPr>
              <w:t xml:space="preserve"> </w:t>
            </w:r>
            <w:r>
              <w:rPr>
                <w:rFonts w:ascii="Times New Roman" w:hAnsi="Times New Roman" w:eastAsia="宋体" w:cs="Times New Roman"/>
                <w:color w:val="auto"/>
                <w:kern w:val="2"/>
                <w:sz w:val="21"/>
                <w:szCs w:val="21"/>
                <w:lang w:val="en-US" w:eastAsia="zh-CN" w:bidi="ar-SA"/>
              </w:rPr>
              <w:t>968-2018）</w:t>
            </w:r>
          </w:p>
        </w:tc>
      </w:tr>
      <w:tr w14:paraId="1F7CF4C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90" w:hRule="atLeast"/>
        </w:trPr>
        <w:tc>
          <w:tcPr>
            <w:tcW w:w="213" w:type="pct"/>
            <w:vAlign w:val="center"/>
          </w:tcPr>
          <w:p w14:paraId="257BA335">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风险</w:t>
            </w:r>
          </w:p>
          <w:p w14:paraId="58C176FC">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防范</w:t>
            </w:r>
          </w:p>
        </w:tc>
        <w:tc>
          <w:tcPr>
            <w:tcW w:w="2386" w:type="pct"/>
            <w:gridSpan w:val="7"/>
            <w:vAlign w:val="center"/>
          </w:tcPr>
          <w:p w14:paraId="04C42AC9">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围堰、导流沟、检测报警装置、</w:t>
            </w:r>
            <w:r>
              <w:rPr>
                <w:rFonts w:ascii="Times New Roman" w:hAnsi="Times New Roman" w:eastAsia="宋体" w:cs="Times New Roman"/>
                <w:color w:val="auto"/>
                <w:kern w:val="2"/>
                <w:sz w:val="21"/>
                <w:szCs w:val="21"/>
                <w:lang w:val="en-US" w:eastAsia="zh-CN" w:bidi="ar-SA"/>
              </w:rPr>
              <w:t>应急预案修编、防护设施、消防设施、预警监测系统等</w:t>
            </w:r>
          </w:p>
        </w:tc>
        <w:tc>
          <w:tcPr>
            <w:tcW w:w="1376" w:type="pct"/>
            <w:gridSpan w:val="3"/>
            <w:vAlign w:val="center"/>
          </w:tcPr>
          <w:p w14:paraId="10C98936">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w:t>
            </w:r>
          </w:p>
        </w:tc>
        <w:tc>
          <w:tcPr>
            <w:tcW w:w="1023" w:type="pct"/>
            <w:vAlign w:val="center"/>
          </w:tcPr>
          <w:p w14:paraId="7FA364A4">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《建设项目环境风险评价技术导则》（HJ</w:t>
            </w:r>
            <w:r>
              <w:rPr>
                <w:rFonts w:hint="eastAsia" w:ascii="Times New Roman" w:hAnsi="Times New Roman" w:eastAsia="宋体" w:cs="Times New Roman"/>
                <w:color w:val="auto"/>
                <w:kern w:val="2"/>
                <w:sz w:val="21"/>
                <w:szCs w:val="21"/>
                <w:lang w:val="en-US" w:eastAsia="zh-CN" w:bidi="ar-SA"/>
              </w:rPr>
              <w:t xml:space="preserve"> </w:t>
            </w:r>
            <w:r>
              <w:rPr>
                <w:rFonts w:ascii="Times New Roman" w:hAnsi="Times New Roman" w:eastAsia="宋体" w:cs="Times New Roman"/>
                <w:color w:val="auto"/>
                <w:kern w:val="2"/>
                <w:sz w:val="21"/>
                <w:szCs w:val="21"/>
                <w:lang w:val="en-US" w:eastAsia="zh-CN" w:bidi="ar-SA"/>
              </w:rPr>
              <w:t>169-2018）及应急预案编制指南要求等</w:t>
            </w:r>
          </w:p>
        </w:tc>
      </w:tr>
      <w:tr w14:paraId="59FBDD7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28" w:type="dxa"/>
            <w:bottom w:w="0" w:type="dxa"/>
            <w:right w:w="28" w:type="dxa"/>
          </w:tblCellMar>
        </w:tblPrEx>
        <w:trPr>
          <w:trHeight w:val="244" w:hRule="atLeast"/>
        </w:trPr>
        <w:tc>
          <w:tcPr>
            <w:tcW w:w="213" w:type="pct"/>
            <w:vAlign w:val="center"/>
          </w:tcPr>
          <w:p w14:paraId="62F39282">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其他</w:t>
            </w:r>
          </w:p>
        </w:tc>
        <w:tc>
          <w:tcPr>
            <w:tcW w:w="4786" w:type="pct"/>
            <w:gridSpan w:val="11"/>
            <w:vAlign w:val="center"/>
          </w:tcPr>
          <w:p w14:paraId="065797B0">
            <w:pPr>
              <w:widowControl w:val="0"/>
              <w:spacing w:line="360" w:lineRule="exact"/>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厂区绿化、施工期污染防治措施、环境管理与监控、排污口规范化、环境风险防范及应急救援措施</w:t>
            </w:r>
          </w:p>
        </w:tc>
      </w:tr>
    </w:tbl>
    <w:p w14:paraId="286084A0">
      <w:pPr>
        <w:sectPr>
          <w:pgSz w:w="16838" w:h="11906" w:orient="landscape"/>
          <w:pgMar w:top="1440" w:right="1800" w:bottom="1440" w:left="1800" w:header="850" w:footer="850" w:gutter="0"/>
          <w:pgBorders>
            <w:top w:val="none" w:sz="0" w:space="0"/>
            <w:left w:val="none" w:sz="0" w:space="0"/>
            <w:bottom w:val="none" w:sz="0" w:space="0"/>
            <w:right w:val="none" w:sz="0" w:space="0"/>
          </w:pgBorders>
          <w:pgNumType w:fmt="decimal"/>
          <w:cols w:space="0" w:num="1"/>
          <w:docGrid w:type="lines" w:linePitch="326" w:charSpace="0"/>
        </w:sectPr>
      </w:pPr>
    </w:p>
    <w:p w14:paraId="036A42FB">
      <w:pPr>
        <w:pStyle w:val="33"/>
        <w:jc w:val="left"/>
        <w:rPr>
          <w:rFonts w:hint="default"/>
          <w:lang w:val="en-US" w:eastAsia="zh-CN"/>
        </w:rPr>
      </w:pPr>
    </w:p>
    <w:sectPr>
      <w:head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decorative"/>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8D150">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E2BB3">
    <w:pPr>
      <w:snapToGrid w:val="0"/>
      <w:spacing w:line="240" w:lineRule="auto"/>
      <w:ind w:firstLine="0" w:firstLineChars="0"/>
      <w:jc w:val="left"/>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686B0">
                          <w:pPr>
                            <w:pStyle w:val="16"/>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276</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375686B0">
                    <w:pPr>
                      <w:pStyle w:val="16"/>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276</w:t>
                    </w:r>
                    <w:r>
                      <w:rPr>
                        <w:rFonts w:hint="default" w:ascii="Times New Roman" w:hAnsi="Times New Roman" w:cs="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CFB41">
    <w:pPr>
      <w:widowControl w:val="0"/>
      <w:tabs>
        <w:tab w:val="center" w:pos="4153"/>
        <w:tab w:val="right" w:pos="8306"/>
      </w:tabs>
      <w:snapToGrid w:val="0"/>
      <w:spacing w:line="240" w:lineRule="auto"/>
      <w:ind w:firstLine="0" w:firstLineChars="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BED773">
                          <w:pPr>
                            <w:pStyle w:val="16"/>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415</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10BED773">
                    <w:pPr>
                      <w:pStyle w:val="16"/>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415</w:t>
                    </w:r>
                    <w:r>
                      <w:rPr>
                        <w:rFonts w:hint="default"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603C2">
    <w:pPr>
      <w:widowControl w:val="0"/>
      <w:tabs>
        <w:tab w:val="center" w:pos="4153"/>
        <w:tab w:val="right" w:pos="8306"/>
      </w:tabs>
      <w:snapToGrid w:val="0"/>
      <w:spacing w:line="240" w:lineRule="auto"/>
      <w:ind w:firstLine="0" w:firstLineChars="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D1E26">
                          <w:pPr>
                            <w:pStyle w:val="16"/>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455</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0FED1E26">
                    <w:pPr>
                      <w:pStyle w:val="16"/>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455</w:t>
                    </w:r>
                    <w:r>
                      <w:rPr>
                        <w:rFonts w:hint="default" w:ascii="Times New Roman" w:hAnsi="Times New Roman" w:cs="Times New Roma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692AC">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1D4B9">
    <w:pPr>
      <w:pStyle w:val="17"/>
      <w:pBdr>
        <w:bottom w:val="none" w:color="auto" w:sz="0" w:space="1"/>
      </w:pBdr>
      <w:jc w:val="both"/>
      <w:rPr>
        <w:rFonts w:hint="default"/>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9338C">
    <w:pPr>
      <w:pStyle w:val="17"/>
      <w:pBdr>
        <w:top w:val="none" w:color="auto" w:sz="0" w:space="0"/>
        <w:left w:val="none" w:color="auto" w:sz="0" w:space="0"/>
        <w:bottom w:val="single" w:color="auto" w:sz="4" w:space="1"/>
        <w:right w:val="none" w:color="auto" w:sz="0" w:space="0"/>
      </w:pBdr>
      <w:jc w:val="center"/>
      <w:rPr>
        <w:rFonts w:hint="default" w:eastAsia="宋体"/>
        <w:lang w:val="en-US" w:eastAsia="zh-CN"/>
      </w:rPr>
    </w:pPr>
    <w:r>
      <w:rPr>
        <w:rFonts w:hint="eastAsia"/>
      </w:rPr>
      <w:t>第</w:t>
    </w:r>
    <w:r>
      <w:rPr>
        <w:rFonts w:hint="eastAsia"/>
        <w:lang w:val="en-US" w:eastAsia="zh-CN"/>
      </w:rPr>
      <w:t>五</w:t>
    </w:r>
    <w:r>
      <w:rPr>
        <w:rFonts w:hint="eastAsia"/>
      </w:rPr>
      <w:t xml:space="preserve">章  </w:t>
    </w:r>
    <w:r>
      <w:rPr>
        <w:rFonts w:hint="eastAsia"/>
        <w:lang w:val="en-US" w:eastAsia="zh-CN"/>
      </w:rPr>
      <w:t>环境现状调查与评价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92FBB">
    <w:pPr>
      <w:pStyle w:val="17"/>
    </w:pPr>
    <w:r>
      <w:t>第</w:t>
    </w:r>
    <w:r>
      <w:rPr>
        <w:rFonts w:hint="eastAsia"/>
        <w:lang w:val="en-US" w:eastAsia="zh-CN"/>
      </w:rPr>
      <w:t>八</w:t>
    </w:r>
    <w:r>
      <w:t>章</w:t>
    </w:r>
    <w:r>
      <w:rPr>
        <w:rFonts w:hint="eastAsia"/>
      </w:rPr>
      <w:t xml:space="preserve">  环境保护措施及其可行性分析</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1AA42">
    <w:pPr>
      <w:pStyle w:val="17"/>
      <w:rPr>
        <w:rFonts w:hint="default" w:eastAsia="宋体"/>
        <w:lang w:val="en-US" w:eastAsia="zh-CN"/>
      </w:rPr>
    </w:pPr>
    <w:r>
      <w:t>第</w:t>
    </w:r>
    <w:r>
      <w:rPr>
        <w:rFonts w:hint="eastAsia"/>
        <w:lang w:val="en-US" w:eastAsia="zh-CN"/>
      </w:rPr>
      <w:t>十</w:t>
    </w:r>
    <w:r>
      <w:t>章</w:t>
    </w:r>
    <w:r>
      <w:rPr>
        <w:rFonts w:hint="eastAsia"/>
      </w:rPr>
      <w:t xml:space="preserve">  </w:t>
    </w:r>
    <w:r>
      <w:rPr>
        <w:rFonts w:hint="eastAsia"/>
        <w:lang w:val="en-US" w:eastAsia="zh-CN"/>
      </w:rPr>
      <w:t>环境管理与监控计划</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55CE9">
    <w:pPr>
      <w:pStyle w:val="17"/>
      <w:rPr>
        <w:rFonts w:hint="default" w:eastAsia="宋体"/>
        <w:lang w:val="en-US" w:eastAsia="zh-CN"/>
      </w:rPr>
    </w:pPr>
    <w:r>
      <w:t>第</w:t>
    </w:r>
    <w:r>
      <w:rPr>
        <w:rFonts w:hint="eastAsia"/>
        <w:lang w:val="en-US" w:eastAsia="zh-CN"/>
      </w:rPr>
      <w:t>十一</w:t>
    </w:r>
    <w:r>
      <w:t>章</w:t>
    </w:r>
    <w:r>
      <w:rPr>
        <w:rFonts w:hint="eastAsia"/>
      </w:rPr>
      <w:t xml:space="preserve">  </w:t>
    </w:r>
    <w:r>
      <w:rPr>
        <w:rFonts w:hint="eastAsia"/>
        <w:lang w:val="en-US" w:eastAsia="zh-CN"/>
      </w:rPr>
      <w:t>环境影响评价结论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4B3394"/>
    <w:multiLevelType w:val="singleLevel"/>
    <w:tmpl w:val="204B3394"/>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1">
    <w:nsid w:val="5BA7F234"/>
    <w:multiLevelType w:val="singleLevel"/>
    <w:tmpl w:val="5BA7F234"/>
    <w:lvl w:ilvl="0" w:tentative="0">
      <w:start w:val="1"/>
      <w:numFmt w:val="decimal"/>
      <w:suff w:val="nothing"/>
      <w:lvlText w:val="（%1）"/>
      <w:lvlJc w:val="left"/>
    </w:lvl>
  </w:abstractNum>
  <w:abstractNum w:abstractNumId="2">
    <w:nsid w:val="62C44389"/>
    <w:multiLevelType w:val="multilevel"/>
    <w:tmpl w:val="62C44389"/>
    <w:lvl w:ilvl="0" w:tentative="0">
      <w:start w:val="1"/>
      <w:numFmt w:val="decimal"/>
      <w:suff w:val="space"/>
      <w:lvlText w:val="%1"/>
      <w:lvlJc w:val="left"/>
      <w:pPr>
        <w:ind w:left="425" w:hanging="425"/>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1418" w:hanging="1418"/>
      </w:pPr>
      <w:rPr>
        <w:rFonts w:hint="eastAsia"/>
      </w:rPr>
    </w:lvl>
    <w:lvl w:ilvl="3" w:tentative="0">
      <w:start w:val="1"/>
      <w:numFmt w:val="decimal"/>
      <w:pStyle w:val="6"/>
      <w:suff w:val="space"/>
      <w:lvlText w:val="%1.%2.%3.%4"/>
      <w:lvlJc w:val="left"/>
      <w:pPr>
        <w:ind w:left="1984" w:hanging="1984"/>
      </w:pPr>
      <w:rPr>
        <w:rFonts w:hint="eastAsia"/>
        <w:color w:val="auto"/>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yOWU3ZGEwNjkzMjY1MjM1NzIyMmQ1NzRkZWVlYmIifQ=="/>
  </w:docVars>
  <w:rsids>
    <w:rsidRoot w:val="00172A27"/>
    <w:rsid w:val="001A5A39"/>
    <w:rsid w:val="00325E6A"/>
    <w:rsid w:val="009F56BA"/>
    <w:rsid w:val="011B2015"/>
    <w:rsid w:val="0155753B"/>
    <w:rsid w:val="016142F9"/>
    <w:rsid w:val="01D26E02"/>
    <w:rsid w:val="01F27C87"/>
    <w:rsid w:val="0384597B"/>
    <w:rsid w:val="039B5B6E"/>
    <w:rsid w:val="03B14E1D"/>
    <w:rsid w:val="03B265BD"/>
    <w:rsid w:val="03C83E5B"/>
    <w:rsid w:val="03DC71A0"/>
    <w:rsid w:val="043751FF"/>
    <w:rsid w:val="043A2736"/>
    <w:rsid w:val="04487AB3"/>
    <w:rsid w:val="04746A65"/>
    <w:rsid w:val="04B11640"/>
    <w:rsid w:val="04B152CF"/>
    <w:rsid w:val="05471A2C"/>
    <w:rsid w:val="063F0306"/>
    <w:rsid w:val="077F343F"/>
    <w:rsid w:val="07A51C67"/>
    <w:rsid w:val="08236CEC"/>
    <w:rsid w:val="09146371"/>
    <w:rsid w:val="09716FFA"/>
    <w:rsid w:val="09793B17"/>
    <w:rsid w:val="09793CE0"/>
    <w:rsid w:val="09974731"/>
    <w:rsid w:val="09B216C1"/>
    <w:rsid w:val="09E37A0B"/>
    <w:rsid w:val="0A062716"/>
    <w:rsid w:val="0A1A7D7E"/>
    <w:rsid w:val="0A4E1921"/>
    <w:rsid w:val="0AD76F7F"/>
    <w:rsid w:val="0AF96BFB"/>
    <w:rsid w:val="0BAA6CD1"/>
    <w:rsid w:val="0CF7044D"/>
    <w:rsid w:val="0D4F7C34"/>
    <w:rsid w:val="0E7563FE"/>
    <w:rsid w:val="0E92142B"/>
    <w:rsid w:val="0E9C3DAB"/>
    <w:rsid w:val="0EDA4CA9"/>
    <w:rsid w:val="0F017468"/>
    <w:rsid w:val="0F5F2FAA"/>
    <w:rsid w:val="0F6D16FF"/>
    <w:rsid w:val="0F73073F"/>
    <w:rsid w:val="0FE14A35"/>
    <w:rsid w:val="104A47F8"/>
    <w:rsid w:val="10BE00D5"/>
    <w:rsid w:val="10D90553"/>
    <w:rsid w:val="11AC1047"/>
    <w:rsid w:val="11C73BC1"/>
    <w:rsid w:val="11D9034B"/>
    <w:rsid w:val="121953A0"/>
    <w:rsid w:val="12477870"/>
    <w:rsid w:val="12543AB7"/>
    <w:rsid w:val="12717B27"/>
    <w:rsid w:val="129A2ECD"/>
    <w:rsid w:val="12C56300"/>
    <w:rsid w:val="12F64663"/>
    <w:rsid w:val="12FF0B2B"/>
    <w:rsid w:val="13382B1C"/>
    <w:rsid w:val="13952E64"/>
    <w:rsid w:val="145A7FA0"/>
    <w:rsid w:val="14946D53"/>
    <w:rsid w:val="15B5284E"/>
    <w:rsid w:val="15C62A4D"/>
    <w:rsid w:val="15E9713A"/>
    <w:rsid w:val="16244CA2"/>
    <w:rsid w:val="164F7D07"/>
    <w:rsid w:val="165264E0"/>
    <w:rsid w:val="166A08AC"/>
    <w:rsid w:val="16866260"/>
    <w:rsid w:val="16C45027"/>
    <w:rsid w:val="17101665"/>
    <w:rsid w:val="1710646F"/>
    <w:rsid w:val="17656F6C"/>
    <w:rsid w:val="17990E18"/>
    <w:rsid w:val="17D9152C"/>
    <w:rsid w:val="17E9116D"/>
    <w:rsid w:val="18FE6E1D"/>
    <w:rsid w:val="19090289"/>
    <w:rsid w:val="1926451A"/>
    <w:rsid w:val="195B138C"/>
    <w:rsid w:val="19733F0D"/>
    <w:rsid w:val="19A731D1"/>
    <w:rsid w:val="1A0C09FE"/>
    <w:rsid w:val="1A384090"/>
    <w:rsid w:val="1A736743"/>
    <w:rsid w:val="1BC7358A"/>
    <w:rsid w:val="1BFE3B73"/>
    <w:rsid w:val="1C267F90"/>
    <w:rsid w:val="1C8E41B5"/>
    <w:rsid w:val="1CCB26D4"/>
    <w:rsid w:val="1DE95A93"/>
    <w:rsid w:val="1E225939"/>
    <w:rsid w:val="1E766E50"/>
    <w:rsid w:val="1E8551FA"/>
    <w:rsid w:val="1F8076A7"/>
    <w:rsid w:val="1FDD22E6"/>
    <w:rsid w:val="20011311"/>
    <w:rsid w:val="201D2C08"/>
    <w:rsid w:val="20321BA9"/>
    <w:rsid w:val="20E43A2D"/>
    <w:rsid w:val="210802A9"/>
    <w:rsid w:val="21552A0F"/>
    <w:rsid w:val="21603304"/>
    <w:rsid w:val="2240450A"/>
    <w:rsid w:val="22607F5D"/>
    <w:rsid w:val="228F5B46"/>
    <w:rsid w:val="233C2C7D"/>
    <w:rsid w:val="234F4EDE"/>
    <w:rsid w:val="23B90372"/>
    <w:rsid w:val="24B671B2"/>
    <w:rsid w:val="24D62AE8"/>
    <w:rsid w:val="255B60B6"/>
    <w:rsid w:val="258B00AB"/>
    <w:rsid w:val="25F7614A"/>
    <w:rsid w:val="25FD3BB5"/>
    <w:rsid w:val="262F2132"/>
    <w:rsid w:val="26A67F9E"/>
    <w:rsid w:val="26BB1FA0"/>
    <w:rsid w:val="26D24B01"/>
    <w:rsid w:val="271A2387"/>
    <w:rsid w:val="27673634"/>
    <w:rsid w:val="27910E12"/>
    <w:rsid w:val="281E23B3"/>
    <w:rsid w:val="286450C1"/>
    <w:rsid w:val="28A64B22"/>
    <w:rsid w:val="2908797F"/>
    <w:rsid w:val="297C2079"/>
    <w:rsid w:val="29993D42"/>
    <w:rsid w:val="29FB67B6"/>
    <w:rsid w:val="2A097A67"/>
    <w:rsid w:val="2A77613D"/>
    <w:rsid w:val="2B8956F4"/>
    <w:rsid w:val="2BD3684A"/>
    <w:rsid w:val="2BFA474B"/>
    <w:rsid w:val="2C047EA4"/>
    <w:rsid w:val="2C8855BC"/>
    <w:rsid w:val="2CBE3ADD"/>
    <w:rsid w:val="2CD35A66"/>
    <w:rsid w:val="2D17373F"/>
    <w:rsid w:val="2D4C5FEF"/>
    <w:rsid w:val="2D4D4FD9"/>
    <w:rsid w:val="2DBB2C68"/>
    <w:rsid w:val="2DE10A6B"/>
    <w:rsid w:val="2E55270D"/>
    <w:rsid w:val="2E6A422F"/>
    <w:rsid w:val="2E8E6771"/>
    <w:rsid w:val="2EED3769"/>
    <w:rsid w:val="2F4A566D"/>
    <w:rsid w:val="2FC4436E"/>
    <w:rsid w:val="301545BA"/>
    <w:rsid w:val="307B742B"/>
    <w:rsid w:val="31312EE2"/>
    <w:rsid w:val="316B7D4A"/>
    <w:rsid w:val="31A140BD"/>
    <w:rsid w:val="31AC3100"/>
    <w:rsid w:val="31AD7BE9"/>
    <w:rsid w:val="32432DA9"/>
    <w:rsid w:val="32677375"/>
    <w:rsid w:val="32757CC9"/>
    <w:rsid w:val="327907CA"/>
    <w:rsid w:val="329754AF"/>
    <w:rsid w:val="32F40407"/>
    <w:rsid w:val="336A69EC"/>
    <w:rsid w:val="33F918AA"/>
    <w:rsid w:val="343E3DFB"/>
    <w:rsid w:val="344767BA"/>
    <w:rsid w:val="34820ADD"/>
    <w:rsid w:val="34825E0A"/>
    <w:rsid w:val="34F214DC"/>
    <w:rsid w:val="35256A4C"/>
    <w:rsid w:val="35444376"/>
    <w:rsid w:val="35487054"/>
    <w:rsid w:val="35993AA5"/>
    <w:rsid w:val="36A4096D"/>
    <w:rsid w:val="36D36DF1"/>
    <w:rsid w:val="37113475"/>
    <w:rsid w:val="3719345D"/>
    <w:rsid w:val="379A0675"/>
    <w:rsid w:val="38235721"/>
    <w:rsid w:val="38D74BAB"/>
    <w:rsid w:val="39343B4C"/>
    <w:rsid w:val="3973629D"/>
    <w:rsid w:val="3A211C22"/>
    <w:rsid w:val="3A4A094B"/>
    <w:rsid w:val="3A6E45FB"/>
    <w:rsid w:val="3AA32997"/>
    <w:rsid w:val="3B1A3241"/>
    <w:rsid w:val="3B324935"/>
    <w:rsid w:val="3B75480D"/>
    <w:rsid w:val="3B7A62C2"/>
    <w:rsid w:val="3BAF0C4A"/>
    <w:rsid w:val="3BB54B82"/>
    <w:rsid w:val="3BC055FA"/>
    <w:rsid w:val="3C234871"/>
    <w:rsid w:val="3C8D1313"/>
    <w:rsid w:val="3C98761E"/>
    <w:rsid w:val="3CC87E45"/>
    <w:rsid w:val="3D0A2D43"/>
    <w:rsid w:val="3D13476B"/>
    <w:rsid w:val="3D191AF9"/>
    <w:rsid w:val="3D4E680D"/>
    <w:rsid w:val="3D980DC0"/>
    <w:rsid w:val="3E2A007D"/>
    <w:rsid w:val="3E2F47EE"/>
    <w:rsid w:val="3E6C120D"/>
    <w:rsid w:val="3E6D16DA"/>
    <w:rsid w:val="3F6A57AA"/>
    <w:rsid w:val="3F6D1E15"/>
    <w:rsid w:val="3FBE7FA6"/>
    <w:rsid w:val="3FCF169D"/>
    <w:rsid w:val="3FE91F95"/>
    <w:rsid w:val="40CC5714"/>
    <w:rsid w:val="40DB6BA9"/>
    <w:rsid w:val="414D4B3C"/>
    <w:rsid w:val="4171141F"/>
    <w:rsid w:val="41DF024B"/>
    <w:rsid w:val="41FB45C9"/>
    <w:rsid w:val="420B2B51"/>
    <w:rsid w:val="42365B4A"/>
    <w:rsid w:val="4261246D"/>
    <w:rsid w:val="43E8612D"/>
    <w:rsid w:val="44CA6991"/>
    <w:rsid w:val="45185AF0"/>
    <w:rsid w:val="4534454B"/>
    <w:rsid w:val="458F77F8"/>
    <w:rsid w:val="45AE5ABC"/>
    <w:rsid w:val="45BA11A4"/>
    <w:rsid w:val="45C667FF"/>
    <w:rsid w:val="468C639C"/>
    <w:rsid w:val="46E3310A"/>
    <w:rsid w:val="46E874B6"/>
    <w:rsid w:val="472259D0"/>
    <w:rsid w:val="48176E29"/>
    <w:rsid w:val="484F3891"/>
    <w:rsid w:val="494058AC"/>
    <w:rsid w:val="4A30022B"/>
    <w:rsid w:val="4AC31E9A"/>
    <w:rsid w:val="4ADE3473"/>
    <w:rsid w:val="4BAC1AB0"/>
    <w:rsid w:val="4C3C5D99"/>
    <w:rsid w:val="4C7450FB"/>
    <w:rsid w:val="4CAB3739"/>
    <w:rsid w:val="4CD56D3E"/>
    <w:rsid w:val="4D4D24CC"/>
    <w:rsid w:val="4E056FC9"/>
    <w:rsid w:val="4E1D3985"/>
    <w:rsid w:val="4E7D3B0E"/>
    <w:rsid w:val="4EBC50F9"/>
    <w:rsid w:val="4EF01312"/>
    <w:rsid w:val="4F010AED"/>
    <w:rsid w:val="4F147B4F"/>
    <w:rsid w:val="4F1F6B4E"/>
    <w:rsid w:val="4F961AB2"/>
    <w:rsid w:val="4FC91AD0"/>
    <w:rsid w:val="4FEF4901"/>
    <w:rsid w:val="500F3182"/>
    <w:rsid w:val="503679F2"/>
    <w:rsid w:val="50AC140F"/>
    <w:rsid w:val="51CE5CC6"/>
    <w:rsid w:val="521551E1"/>
    <w:rsid w:val="5225349E"/>
    <w:rsid w:val="524B36CA"/>
    <w:rsid w:val="52784CB4"/>
    <w:rsid w:val="52C31053"/>
    <w:rsid w:val="530F0DC2"/>
    <w:rsid w:val="53CA4837"/>
    <w:rsid w:val="54212AF2"/>
    <w:rsid w:val="548A1651"/>
    <w:rsid w:val="54D23DEC"/>
    <w:rsid w:val="55126530"/>
    <w:rsid w:val="5557658D"/>
    <w:rsid w:val="557A27EC"/>
    <w:rsid w:val="558615AD"/>
    <w:rsid w:val="55A2301D"/>
    <w:rsid w:val="55A43FB5"/>
    <w:rsid w:val="55AF522C"/>
    <w:rsid w:val="564A387A"/>
    <w:rsid w:val="568A47BE"/>
    <w:rsid w:val="56B87169"/>
    <w:rsid w:val="56D9448A"/>
    <w:rsid w:val="56EC0F51"/>
    <w:rsid w:val="576319DB"/>
    <w:rsid w:val="578C1AE1"/>
    <w:rsid w:val="58ED2E2A"/>
    <w:rsid w:val="595556EF"/>
    <w:rsid w:val="59631531"/>
    <w:rsid w:val="59C342B5"/>
    <w:rsid w:val="59EA6AE6"/>
    <w:rsid w:val="5B751CAA"/>
    <w:rsid w:val="5B8B3414"/>
    <w:rsid w:val="5BED2965"/>
    <w:rsid w:val="5C9F77DE"/>
    <w:rsid w:val="5CAB1FEF"/>
    <w:rsid w:val="5CC370A7"/>
    <w:rsid w:val="5D335675"/>
    <w:rsid w:val="5DA41EC2"/>
    <w:rsid w:val="5E3523AC"/>
    <w:rsid w:val="5E4A4216"/>
    <w:rsid w:val="5E5B6795"/>
    <w:rsid w:val="5E6A2D7D"/>
    <w:rsid w:val="5EF43687"/>
    <w:rsid w:val="5F0956BE"/>
    <w:rsid w:val="5F3C5BCB"/>
    <w:rsid w:val="5F5A67C8"/>
    <w:rsid w:val="60B46A9C"/>
    <w:rsid w:val="60CA3E22"/>
    <w:rsid w:val="60D13D64"/>
    <w:rsid w:val="60D2622F"/>
    <w:rsid w:val="613053ED"/>
    <w:rsid w:val="618C55D0"/>
    <w:rsid w:val="61B72C9C"/>
    <w:rsid w:val="61CD0BC9"/>
    <w:rsid w:val="62145544"/>
    <w:rsid w:val="6242450E"/>
    <w:rsid w:val="62455EE9"/>
    <w:rsid w:val="624B5B85"/>
    <w:rsid w:val="62721F40"/>
    <w:rsid w:val="63133376"/>
    <w:rsid w:val="63351A3A"/>
    <w:rsid w:val="639414DA"/>
    <w:rsid w:val="64267AA3"/>
    <w:rsid w:val="642D2D2C"/>
    <w:rsid w:val="64FD7630"/>
    <w:rsid w:val="658A7E48"/>
    <w:rsid w:val="65C877F8"/>
    <w:rsid w:val="665952DC"/>
    <w:rsid w:val="67BB0F77"/>
    <w:rsid w:val="67E671F8"/>
    <w:rsid w:val="67FA3234"/>
    <w:rsid w:val="684709AE"/>
    <w:rsid w:val="68E82BEC"/>
    <w:rsid w:val="68FB65E2"/>
    <w:rsid w:val="692C4713"/>
    <w:rsid w:val="693C588A"/>
    <w:rsid w:val="696C623F"/>
    <w:rsid w:val="69CC0935"/>
    <w:rsid w:val="69D32689"/>
    <w:rsid w:val="69FA4B3B"/>
    <w:rsid w:val="6AD44697"/>
    <w:rsid w:val="6B596405"/>
    <w:rsid w:val="6BD12BFB"/>
    <w:rsid w:val="6BE07065"/>
    <w:rsid w:val="6BF74B14"/>
    <w:rsid w:val="6C314378"/>
    <w:rsid w:val="6CA62B12"/>
    <w:rsid w:val="6D750672"/>
    <w:rsid w:val="6DC37FC8"/>
    <w:rsid w:val="6DE8370A"/>
    <w:rsid w:val="6FD00200"/>
    <w:rsid w:val="6FD067BA"/>
    <w:rsid w:val="6FDE535C"/>
    <w:rsid w:val="702526C1"/>
    <w:rsid w:val="703106F4"/>
    <w:rsid w:val="7125222D"/>
    <w:rsid w:val="713B46F1"/>
    <w:rsid w:val="714E205A"/>
    <w:rsid w:val="7231611E"/>
    <w:rsid w:val="72350A12"/>
    <w:rsid w:val="730C23D4"/>
    <w:rsid w:val="737A186E"/>
    <w:rsid w:val="73B70730"/>
    <w:rsid w:val="73F16047"/>
    <w:rsid w:val="747A7FFC"/>
    <w:rsid w:val="747B2B41"/>
    <w:rsid w:val="74B0066F"/>
    <w:rsid w:val="74FA5278"/>
    <w:rsid w:val="75474CCE"/>
    <w:rsid w:val="76512590"/>
    <w:rsid w:val="766C28E4"/>
    <w:rsid w:val="766D1DAE"/>
    <w:rsid w:val="76934BFC"/>
    <w:rsid w:val="769C4233"/>
    <w:rsid w:val="76E16D18"/>
    <w:rsid w:val="772719E3"/>
    <w:rsid w:val="77450D7E"/>
    <w:rsid w:val="7777458F"/>
    <w:rsid w:val="77DC393C"/>
    <w:rsid w:val="7841407A"/>
    <w:rsid w:val="78555DF8"/>
    <w:rsid w:val="78FD327E"/>
    <w:rsid w:val="792E7DA5"/>
    <w:rsid w:val="795C62DE"/>
    <w:rsid w:val="795E14B3"/>
    <w:rsid w:val="7964212D"/>
    <w:rsid w:val="79CC7ED5"/>
    <w:rsid w:val="7A325BF9"/>
    <w:rsid w:val="7A7A6075"/>
    <w:rsid w:val="7AF87D57"/>
    <w:rsid w:val="7B117B90"/>
    <w:rsid w:val="7BD36B3A"/>
    <w:rsid w:val="7BE060E1"/>
    <w:rsid w:val="7BF85F7F"/>
    <w:rsid w:val="7C0F57EE"/>
    <w:rsid w:val="7C1D020E"/>
    <w:rsid w:val="7C6C190A"/>
    <w:rsid w:val="7CB92FCE"/>
    <w:rsid w:val="7CBA273F"/>
    <w:rsid w:val="7CBB600A"/>
    <w:rsid w:val="7D6760EF"/>
    <w:rsid w:val="7D8F47EF"/>
    <w:rsid w:val="7DB37C53"/>
    <w:rsid w:val="7E09450F"/>
    <w:rsid w:val="7E186464"/>
    <w:rsid w:val="7E8A2913"/>
    <w:rsid w:val="7EA82F7C"/>
    <w:rsid w:val="7EB26B33"/>
    <w:rsid w:val="7F75101B"/>
    <w:rsid w:val="7FDC52DC"/>
    <w:rsid w:val="7FFB2D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20" w:lineRule="exact"/>
      <w:jc w:val="both"/>
    </w:pPr>
    <w:rPr>
      <w:rFonts w:ascii="宋体" w:hAnsi="宋体" w:eastAsia="宋体" w:cs="Times New Roman"/>
      <w:sz w:val="3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qFormat/>
    <w:uiPriority w:val="0"/>
    <w:pPr>
      <w:keepNext/>
      <w:keepLines/>
      <w:spacing w:before="240" w:after="240" w:line="360" w:lineRule="auto"/>
      <w:outlineLvl w:val="1"/>
    </w:pPr>
    <w:rPr>
      <w:rFonts w:ascii="Arial" w:hAnsi="宋体" w:eastAsia="宋体" w:cs="Arial"/>
      <w:b/>
      <w:bCs/>
      <w:sz w:val="30"/>
      <w:szCs w:val="30"/>
    </w:rPr>
  </w:style>
  <w:style w:type="paragraph" w:styleId="5">
    <w:name w:val="heading 3"/>
    <w:basedOn w:val="1"/>
    <w:next w:val="1"/>
    <w:qFormat/>
    <w:uiPriority w:val="0"/>
    <w:pPr>
      <w:keepNext w:val="0"/>
      <w:keepLines w:val="0"/>
      <w:widowControl w:val="0"/>
      <w:overflowPunct w:val="0"/>
      <w:autoSpaceDE w:val="0"/>
      <w:autoSpaceDN w:val="0"/>
      <w:adjustRightInd w:val="0"/>
      <w:snapToGrid w:val="0"/>
      <w:spacing w:line="500" w:lineRule="exact"/>
      <w:ind w:firstLine="883" w:firstLineChars="200"/>
      <w:jc w:val="both"/>
      <w:outlineLvl w:val="2"/>
    </w:pPr>
    <w:rPr>
      <w:rFonts w:ascii="Times New Roman" w:hAnsi="Times New Roman"/>
      <w:b/>
      <w:bCs/>
      <w:sz w:val="28"/>
      <w:szCs w:val="32"/>
    </w:rPr>
  </w:style>
  <w:style w:type="paragraph" w:styleId="6">
    <w:name w:val="heading 4"/>
    <w:basedOn w:val="1"/>
    <w:next w:val="1"/>
    <w:qFormat/>
    <w:uiPriority w:val="0"/>
    <w:pPr>
      <w:keepNext/>
      <w:numPr>
        <w:ilvl w:val="3"/>
        <w:numId w:val="1"/>
      </w:numPr>
      <w:ind w:left="0" w:firstLine="0" w:firstLineChars="0"/>
      <w:jc w:val="left"/>
      <w:outlineLvl w:val="3"/>
    </w:pPr>
    <w:rPr>
      <w:b/>
      <w:szCs w:val="20"/>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Block Text"/>
    <w:basedOn w:val="1"/>
    <w:next w:val="1"/>
    <w:qFormat/>
    <w:uiPriority w:val="0"/>
    <w:pPr>
      <w:spacing w:after="120"/>
      <w:ind w:left="1440" w:leftChars="700" w:right="1440" w:rightChars="700"/>
    </w:pPr>
    <w:rPr>
      <w:rFonts w:ascii="宋体" w:hAnsi="宋体" w:eastAsia="宋体"/>
    </w:rPr>
  </w:style>
  <w:style w:type="paragraph" w:styleId="7">
    <w:name w:val="List 3"/>
    <w:basedOn w:val="1"/>
    <w:qFormat/>
    <w:uiPriority w:val="0"/>
    <w:pPr>
      <w:adjustRightInd w:val="0"/>
      <w:snapToGrid w:val="0"/>
      <w:spacing w:line="240" w:lineRule="auto"/>
      <w:ind w:left="0" w:leftChars="0" w:firstLine="0" w:firstLineChars="0"/>
      <w:jc w:val="center"/>
    </w:pPr>
    <w:rPr>
      <w:sz w:val="21"/>
      <w:szCs w:val="21"/>
    </w:rPr>
  </w:style>
  <w:style w:type="paragraph" w:styleId="8">
    <w:name w:val="Normal Indent"/>
    <w:basedOn w:val="1"/>
    <w:qFormat/>
    <w:uiPriority w:val="0"/>
    <w:pPr>
      <w:widowControl/>
      <w:spacing w:after="200" w:line="240" w:lineRule="auto"/>
      <w:ind w:firstLine="420"/>
      <w:jc w:val="left"/>
    </w:pPr>
    <w:rPr>
      <w:rFonts w:ascii="Times New Roman" w:hAnsi="Times New Roman" w:eastAsia="宋体" w:cs="Times New Roman"/>
      <w:kern w:val="0"/>
      <w:szCs w:val="20"/>
      <w:lang w:eastAsia="en-US" w:bidi="en-US"/>
    </w:rPr>
  </w:style>
  <w:style w:type="paragraph" w:styleId="9">
    <w:name w:val="annotation text"/>
    <w:basedOn w:val="1"/>
    <w:qFormat/>
    <w:uiPriority w:val="0"/>
    <w:pPr>
      <w:jc w:val="left"/>
    </w:pPr>
  </w:style>
  <w:style w:type="paragraph" w:styleId="10">
    <w:name w:val="Body Text"/>
    <w:basedOn w:val="1"/>
    <w:qFormat/>
    <w:uiPriority w:val="0"/>
    <w:pPr>
      <w:widowControl/>
      <w:spacing w:after="200" w:line="240" w:lineRule="auto"/>
      <w:jc w:val="center"/>
    </w:pPr>
    <w:rPr>
      <w:rFonts w:ascii="Times New Roman" w:hAnsi="Times New Roman" w:eastAsia="宋体" w:cs="Times New Roman"/>
      <w:kern w:val="0"/>
      <w:lang w:eastAsia="en-US" w:bidi="en-US"/>
    </w:rPr>
  </w:style>
  <w:style w:type="paragraph" w:styleId="11">
    <w:name w:val="Body Text Indent"/>
    <w:basedOn w:val="1"/>
    <w:qFormat/>
    <w:uiPriority w:val="0"/>
    <w:pPr>
      <w:spacing w:after="120"/>
      <w:ind w:left="420" w:leftChars="200"/>
    </w:pPr>
  </w:style>
  <w:style w:type="paragraph" w:styleId="12">
    <w:name w:val="List 2"/>
    <w:basedOn w:val="1"/>
    <w:unhideWhenUsed/>
    <w:qFormat/>
    <w:uiPriority w:val="0"/>
    <w:pPr>
      <w:spacing w:line="360" w:lineRule="auto"/>
      <w:ind w:left="100" w:leftChars="200" w:hanging="200" w:hangingChars="200"/>
      <w:contextualSpacing/>
    </w:pPr>
    <w:rPr>
      <w:rFonts w:ascii="Calibri" w:hAnsi="Calibri" w:eastAsia="仿宋" w:cs="Times New Roman"/>
      <w:sz w:val="28"/>
    </w:rPr>
  </w:style>
  <w:style w:type="paragraph" w:styleId="13">
    <w:name w:val="Plain Text"/>
    <w:basedOn w:val="1"/>
    <w:qFormat/>
    <w:uiPriority w:val="0"/>
    <w:pPr>
      <w:widowControl/>
      <w:spacing w:after="200" w:line="240" w:lineRule="auto"/>
      <w:jc w:val="left"/>
    </w:pPr>
    <w:rPr>
      <w:rFonts w:ascii="宋体" w:hAnsi="Courier New" w:eastAsia="宋体" w:cs="Times New Roman"/>
      <w:kern w:val="0"/>
      <w:sz w:val="28"/>
      <w:szCs w:val="20"/>
      <w:lang w:eastAsia="en-US" w:bidi="en-US"/>
    </w:rPr>
  </w:style>
  <w:style w:type="paragraph" w:styleId="14">
    <w:name w:val="List Bullet 5"/>
    <w:basedOn w:val="1"/>
    <w:qFormat/>
    <w:uiPriority w:val="0"/>
    <w:pPr>
      <w:numPr>
        <w:ilvl w:val="0"/>
        <w:numId w:val="2"/>
      </w:numPr>
    </w:pPr>
  </w:style>
  <w:style w:type="paragraph" w:styleId="15">
    <w:name w:val="Body Text Indent 2"/>
    <w:basedOn w:val="1"/>
    <w:qFormat/>
    <w:uiPriority w:val="0"/>
    <w:pPr>
      <w:widowControl/>
      <w:spacing w:after="120" w:line="480" w:lineRule="auto"/>
      <w:ind w:left="420" w:leftChars="200"/>
      <w:jc w:val="left"/>
    </w:pPr>
    <w:rPr>
      <w:rFonts w:ascii="Times New Roman" w:hAnsi="Times New Roman" w:eastAsia="宋体" w:cs="Times New Roman"/>
      <w:kern w:val="0"/>
      <w:lang w:eastAsia="en-US" w:bidi="en-US"/>
    </w:rPr>
  </w:style>
  <w:style w:type="paragraph" w:styleId="16">
    <w:name w:val="footer"/>
    <w:basedOn w:val="1"/>
    <w:next w:val="1"/>
    <w:qFormat/>
    <w:uiPriority w:val="0"/>
    <w:pPr>
      <w:tabs>
        <w:tab w:val="center" w:pos="4153"/>
        <w:tab w:val="right" w:pos="8306"/>
      </w:tabs>
      <w:snapToGrid w:val="0"/>
      <w:jc w:val="left"/>
    </w:pPr>
    <w:rPr>
      <w:sz w:val="18"/>
    </w:rPr>
  </w:style>
  <w:style w:type="paragraph" w:styleId="17">
    <w:name w:val="header"/>
    <w:basedOn w:val="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8">
    <w:name w:val="toc 1"/>
    <w:basedOn w:val="1"/>
    <w:next w:val="1"/>
    <w:qFormat/>
    <w:uiPriority w:val="0"/>
  </w:style>
  <w:style w:type="paragraph" w:styleId="19">
    <w:name w:val="toc 2"/>
    <w:basedOn w:val="1"/>
    <w:next w:val="1"/>
    <w:qFormat/>
    <w:uiPriority w:val="0"/>
    <w:pPr>
      <w:ind w:left="420" w:leftChars="200"/>
    </w:pPr>
  </w:style>
  <w:style w:type="paragraph" w:styleId="20">
    <w:name w:val="Body Text 2"/>
    <w:basedOn w:val="1"/>
    <w:qFormat/>
    <w:uiPriority w:val="0"/>
    <w:pPr>
      <w:spacing w:after="120" w:afterLines="0" w:line="480" w:lineRule="auto"/>
    </w:pPr>
    <w:rPr>
      <w:rFonts w:eastAsia="仿宋_GB2312"/>
    </w:rPr>
  </w:style>
  <w:style w:type="paragraph" w:styleId="2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2">
    <w:name w:val="Body Text First Indent"/>
    <w:basedOn w:val="10"/>
    <w:qFormat/>
    <w:uiPriority w:val="0"/>
    <w:pPr>
      <w:ind w:firstLine="420" w:firstLineChars="100"/>
    </w:pPr>
  </w:style>
  <w:style w:type="paragraph" w:styleId="23">
    <w:name w:val="Body Text First Indent 2"/>
    <w:basedOn w:val="11"/>
    <w:qFormat/>
    <w:uiPriority w:val="0"/>
    <w:pPr>
      <w:widowControl w:val="0"/>
      <w:autoSpaceDE/>
      <w:autoSpaceDN/>
      <w:adjustRightInd/>
      <w:spacing w:after="120" w:line="240" w:lineRule="auto"/>
      <w:ind w:left="420" w:leftChars="200" w:firstLine="420" w:firstLineChars="200"/>
      <w:jc w:val="both"/>
      <w:textAlignment w:val="auto"/>
    </w:pPr>
    <w:rPr>
      <w:kern w:val="2"/>
      <w:sz w:val="21"/>
      <w:szCs w:val="24"/>
      <w:lang w:eastAsia="zh-CN" w:bidi="ar-SA"/>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basedOn w:val="26"/>
    <w:qFormat/>
    <w:uiPriority w:val="99"/>
  </w:style>
  <w:style w:type="character" w:styleId="29">
    <w:name w:val="FollowedHyperlink"/>
    <w:basedOn w:val="26"/>
    <w:qFormat/>
    <w:uiPriority w:val="0"/>
    <w:rPr>
      <w:color w:val="185ECF"/>
      <w:u w:val="none"/>
    </w:rPr>
  </w:style>
  <w:style w:type="character" w:styleId="30">
    <w:name w:val="Hyperlink"/>
    <w:basedOn w:val="26"/>
    <w:qFormat/>
    <w:uiPriority w:val="0"/>
    <w:rPr>
      <w:color w:val="185ECF"/>
      <w:u w:val="none"/>
    </w:rPr>
  </w:style>
  <w:style w:type="character" w:styleId="31">
    <w:name w:val="annotation reference"/>
    <w:basedOn w:val="26"/>
    <w:semiHidden/>
    <w:qFormat/>
    <w:uiPriority w:val="0"/>
    <w:rPr>
      <w:sz w:val="21"/>
      <w:szCs w:val="21"/>
    </w:rPr>
  </w:style>
  <w:style w:type="paragraph" w:customStyle="1" w:styleId="32">
    <w:name w:val="表中文字"/>
    <w:next w:val="1"/>
    <w:qFormat/>
    <w:uiPriority w:val="0"/>
    <w:pPr>
      <w:jc w:val="center"/>
    </w:pPr>
    <w:rPr>
      <w:rFonts w:ascii="Times New Roman" w:hAnsi="Times New Roman" w:eastAsia="宋体" w:cstheme="minorBidi"/>
      <w:color w:val="000000"/>
      <w:kern w:val="2"/>
      <w:sz w:val="21"/>
      <w:szCs w:val="24"/>
      <w:lang w:val="en-US" w:eastAsia="zh-CN" w:bidi="ar-SA"/>
    </w:rPr>
  </w:style>
  <w:style w:type="paragraph" w:customStyle="1" w:styleId="33">
    <w:name w:val="表格内"/>
    <w:basedOn w:val="1"/>
    <w:qFormat/>
    <w:uiPriority w:val="0"/>
    <w:pPr>
      <w:adjustRightInd w:val="0"/>
      <w:spacing w:line="240" w:lineRule="atLeast"/>
      <w:jc w:val="center"/>
      <w:textAlignment w:val="baseline"/>
    </w:pPr>
    <w:rPr>
      <w:rFonts w:ascii="宋体"/>
      <w:kern w:val="0"/>
      <w:sz w:val="28"/>
      <w:szCs w:val="20"/>
    </w:rPr>
  </w:style>
  <w:style w:type="paragraph" w:customStyle="1" w:styleId="34">
    <w:name w:val="样式 正文文本 + 首行缩进:  2 字符"/>
    <w:qFormat/>
    <w:uiPriority w:val="99"/>
    <w:pPr>
      <w:spacing w:after="200" w:line="480" w:lineRule="exact"/>
      <w:ind w:firstLine="480" w:firstLineChars="200"/>
    </w:pPr>
    <w:rPr>
      <w:rFonts w:ascii="Times New Roman" w:hAnsi="Times New Roman" w:eastAsia="微软雅黑" w:cs="Times New Roman"/>
      <w:sz w:val="24"/>
      <w:szCs w:val="22"/>
      <w:lang w:val="en-US" w:eastAsia="zh-CN" w:bidi="ar-SA"/>
    </w:rPr>
  </w:style>
  <w:style w:type="paragraph" w:customStyle="1" w:styleId="35">
    <w:name w:val="Default"/>
    <w:basedOn w:val="36"/>
    <w:qFormat/>
    <w:uiPriority w:val="0"/>
    <w:pPr>
      <w:widowControl w:val="0"/>
      <w:tabs>
        <w:tab w:val="left" w:pos="1845"/>
      </w:tabs>
      <w:autoSpaceDE w:val="0"/>
      <w:autoSpaceDN w:val="0"/>
      <w:adjustRightInd w:val="0"/>
    </w:pPr>
    <w:rPr>
      <w:rFonts w:ascii="宋体" w:eastAsia="宋体" w:cs="宋体" w:hAnsiTheme="minorHAnsi"/>
      <w:color w:val="000000"/>
      <w:sz w:val="24"/>
      <w:szCs w:val="24"/>
      <w:lang w:val="en-US" w:eastAsia="zh-CN" w:bidi="ar-SA"/>
    </w:rPr>
  </w:style>
  <w:style w:type="paragraph" w:customStyle="1" w:styleId="36">
    <w:name w:val="1 表头"/>
    <w:basedOn w:val="1"/>
    <w:qFormat/>
    <w:uiPriority w:val="0"/>
    <w:pPr>
      <w:adjustRightInd w:val="0"/>
      <w:snapToGrid w:val="0"/>
      <w:spacing w:line="240" w:lineRule="auto"/>
      <w:ind w:firstLine="0" w:firstLineChars="0"/>
      <w:jc w:val="center"/>
    </w:pPr>
    <w:rPr>
      <w:b/>
      <w:color w:val="000000"/>
      <w:sz w:val="21"/>
      <w:szCs w:val="21"/>
    </w:rPr>
  </w:style>
  <w:style w:type="paragraph" w:customStyle="1" w:styleId="37">
    <w:name w:val="纯文本1"/>
    <w:basedOn w:val="1"/>
    <w:qFormat/>
    <w:uiPriority w:val="0"/>
    <w:rPr>
      <w:rFonts w:ascii="宋体" w:hAnsi="Courier New" w:cs="Courier New"/>
      <w:kern w:val="2"/>
      <w:sz w:val="21"/>
      <w:szCs w:val="21"/>
    </w:rPr>
  </w:style>
  <w:style w:type="paragraph" w:customStyle="1" w:styleId="38">
    <w:name w:val="标题一A"/>
    <w:basedOn w:val="1"/>
    <w:qFormat/>
    <w:uiPriority w:val="0"/>
    <w:pPr>
      <w:widowControl/>
      <w:spacing w:line="480" w:lineRule="auto"/>
      <w:jc w:val="center"/>
      <w:outlineLvl w:val="0"/>
    </w:pPr>
    <w:rPr>
      <w:b/>
      <w:sz w:val="32"/>
      <w:szCs w:val="32"/>
    </w:rPr>
  </w:style>
  <w:style w:type="paragraph" w:customStyle="1" w:styleId="39">
    <w:name w:val="标题二A"/>
    <w:basedOn w:val="40"/>
    <w:qFormat/>
    <w:uiPriority w:val="0"/>
    <w:pPr>
      <w:spacing w:before="120" w:after="120" w:line="500" w:lineRule="exact"/>
      <w:outlineLvl w:val="1"/>
    </w:pPr>
    <w:rPr>
      <w:rFonts w:cs="楷体_GB2312"/>
      <w:sz w:val="30"/>
      <w:szCs w:val="30"/>
    </w:rPr>
  </w:style>
  <w:style w:type="paragraph" w:customStyle="1" w:styleId="40">
    <w:name w:val="标题二!!!!!!!!!!!!!!!!"/>
    <w:basedOn w:val="41"/>
    <w:qFormat/>
    <w:uiPriority w:val="0"/>
    <w:pPr>
      <w:keepNext w:val="0"/>
      <w:keepLines w:val="0"/>
      <w:widowControl w:val="0"/>
      <w:jc w:val="both"/>
    </w:pPr>
  </w:style>
  <w:style w:type="paragraph" w:customStyle="1" w:styleId="41">
    <w:name w:val="标题二！！！！！"/>
    <w:basedOn w:val="4"/>
    <w:qFormat/>
    <w:uiPriority w:val="0"/>
    <w:pPr>
      <w:keepNext w:val="0"/>
      <w:keepLines w:val="0"/>
      <w:spacing w:before="120" w:after="120" w:line="500" w:lineRule="exact"/>
    </w:pPr>
    <w:rPr>
      <w:rFonts w:ascii="楷体_GB2312" w:hAnsi="楷体_GB2312" w:eastAsia="楷体_GB2312" w:cs="Times New Roman"/>
    </w:rPr>
  </w:style>
  <w:style w:type="paragraph" w:customStyle="1" w:styleId="42">
    <w:name w:val="正文A"/>
    <w:basedOn w:val="43"/>
    <w:qFormat/>
    <w:uiPriority w:val="0"/>
    <w:pPr>
      <w:spacing w:line="500" w:lineRule="exact"/>
      <w:ind w:firstLine="480" w:firstLineChars="200"/>
    </w:pPr>
    <w:rPr>
      <w:rFonts w:ascii="Times New Roman" w:hAnsi="Times New Roman" w:cs="华文仿宋"/>
      <w:sz w:val="24"/>
      <w:szCs w:val="24"/>
    </w:rPr>
  </w:style>
  <w:style w:type="paragraph" w:customStyle="1" w:styleId="43">
    <w:name w:val="正文!!!!!!!!!!!"/>
    <w:basedOn w:val="44"/>
    <w:qFormat/>
    <w:uiPriority w:val="0"/>
    <w:pPr>
      <w:ind w:firstLine="480"/>
    </w:pPr>
    <w:rPr>
      <w:rFonts w:ascii="Times New Roman" w:hAnsi="Times New Roman" w:eastAsia="宋体"/>
    </w:rPr>
  </w:style>
  <w:style w:type="paragraph" w:customStyle="1" w:styleId="44">
    <w:name w:val="正文 楷体"/>
    <w:basedOn w:val="1"/>
    <w:qFormat/>
    <w:uiPriority w:val="0"/>
    <w:pPr>
      <w:spacing w:line="500" w:lineRule="exact"/>
      <w:ind w:firstLine="200" w:firstLineChars="200"/>
    </w:pPr>
    <w:rPr>
      <w:rFonts w:ascii="楷体_GB2312" w:hAnsi="楷体_GB2312" w:eastAsia="楷体_GB2312"/>
      <w:kern w:val="2"/>
      <w:szCs w:val="24"/>
    </w:rPr>
  </w:style>
  <w:style w:type="paragraph" w:customStyle="1" w:styleId="45">
    <w:name w:val="正文格式"/>
    <w:basedOn w:val="22"/>
    <w:next w:val="10"/>
    <w:qFormat/>
    <w:uiPriority w:val="0"/>
    <w:pPr>
      <w:widowControl/>
      <w:spacing w:after="0" w:line="360" w:lineRule="auto"/>
      <w:ind w:firstLine="200" w:firstLineChars="200"/>
      <w:jc w:val="left"/>
    </w:pPr>
    <w:rPr>
      <w:rFonts w:ascii="宋体" w:hAnsi="Times New Roman"/>
      <w:sz w:val="24"/>
      <w:szCs w:val="24"/>
    </w:rPr>
  </w:style>
  <w:style w:type="paragraph" w:customStyle="1" w:styleId="46">
    <w:name w:val="标题四A"/>
    <w:basedOn w:val="1"/>
    <w:qFormat/>
    <w:uiPriority w:val="0"/>
    <w:pPr>
      <w:spacing w:line="500" w:lineRule="exact"/>
      <w:outlineLvl w:val="3"/>
    </w:pPr>
    <w:rPr>
      <w:rFonts w:ascii="Times New Roman" w:hAnsi="Times New Roman"/>
      <w:b/>
      <w:kern w:val="0"/>
      <w:sz w:val="24"/>
      <w:szCs w:val="24"/>
    </w:rPr>
  </w:style>
  <w:style w:type="paragraph" w:styleId="47">
    <w:name w:val="List Paragraph"/>
    <w:basedOn w:val="1"/>
    <w:unhideWhenUsed/>
    <w:qFormat/>
    <w:uiPriority w:val="99"/>
    <w:pPr>
      <w:ind w:firstLine="420"/>
    </w:pPr>
  </w:style>
  <w:style w:type="paragraph" w:customStyle="1" w:styleId="48">
    <w:name w:val="缩进"/>
    <w:basedOn w:val="1"/>
    <w:qFormat/>
    <w:uiPriority w:val="0"/>
    <w:pPr>
      <w:ind w:firstLine="200" w:firstLineChars="200"/>
    </w:pPr>
  </w:style>
  <w:style w:type="table" w:customStyle="1" w:styleId="49">
    <w:name w:val="Table Normal"/>
    <w:unhideWhenUsed/>
    <w:qFormat/>
    <w:uiPriority w:val="0"/>
    <w:tblPr>
      <w:tblCellMar>
        <w:top w:w="0" w:type="dxa"/>
        <w:left w:w="0" w:type="dxa"/>
        <w:bottom w:w="0" w:type="dxa"/>
        <w:right w:w="0" w:type="dxa"/>
      </w:tblCellMar>
    </w:tblPr>
  </w:style>
  <w:style w:type="character" w:customStyle="1" w:styleId="50">
    <w:name w:val="font21"/>
    <w:basedOn w:val="26"/>
    <w:qFormat/>
    <w:uiPriority w:val="0"/>
    <w:rPr>
      <w:rFonts w:hint="default" w:ascii="Times New Roman" w:hAnsi="Times New Roman" w:cs="Times New Roman"/>
      <w:color w:val="000000"/>
      <w:sz w:val="21"/>
      <w:szCs w:val="21"/>
      <w:u w:val="none"/>
    </w:rPr>
  </w:style>
  <w:style w:type="paragraph" w:customStyle="1" w:styleId="51">
    <w:name w:val="东华表格文字"/>
    <w:basedOn w:val="1"/>
    <w:qFormat/>
    <w:uiPriority w:val="0"/>
    <w:pPr>
      <w:tabs>
        <w:tab w:val="left" w:pos="420"/>
      </w:tabs>
      <w:spacing w:line="240" w:lineRule="auto"/>
      <w:ind w:firstLine="0" w:firstLineChars="0"/>
      <w:jc w:val="center"/>
    </w:pPr>
    <w:rPr>
      <w:sz w:val="21"/>
      <w:szCs w:val="21"/>
      <w:lang w:bidi="ar-SA"/>
    </w:rPr>
  </w:style>
  <w:style w:type="paragraph" w:customStyle="1" w:styleId="52">
    <w:name w:val="B表内字"/>
    <w:basedOn w:val="1"/>
    <w:qFormat/>
    <w:uiPriority w:val="0"/>
    <w:pPr>
      <w:widowControl/>
      <w:spacing w:line="240" w:lineRule="auto"/>
      <w:ind w:firstLine="0" w:firstLineChars="0"/>
      <w:jc w:val="center"/>
    </w:pPr>
    <w:rPr>
      <w:rFonts w:cs="宋体"/>
      <w:kern w:val="0"/>
      <w:sz w:val="21"/>
    </w:rPr>
  </w:style>
  <w:style w:type="paragraph" w:customStyle="1" w:styleId="53">
    <w:name w:val="表内字"/>
    <w:basedOn w:val="1"/>
    <w:qFormat/>
    <w:uiPriority w:val="0"/>
    <w:pPr>
      <w:jc w:val="center"/>
    </w:pPr>
    <w:rPr>
      <w:kern w:val="0"/>
      <w:szCs w:val="24"/>
    </w:rPr>
  </w:style>
  <w:style w:type="paragraph" w:customStyle="1" w:styleId="54">
    <w:name w:val="标题三A"/>
    <w:basedOn w:val="5"/>
    <w:qFormat/>
    <w:uiPriority w:val="0"/>
    <w:pPr>
      <w:keepNext w:val="0"/>
      <w:keepLines w:val="0"/>
      <w:spacing w:before="0" w:after="0" w:line="500" w:lineRule="exact"/>
    </w:pPr>
    <w:rPr>
      <w:rFonts w:ascii="Times New Roman" w:hAnsi="Times New Roman"/>
      <w:sz w:val="28"/>
      <w:szCs w:val="28"/>
    </w:rPr>
  </w:style>
  <w:style w:type="paragraph" w:customStyle="1" w:styleId="55">
    <w:name w:val="表格中字"/>
    <w:qFormat/>
    <w:uiPriority w:val="0"/>
    <w:pPr>
      <w:widowControl w:val="0"/>
      <w:overflowPunct w:val="0"/>
      <w:autoSpaceDE w:val="0"/>
      <w:autoSpaceDN w:val="0"/>
      <w:adjustRightInd w:val="0"/>
      <w:snapToGrid w:val="0"/>
      <w:spacing w:line="300" w:lineRule="atLeast"/>
      <w:jc w:val="center"/>
      <w:textAlignment w:val="baseline"/>
    </w:pPr>
    <w:rPr>
      <w:rFonts w:ascii="Times New Roman" w:hAnsi="Times New Roman" w:eastAsia="宋体" w:cs="Times New Roman"/>
      <w:sz w:val="21"/>
      <w:lang w:val="en-US" w:eastAsia="zh-CN" w:bidi="ar-SA"/>
    </w:rPr>
  </w:style>
  <w:style w:type="paragraph" w:customStyle="1" w:styleId="56">
    <w:name w:val="表头A"/>
    <w:basedOn w:val="57"/>
    <w:qFormat/>
    <w:uiPriority w:val="0"/>
    <w:pPr>
      <w:spacing w:line="400" w:lineRule="exact"/>
    </w:pPr>
    <w:rPr>
      <w:rFonts w:ascii="Times New Roman" w:hAnsi="Times New Roman" w:eastAsia="宋体" w:cs="Times New Roman"/>
    </w:rPr>
  </w:style>
  <w:style w:type="paragraph" w:customStyle="1" w:styleId="57">
    <w:name w:val="表头"/>
    <w:basedOn w:val="58"/>
    <w:qFormat/>
    <w:uiPriority w:val="0"/>
    <w:pPr>
      <w:spacing w:line="500" w:lineRule="exact"/>
      <w:jc w:val="center"/>
    </w:pPr>
    <w:rPr>
      <w:rFonts w:ascii="楷体_GB2312" w:hAnsi="楷体_GB2312" w:eastAsia="楷体_GB2312" w:cs="楷体_GB2312"/>
      <w:b/>
      <w:sz w:val="24"/>
      <w:szCs w:val="24"/>
    </w:rPr>
  </w:style>
  <w:style w:type="paragraph" w:customStyle="1" w:styleId="58">
    <w:name w:val="正文1"/>
    <w:basedOn w:val="8"/>
    <w:next w:val="8"/>
    <w:qFormat/>
    <w:uiPriority w:val="0"/>
    <w:pPr>
      <w:spacing w:beforeLines="25" w:afterLines="25"/>
      <w:ind w:firstLine="480"/>
    </w:pPr>
    <w:rPr>
      <w:kern w:val="0"/>
    </w:rPr>
  </w:style>
  <w:style w:type="character" w:customStyle="1" w:styleId="59">
    <w:name w:val="checkbox"/>
    <w:basedOn w:val="26"/>
    <w:qFormat/>
    <w:uiPriority w:val="0"/>
  </w:style>
  <w:style w:type="character" w:customStyle="1" w:styleId="60">
    <w:name w:val="shenbao"/>
    <w:basedOn w:val="26"/>
    <w:qFormat/>
    <w:uiPriority w:val="0"/>
    <w:rPr>
      <w:color w:val="EF6334"/>
    </w:rPr>
  </w:style>
  <w:style w:type="character" w:customStyle="1" w:styleId="61">
    <w:name w:val="chakan"/>
    <w:basedOn w:val="26"/>
    <w:qFormat/>
    <w:uiPriority w:val="0"/>
    <w:rPr>
      <w:color w:val="0064EA"/>
    </w:rPr>
  </w:style>
  <w:style w:type="paragraph" w:customStyle="1" w:styleId="62">
    <w:name w:val="环评正文"/>
    <w:basedOn w:val="3"/>
    <w:qFormat/>
    <w:uiPriority w:val="0"/>
    <w:pPr>
      <w:spacing w:before="60" w:beforeLines="0" w:after="60" w:afterLines="0" w:line="400" w:lineRule="exact"/>
      <w:ind w:left="0" w:firstLine="480" w:firstLineChars="200"/>
      <w:jc w:val="both"/>
      <w:outlineLvl w:val="9"/>
    </w:pPr>
    <w:rPr>
      <w:rFonts w:ascii="Times New Roman" w:hAnsi="Times New Roman" w:eastAsia="仿宋_GB2312" w:cs="Times New Roman"/>
      <w:b w:val="0"/>
      <w:color w:val="auto"/>
      <w:spacing w:val="0"/>
      <w:sz w:val="24"/>
      <w:szCs w:val="28"/>
      <w:lang w:val="en-US"/>
    </w:rPr>
  </w:style>
  <w:style w:type="paragraph" w:customStyle="1" w:styleId="63">
    <w:name w:val="Table Text"/>
    <w:basedOn w:val="1"/>
    <w:semiHidden/>
    <w:qFormat/>
    <w:uiPriority w:val="0"/>
    <w:rPr>
      <w:rFonts w:ascii="宋体" w:hAnsi="宋体" w:eastAsia="宋体" w:cs="宋体"/>
      <w:sz w:val="20"/>
      <w:szCs w:val="20"/>
      <w:lang w:val="en-US" w:eastAsia="en-US" w:bidi="ar-SA"/>
    </w:rPr>
  </w:style>
  <w:style w:type="paragraph" w:customStyle="1" w:styleId="64">
    <w:name w:val="表、图名宋旭峰"/>
    <w:basedOn w:val="1"/>
    <w:qFormat/>
    <w:uiPriority w:val="99"/>
    <w:pPr>
      <w:snapToGrid w:val="0"/>
      <w:ind w:firstLine="883"/>
      <w:jc w:val="center"/>
    </w:pPr>
    <w:rPr>
      <w:rFonts w:ascii="黑体" w:hAnsi="黑体" w:eastAsia="黑体"/>
    </w:rPr>
  </w:style>
  <w:style w:type="paragraph" w:customStyle="1" w:styleId="65">
    <w:name w:val="Char Char Char Char Char Char Char Char Char Char Char Char"/>
    <w:basedOn w:val="1"/>
    <w:next w:val="1"/>
    <w:qFormat/>
    <w:uiPriority w:val="99"/>
    <w:rPr>
      <w:rFonts w:ascii="宋体" w:hAnsi="宋体" w:cs="宋体"/>
    </w:rPr>
  </w:style>
  <w:style w:type="paragraph" w:customStyle="1" w:styleId="66">
    <w:name w:val="B图表标题"/>
    <w:basedOn w:val="67"/>
    <w:next w:val="15"/>
    <w:qFormat/>
    <w:uiPriority w:val="0"/>
    <w:pPr>
      <w:ind w:firstLine="0" w:firstLineChars="0"/>
      <w:jc w:val="center"/>
    </w:pPr>
    <w:rPr>
      <w:b/>
    </w:rPr>
  </w:style>
  <w:style w:type="paragraph" w:customStyle="1" w:styleId="67">
    <w:name w:val="图表名"/>
    <w:basedOn w:val="1"/>
    <w:qFormat/>
    <w:uiPriority w:val="0"/>
    <w:pPr>
      <w:adjustRightInd w:val="0"/>
      <w:snapToGrid w:val="0"/>
      <w:spacing w:line="360" w:lineRule="auto"/>
      <w:jc w:val="center"/>
    </w:pPr>
    <w:rPr>
      <w:rFonts w:ascii="Times New Roman" w:hAnsi="Times New Roman" w:eastAsia="黑体"/>
      <w:snapToGrid w:val="0"/>
      <w:color w:val="000000"/>
      <w:kern w:val="0"/>
      <w:sz w:val="28"/>
      <w:szCs w:val="28"/>
    </w:rPr>
  </w:style>
  <w:style w:type="paragraph" w:customStyle="1" w:styleId="68">
    <w:name w:val="Table Paragraph"/>
    <w:basedOn w:val="1"/>
    <w:unhideWhenUsed/>
    <w:qFormat/>
    <w:uiPriority w:val="1"/>
    <w:rPr>
      <w:sz w:val="24"/>
    </w:rPr>
  </w:style>
  <w:style w:type="paragraph" w:customStyle="1" w:styleId="69">
    <w:name w:val="A表内容"/>
    <w:basedOn w:val="70"/>
    <w:qFormat/>
    <w:uiPriority w:val="0"/>
    <w:pPr>
      <w:tabs>
        <w:tab w:val="left" w:pos="420"/>
      </w:tabs>
      <w:spacing w:line="340" w:lineRule="exact"/>
      <w:ind w:firstLine="0" w:firstLineChars="0"/>
      <w:jc w:val="center"/>
    </w:pPr>
    <w:rPr>
      <w:rFonts w:ascii="Times New Roman"/>
      <w:sz w:val="21"/>
      <w:szCs w:val="21"/>
    </w:rPr>
  </w:style>
  <w:style w:type="paragraph" w:customStyle="1" w:styleId="70">
    <w:name w:val="A正文"/>
    <w:basedOn w:val="45"/>
    <w:qFormat/>
    <w:uiPriority w:val="0"/>
    <w:pPr>
      <w:tabs>
        <w:tab w:val="left" w:pos="420"/>
      </w:tabs>
      <w:jc w:val="both"/>
    </w:pPr>
    <w:rPr>
      <w:rFonts w:ascii="Times New Roman"/>
      <w:color w:val="000000"/>
    </w:rPr>
  </w:style>
  <w:style w:type="paragraph" w:customStyle="1" w:styleId="71">
    <w:name w:val="表格"/>
    <w:basedOn w:val="1"/>
    <w:next w:val="1"/>
    <w:qFormat/>
    <w:uiPriority w:val="0"/>
    <w:pPr>
      <w:spacing w:beforeLines="50" w:afterLines="50" w:line="360" w:lineRule="auto"/>
      <w:ind w:firstLine="480" w:firstLineChars="200"/>
      <w:jc w:val="center"/>
    </w:pPr>
    <w:rPr>
      <w:rFonts w:ascii="Arial" w:hAnsi="Arial" w:eastAsia="宋体" w:cs="Arial"/>
      <w:szCs w:val="21"/>
    </w:rPr>
  </w:style>
  <w:style w:type="paragraph" w:customStyle="1" w:styleId="72">
    <w:name w:val="B正文"/>
    <w:basedOn w:val="1"/>
    <w:qFormat/>
    <w:uiPriority w:val="0"/>
    <w:pPr>
      <w:widowControl/>
      <w:spacing w:line="360" w:lineRule="auto"/>
      <w:ind w:firstLine="200" w:firstLineChars="200"/>
      <w:jc w:val="left"/>
    </w:pPr>
    <w:rPr>
      <w:rFonts w:cs="宋体"/>
      <w:kern w:val="0"/>
      <w:sz w:val="24"/>
    </w:rPr>
  </w:style>
  <w:style w:type="character" w:customStyle="1" w:styleId="73">
    <w:name w:val="font31"/>
    <w:basedOn w:val="26"/>
    <w:qFormat/>
    <w:uiPriority w:val="0"/>
    <w:rPr>
      <w:rFonts w:hint="eastAsia" w:ascii="宋体" w:hAnsi="宋体" w:eastAsia="宋体" w:cs="宋体"/>
      <w:color w:val="000000"/>
      <w:sz w:val="21"/>
      <w:szCs w:val="21"/>
      <w:u w:val="none"/>
    </w:rPr>
  </w:style>
  <w:style w:type="character" w:customStyle="1" w:styleId="74">
    <w:name w:val="font11"/>
    <w:basedOn w:val="26"/>
    <w:qFormat/>
    <w:uiPriority w:val="0"/>
    <w:rPr>
      <w:rFonts w:hint="default" w:ascii="Times New Roman" w:hAnsi="Times New Roman" w:cs="Times New Roman"/>
      <w:color w:val="000000"/>
      <w:sz w:val="21"/>
      <w:szCs w:val="21"/>
      <w:u w:val="none"/>
    </w:rPr>
  </w:style>
  <w:style w:type="character" w:customStyle="1" w:styleId="75">
    <w:name w:val="font41"/>
    <w:basedOn w:val="26"/>
    <w:qFormat/>
    <w:uiPriority w:val="0"/>
    <w:rPr>
      <w:rFonts w:hint="default" w:ascii="Times New Roman" w:hAnsi="Times New Roman" w:cs="Times New Roman"/>
      <w:color w:val="000000"/>
      <w:sz w:val="21"/>
      <w:szCs w:val="21"/>
      <w:u w:val="none"/>
      <w:vertAlign w:val="superscript"/>
    </w:rPr>
  </w:style>
  <w:style w:type="paragraph" w:customStyle="1" w:styleId="76">
    <w:name w:val="Other|1"/>
    <w:basedOn w:val="1"/>
    <w:qFormat/>
    <w:uiPriority w:val="0"/>
    <w:pPr>
      <w:widowControl w:val="0"/>
      <w:shd w:val="clear" w:color="auto" w:fill="auto"/>
      <w:spacing w:line="406" w:lineRule="auto"/>
      <w:ind w:firstLine="400"/>
    </w:pPr>
    <w:rPr>
      <w:rFonts w:ascii="宋体" w:hAnsi="宋体" w:eastAsia="宋体" w:cs="宋体"/>
      <w:u w:val="none"/>
      <w:shd w:val="clear" w:color="auto" w:fill="auto"/>
      <w:lang w:val="zh-TW" w:eastAsia="zh-TW" w:bidi="zh-TW"/>
    </w:rPr>
  </w:style>
  <w:style w:type="paragraph" w:customStyle="1" w:styleId="77">
    <w:name w:val="邓表格文字"/>
    <w:basedOn w:val="78"/>
    <w:qFormat/>
    <w:uiPriority w:val="0"/>
    <w:pPr>
      <w:tabs>
        <w:tab w:val="left" w:pos="420"/>
      </w:tabs>
      <w:spacing w:line="220" w:lineRule="exact"/>
    </w:pPr>
    <w:rPr>
      <w:rFonts w:eastAsia="宋体"/>
      <w:kern w:val="0"/>
      <w:sz w:val="15"/>
      <w:szCs w:val="15"/>
    </w:rPr>
  </w:style>
  <w:style w:type="paragraph" w:customStyle="1" w:styleId="78">
    <w:name w:val="表格文字邓"/>
    <w:basedOn w:val="1"/>
    <w:qFormat/>
    <w:uiPriority w:val="0"/>
    <w:pPr>
      <w:widowControl/>
      <w:tabs>
        <w:tab w:val="left" w:pos="420"/>
      </w:tabs>
      <w:snapToGrid w:val="0"/>
      <w:spacing w:line="200" w:lineRule="exact"/>
      <w:jc w:val="center"/>
    </w:pPr>
    <w:rPr>
      <w:rFonts w:ascii="宋体" w:hAnsi="宋体" w:eastAsia="华文中宋"/>
      <w:color w:val="000000"/>
      <w:sz w:val="18"/>
      <w:szCs w:val="18"/>
    </w:rPr>
  </w:style>
  <w:style w:type="paragraph" w:customStyle="1" w:styleId="79">
    <w:name w:val="表格文字样式14"/>
    <w:basedOn w:val="80"/>
    <w:qFormat/>
    <w:uiPriority w:val="0"/>
    <w:pPr>
      <w:overflowPunct w:val="0"/>
      <w:autoSpaceDE/>
      <w:autoSpaceDN/>
      <w:spacing w:line="240" w:lineRule="auto"/>
      <w:ind w:firstLine="0" w:firstLineChars="0"/>
      <w:textAlignment w:val="auto"/>
    </w:pPr>
    <w:rPr>
      <w:rFonts w:ascii="宋体" w:hAnsi="宋体"/>
      <w:bCs/>
      <w:snapToGrid w:val="0"/>
      <w:sz w:val="21"/>
      <w:szCs w:val="21"/>
    </w:rPr>
  </w:style>
  <w:style w:type="paragraph" w:customStyle="1" w:styleId="80">
    <w:name w:val="表格标题"/>
    <w:basedOn w:val="1"/>
    <w:next w:val="10"/>
    <w:qFormat/>
    <w:uiPriority w:val="0"/>
    <w:pPr>
      <w:autoSpaceDE w:val="0"/>
      <w:autoSpaceDN w:val="0"/>
      <w:adjustRightInd w:val="0"/>
      <w:snapToGrid w:val="0"/>
      <w:jc w:val="center"/>
      <w:textAlignment w:val="baseline"/>
    </w:pPr>
    <w:rPr>
      <w:kern w:val="0"/>
    </w:rPr>
  </w:style>
  <w:style w:type="paragraph" w:customStyle="1" w:styleId="81">
    <w:name w:val="表头标题格式"/>
    <w:basedOn w:val="1"/>
    <w:qFormat/>
    <w:uiPriority w:val="0"/>
    <w:pPr>
      <w:tabs>
        <w:tab w:val="left" w:pos="360"/>
        <w:tab w:val="left" w:pos="1620"/>
      </w:tabs>
      <w:spacing w:line="360" w:lineRule="auto"/>
      <w:jc w:val="center"/>
    </w:pPr>
    <w:rPr>
      <w:rFonts w:ascii="黑体" w:hAnsi="宋体" w:eastAsia="黑体" w:cs="宋体"/>
      <w:b/>
      <w:bCs/>
      <w:sz w:val="24"/>
      <w:szCs w:val="20"/>
    </w:rPr>
  </w:style>
  <w:style w:type="paragraph" w:customStyle="1" w:styleId="82">
    <w:name w:val="表格内字体"/>
    <w:basedOn w:val="45"/>
    <w:next w:val="45"/>
    <w:qFormat/>
    <w:uiPriority w:val="0"/>
    <w:pPr>
      <w:spacing w:line="240" w:lineRule="auto"/>
      <w:ind w:firstLine="0" w:firstLineChars="0"/>
      <w:jc w:val="center"/>
    </w:pPr>
    <w:rPr>
      <w:rFonts w:hAnsi="宋体"/>
      <w:color w:val="FF0000"/>
      <w:kern w:val="0"/>
      <w:sz w:val="21"/>
    </w:rPr>
  </w:style>
  <w:style w:type="paragraph" w:customStyle="1" w:styleId="83">
    <w:name w:val="表后空格"/>
    <w:basedOn w:val="44"/>
    <w:qFormat/>
    <w:uiPriority w:val="0"/>
    <w:pPr>
      <w:spacing w:line="240" w:lineRule="exact"/>
      <w:ind w:firstLine="480"/>
    </w:pPr>
  </w:style>
  <w:style w:type="paragraph" w:customStyle="1" w:styleId="84">
    <w:name w:val="图形格式"/>
    <w:qFormat/>
    <w:uiPriority w:val="99"/>
    <w:pPr>
      <w:spacing w:line="360" w:lineRule="auto"/>
      <w:jc w:val="center"/>
    </w:pPr>
    <w:rPr>
      <w:rFonts w:ascii="Calibri" w:hAnsi="Calibri" w:eastAsia="宋体" w:cs="Times New Roman"/>
      <w:sz w:val="28"/>
      <w:lang w:val="en-US" w:eastAsia="zh-CN" w:bidi="ar-SA"/>
    </w:rPr>
  </w:style>
  <w:style w:type="table" w:customStyle="1" w:styleId="85">
    <w:name w:val="33"/>
    <w:qFormat/>
    <w:uiPriority w:val="99"/>
    <w:pPr>
      <w:widowControl w:val="0"/>
      <w:autoSpaceDE w:val="0"/>
      <w:autoSpaceDN w:val="0"/>
      <w:adjustRightInd w:val="0"/>
    </w:pPr>
    <w:rPr>
      <w:sz w:val="24"/>
      <w:szCs w:val="24"/>
    </w:rPr>
    <w:tblPr>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0" w:type="dxa"/>
        <w:bottom w:w="0" w:type="dxa"/>
        <w:right w:w="0" w:type="dxa"/>
      </w:tblCellMar>
    </w:tblPr>
    <w:tcPr>
      <w:vAlign w:val="center"/>
    </w:tcPr>
  </w:style>
  <w:style w:type="paragraph" w:customStyle="1" w:styleId="86">
    <w:name w:val="表格内容"/>
    <w:basedOn w:val="87"/>
    <w:autoRedefine/>
    <w:qFormat/>
    <w:uiPriority w:val="0"/>
    <w:pPr>
      <w:adjustRightInd w:val="0"/>
      <w:spacing w:line="400" w:lineRule="exact"/>
      <w:ind w:firstLine="0" w:firstLineChars="0"/>
      <w:jc w:val="center"/>
      <w:textAlignment w:val="baseline"/>
    </w:pPr>
    <w:rPr>
      <w:rFonts w:ascii="Times New Roman" w:hAnsi="Times New Roman"/>
      <w:kern w:val="0"/>
      <w:sz w:val="24"/>
      <w:szCs w:val="28"/>
    </w:rPr>
  </w:style>
  <w:style w:type="paragraph" w:customStyle="1" w:styleId="87">
    <w:name w:val="表格内容居中"/>
    <w:basedOn w:val="1"/>
    <w:qFormat/>
    <w:uiPriority w:val="0"/>
    <w:pPr>
      <w:adjustRightInd w:val="0"/>
      <w:snapToGrid w:val="0"/>
      <w:spacing w:line="0" w:lineRule="atLeast"/>
      <w:jc w:val="center"/>
    </w:pPr>
    <w:rPr>
      <w:szCs w:val="24"/>
    </w:rPr>
  </w:style>
  <w:style w:type="character" w:customStyle="1" w:styleId="88">
    <w:name w:val="font51"/>
    <w:basedOn w:val="26"/>
    <w:autoRedefine/>
    <w:qFormat/>
    <w:uiPriority w:val="0"/>
    <w:rPr>
      <w:rFonts w:hint="default" w:ascii="Times New Roman" w:hAnsi="Times New Roman" w:cs="Times New Roman"/>
      <w:color w:val="000000"/>
      <w:sz w:val="21"/>
      <w:szCs w:val="21"/>
      <w:u w:val="none"/>
    </w:rPr>
  </w:style>
  <w:style w:type="character" w:customStyle="1" w:styleId="89">
    <w:name w:val="font71"/>
    <w:basedOn w:val="26"/>
    <w:autoRedefine/>
    <w:qFormat/>
    <w:uiPriority w:val="0"/>
    <w:rPr>
      <w:rFonts w:hint="default" w:ascii="Times New Roman" w:hAnsi="Times New Roman" w:cs="Times New Roman"/>
      <w:color w:val="000000"/>
      <w:sz w:val="21"/>
      <w:szCs w:val="21"/>
      <w:u w:val="none"/>
      <w:vertAlign w:val="superscript"/>
    </w:rPr>
  </w:style>
  <w:style w:type="character" w:customStyle="1" w:styleId="90">
    <w:name w:val="font01"/>
    <w:basedOn w:val="26"/>
    <w:qFormat/>
    <w:uiPriority w:val="0"/>
    <w:rPr>
      <w:rFonts w:hint="eastAsia" w:ascii="宋体" w:hAnsi="宋体" w:eastAsia="宋体" w:cs="宋体"/>
      <w:color w:val="000000"/>
      <w:sz w:val="22"/>
      <w:szCs w:val="22"/>
      <w:u w:val="none"/>
    </w:rPr>
  </w:style>
  <w:style w:type="paragraph" w:customStyle="1" w:styleId="91">
    <w:name w:val="【表中文字"/>
    <w:basedOn w:val="92"/>
    <w:qFormat/>
    <w:uiPriority w:val="5"/>
    <w:pPr>
      <w:adjustRightInd w:val="0"/>
      <w:ind w:firstLine="0" w:firstLineChars="0"/>
      <w:jc w:val="center"/>
      <w:textAlignment w:val="baseline"/>
    </w:pPr>
    <w:rPr>
      <w:rFonts w:ascii="Times New Roman" w:hAnsi="Times New Roman" w:eastAsia="宋体"/>
      <w:kern w:val="0"/>
      <w:szCs w:val="21"/>
    </w:rPr>
  </w:style>
  <w:style w:type="paragraph" w:customStyle="1" w:styleId="92">
    <w:name w:val="表样式"/>
    <w:basedOn w:val="93"/>
    <w:qFormat/>
    <w:uiPriority w:val="0"/>
    <w:pPr>
      <w:keepNext w:val="0"/>
      <w:widowControl w:val="0"/>
      <w:spacing w:before="0" w:beforeLines="0" w:after="0" w:afterLines="0" w:line="240" w:lineRule="auto"/>
    </w:pPr>
    <w:rPr>
      <w:rFonts w:ascii="仿宋_GB2312" w:eastAsia="黑体"/>
      <w:sz w:val="21"/>
    </w:rPr>
  </w:style>
  <w:style w:type="paragraph" w:customStyle="1" w:styleId="93">
    <w:name w:val="表头样式"/>
    <w:basedOn w:val="1"/>
    <w:qFormat/>
    <w:uiPriority w:val="0"/>
    <w:pPr>
      <w:keepNext/>
      <w:widowControl/>
      <w:spacing w:before="156" w:beforeLines="50" w:after="156" w:afterLines="50" w:line="520" w:lineRule="exact"/>
      <w:ind w:firstLine="280" w:firstLineChars="100"/>
    </w:pPr>
    <w:rPr>
      <w:rFonts w:ascii="宋体" w:hAnsi="宋体"/>
      <w:bCs/>
      <w:sz w:val="28"/>
      <w:szCs w:val="28"/>
    </w:rPr>
  </w:style>
  <w:style w:type="paragraph" w:customStyle="1" w:styleId="94">
    <w:name w:val="Z表头"/>
    <w:basedOn w:val="1"/>
    <w:next w:val="1"/>
    <w:qFormat/>
    <w:uiPriority w:val="0"/>
    <w:pPr>
      <w:widowControl/>
      <w:adjustRightInd w:val="0"/>
      <w:ind w:firstLine="0" w:firstLineChars="0"/>
      <w:contextualSpacing/>
      <w:jc w:val="center"/>
    </w:pPr>
    <w:rPr>
      <w:b/>
      <w:lang w:eastAsia="en-US"/>
    </w:rPr>
  </w:style>
  <w:style w:type="paragraph" w:customStyle="1" w:styleId="95">
    <w:name w:val="图表后空行"/>
    <w:next w:val="1"/>
    <w:qFormat/>
    <w:uiPriority w:val="0"/>
    <w:pPr>
      <w:ind w:firstLine="200"/>
    </w:pPr>
    <w:rPr>
      <w:rFonts w:ascii="Times New Roman" w:hAnsi="Times New Roman" w:eastAsia="宋体" w:cstheme="minorBidi"/>
      <w:kern w:val="2"/>
      <w:sz w:val="18"/>
      <w:szCs w:val="24"/>
      <w:lang w:val="en-US" w:eastAsia="zh-CN" w:bidi="ar-SA"/>
    </w:rPr>
  </w:style>
  <w:style w:type="character" w:customStyle="1" w:styleId="96">
    <w:name w:val="NormalCharacter"/>
    <w:qFormat/>
    <w:uiPriority w:val="0"/>
  </w:style>
  <w:style w:type="paragraph" w:customStyle="1" w:styleId="97">
    <w:name w:val="图表标题"/>
    <w:basedOn w:val="1"/>
    <w:qFormat/>
    <w:uiPriority w:val="0"/>
    <w:pPr>
      <w:spacing w:line="600" w:lineRule="exact"/>
      <w:ind w:firstLine="0" w:firstLineChars="0"/>
      <w:jc w:val="center"/>
    </w:pPr>
    <w:rPr>
      <w:rFonts w:eastAsia="黑体" w:cs="Arial"/>
    </w:rPr>
  </w:style>
  <w:style w:type="paragraph" w:customStyle="1" w:styleId="98">
    <w:name w:val="A.表中文字 用"/>
    <w:basedOn w:val="1"/>
    <w:next w:val="1"/>
    <w:qFormat/>
    <w:uiPriority w:val="0"/>
    <w:pPr>
      <w:spacing w:line="360" w:lineRule="exact"/>
      <w:jc w:val="center"/>
    </w:pPr>
    <w:rPr>
      <w:snapToGrid w:val="0"/>
      <w:kern w:val="0"/>
      <w:sz w:val="21"/>
      <w:szCs w:val="20"/>
    </w:rPr>
  </w:style>
  <w:style w:type="table" w:customStyle="1" w:styleId="99">
    <w:name w:val="网格型111"/>
    <w:basedOn w:val="24"/>
    <w:qFormat/>
    <w:uiPriority w:val="0"/>
    <w:pPr>
      <w:spacing w:line="360" w:lineRule="exact"/>
      <w:jc w:val="center"/>
    </w:pPr>
    <w:rPr>
      <w:rFonts w:ascii="宋体" w:hAnsi="宋体" w:cs="宋体"/>
      <w:sz w:val="21"/>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0" w:type="dxa"/>
        <w:right w:w="0" w:type="dxa"/>
      </w:tblCellMar>
    </w:tblPr>
    <w:tcPr>
      <w:vAlign w:val="center"/>
    </w:tcPr>
  </w:style>
  <w:style w:type="paragraph" w:customStyle="1" w:styleId="100">
    <w:name w:val="任表格文字"/>
    <w:next w:val="1"/>
    <w:qFormat/>
    <w:uiPriority w:val="0"/>
    <w:pPr>
      <w:spacing w:line="360" w:lineRule="exact"/>
      <w:jc w:val="center"/>
    </w:pPr>
    <w:rPr>
      <w:rFonts w:hint="eastAsia" w:ascii="Times New Roman" w:hAnsi="Times New Roman" w:eastAsia="宋体" w:cs="Times New Roman"/>
      <w:kern w:val="2"/>
      <w:sz w:val="21"/>
      <w:szCs w:val="21"/>
      <w:lang w:val="en-US" w:eastAsia="zh-CN" w:bidi="ar-SA"/>
    </w:rPr>
  </w:style>
  <w:style w:type="table" w:customStyle="1" w:styleId="101">
    <w:name w:val="化工院环评"/>
    <w:qFormat/>
    <w:uiPriority w:val="99"/>
    <w:pPr>
      <w:jc w:val="center"/>
    </w:pPr>
    <w:rPr>
      <w:sz w:val="21"/>
    </w:rPr>
    <w:tblPr>
      <w:jc w:val="center"/>
      <w:tblBorders>
        <w:top w:val="single" w:color="7030A0" w:sz="12" w:space="0"/>
        <w:left w:val="single" w:color="7030A0" w:sz="12" w:space="0"/>
        <w:bottom w:val="single" w:color="7030A0" w:sz="12" w:space="0"/>
        <w:right w:val="single" w:color="7030A0" w:sz="12" w:space="0"/>
        <w:insideH w:val="single" w:color="7030A0" w:sz="6" w:space="0"/>
        <w:insideV w:val="single" w:color="7030A0" w:sz="6" w:space="0"/>
      </w:tblBorders>
      <w:tblCellMar>
        <w:top w:w="0" w:type="dxa"/>
        <w:left w:w="0" w:type="dxa"/>
        <w:bottom w:w="0" w:type="dxa"/>
        <w:right w:w="0" w:type="dxa"/>
      </w:tblCellMar>
    </w:tblPr>
    <w:trPr>
      <w:jc w:val="center"/>
    </w:trPr>
    <w:tcPr>
      <w:vAlign w:val="center"/>
    </w:tcPr>
  </w:style>
  <w:style w:type="paragraph" w:customStyle="1" w:styleId="102">
    <w:name w:val="图表后空格"/>
    <w:qFormat/>
    <w:uiPriority w:val="0"/>
    <w:pPr>
      <w:widowControl w:val="0"/>
      <w:jc w:val="both"/>
    </w:pPr>
    <w:rPr>
      <w:rFonts w:hint="eastAsia" w:ascii="Times New Roman" w:hAnsi="Times New Roman" w:eastAsia="宋体" w:cstheme="minorBidi"/>
      <w:kern w:val="2"/>
      <w:sz w:val="21"/>
      <w:szCs w:val="21"/>
      <w:lang w:val="en-US" w:eastAsia="zh-CN" w:bidi="ar-SA"/>
    </w:rPr>
  </w:style>
  <w:style w:type="paragraph" w:customStyle="1" w:styleId="103">
    <w:name w:val="页眉1"/>
    <w:qFormat/>
    <w:uiPriority w:val="0"/>
    <w:pPr>
      <w:widowControl w:val="0"/>
      <w:pBdr>
        <w:bottom w:val="single" w:color="auto" w:sz="4" w:space="1"/>
      </w:pBdr>
      <w:tabs>
        <w:tab w:val="center" w:pos="4153"/>
        <w:tab w:val="right" w:pos="8306"/>
      </w:tabs>
      <w:jc w:val="center"/>
    </w:pPr>
    <w:rPr>
      <w:rFonts w:hint="eastAsia" w:ascii="Times New Roman" w:hAnsi="Times New Roman" w:eastAsia="宋体" w:cs="Times New Roman"/>
      <w:kern w:val="2"/>
      <w:sz w:val="18"/>
      <w:szCs w:val="28"/>
      <w:lang w:val="en-US" w:eastAsia="zh-CN" w:bidi="ar-SA"/>
    </w:rPr>
  </w:style>
  <w:style w:type="paragraph" w:customStyle="1" w:styleId="104">
    <w:name w:val="图例新"/>
    <w:basedOn w:val="1"/>
    <w:next w:val="105"/>
    <w:qFormat/>
    <w:uiPriority w:val="0"/>
    <w:pPr>
      <w:adjustRightInd w:val="0"/>
      <w:snapToGrid w:val="0"/>
      <w:spacing w:line="360" w:lineRule="auto"/>
      <w:jc w:val="center"/>
    </w:pPr>
    <w:rPr>
      <w:rFonts w:ascii="Times New Roman" w:hAnsi="Times New Roman" w:eastAsia="宋体"/>
      <w:b/>
      <w:bCs/>
      <w:spacing w:val="2"/>
      <w:sz w:val="24"/>
      <w:szCs w:val="24"/>
    </w:rPr>
  </w:style>
  <w:style w:type="paragraph" w:customStyle="1" w:styleId="105">
    <w:name w:val="图、表名"/>
    <w:basedOn w:val="1"/>
    <w:qFormat/>
    <w:uiPriority w:val="0"/>
    <w:pPr>
      <w:widowControl/>
      <w:spacing w:after="200"/>
      <w:ind w:left="-50" w:leftChars="-50" w:right="-15" w:rightChars="-15"/>
      <w:jc w:val="center"/>
    </w:pPr>
    <w:rPr>
      <w:rFonts w:ascii="Arial" w:hAnsi="Arial" w:eastAsia="黑体"/>
      <w:kern w:val="0"/>
      <w:sz w:val="21"/>
      <w:szCs w:val="21"/>
    </w:rPr>
  </w:style>
  <w:style w:type="paragraph" w:customStyle="1" w:styleId="106">
    <w:name w:val="任表头"/>
    <w:basedOn w:val="1"/>
    <w:next w:val="1"/>
    <w:qFormat/>
    <w:uiPriority w:val="0"/>
    <w:pPr>
      <w:widowControl/>
      <w:adjustRightInd w:val="0"/>
      <w:ind w:firstLine="0" w:firstLineChars="0"/>
      <w:contextualSpacing/>
      <w:jc w:val="center"/>
    </w:pPr>
    <w:rPr>
      <w:b/>
      <w:lang w:eastAsia="en-US"/>
    </w:rPr>
  </w:style>
  <w:style w:type="table" w:customStyle="1" w:styleId="107">
    <w:name w:val="表格主题2"/>
    <w:qFormat/>
    <w:uiPriority w:val="0"/>
    <w:pPr>
      <w:widowControl w:val="0"/>
      <w:jc w:val="center"/>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2" w:space="0"/>
        <w:insideV w:val="single" w:color="000000" w:themeColor="text1" w:sz="2" w:space="0"/>
      </w:tblBorders>
      <w:tblCellMar>
        <w:top w:w="0" w:type="dxa"/>
        <w:left w:w="28" w:type="dxa"/>
        <w:bottom w:w="0" w:type="dxa"/>
        <w:right w:w="28" w:type="dxa"/>
      </w:tblCellMar>
    </w:tblPr>
    <w:tcPr>
      <w:vAlign w:val="center"/>
    </w:tcPr>
  </w:style>
  <w:style w:type="table" w:customStyle="1" w:styleId="108">
    <w:name w:val="典雅型11"/>
    <w:qFormat/>
    <w:uiPriority w:val="0"/>
    <w:pPr>
      <w:widowControl w:val="0"/>
      <w:spacing w:line="360" w:lineRule="exact"/>
      <w:jc w:val="center"/>
    </w:pPr>
    <w:rPr>
      <w:rFonts w:ascii="宋体" w:hAnsi="宋体" w:cs="宋体"/>
      <w:sz w:val="21"/>
    </w:rPr>
    <w:tblPr>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left w:w="0" w:type="dxa"/>
        <w:right w:w="0" w:type="dxa"/>
      </w:tblCellMar>
    </w:tblPr>
    <w:tcPr>
      <w:shd w:val="clear" w:color="auto" w:fill="auto"/>
      <w:vAlign w:val="center"/>
    </w:tcPr>
    <w:tblStylePr w:type="firstRow">
      <w:rPr>
        <w:caps/>
        <w:color w:val="auto"/>
      </w:rPr>
      <w:tcPr>
        <w:tcBorders>
          <w:tl2br w:val="nil"/>
          <w:tr2bl w:val="nil"/>
        </w:tcBorders>
      </w:tcPr>
    </w:tblStylePr>
  </w:style>
  <w:style w:type="table" w:customStyle="1" w:styleId="109">
    <w:name w:val="典雅型1"/>
    <w:basedOn w:val="24"/>
    <w:qFormat/>
    <w:uiPriority w:val="0"/>
    <w:pPr>
      <w:widowControl w:val="0"/>
      <w:spacing w:line="360" w:lineRule="exact"/>
      <w:jc w:val="center"/>
    </w:pPr>
    <w:rPr>
      <w:rFonts w:ascii="宋体" w:hAnsi="宋体" w:cs="宋体"/>
      <w:sz w:val="21"/>
    </w:rPr>
    <w:tblPr>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left w:w="0" w:type="dxa"/>
        <w:right w:w="0" w:type="dxa"/>
      </w:tblCellMar>
    </w:tblPr>
    <w:tcPr>
      <w:shd w:val="clear" w:color="auto" w:fill="auto"/>
      <w:vAlign w:val="center"/>
    </w:tcPr>
    <w:tblStylePr w:type="firstRow">
      <w:rPr>
        <w:caps/>
        <w:color w:val="auto"/>
      </w:rPr>
      <w:tcPr>
        <w:tcBorders>
          <w:tl2br w:val="nil"/>
          <w:tr2bl w:val="nil"/>
        </w:tcBorders>
      </w:tcPr>
    </w:tblStylePr>
  </w:style>
  <w:style w:type="paragraph" w:customStyle="1" w:styleId="110">
    <w:name w:val="表格文字"/>
    <w:basedOn w:val="10"/>
    <w:next w:val="1"/>
    <w:qFormat/>
    <w:uiPriority w:val="0"/>
    <w:pPr>
      <w:tabs>
        <w:tab w:val="left" w:pos="1119"/>
      </w:tabs>
      <w:ind w:left="-90" w:leftChars="-43"/>
    </w:pPr>
    <w:rPr>
      <w:snapToGrid w:val="0"/>
      <w:color w:val="000000"/>
      <w:sz w:val="18"/>
      <w:szCs w:val="18"/>
    </w:rPr>
  </w:style>
  <w:style w:type="table" w:customStyle="1" w:styleId="111">
    <w:name w:val="样式161"/>
    <w:qFormat/>
    <w:uiPriority w:val="0"/>
    <w:pPr>
      <w:adjustRightInd w:val="0"/>
      <w:snapToGrid w:val="0"/>
      <w:spacing w:line="360" w:lineRule="exact"/>
      <w:jc w:val="center"/>
    </w:pPr>
    <w:rPr>
      <w:rFonts w:ascii="宋体"/>
    </w:rPr>
    <w:tblPr>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left w:w="0" w:type="dxa"/>
        <w:right w:w="0" w:type="dxa"/>
      </w:tblCellMar>
    </w:tblPr>
    <w:tcPr>
      <w:vAlign w:val="center"/>
    </w:tcPr>
  </w:style>
  <w:style w:type="paragraph" w:customStyle="1" w:styleId="112">
    <w:name w:val="表中文字X"/>
    <w:next w:val="1"/>
    <w:qFormat/>
    <w:uiPriority w:val="0"/>
    <w:pPr>
      <w:spacing w:line="340" w:lineRule="exact"/>
      <w:jc w:val="center"/>
    </w:pPr>
    <w:rPr>
      <w:rFonts w:ascii="Times New Roman" w:hAnsi="Times New Roman" w:eastAsia="宋体" w:cs="Times New Roman"/>
      <w:color w:val="000000"/>
      <w:kern w:val="2"/>
      <w:sz w:val="21"/>
      <w:szCs w:val="24"/>
      <w:lang w:val="en-US" w:eastAsia="zh-CN" w:bidi="ar-SA"/>
    </w:rPr>
  </w:style>
  <w:style w:type="table" w:customStyle="1" w:styleId="113">
    <w:name w:val="标准表格"/>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rPr>
      <w:jc w:val="center"/>
    </w:trPr>
    <w:tcPr>
      <w:shd w:val="clear" w:color="auto" w:fill="FFFFFF"/>
      <w:vAlign w:val="center"/>
    </w:tcPr>
    <w:tblStylePr w:type="firstRow">
      <w:pPr>
        <w:wordWrap/>
        <w:spacing w:before="0" w:beforeLines="0" w:beforeAutospacing="0" w:after="0" w:afterLines="0" w:afterAutospacing="0" w:line="240" w:lineRule="auto"/>
        <w:ind w:left="0" w:leftChars="0" w:right="0" w:firstLine="0" w:firstLineChars="0"/>
        <w:jc w:val="center"/>
      </w:pPr>
      <w:rPr>
        <w:rFonts w:eastAsia="宋体"/>
        <w:sz w:val="18"/>
      </w:rPr>
      <w:tblPr/>
      <w:trPr>
        <w:tblHeader/>
      </w:trPr>
    </w:tblStylePr>
    <w:tblStylePr w:type="firstCol">
      <w:pPr>
        <w:jc w:val="center"/>
      </w:pPr>
    </w:tblStylePr>
  </w:style>
  <w:style w:type="paragraph" w:customStyle="1" w:styleId="114">
    <w:name w:val="报告正文"/>
    <w:basedOn w:val="1"/>
    <w:qFormat/>
    <w:uiPriority w:val="0"/>
    <w:pPr>
      <w:widowControl/>
      <w:suppressAutoHyphens/>
      <w:topLinePunct/>
      <w:adjustRightInd w:val="0"/>
      <w:snapToGrid w:val="0"/>
      <w:ind w:firstLine="200"/>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8.jpe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8395</Words>
  <Characters>9228</Characters>
  <Lines>0</Lines>
  <Paragraphs>0</Paragraphs>
  <TotalTime>61</TotalTime>
  <ScaleCrop>false</ScaleCrop>
  <LinksUpToDate>false</LinksUpToDate>
  <CharactersWithSpaces>9566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2024-10-18T04:34:00Z</dcterms:created>
  <dc:creator>Alessandra＊</dc:creator>
  <cp:lastModifiedBy>Administrator</cp:lastModifiedBy>
  <dcterms:modified xsi:type="dcterms:W3CDTF">2026-05-20T08:28:19Z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528279CEF19F42DA8AAF7E3FAAD5117E_13</vt:lpwstr>
  </property>
  <property fmtid="{D5CDD505-2E9C-101B-9397-08002B2CF9AE}" pid="4" name="KSOTemplateDocerSaveRecord">
    <vt:lpwstr>eyJoZGlkIjoiZmVkNDRjMDFiOTE1OThkYWViM2JiNjQzNDNmMjU2MGQiLCJ1c2VySWQiOiIxMzc2OTg3NDc0In0=</vt:lpwstr>
  </property>
</Properties>
</file>