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4"/>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Fonts w:cs="仿宋_GB2312"/>
          <w:bCs/>
          <w:kern w:val="16"/>
          <w:sz w:val="32"/>
          <w:szCs w:val="32"/>
        </w:rPr>
        <w:t>塔城行署驻乌鲁木齐办事处</w:t>
      </w:r>
      <w:r>
        <w:rPr>
          <w:rStyle w:val="4"/>
          <w:rFonts w:hint="eastAsia" w:ascii="楷体" w:hAnsi="楷体" w:eastAsia="楷体"/>
          <w:spacing w:val="-4"/>
          <w:sz w:val="32"/>
          <w:szCs w:val="32"/>
        </w:rPr>
        <w:t>专项业务费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Fonts w:cs="仿宋_GB2312"/>
          <w:bCs/>
          <w:kern w:val="16"/>
          <w:sz w:val="32"/>
          <w:szCs w:val="32"/>
        </w:rPr>
        <w:t>塔城行署驻乌鲁木齐办事处</w:t>
      </w:r>
    </w:p>
    <w:p>
      <w:pPr>
        <w:spacing w:line="540" w:lineRule="exact"/>
        <w:ind w:firstLine="900" w:firstLineChars="250"/>
        <w:rPr>
          <w:rFonts w:cs="仿宋_GB2312"/>
          <w:bCs/>
          <w:kern w:val="16"/>
          <w:sz w:val="32"/>
          <w:szCs w:val="32"/>
        </w:rPr>
      </w:pPr>
      <w:r>
        <w:rPr>
          <w:rFonts w:hint="eastAsia" w:hAnsi="宋体" w:eastAsia="仿宋_GB2312" w:cs="宋体"/>
          <w:kern w:val="0"/>
          <w:sz w:val="36"/>
          <w:szCs w:val="36"/>
        </w:rPr>
        <w:t>主管部门（公章）：</w:t>
      </w:r>
      <w:r>
        <w:rPr>
          <w:rFonts w:cs="仿宋_GB2312"/>
          <w:bCs/>
          <w:kern w:val="16"/>
          <w:sz w:val="32"/>
          <w:szCs w:val="32"/>
        </w:rPr>
        <w:t>塔城行署驻乌鲁木齐办事处</w:t>
      </w:r>
    </w:p>
    <w:p>
      <w:pPr>
        <w:spacing w:line="540" w:lineRule="exact"/>
        <w:ind w:firstLine="900" w:firstLineChars="250"/>
        <w:rPr>
          <w:rFonts w:hint="default" w:ascii="楷体" w:hAnsi="楷体" w:eastAsia="仿宋_GB2312"/>
          <w:b/>
          <w:bCs/>
          <w:spacing w:val="-4"/>
          <w:sz w:val="32"/>
          <w:szCs w:val="32"/>
          <w:lang w:val="en-US" w:eastAsia="zh-CN"/>
        </w:rPr>
      </w:pPr>
      <w:r>
        <w:rPr>
          <w:rFonts w:hint="eastAsia" w:hAnsi="宋体" w:eastAsia="仿宋_GB2312" w:cs="宋体"/>
          <w:kern w:val="0"/>
          <w:sz w:val="36"/>
          <w:szCs w:val="36"/>
        </w:rPr>
        <w:t>项目负责人（签章）：</w:t>
      </w:r>
      <w:r>
        <w:rPr>
          <w:rStyle w:val="4"/>
          <w:rFonts w:hint="eastAsia" w:ascii="楷体" w:hAnsi="楷体" w:eastAsia="楷体"/>
          <w:spacing w:val="-4"/>
          <w:sz w:val="32"/>
          <w:szCs w:val="32"/>
          <w:lang w:val="en-US" w:eastAsia="zh-CN"/>
        </w:rPr>
        <w:t>李文杰</w:t>
      </w:r>
    </w:p>
    <w:p>
      <w:pPr>
        <w:spacing w:line="540" w:lineRule="exact"/>
        <w:ind w:left="273" w:firstLine="567"/>
        <w:rPr>
          <w:rStyle w:val="4"/>
          <w:rFonts w:ascii="楷体" w:hAnsi="楷体" w:eastAsia="楷体"/>
          <w:spacing w:val="-4"/>
          <w:sz w:val="32"/>
          <w:szCs w:val="32"/>
        </w:rPr>
      </w:pPr>
      <w:r>
        <w:rPr>
          <w:rFonts w:hint="eastAsia" w:hAnsi="宋体" w:eastAsia="仿宋_GB2312" w:cs="宋体"/>
          <w:kern w:val="0"/>
          <w:sz w:val="36"/>
          <w:szCs w:val="36"/>
        </w:rPr>
        <w:t>填报时间：</w:t>
      </w:r>
      <w:r>
        <w:rPr>
          <w:rStyle w:val="4"/>
          <w:rFonts w:hint="eastAsia" w:ascii="楷体" w:hAnsi="楷体" w:eastAsia="楷体"/>
          <w:spacing w:val="-4"/>
          <w:sz w:val="32"/>
          <w:szCs w:val="32"/>
        </w:rPr>
        <w:t>2023年02月27日</w:t>
      </w:r>
    </w:p>
    <w:p>
      <w:pPr>
        <w:spacing w:line="700" w:lineRule="exact"/>
        <w:ind w:firstLine="708" w:firstLineChars="236"/>
        <w:jc w:val="left"/>
        <w:rPr>
          <w:rFonts w:hAnsi="宋体" w:eastAsia="仿宋_GB2312" w:cs="宋体"/>
          <w:kern w:val="0"/>
          <w:sz w:val="30"/>
          <w:szCs w:val="30"/>
        </w:rPr>
      </w:pPr>
    </w:p>
    <w:p>
      <w:pPr>
        <w:spacing w:line="540" w:lineRule="exact"/>
        <w:rPr>
          <w:rStyle w:val="4"/>
          <w:rFonts w:ascii="黑体" w:hAnsi="黑体" w:eastAsia="黑体"/>
          <w:b w:val="0"/>
          <w:spacing w:val="-4"/>
          <w:sz w:val="32"/>
          <w:szCs w:val="32"/>
        </w:rPr>
      </w:pP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一、基本情况</w:t>
      </w:r>
    </w:p>
    <w:p>
      <w:pPr>
        <w:spacing w:line="540" w:lineRule="exact"/>
        <w:ind w:firstLine="567"/>
        <w:rPr>
          <w:rStyle w:val="4"/>
          <w:rFonts w:ascii="楷体" w:hAnsi="楷体" w:eastAsia="楷体"/>
          <w:spacing w:val="-4"/>
          <w:sz w:val="32"/>
          <w:szCs w:val="32"/>
        </w:rPr>
      </w:pPr>
      <w:r>
        <w:rPr>
          <w:rStyle w:val="4"/>
          <w:rFonts w:hint="eastAsia" w:ascii="楷体" w:hAnsi="楷体" w:eastAsia="楷体"/>
          <w:spacing w:val="-4"/>
          <w:sz w:val="32"/>
          <w:szCs w:val="32"/>
        </w:rPr>
        <w:t>（一）项目概况</w:t>
      </w:r>
    </w:p>
    <w:p>
      <w:pPr>
        <w:spacing w:line="540" w:lineRule="exact"/>
        <w:ind w:firstLine="567"/>
        <w:rPr>
          <w:rStyle w:val="4"/>
          <w:rFonts w:ascii="楷体" w:hAnsi="楷体" w:eastAsia="楷体"/>
          <w:b w:val="0"/>
          <w:bCs w:val="0"/>
          <w:spacing w:val="-4"/>
          <w:sz w:val="32"/>
          <w:szCs w:val="32"/>
        </w:rPr>
      </w:pPr>
      <w:r>
        <w:rPr>
          <w:rStyle w:val="4"/>
          <w:rFonts w:hint="eastAsia" w:ascii="楷体" w:hAnsi="楷体" w:eastAsia="楷体"/>
          <w:b w:val="0"/>
          <w:bCs w:val="0"/>
          <w:spacing w:val="-4"/>
          <w:sz w:val="32"/>
          <w:szCs w:val="32"/>
        </w:rPr>
        <w:t>1、项目背景</w:t>
      </w:r>
      <w:r>
        <w:rPr>
          <w:rStyle w:val="4"/>
          <w:rFonts w:hint="eastAsia" w:ascii="楷体" w:hAnsi="楷体" w:eastAsia="楷体"/>
          <w:b w:val="0"/>
          <w:bCs w:val="0"/>
          <w:spacing w:val="-4"/>
          <w:sz w:val="32"/>
          <w:szCs w:val="32"/>
        </w:rPr>
        <w:br w:type="textWrapping"/>
      </w:r>
      <w:r>
        <w:rPr>
          <w:rStyle w:val="4"/>
          <w:rFonts w:hint="eastAsia" w:ascii="楷体" w:hAnsi="楷体" w:eastAsia="楷体"/>
          <w:b w:val="0"/>
          <w:bCs w:val="0"/>
          <w:spacing w:val="-4"/>
          <w:sz w:val="32"/>
          <w:szCs w:val="32"/>
        </w:rPr>
        <w:t>塔城行署驻乌鲁木齐办事处是地委领导下的参照公务员管理的事业单位，主要按照地委、行署的要求，做好与自治区党委、自治区人民政府、各厅局和外省区的政务事物和友好往来承上启下等服务工作；紧紧围绕地区经济建设做好服务，为地区招商引资和重大项目做好服务；做好地区四套班子领导在乌鲁木齐办理公务的接待服务工作、为地区各族群众在乌鲁木齐办理事务提供便利；为地区收集、整理和传递重要的政务、经济信息；做好办事处国有资产的经营管理工作；接受地区有关部门委托，做好有关联络、联系工作；承办地委、行署交办的其他工作。</w:t>
      </w:r>
      <w:r>
        <w:rPr>
          <w:rStyle w:val="4"/>
          <w:rFonts w:hint="eastAsia" w:ascii="楷体" w:hAnsi="楷体" w:eastAsia="楷体"/>
          <w:b w:val="0"/>
          <w:bCs w:val="0"/>
          <w:spacing w:val="-4"/>
          <w:sz w:val="32"/>
          <w:szCs w:val="32"/>
        </w:rPr>
        <w:br w:type="textWrapping"/>
      </w:r>
      <w:r>
        <w:rPr>
          <w:rStyle w:val="4"/>
          <w:rFonts w:hint="eastAsia" w:ascii="楷体" w:hAnsi="楷体" w:eastAsia="楷体"/>
          <w:b w:val="0"/>
          <w:bCs w:val="0"/>
          <w:spacing w:val="-4"/>
          <w:sz w:val="32"/>
          <w:szCs w:val="32"/>
        </w:rPr>
        <w:br w:type="textWrapping"/>
      </w:r>
      <w:r>
        <w:rPr>
          <w:rStyle w:val="4"/>
          <w:rFonts w:hint="eastAsia" w:ascii="楷体" w:hAnsi="楷体" w:eastAsia="楷体"/>
          <w:b w:val="0"/>
          <w:bCs w:val="0"/>
          <w:spacing w:val="-4"/>
          <w:sz w:val="32"/>
          <w:szCs w:val="32"/>
        </w:rPr>
        <w:t>2、主要内容及实施情况</w:t>
      </w:r>
      <w:r>
        <w:rPr>
          <w:rStyle w:val="4"/>
          <w:rFonts w:hint="eastAsia" w:ascii="楷体" w:hAnsi="楷体" w:eastAsia="楷体"/>
          <w:b w:val="0"/>
          <w:bCs w:val="0"/>
          <w:spacing w:val="-4"/>
          <w:sz w:val="32"/>
          <w:szCs w:val="32"/>
        </w:rPr>
        <w:br w:type="textWrapping"/>
      </w:r>
      <w:r>
        <w:rPr>
          <w:rStyle w:val="4"/>
          <w:rFonts w:hint="eastAsia" w:ascii="楷体" w:hAnsi="楷体" w:eastAsia="楷体"/>
          <w:b w:val="0"/>
          <w:bCs w:val="0"/>
          <w:spacing w:val="-4"/>
          <w:sz w:val="32"/>
          <w:szCs w:val="32"/>
        </w:rPr>
        <w:t>项目主要内容：2022年，塔城行署驻乌鲁木齐办事处党组在塔城地委、行署的正确领导下，以习近平新时代中国特色社会主义思想为指导，深入学习贯彻党的二十大精神、地委扩大会议精神，紧紧围绕总目标，各项工作实现“全方位优质服务，创建塔城经济宣传窗口”的目标定位，坚持以党建工作为统领，强化政务服务，不断提升政务水平</w:t>
      </w:r>
      <w:r>
        <w:rPr>
          <w:rStyle w:val="4"/>
          <w:rFonts w:hint="eastAsia" w:ascii="楷体" w:hAnsi="楷体" w:eastAsia="楷体"/>
          <w:b w:val="0"/>
          <w:bCs w:val="0"/>
          <w:spacing w:val="-4"/>
          <w:sz w:val="32"/>
          <w:szCs w:val="32"/>
        </w:rPr>
        <w:br w:type="textWrapping"/>
      </w:r>
      <w:r>
        <w:rPr>
          <w:rStyle w:val="4"/>
          <w:rFonts w:hint="eastAsia" w:ascii="楷体" w:hAnsi="楷体" w:eastAsia="楷体"/>
          <w:b w:val="0"/>
          <w:bCs w:val="0"/>
          <w:spacing w:val="-4"/>
          <w:sz w:val="32"/>
          <w:szCs w:val="32"/>
        </w:rPr>
        <w:br w:type="textWrapping"/>
      </w:r>
      <w:r>
        <w:rPr>
          <w:rStyle w:val="4"/>
          <w:rFonts w:hint="eastAsia" w:ascii="楷体" w:hAnsi="楷体" w:eastAsia="楷体"/>
          <w:b w:val="0"/>
          <w:bCs w:val="0"/>
          <w:spacing w:val="-4"/>
          <w:sz w:val="32"/>
          <w:szCs w:val="32"/>
        </w:rPr>
        <w:t>3、资金投入和使用情况</w:t>
      </w:r>
      <w:r>
        <w:rPr>
          <w:rStyle w:val="4"/>
          <w:rFonts w:hint="eastAsia" w:ascii="楷体" w:hAnsi="楷体" w:eastAsia="楷体"/>
          <w:b w:val="0"/>
          <w:bCs w:val="0"/>
          <w:spacing w:val="-4"/>
          <w:sz w:val="32"/>
          <w:szCs w:val="32"/>
        </w:rPr>
        <w:br w:type="textWrapping"/>
      </w:r>
      <w:r>
        <w:rPr>
          <w:rStyle w:val="4"/>
          <w:rFonts w:hint="eastAsia" w:ascii="楷体" w:hAnsi="楷体" w:eastAsia="楷体"/>
          <w:b w:val="0"/>
          <w:bCs w:val="0"/>
          <w:spacing w:val="-4"/>
          <w:sz w:val="32"/>
          <w:szCs w:val="32"/>
        </w:rPr>
        <w:t>资金投入情况：2022年收入预算202.52万元，与2022年决算数149.08万元，差异率-26.39%，主要原因为本年专项业务费受疫情影响为正常执行；2022年支出预算202.52万元，2022年决算数149.08万元，差异率为-26.39%，主要原因为本年专项业务费受疫情影响为正常执行。</w:t>
      </w:r>
      <w:r>
        <w:rPr>
          <w:rStyle w:val="4"/>
          <w:rFonts w:hint="eastAsia" w:ascii="楷体" w:hAnsi="楷体" w:eastAsia="楷体"/>
          <w:b w:val="0"/>
          <w:bCs w:val="0"/>
          <w:spacing w:val="-4"/>
          <w:sz w:val="32"/>
          <w:szCs w:val="32"/>
        </w:rPr>
        <w:br w:type="textWrapping"/>
      </w:r>
    </w:p>
    <w:p>
      <w:pPr>
        <w:spacing w:line="540" w:lineRule="exact"/>
        <w:ind w:firstLine="567"/>
        <w:rPr>
          <w:rStyle w:val="4"/>
          <w:rFonts w:ascii="楷体" w:hAnsi="楷体" w:eastAsia="楷体"/>
          <w:spacing w:val="-4"/>
          <w:sz w:val="32"/>
          <w:szCs w:val="32"/>
        </w:rPr>
      </w:pPr>
      <w:r>
        <w:rPr>
          <w:rStyle w:val="4"/>
          <w:rFonts w:hint="eastAsia" w:ascii="楷体" w:hAnsi="楷体" w:eastAsia="楷体"/>
          <w:spacing w:val="-4"/>
          <w:sz w:val="32"/>
          <w:szCs w:val="32"/>
        </w:rPr>
        <w:t>（二）项目绩效目标</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绩效目标完成情况。</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1. 2022年专项业务费66.43万元，主要用于保障自治区党委、自治区人民政府、各厅局上级有关部门政务事物联络、接洽服务，地区招商引资和重大项目的会务服务及地区四套班子领导在乌鲁木齐办理公务的接待服务等工作。</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塔办专项费主要支出内容是：劳务费38.54万元，公务接待费10.74万元、公务用车运行维护费6.82万元，、办公费5.33万元，其他方面支出5万元。</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2.概述本单位整体支出绩效目标实现情况。</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（1）组织情况</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按照项目工作内容、工作措施、工作时限和要达到的预期效果，进一步分解细化，将责任落实到岗位，形成完整的绩效管理工作方案和指标考核评价体系，使部门专项工作任务与绩效评价指标紧密结合起来，推动各项工作落实。</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（2）管理情况</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 xml:space="preserve">我单位严格遵守《会计法》、《预算法》、《行政单位财务规则》等法律和有关财政财务规章，规范财政资金管理，量入为出，统筹兼顾，突出重点，讲究实效，防范风险，合理使用各项资金，确保了我单位预算管理的成效，全年预算支出整体受控。 </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（3）监管情况</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w:t>
      </w:r>
    </w:p>
    <w:p>
      <w:pPr>
        <w:spacing w:line="540" w:lineRule="exact"/>
        <w:ind w:firstLine="567"/>
        <w:rPr>
          <w:rStyle w:val="4"/>
          <w:rFonts w:hint="eastAsia" w:ascii="黑体" w:hAnsi="黑体" w:eastAsia="黑体"/>
          <w:b w:val="0"/>
          <w:spacing w:val="-4"/>
          <w:sz w:val="32"/>
          <w:szCs w:val="32"/>
        </w:rPr>
      </w:pPr>
      <w:r>
        <w:rPr>
          <w:rStyle w:val="4"/>
          <w:rFonts w:hint="eastAsia" w:ascii="黑体" w:hAnsi="黑体" w:eastAsia="黑体"/>
          <w:b w:val="0"/>
          <w:spacing w:val="-4"/>
          <w:sz w:val="32"/>
          <w:szCs w:val="32"/>
        </w:rPr>
        <w:t>二、当年预算执行及绩效管理中存在问题、原因及改进措施。</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2022年塔办财政初步运行情况较好，我们也要清醒地看到，当前我单位财务仍然面临着不少困难和问题。预算新增单位，在预算执行过程中发现，预算编制不够细化，项目支出内容考虑不充分，对预算主要表现在：一是预算执行不够均衡。目前，预算支出执行进度前低后高，尤其是四季度支出比重较高的问题，部门间相互衔接和配合不够顺畅等主观原因，这就需要和上级各部门的密切配合，加强沟通，尽力采取措施加以解决。二是财政专项资金受疫情影响的使用效益不高，造成资金使用的效益较低，今后我们要提高监管，创新监管方式，提高财政资金的使用效率。</w:t>
      </w:r>
    </w:p>
    <w:p>
      <w:pPr>
        <w:spacing w:line="540" w:lineRule="exact"/>
        <w:ind w:firstLine="640"/>
        <w:rPr>
          <w:rStyle w:val="4"/>
          <w:rFonts w:hint="eastAsia" w:ascii="楷体" w:hAnsi="楷体" w:eastAsia="楷体"/>
          <w:b w:val="0"/>
          <w:bCs w:val="0"/>
          <w:spacing w:val="-4"/>
          <w:sz w:val="32"/>
          <w:szCs w:val="32"/>
        </w:rPr>
      </w:pPr>
      <w:r>
        <w:rPr>
          <w:rStyle w:val="4"/>
          <w:rFonts w:hint="eastAsia" w:ascii="黑体" w:hAnsi="黑体" w:eastAsia="黑体"/>
          <w:b w:val="0"/>
          <w:spacing w:val="-4"/>
          <w:sz w:val="32"/>
          <w:szCs w:val="32"/>
        </w:rPr>
        <w:t>三、本年度部门决算等财务工作开展情况</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（一）本单位财务管理、绩效管理、决算组织、编报、审核情况。</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本单位严格执行财务管理制度，坚持勤俭节约，加强和改善财政宏观调控的需要。严肃财经纪律，加大监管力度，节约，勤俭办一切事业，坚决反对铺张浪费和大手大脚，真正把钱用在刀刃上，切实提高财政资金的使用效益，促使塔办持续、稳定、健康发展。进一步贯彻财务制度。我单位遵循公开、规范、高效、负责的原则，以提高政务服务水平、效率和用户满意度为目标，积极贯彻落实四项制度，切实提高了机关行政效率，进一步完善作风建设。</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（二）本单位决算及绩效信息公开工作开展情况。</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本单位决算公开工作严格的按照要求，认真做好了决算公开工作。</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（三）对部门决算管理工作的意见和建议。</w:t>
      </w:r>
    </w:p>
    <w:p>
      <w:pPr>
        <w:spacing w:line="540" w:lineRule="exact"/>
        <w:ind w:firstLine="640"/>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无</w:t>
      </w:r>
    </w:p>
    <w:p>
      <w:pPr>
        <w:spacing w:line="540" w:lineRule="exact"/>
        <w:ind w:firstLine="640"/>
        <w:rPr>
          <w:rStyle w:val="4"/>
          <w:rFonts w:hint="eastAsia" w:ascii="楷体" w:hAnsi="楷体" w:eastAsia="楷体"/>
          <w:b w:val="0"/>
          <w:bCs w:val="0"/>
          <w:spacing w:val="-4"/>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5655D7"/>
    <w:rsid w:val="41704726"/>
    <w:rsid w:val="68565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styleId="4">
    <w:name w:val="Strong"/>
    <w:basedOn w:val="3"/>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2023-11-17T08:39:00Z</dcterms:created>
  <dc:creator>Administrator</dc:creator>
  <cp:lastModifiedBy>Administrator</cp:lastModifiedBy>
  <dcterms:modified xsi:type="dcterms:W3CDTF">2023-11-17T08:51:33Z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