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235118">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4B993259">
      <w:pPr>
        <w:spacing w:line="540" w:lineRule="exact"/>
        <w:jc w:val="center"/>
        <w:rPr>
          <w:rFonts w:ascii="华文中宋" w:hAnsi="华文中宋" w:eastAsia="华文中宋" w:cs="宋体"/>
          <w:b/>
          <w:kern w:val="0"/>
          <w:sz w:val="52"/>
          <w:szCs w:val="52"/>
        </w:rPr>
      </w:pPr>
    </w:p>
    <w:p w14:paraId="2B6DB7C8">
      <w:pPr>
        <w:spacing w:line="540" w:lineRule="exact"/>
        <w:jc w:val="center"/>
        <w:rPr>
          <w:rFonts w:ascii="华文中宋" w:hAnsi="华文中宋" w:eastAsia="华文中宋" w:cs="宋体"/>
          <w:b/>
          <w:kern w:val="0"/>
          <w:sz w:val="52"/>
          <w:szCs w:val="52"/>
        </w:rPr>
      </w:pPr>
    </w:p>
    <w:p w14:paraId="4E811716">
      <w:pPr>
        <w:spacing w:line="540" w:lineRule="exact"/>
        <w:jc w:val="center"/>
        <w:rPr>
          <w:rFonts w:ascii="华文中宋" w:hAnsi="华文中宋" w:eastAsia="华文中宋" w:cs="宋体"/>
          <w:b/>
          <w:kern w:val="0"/>
          <w:sz w:val="52"/>
          <w:szCs w:val="52"/>
        </w:rPr>
      </w:pPr>
    </w:p>
    <w:p w14:paraId="79ADCEBD">
      <w:pPr>
        <w:spacing w:line="540" w:lineRule="exact"/>
        <w:jc w:val="center"/>
        <w:rPr>
          <w:rFonts w:ascii="华文中宋" w:hAnsi="华文中宋" w:eastAsia="华文中宋" w:cs="宋体"/>
          <w:b/>
          <w:kern w:val="0"/>
          <w:sz w:val="52"/>
          <w:szCs w:val="52"/>
        </w:rPr>
      </w:pPr>
    </w:p>
    <w:p w14:paraId="2B2213A2">
      <w:pPr>
        <w:spacing w:line="540" w:lineRule="exact"/>
        <w:jc w:val="center"/>
        <w:rPr>
          <w:rFonts w:ascii="华文中宋" w:hAnsi="华文中宋" w:eastAsia="华文中宋" w:cs="宋体"/>
          <w:b/>
          <w:kern w:val="0"/>
          <w:sz w:val="52"/>
          <w:szCs w:val="52"/>
        </w:rPr>
      </w:pPr>
    </w:p>
    <w:p w14:paraId="2DC3A93A">
      <w:pPr>
        <w:spacing w:line="540" w:lineRule="exact"/>
        <w:jc w:val="center"/>
        <w:rPr>
          <w:rFonts w:ascii="华文中宋" w:hAnsi="华文中宋" w:eastAsia="华文中宋" w:cs="宋体"/>
          <w:b/>
          <w:kern w:val="0"/>
          <w:sz w:val="52"/>
          <w:szCs w:val="52"/>
        </w:rPr>
      </w:pPr>
    </w:p>
    <w:p w14:paraId="6C19343E">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395640B0">
      <w:pPr>
        <w:spacing w:line="540" w:lineRule="exact"/>
        <w:jc w:val="center"/>
        <w:rPr>
          <w:rFonts w:ascii="华文中宋" w:hAnsi="华文中宋" w:eastAsia="华文中宋" w:cs="宋体"/>
          <w:b/>
          <w:kern w:val="0"/>
          <w:sz w:val="52"/>
          <w:szCs w:val="52"/>
        </w:rPr>
      </w:pPr>
    </w:p>
    <w:p w14:paraId="4885C6DE">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14:paraId="39872B0F">
      <w:pPr>
        <w:spacing w:line="540" w:lineRule="exact"/>
        <w:jc w:val="center"/>
        <w:rPr>
          <w:rFonts w:hAnsi="宋体" w:eastAsia="仿宋_GB2312" w:cs="宋体"/>
          <w:kern w:val="0"/>
          <w:sz w:val="30"/>
          <w:szCs w:val="30"/>
        </w:rPr>
      </w:pPr>
    </w:p>
    <w:p w14:paraId="536EA135">
      <w:pPr>
        <w:spacing w:line="540" w:lineRule="exact"/>
        <w:jc w:val="center"/>
        <w:rPr>
          <w:rFonts w:hAnsi="宋体" w:eastAsia="仿宋_GB2312" w:cs="宋体"/>
          <w:kern w:val="0"/>
          <w:sz w:val="30"/>
          <w:szCs w:val="30"/>
        </w:rPr>
      </w:pPr>
    </w:p>
    <w:p w14:paraId="28C3E106">
      <w:pPr>
        <w:spacing w:line="540" w:lineRule="exact"/>
        <w:jc w:val="center"/>
        <w:rPr>
          <w:rFonts w:hAnsi="宋体" w:eastAsia="仿宋_GB2312" w:cs="宋体"/>
          <w:kern w:val="0"/>
          <w:sz w:val="30"/>
          <w:szCs w:val="30"/>
        </w:rPr>
      </w:pPr>
    </w:p>
    <w:p w14:paraId="6A1696FC">
      <w:pPr>
        <w:spacing w:line="540" w:lineRule="exact"/>
        <w:jc w:val="center"/>
        <w:rPr>
          <w:rFonts w:hAnsi="宋体" w:eastAsia="仿宋_GB2312" w:cs="宋体"/>
          <w:kern w:val="0"/>
          <w:sz w:val="30"/>
          <w:szCs w:val="30"/>
        </w:rPr>
      </w:pPr>
    </w:p>
    <w:p w14:paraId="0CF2CAA6">
      <w:pPr>
        <w:spacing w:line="540" w:lineRule="exact"/>
        <w:jc w:val="center"/>
        <w:rPr>
          <w:rFonts w:hAnsi="宋体" w:eastAsia="仿宋_GB2312" w:cs="宋体"/>
          <w:kern w:val="0"/>
          <w:sz w:val="30"/>
          <w:szCs w:val="30"/>
        </w:rPr>
      </w:pPr>
    </w:p>
    <w:p w14:paraId="21DDDB18">
      <w:pPr>
        <w:spacing w:line="540" w:lineRule="exact"/>
        <w:jc w:val="center"/>
        <w:rPr>
          <w:rFonts w:hAnsi="宋体" w:eastAsia="仿宋_GB2312" w:cs="宋体"/>
          <w:kern w:val="0"/>
          <w:sz w:val="30"/>
          <w:szCs w:val="30"/>
        </w:rPr>
      </w:pPr>
    </w:p>
    <w:p w14:paraId="0FA867E2">
      <w:pPr>
        <w:spacing w:line="540" w:lineRule="exact"/>
        <w:rPr>
          <w:rFonts w:hAnsi="宋体" w:eastAsia="仿宋_GB2312" w:cs="宋体"/>
          <w:kern w:val="0"/>
          <w:sz w:val="30"/>
          <w:szCs w:val="30"/>
        </w:rPr>
      </w:pPr>
    </w:p>
    <w:p w14:paraId="6E674DEB">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797C5EB9">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药品检验检测项目</w:t>
      </w:r>
    </w:p>
    <w:p w14:paraId="4C19F88C">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新疆塔城地区食品药品检验所</w:t>
      </w:r>
    </w:p>
    <w:p w14:paraId="33160349">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新疆塔城地区食品药品检验所</w:t>
      </w:r>
    </w:p>
    <w:p w14:paraId="1FA7BF9E">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肖志欣</w:t>
      </w:r>
    </w:p>
    <w:p w14:paraId="12A2B84B">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2023年02月22日</w:t>
      </w:r>
    </w:p>
    <w:p w14:paraId="006C3B14">
      <w:pPr>
        <w:spacing w:line="700" w:lineRule="exact"/>
        <w:ind w:firstLine="708" w:firstLineChars="236"/>
        <w:jc w:val="left"/>
        <w:rPr>
          <w:rFonts w:hAnsi="宋体" w:eastAsia="仿宋_GB2312" w:cs="宋体"/>
          <w:kern w:val="0"/>
          <w:sz w:val="30"/>
          <w:szCs w:val="30"/>
        </w:rPr>
      </w:pPr>
    </w:p>
    <w:p w14:paraId="3E6AACB5">
      <w:pPr>
        <w:spacing w:line="540" w:lineRule="exact"/>
        <w:rPr>
          <w:rStyle w:val="18"/>
          <w:rFonts w:ascii="黑体" w:hAnsi="黑体" w:eastAsia="黑体"/>
          <w:b w:val="0"/>
          <w:spacing w:val="-4"/>
          <w:sz w:val="32"/>
          <w:szCs w:val="32"/>
        </w:rPr>
      </w:pPr>
    </w:p>
    <w:p w14:paraId="3E3C6071">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285FADA7">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14:paraId="084495F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（1）《中华人民共和国药品管理法》；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（2）财政部、国家发展改革委关于清理规范一批行政事业性收费有关政策的通知》；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（3）国家药监局印发《关于印发药品检验检测机构能力建设指导原则的通知》及《能力建设原则》；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窗体底端</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2、主要内容及实施情况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国家《药品管理法》规定县级以上人民政府应当将药品安全工作纳入本级国民经济和社会发展规划，将药品安全工作经费列入本级政府预算，此项目经费保障我单位药品检验工作的正常开展，为药品监管提供有力技术支撑，切实提升政府加强药品监督管理能力建设。更好</w:t>
      </w:r>
      <w:r>
        <w:rPr>
          <w:rStyle w:val="18"/>
          <w:rFonts w:hint="eastAsia" w:ascii="楷体" w:hAnsi="楷体" w:eastAsia="楷体"/>
          <w:b w:val="0"/>
          <w:bCs w:val="0"/>
          <w:spacing w:val="-4"/>
          <w:sz w:val="32"/>
          <w:szCs w:val="32"/>
          <w:lang w:val="en-US" w:eastAsia="zh-CN"/>
        </w:rPr>
        <w:t>地</w:t>
      </w:r>
      <w:r>
        <w:rPr>
          <w:rStyle w:val="18"/>
          <w:rFonts w:hint="eastAsia" w:ascii="楷体" w:hAnsi="楷体" w:eastAsia="楷体"/>
          <w:b w:val="0"/>
          <w:bCs w:val="0"/>
          <w:spacing w:val="-4"/>
          <w:sz w:val="32"/>
          <w:szCs w:val="32"/>
        </w:rPr>
        <w:t>为服务地区社会稳定和长治久安总目标出实招、见实效。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3、资金投入和使用情况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资金投入情况：该项目年初预算数110万元，全年预算数110万元，实际总投入110万元，该项目资金已全部落实到位,资金来源为财政拨款资金。</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使用情况：该项目年初预算数110万元，全年预算数110万元，全年执行数110万元，预算执行率为100%，用于保质保量完成自治区下达的药品抽检任务，出具公正准确的检验报告书，为辖区行政监管提供有力技术支撑；及时选派工作人员参加相关业务培训，了解和掌握最新检验技术， 应用完善的管理体系，确保各项检验工作有效可控； 购置药品检验专用仪器设备，提高药品检验技术水平，保证药品检验数据准确，为药品监管提供有力的技术支撑，并协助药品监管部门提高监管力度，更好</w:t>
      </w:r>
      <w:r>
        <w:rPr>
          <w:rStyle w:val="18"/>
          <w:rFonts w:hint="eastAsia" w:ascii="楷体" w:hAnsi="楷体" w:eastAsia="楷体"/>
          <w:b w:val="0"/>
          <w:bCs w:val="0"/>
          <w:spacing w:val="-4"/>
          <w:sz w:val="32"/>
          <w:szCs w:val="32"/>
          <w:lang w:val="en-US" w:eastAsia="zh-CN"/>
        </w:rPr>
        <w:t>地</w:t>
      </w:r>
      <w:r>
        <w:rPr>
          <w:rStyle w:val="18"/>
          <w:rFonts w:hint="eastAsia" w:ascii="楷体" w:hAnsi="楷体" w:eastAsia="楷体"/>
          <w:b w:val="0"/>
          <w:bCs w:val="0"/>
          <w:spacing w:val="-4"/>
          <w:sz w:val="32"/>
          <w:szCs w:val="32"/>
        </w:rPr>
        <w:t>服务辖区内群众安全用药。</w:t>
      </w:r>
    </w:p>
    <w:p w14:paraId="17823669">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7D1F701E">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完成自治区下达药品、化妆品、医疗器械抽样工作。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（2）保质保量完成自治区下达的药品检验任务，为辖区行政监管提供有力技术支撑，并出具公正准确的检验报告书。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（3）及时选派工作人员参加相关业务培训，了解和掌握最新检验技术。</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购置检验用仪器设备，保证药品检验数据准确。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2、阶段性目标：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（1）前期准备：根据自治区下达药品抽检任务，通过制定项目实施方案，经项目负责人审核通过后，有序开展后续工程。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（2）组织实施：资金一到位，立即根据项目要求实施项目。项目责任人按照项目资金要求逐一进行项目部署安排，提高项目质量及效率性。</w:t>
      </w:r>
    </w:p>
    <w:p w14:paraId="799BEA30">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46E81A96">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6E7BE7DD">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1.评价目的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本项工作旨在落实《中共中央 国务院关于全面实施预算绩效管理的意见》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药品检验检测项目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从项目决策（包括绩效目标、决策过程）、项目管理（包括项目资金、项目实施）、项目产出（包括项目产出数量、产出质量、产出时效和产出成本）项目效益四个维度进行药品检验检测项目评价，评价核心为专项资金的支出完成情况和效果。</w:t>
      </w:r>
    </w:p>
    <w:p w14:paraId="02B22E2D">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3A2A28B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1.评价原则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（1）科学规范原则：绩效评价应当严格执行规定的程序，按照科学可行的要求，采用定量与定性分析相结合的方法。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（2）公正公开原则：绩效评价应当符合真实、客观、公正的要求，依法公开并接受监督。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（3）分级分类原则：根据评价对象特点分类组织实施。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（4）绩效相关原则：绩效评价应当针对具体支出及其产出绩效进行，评价结果应当清晰反映支出和产出绩效之间的紧密对应关系。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2.评价指标体系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指标体系是根据《项目支出绩效评价管理办法》对于指标体系的要求和规范，结合项目特有属性和实际情况，考虑实用性、可操作性和可实现性，从决策、过程、产出、效益四个维度进行指标细化和分值设定。药品检验检测项目支出绩效评价指标体系(详见附件3)：</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按照《项目支出绩效评价管理办法》规定的具体评价方法和流程，评价小组运用定量和定性分析相结合的方法，综合运用比较法、因素分析法、成本效益法、公众评判等方法进行项目实施的绩效评价。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绩效评价标准主要包括计划标准、行业标准、历史标准等，用于对绩效指标完成情况进行比较。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（1）计划标准。指以预先制定的目标、计划、预算、定额等作为评价标准。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（2）行业标准。指参照国家公布的行业指标数据制定的评价标准。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（3）历史标准。指参照历史数据制定的评价标准，为体现绩效改进的原则，在可实现的条件下应当确定相对较高的评价标准。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在上述评价标准的基础上，本次评价依据以下文件为重要指导和准绳：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·《中共中央国务院关于全面实施预算绩效管理的意见》；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·《项目支出绩效评价管理办法》；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·《自治区党委自治区人民政府关于全面实施预算绩效管理的实施意见》</w:t>
      </w:r>
      <w:bookmarkStart w:id="0" w:name="_GoBack"/>
      <w:bookmarkEnd w:id="0"/>
      <w:r>
        <w:rPr>
          <w:rStyle w:val="18"/>
          <w:rFonts w:hint="eastAsia" w:ascii="楷体" w:hAnsi="楷体" w:eastAsia="楷体"/>
          <w:b w:val="0"/>
          <w:bCs w:val="0"/>
          <w:spacing w:val="-4"/>
          <w:sz w:val="32"/>
          <w:szCs w:val="32"/>
        </w:rPr>
        <w:t>；</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·《2023年度推进塔城地区全面实施预算绩效管理工作规划》。</w:t>
      </w:r>
    </w:p>
    <w:p w14:paraId="21F749AA">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（三）绩效评价工作过程</w:t>
      </w:r>
    </w:p>
    <w:p w14:paraId="7E96C84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评级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p>
    <w:p w14:paraId="7B50D1E4">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2BC5FDD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（一）评价结论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结合项目特点，制定符合项目实际的绩效评价指标体系及评分标准，通过数据采集、问卷调查及访谈等形式，对2022年药品检验检测项目进行客观评价。</w:t>
      </w:r>
    </w:p>
    <w:p w14:paraId="6862F5A2">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5A1FD523">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0158B6FC">
      <w:pPr>
        <w:tabs>
          <w:tab w:val="center" w:pos="4295"/>
        </w:tabs>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1.立项依据充分性：项目立项符合国家法律法规、国民经济发展规划和相关政策,项目立项符合行业发展规划和政策要求,项目立项与部门职责范围相符，属于部门履职所需,项目属于公共财政支持范围，符合中央、地方事权支出责任划分原则,项目与相关部门同类项目或部门内部相关项目重复，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2.立项程序规范性:项目按照规定的程序申请设立,审批文件、材料符合相关要求,事前已经过必要的可行性研究、专家论证、风险评估、绩效评估、集体决策，得4分。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3.绩效目标合理性:项目有绩效目标,项目绩效目标与实际工作内容具有相关性,项目预期产出效益和效果符合正常的业绩水平,与预算确定的项目投资额或资金量相匹配，得2分。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4.绩效指标明确性:将项目绩效目标细化分解为具体的绩效指标,通过清晰、可衡量的指标值予以体现,与项目目标任务数或计划数相对应，得3分。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5.预算编制科学性:预算编制经过科学论证,预算内容与项目内容匹配,预算额度测算依据充分，按照标准编制,预算确定的项目投资额或资金量与工作任务相匹配，得3分。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6.资金分配合理性:预算资金分配依据充分,资金分配额度合理，与项目单位或地方实际相适应，得4分。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该指标分值20分，依据评分标准，此项指标不扣分，得20分。</w:t>
      </w:r>
      <w:r>
        <w:rPr>
          <w:rStyle w:val="18"/>
          <w:rFonts w:hint="eastAsia" w:ascii="楷体" w:hAnsi="楷体" w:eastAsia="楷体"/>
          <w:b w:val="0"/>
          <w:bCs w:val="0"/>
          <w:spacing w:val="-4"/>
          <w:sz w:val="32"/>
          <w:szCs w:val="32"/>
          <w:lang w:eastAsia="zh-CN"/>
        </w:rPr>
        <w:tab/>
      </w:r>
    </w:p>
    <w:p w14:paraId="17EA6DAC">
      <w:pPr>
        <w:spacing w:line="540" w:lineRule="exact"/>
        <w:ind w:firstLine="567" w:firstLineChars="181"/>
        <w:rPr>
          <w:rStyle w:val="18"/>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8"/>
          <w:rFonts w:hint="eastAsia" w:ascii="楷体" w:hAnsi="楷体" w:eastAsia="楷体"/>
          <w:spacing w:val="-4"/>
          <w:sz w:val="32"/>
          <w:szCs w:val="32"/>
        </w:rPr>
        <w:t>项目过程情况</w:t>
      </w:r>
    </w:p>
    <w:p w14:paraId="50F90733">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1.资金到位率：实际到位资金110万元，预算资金110万元，资金到位率100%，得3分。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2.预算执行率：年初预算数110万元，全年预算数110万元，全年执行数110万元，预算执行率为100%，得10分。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4.管理制度健全性：项目支出手续完备，财会核算准确规范，项目调整手续完备，项目实施的人员条件、场地设备、信息支撑等落实到位，合同书、验收报告等资料齐全，得2分。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根据现场调研和资料抽查情况，已制严格遵守相关法律法规和相关管理规定，项目调整及支出调整手续完备，整体管理合理有序，项目完成后，及时将会计凭证、固定资产入库单等相关资料分类归档，制度执行有效，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该指标分值20分，依据评分标准，此项指标不扣分，得20分。</w:t>
      </w:r>
    </w:p>
    <w:p w14:paraId="7D3D6965">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8"/>
          <w:rFonts w:hint="eastAsia" w:ascii="楷体" w:hAnsi="楷体" w:eastAsia="楷体"/>
          <w:spacing w:val="-4"/>
          <w:sz w:val="32"/>
          <w:szCs w:val="32"/>
        </w:rPr>
        <w:t>项目产出情况</w:t>
      </w:r>
    </w:p>
    <w:p w14:paraId="183B975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1.产出数量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数量指标：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指标1：药品质量监督抽检批次，指标值：≥65批次，实际完成值65批次，指标完成率100 %；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指标2：设备购置数量，指标值：≥4套，实际完成值4 批次，指标完成率100 %；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指标3：培训人次，指标值：≥10次，实际完成值 11次，指标完成率100 %，综上，得10分。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指标1：抽检不合格药品处理率，指标值：=100%，实际完成值100%，指标完成率100%；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指标2：设备验收合格率，指标值：=100%，实际完成值100%，指标完成率100%；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指标3:培训合格率，指标值：≥95%，实际完成值100%，指标完成率100%，综上，得10分。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时效指标：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指标1：药品抽检完成时间，指标值：2022年12月20日前，实际完成值2022年10月14日，指标完成率100%，得10分。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指标1：单位购置专用设备成本，指标值：≤ 78万元，实际完成值78万元，指标完成率100%；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指标2：药品检验专用材料购置成本，指标值：≤16.8万元，实际完成值22.04万元，指标完成率99.69%，综上，得10分。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该指标分值40分，依据评分标准，此项指标不扣分，得40分。</w:t>
      </w:r>
    </w:p>
    <w:p w14:paraId="710922C3">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8"/>
          <w:rFonts w:hint="eastAsia" w:ascii="楷体" w:hAnsi="楷体" w:eastAsia="楷体"/>
          <w:spacing w:val="-4"/>
          <w:sz w:val="32"/>
          <w:szCs w:val="32"/>
        </w:rPr>
        <w:t>项目效益情况</w:t>
      </w:r>
    </w:p>
    <w:p w14:paraId="0CD6F73C">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社会效益指标：评价指标“提升药品总体安全水平”，指标值：显著提升，实际完成值：达成年度指标。我所应用完善的管理体系，确保各项检验工作有效可控。购置药品检验专用仪器设备，保证药品检验数据准确，为药品监管提供有力的技术支撑，并协助药品监管部门提高监管力度，更好</w:t>
      </w:r>
      <w:r>
        <w:rPr>
          <w:rStyle w:val="18"/>
          <w:rFonts w:hint="eastAsia" w:ascii="楷体" w:hAnsi="楷体" w:eastAsia="楷体"/>
          <w:b w:val="0"/>
          <w:bCs w:val="0"/>
          <w:spacing w:val="-4"/>
          <w:sz w:val="32"/>
          <w:szCs w:val="32"/>
          <w:lang w:val="en-US" w:eastAsia="zh-CN"/>
        </w:rPr>
        <w:t>地</w:t>
      </w:r>
      <w:r>
        <w:rPr>
          <w:rStyle w:val="18"/>
          <w:rFonts w:hint="eastAsia" w:ascii="楷体" w:hAnsi="楷体" w:eastAsia="楷体"/>
          <w:b w:val="0"/>
          <w:bCs w:val="0"/>
          <w:spacing w:val="-4"/>
          <w:sz w:val="32"/>
          <w:szCs w:val="32"/>
        </w:rPr>
        <w:t>服务辖区内群众安全用药。</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可持续影响指标：评价指标“提高药品检验技术水平”，指标值：不断提高，实际完成值：达成年度指标。我所严格按照《中国药典》、《药品管理法》及其制定的各项业务管理制度和办法开展药品检验业务，保障了业务的规范和质量。并且及时选派工作人员参加相关业务培训，了解和掌握最新检验技术。不断提高检验检测水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该指标分值10分，依据评分标准，此项指标不扣分，得10分。</w:t>
      </w:r>
    </w:p>
    <w:p w14:paraId="35A36529">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服务对象满意度指标：评价指标“客户满意度”，指标值：≥95%，实际完成值：100%。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该指标分值10分，依据评分标准，此项指标不扣分，得10分。</w:t>
      </w:r>
    </w:p>
    <w:p w14:paraId="3E8103D7">
      <w:pPr>
        <w:spacing w:line="540" w:lineRule="exact"/>
        <w:ind w:firstLine="567"/>
        <w:rPr>
          <w:rStyle w:val="18"/>
          <w:rFonts w:hint="eastAsia" w:ascii="楷体" w:hAnsi="楷体" w:eastAsia="楷体"/>
          <w:spacing w:val="-4"/>
          <w:sz w:val="32"/>
          <w:szCs w:val="32"/>
        </w:rPr>
      </w:pPr>
    </w:p>
    <w:p w14:paraId="4A2DE1DC">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五、预算执行进度与绩效指标偏差</w:t>
      </w:r>
    </w:p>
    <w:p w14:paraId="21098BAE">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本项目预算执行率为100%，指标总体完成率为100%，二者之间的偏差值为0%。因此，本项目较好地完成了年度总体目标，财政资金使用效益和效率较高。</w:t>
      </w:r>
    </w:p>
    <w:p w14:paraId="7173E3BF">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六、主要经验及做法、存在的问题及原因分析</w:t>
      </w:r>
    </w:p>
    <w:p w14:paraId="107D0511">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执行相关业务制度。我所严格按照《中国药典》、《药品管理法》及其制定的各项业务管理制度和办法开展药品检验业务，保障了业务的规范和质量。严格执行财政资金管理制度，不挤占、不挪用。加强业务档案和财务档案的管理，建立健全档案管理制度，完善档案资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为确保项目顺利进行，提前做好项目规划，将所列计划再三审核。一是建立完善各项制度，做到廉洁高效、规范运转。二是指定专人负责，加强监督和跟踪督促，落实好运行维护资金项目推进，确保项目资金科学合理使用。三是分管领导和总务科负责人进行全程监督，确保严格按照要求实施，保证质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存在问题：根据2020版《中国药典》要求及满足C类实验室的检验检测设备需求，设备采购实际价格略高于采购预算，本级专项业务费中购置设备费用不足，需由自治区下达药品补助监管经费弥补。</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主要原因是：我单位药品检验项目扩项，现有设备不足以完成部分检验参数及能力验证需求。年初预算购置检验检测设备并进行询价，但购置过程中对仪器设备参数有所提高，以及检验过程中发现现有设备不足以保障工作开展需要。</w:t>
      </w:r>
    </w:p>
    <w:p w14:paraId="4280B7CC">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14:paraId="3FEA9D71">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1.项目支出政策和路径设计科学，符合实际需要；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2.项目安排准确，未发现背离项目立项初衷的情况；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3.项目的申报、审核机制完善；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4.未发现虚假行为和骗取财政资金的问题。</w:t>
      </w:r>
    </w:p>
    <w:p w14:paraId="4BEA4969">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14:paraId="38EB0F52">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无</w:t>
      </w:r>
    </w:p>
    <w:p w14:paraId="3C0C515F">
      <w:pPr>
        <w:spacing w:line="540" w:lineRule="exact"/>
        <w:ind w:firstLine="567"/>
        <w:rPr>
          <w:rStyle w:val="18"/>
          <w:rFonts w:ascii="仿宋" w:hAnsi="仿宋" w:eastAsia="仿宋"/>
          <w:b w:val="0"/>
          <w:spacing w:val="-4"/>
          <w:sz w:val="32"/>
          <w:szCs w:val="32"/>
        </w:rPr>
      </w:pPr>
    </w:p>
    <w:p w14:paraId="11C7244F">
      <w:pPr>
        <w:spacing w:line="540" w:lineRule="exact"/>
        <w:ind w:firstLine="567"/>
        <w:rPr>
          <w:rStyle w:val="18"/>
          <w:rFonts w:ascii="仿宋" w:hAnsi="仿宋" w:eastAsia="仿宋"/>
          <w:b w:val="0"/>
          <w:spacing w:val="-4"/>
          <w:sz w:val="32"/>
          <w:szCs w:val="32"/>
        </w:rPr>
      </w:pPr>
    </w:p>
    <w:p w14:paraId="20D7DD5E">
      <w:pPr>
        <w:spacing w:line="540" w:lineRule="exact"/>
        <w:ind w:firstLine="567"/>
        <w:rPr>
          <w:rStyle w:val="18"/>
          <w:rFonts w:ascii="仿宋" w:hAnsi="仿宋" w:eastAsia="仿宋"/>
          <w:b w:val="0"/>
          <w:spacing w:val="-4"/>
          <w:sz w:val="32"/>
          <w:szCs w:val="32"/>
        </w:rPr>
      </w:pPr>
    </w:p>
    <w:p w14:paraId="1AF13918">
      <w:pPr>
        <w:spacing w:line="540" w:lineRule="exact"/>
        <w:ind w:firstLine="567"/>
        <w:rPr>
          <w:rStyle w:val="18"/>
          <w:rFonts w:ascii="仿宋" w:hAnsi="仿宋" w:eastAsia="仿宋"/>
          <w:b w:val="0"/>
          <w:spacing w:val="-4"/>
          <w:sz w:val="32"/>
          <w:szCs w:val="32"/>
        </w:rPr>
      </w:pPr>
    </w:p>
    <w:p w14:paraId="1F9E67CA">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14:paraId="0304308F">
        <w:pPr>
          <w:pStyle w:val="12"/>
          <w:jc w:val="center"/>
        </w:pPr>
        <w:r>
          <w:fldChar w:fldCharType="begin"/>
        </w:r>
        <w:r>
          <w:instrText xml:space="preserve">PAGE   \* MERGEFORMAT</w:instrText>
        </w:r>
        <w:r>
          <w:fldChar w:fldCharType="separate"/>
        </w:r>
        <w:r>
          <w:rPr>
            <w:lang w:val="zh-CN"/>
          </w:rPr>
          <w:t>1</w:t>
        </w:r>
        <w:r>
          <w:fldChar w:fldCharType="end"/>
        </w:r>
      </w:p>
    </w:sdtContent>
  </w:sdt>
  <w:p w14:paraId="17470467">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VjMGM4YTNmZTY1NDFjMWFjNmVmZmU0NDA2ZTk0ZmMifQ=="/>
  </w:docVars>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5A42117"/>
    <w:rsid w:val="18FE139B"/>
    <w:rsid w:val="191265C6"/>
    <w:rsid w:val="2A891760"/>
    <w:rsid w:val="3029612C"/>
    <w:rsid w:val="32A221C5"/>
    <w:rsid w:val="33F20F2A"/>
    <w:rsid w:val="34C44675"/>
    <w:rsid w:val="3B5B5607"/>
    <w:rsid w:val="3CE21B3C"/>
    <w:rsid w:val="4D2606A1"/>
    <w:rsid w:val="4F52086E"/>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autoRedefine/>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autoRedefine/>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autoRedefine/>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4933</Words>
  <Characters>5137</Characters>
  <Lines>5</Lines>
  <Paragraphs>1</Paragraphs>
  <TotalTime>2</TotalTime>
  <ScaleCrop>false</ScaleCrop>
  <LinksUpToDate>false</LinksUpToDate>
  <CharactersWithSpaces>5168</CharactersWithSpaces>
  <Application>WPS Office_12.1.0.22089_F1E327BC-269C-435d-A152-05C5408002CA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周而</cp:lastModifiedBy>
  <cp:lastPrinted>2018-12-31T10:56:00Z</cp:lastPrinted>
  <dcterms:modified xsi:type="dcterms:W3CDTF">2025-09-03T02:52:08Z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2052-12.1.0.22089</vt:lpwstr>
  </property>
  <property fmtid="{D5CDD505-2E9C-101B-9397-08002B2CF9AE}" pid="3" name="ICV">
    <vt:lpwstr>C734C92AAAF24344A0E4232D8EB3359B</vt:lpwstr>
  </property>
  <property fmtid="{D5CDD505-2E9C-101B-9397-08002B2CF9AE}" pid="4" name="KSOTemplateDocerSaveRecord">
    <vt:lpwstr>eyJoZGlkIjoiN2VjMGM4YTNmZTY1NDFjMWFjNmVmZmU0NDA2ZTk0ZmMiLCJ1c2VySWQiOiI4NjI1NDMxNDkifQ==</vt:lpwstr>
  </property>
</Properties>
</file>