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0145B">
      <w:pPr>
        <w:spacing w:line="600" w:lineRule="exact"/>
        <w:jc w:val="center"/>
        <w:rPr>
          <w:rFonts w:ascii="方正小标宋简体" w:eastAsia="方正小标宋简体"/>
          <w:sz w:val="44"/>
          <w:szCs w:val="44"/>
        </w:rPr>
      </w:pPr>
    </w:p>
    <w:p w14:paraId="584DFF23">
      <w:pPr>
        <w:spacing w:line="600" w:lineRule="exact"/>
        <w:jc w:val="center"/>
        <w:rPr>
          <w:rFonts w:ascii="方正小标宋简体" w:eastAsia="方正小标宋简体"/>
          <w:sz w:val="44"/>
          <w:szCs w:val="44"/>
        </w:rPr>
      </w:pPr>
    </w:p>
    <w:p w14:paraId="136CB5EF">
      <w:pPr>
        <w:spacing w:line="600" w:lineRule="exact"/>
        <w:jc w:val="center"/>
        <w:rPr>
          <w:rFonts w:ascii="方正小标宋简体" w:eastAsia="方正小标宋简体"/>
          <w:sz w:val="44"/>
          <w:szCs w:val="44"/>
        </w:rPr>
      </w:pPr>
    </w:p>
    <w:p w14:paraId="6CB6DCC9">
      <w:pPr>
        <w:spacing w:line="600" w:lineRule="exact"/>
        <w:jc w:val="center"/>
        <w:rPr>
          <w:rFonts w:ascii="方正小标宋简体" w:eastAsia="方正小标宋简体"/>
          <w:sz w:val="44"/>
          <w:szCs w:val="44"/>
        </w:rPr>
      </w:pPr>
    </w:p>
    <w:p w14:paraId="490FAEFA">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塔城地区本级2022年重点项目</w:t>
      </w:r>
    </w:p>
    <w:p w14:paraId="091D6B5C">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绩效评价报告</w:t>
      </w:r>
    </w:p>
    <w:p w14:paraId="49894D6C"/>
    <w:p w14:paraId="7A68730F"/>
    <w:p w14:paraId="5E436AFF"/>
    <w:p w14:paraId="11587AFC"/>
    <w:p w14:paraId="75A0BF30"/>
    <w:p w14:paraId="1599877F"/>
    <w:p w14:paraId="639D075B"/>
    <w:p w14:paraId="55D3F5EF"/>
    <w:p w14:paraId="5DE91B37">
      <w:pPr>
        <w:rPr>
          <w:rFonts w:ascii="仿宋_GB2312" w:eastAsia="仿宋_GB2312"/>
          <w:sz w:val="32"/>
          <w:szCs w:val="32"/>
        </w:rPr>
      </w:pPr>
    </w:p>
    <w:p w14:paraId="3E84DF93">
      <w:pPr>
        <w:rPr>
          <w:rFonts w:ascii="仿宋_GB2312" w:eastAsia="仿宋_GB2312"/>
          <w:sz w:val="32"/>
          <w:szCs w:val="32"/>
        </w:rPr>
      </w:pPr>
    </w:p>
    <w:p w14:paraId="115CD9B9">
      <w:pPr>
        <w:rPr>
          <w:rFonts w:ascii="仿宋_GB2312" w:eastAsia="仿宋_GB2312"/>
          <w:sz w:val="32"/>
          <w:szCs w:val="32"/>
        </w:rPr>
      </w:pPr>
    </w:p>
    <w:p w14:paraId="1D7061D2">
      <w:pPr>
        <w:rPr>
          <w:rFonts w:ascii="仿宋_GB2312" w:eastAsia="仿宋_GB2312"/>
          <w:sz w:val="32"/>
          <w:szCs w:val="32"/>
        </w:rPr>
      </w:pPr>
    </w:p>
    <w:p w14:paraId="4B3E7CBE">
      <w:pPr>
        <w:rPr>
          <w:rFonts w:ascii="仿宋_GB2312" w:eastAsia="仿宋_GB2312"/>
          <w:sz w:val="32"/>
          <w:szCs w:val="32"/>
        </w:rPr>
      </w:pPr>
      <w:r>
        <w:rPr>
          <w:rFonts w:hint="eastAsia" w:ascii="仿宋_GB2312" w:eastAsia="仿宋_GB2312"/>
          <w:sz w:val="32"/>
          <w:szCs w:val="32"/>
        </w:rPr>
        <w:t>项目名称：塔城人才公寓楼建设及配套设施</w:t>
      </w:r>
    </w:p>
    <w:p w14:paraId="0983BE67">
      <w:pPr>
        <w:rPr>
          <w:rFonts w:ascii="仿宋_GB2312" w:eastAsia="仿宋_GB2312"/>
          <w:sz w:val="32"/>
          <w:szCs w:val="32"/>
        </w:rPr>
      </w:pPr>
      <w:r>
        <w:rPr>
          <w:rFonts w:hint="eastAsia" w:ascii="仿宋_GB2312" w:eastAsia="仿宋_GB2312"/>
          <w:sz w:val="32"/>
          <w:szCs w:val="32"/>
        </w:rPr>
        <w:t>项目单位：塔城地区机关事务管理局</w:t>
      </w:r>
    </w:p>
    <w:p w14:paraId="55CDFA60">
      <w:pPr>
        <w:rPr>
          <w:rFonts w:ascii="仿宋_GB2312" w:eastAsia="仿宋_GB2312"/>
          <w:sz w:val="32"/>
          <w:szCs w:val="32"/>
        </w:rPr>
      </w:pPr>
      <w:r>
        <w:rPr>
          <w:rFonts w:hint="eastAsia" w:ascii="仿宋_GB2312" w:eastAsia="仿宋_GB2312"/>
          <w:sz w:val="32"/>
          <w:szCs w:val="32"/>
        </w:rPr>
        <w:t>评价机构：北京用友政务软件股份有限公司</w:t>
      </w:r>
    </w:p>
    <w:p w14:paraId="5E31BBC1">
      <w:pPr>
        <w:ind w:firstLine="3520" w:firstLineChars="1100"/>
        <w:rPr>
          <w:rFonts w:ascii="仿宋_GB2312" w:eastAsia="仿宋_GB2312"/>
          <w:sz w:val="32"/>
          <w:szCs w:val="32"/>
        </w:rPr>
      </w:pPr>
      <w:r>
        <w:rPr>
          <w:rFonts w:hint="eastAsia" w:ascii="仿宋_GB2312" w:eastAsia="仿宋_GB2312"/>
          <w:sz w:val="32"/>
          <w:szCs w:val="32"/>
        </w:rPr>
        <w:t>2023年7月</w:t>
      </w:r>
    </w:p>
    <w:p w14:paraId="6BB364E2">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塔城人才公寓楼建设及配套设施项目</w:t>
      </w:r>
    </w:p>
    <w:p w14:paraId="1839A1FC">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绩效评价报告</w:t>
      </w:r>
    </w:p>
    <w:p w14:paraId="22BF099D"/>
    <w:p w14:paraId="25ED491A">
      <w:pPr>
        <w:ind w:firstLine="640" w:firstLineChars="200"/>
        <w:rPr>
          <w:rFonts w:ascii="仿宋_GB2312" w:eastAsia="仿宋_GB2312"/>
          <w:sz w:val="32"/>
          <w:szCs w:val="32"/>
        </w:rPr>
      </w:pPr>
      <w:r>
        <w:rPr>
          <w:rFonts w:hint="eastAsia" w:ascii="仿宋_GB2312" w:eastAsia="仿宋_GB2312"/>
          <w:sz w:val="32"/>
          <w:szCs w:val="32"/>
        </w:rPr>
        <w:t>为贯彻落实全面推进预算绩效管理工作的要求，完善部门预算管理，强化预算支出责任，提高财政资金的使用效益，根据《中华人民共和国预算法》、《中共中央国务院关于全面实施预算绩效管理的意见》、《项目支出绩效评价管理办法》、《自治区党委自治区人民政府关于全面实施预算绩效管理的实施意见》、《自治区全面实施预算绩效管理的工作方案》、《自治区财政支出绩效评价管理暂行办法》、</w:t>
      </w:r>
      <w:r>
        <w:rPr>
          <w:rFonts w:ascii="仿宋_GB2312" w:eastAsia="仿宋_GB2312"/>
          <w:sz w:val="32"/>
          <w:szCs w:val="32"/>
        </w:rPr>
        <w:t>《</w:t>
      </w:r>
      <w:r>
        <w:rPr>
          <w:rFonts w:hint="eastAsia" w:ascii="仿宋_GB2312" w:eastAsia="仿宋_GB2312"/>
          <w:sz w:val="32"/>
          <w:szCs w:val="32"/>
        </w:rPr>
        <w:t>关于</w:t>
      </w:r>
      <w:r>
        <w:rPr>
          <w:rFonts w:ascii="仿宋_GB2312" w:eastAsia="仿宋_GB2312"/>
          <w:sz w:val="32"/>
          <w:szCs w:val="32"/>
        </w:rPr>
        <w:t>印发〈</w:t>
      </w:r>
      <w:r>
        <w:rPr>
          <w:rFonts w:hint="eastAsia" w:ascii="仿宋_GB2312" w:eastAsia="仿宋_GB2312"/>
          <w:sz w:val="32"/>
          <w:szCs w:val="32"/>
        </w:rPr>
        <w:t>塔</w:t>
      </w:r>
      <w:r>
        <w:rPr>
          <w:rFonts w:ascii="仿宋_GB2312" w:eastAsia="仿宋_GB2312"/>
          <w:sz w:val="32"/>
          <w:szCs w:val="32"/>
        </w:rPr>
        <w:t>城地区</w:t>
      </w:r>
      <w:r>
        <w:rPr>
          <w:rFonts w:hint="eastAsia" w:ascii="仿宋_GB2312" w:eastAsia="仿宋_GB2312"/>
          <w:sz w:val="32"/>
          <w:szCs w:val="32"/>
        </w:rPr>
        <w:t>财政</w:t>
      </w:r>
      <w:r>
        <w:rPr>
          <w:rFonts w:ascii="仿宋_GB2312" w:eastAsia="仿宋_GB2312"/>
          <w:sz w:val="32"/>
          <w:szCs w:val="32"/>
        </w:rPr>
        <w:t>支出绩效评价管理暂行办法〉</w:t>
      </w:r>
      <w:r>
        <w:rPr>
          <w:rFonts w:hint="eastAsia" w:ascii="仿宋_GB2312" w:eastAsia="仿宋_GB2312"/>
          <w:sz w:val="32"/>
          <w:szCs w:val="32"/>
        </w:rPr>
        <w:t>的</w:t>
      </w:r>
      <w:r>
        <w:rPr>
          <w:rFonts w:ascii="仿宋_GB2312" w:eastAsia="仿宋_GB2312"/>
          <w:sz w:val="32"/>
          <w:szCs w:val="32"/>
        </w:rPr>
        <w:t>通知》</w:t>
      </w:r>
      <w:r>
        <w:rPr>
          <w:rFonts w:hint="eastAsia" w:ascii="仿宋_GB2312" w:eastAsia="仿宋_GB2312"/>
          <w:sz w:val="32"/>
          <w:szCs w:val="32"/>
        </w:rPr>
        <w:t>系列文件的要求,受塔城地区财政局的委托，北京用友政务软件股份有限公司承担塔城人才公寓楼建设及配套设施项目绩效评价工作。评价组依据绩效评价的基本原理，结合政策特点，经过前期调研、方案制定、数据收集与梳理等环节撰写形成本绩效评价报告。</w:t>
      </w:r>
    </w:p>
    <w:p w14:paraId="18992A93">
      <w:pPr>
        <w:ind w:firstLine="640" w:firstLineChars="200"/>
        <w:rPr>
          <w:rFonts w:ascii="黑体" w:hAnsi="黑体" w:eastAsia="黑体"/>
          <w:sz w:val="32"/>
          <w:szCs w:val="32"/>
        </w:rPr>
      </w:pPr>
      <w:r>
        <w:rPr>
          <w:rFonts w:hint="eastAsia" w:ascii="黑体" w:hAnsi="黑体" w:eastAsia="黑体"/>
          <w:sz w:val="32"/>
          <w:szCs w:val="32"/>
        </w:rPr>
        <w:t>一、项目概述</w:t>
      </w:r>
    </w:p>
    <w:p w14:paraId="2EB3FB08">
      <w:pPr>
        <w:ind w:firstLine="643" w:firstLineChars="200"/>
        <w:rPr>
          <w:rFonts w:ascii="楷体_GB2312" w:eastAsia="楷体_GB2312"/>
          <w:b/>
          <w:sz w:val="32"/>
          <w:szCs w:val="32"/>
        </w:rPr>
      </w:pPr>
      <w:r>
        <w:rPr>
          <w:rFonts w:hint="eastAsia" w:ascii="楷体_GB2312" w:eastAsia="楷体_GB2312"/>
          <w:b/>
          <w:sz w:val="32"/>
          <w:szCs w:val="32"/>
        </w:rPr>
        <w:t>（一）项目概况</w:t>
      </w:r>
    </w:p>
    <w:p w14:paraId="16FB5BBC">
      <w:pPr>
        <w:ind w:firstLine="643" w:firstLineChars="200"/>
        <w:rPr>
          <w:rFonts w:ascii="仿宋_GB2312" w:eastAsia="仿宋_GB2312"/>
          <w:b/>
          <w:sz w:val="32"/>
          <w:szCs w:val="32"/>
        </w:rPr>
      </w:pPr>
      <w:r>
        <w:rPr>
          <w:rFonts w:hint="eastAsia" w:ascii="仿宋_GB2312" w:eastAsia="仿宋_GB2312"/>
          <w:b/>
          <w:sz w:val="32"/>
          <w:szCs w:val="32"/>
        </w:rPr>
        <w:t>1.项目立项的背景及目的</w:t>
      </w:r>
    </w:p>
    <w:p w14:paraId="61045795">
      <w:pPr>
        <w:ind w:firstLine="640" w:firstLineChars="200"/>
        <w:rPr>
          <w:rFonts w:ascii="仿宋_GB2312" w:eastAsia="仿宋_GB2312"/>
          <w:sz w:val="32"/>
          <w:szCs w:val="32"/>
        </w:rPr>
      </w:pPr>
      <w:r>
        <w:rPr>
          <w:rFonts w:hint="eastAsia" w:ascii="仿宋_GB2312" w:eastAsia="仿宋_GB2312"/>
          <w:sz w:val="32"/>
          <w:szCs w:val="32"/>
        </w:rPr>
        <w:t>2019年7月14日</w:t>
      </w:r>
      <w:r>
        <w:rPr>
          <w:rFonts w:ascii="仿宋_GB2312" w:eastAsia="仿宋_GB2312"/>
          <w:sz w:val="32"/>
          <w:szCs w:val="32"/>
        </w:rPr>
        <w:t>至</w:t>
      </w:r>
      <w:r>
        <w:rPr>
          <w:rFonts w:hint="eastAsia" w:ascii="仿宋_GB2312" w:eastAsia="仿宋_GB2312"/>
          <w:sz w:val="32"/>
          <w:szCs w:val="32"/>
        </w:rPr>
        <w:t>7月16日</w:t>
      </w:r>
      <w:r>
        <w:rPr>
          <w:rFonts w:ascii="仿宋_GB2312" w:eastAsia="仿宋_GB2312"/>
          <w:sz w:val="32"/>
          <w:szCs w:val="32"/>
        </w:rPr>
        <w:t>，对口支援新疆工作会议</w:t>
      </w:r>
      <w:r>
        <w:rPr>
          <w:rFonts w:hint="eastAsia" w:ascii="仿宋_GB2312" w:eastAsia="仿宋_GB2312"/>
          <w:sz w:val="32"/>
          <w:szCs w:val="32"/>
        </w:rPr>
        <w:t>在</w:t>
      </w:r>
      <w:r>
        <w:rPr>
          <w:rFonts w:ascii="仿宋_GB2312" w:eastAsia="仿宋_GB2312"/>
          <w:sz w:val="32"/>
          <w:szCs w:val="32"/>
        </w:rPr>
        <w:t>新疆召开，中共中央政治局常委、中央新疆工作协调小组组长汪洋出席会议并讲话。他强调，对口援疆是国家战略，是实现新疆社会稳定与长治久安总目标的重要举措</w:t>
      </w:r>
      <w:r>
        <w:rPr>
          <w:rFonts w:hint="eastAsia" w:ascii="仿宋_GB2312" w:eastAsia="仿宋_GB2312"/>
          <w:sz w:val="32"/>
          <w:szCs w:val="32"/>
        </w:rPr>
        <w:t>。要</w:t>
      </w:r>
      <w:r>
        <w:rPr>
          <w:rFonts w:ascii="仿宋_GB2312" w:eastAsia="仿宋_GB2312"/>
          <w:sz w:val="32"/>
          <w:szCs w:val="32"/>
        </w:rPr>
        <w:t>以习近平新时</w:t>
      </w:r>
      <w:r>
        <w:rPr>
          <w:rFonts w:hint="eastAsia" w:ascii="仿宋_GB2312" w:eastAsia="仿宋_GB2312"/>
          <w:sz w:val="32"/>
          <w:szCs w:val="32"/>
        </w:rPr>
        <w:t>代</w:t>
      </w:r>
      <w:r>
        <w:rPr>
          <w:rFonts w:ascii="仿宋_GB2312" w:eastAsia="仿宋_GB2312"/>
          <w:sz w:val="32"/>
          <w:szCs w:val="32"/>
        </w:rPr>
        <w:t>中国特色社会主义思想为指导，完整准确贯彻新时代党的治疆方略，紧紧围绕新疆</w:t>
      </w:r>
      <w:r>
        <w:rPr>
          <w:rFonts w:hint="eastAsia" w:ascii="仿宋_GB2312" w:eastAsia="仿宋_GB2312"/>
          <w:sz w:val="32"/>
          <w:szCs w:val="32"/>
        </w:rPr>
        <w:t>工</w:t>
      </w:r>
      <w:r>
        <w:rPr>
          <w:rFonts w:ascii="仿宋_GB2312" w:eastAsia="仿宋_GB2312"/>
          <w:sz w:val="32"/>
          <w:szCs w:val="32"/>
        </w:rPr>
        <w:t>作总目标，坚持稳中求进工作总基调，坚持新发展理念，坚持以经济发展和民生改善为基础，坚持以凝聚人心为目的，坚持全面援疆、精准援疆</w:t>
      </w:r>
      <w:r>
        <w:rPr>
          <w:rFonts w:hint="eastAsia" w:ascii="仿宋_GB2312" w:eastAsia="仿宋_GB2312"/>
          <w:sz w:val="32"/>
          <w:szCs w:val="32"/>
        </w:rPr>
        <w:t>、</w:t>
      </w:r>
      <w:r>
        <w:rPr>
          <w:rFonts w:ascii="仿宋_GB2312" w:eastAsia="仿宋_GB2312"/>
          <w:sz w:val="32"/>
          <w:szCs w:val="32"/>
        </w:rPr>
        <w:t>长期援疆，为建设团结和谐、繁</w:t>
      </w:r>
      <w:r>
        <w:rPr>
          <w:rFonts w:hint="eastAsia" w:ascii="仿宋_GB2312" w:eastAsia="仿宋_GB2312"/>
          <w:sz w:val="32"/>
          <w:szCs w:val="32"/>
        </w:rPr>
        <w:t>荣富裕</w:t>
      </w:r>
      <w:r>
        <w:rPr>
          <w:rFonts w:ascii="仿宋_GB2312" w:eastAsia="仿宋_GB2312"/>
          <w:sz w:val="32"/>
          <w:szCs w:val="32"/>
        </w:rPr>
        <w:t>、文</w:t>
      </w:r>
      <w:r>
        <w:rPr>
          <w:rFonts w:hint="eastAsia" w:ascii="仿宋_GB2312" w:eastAsia="仿宋_GB2312"/>
          <w:sz w:val="32"/>
          <w:szCs w:val="32"/>
        </w:rPr>
        <w:t>明</w:t>
      </w:r>
      <w:r>
        <w:rPr>
          <w:rFonts w:ascii="仿宋_GB2312" w:eastAsia="仿宋_GB2312"/>
          <w:sz w:val="32"/>
          <w:szCs w:val="32"/>
        </w:rPr>
        <w:t>进步、安居</w:t>
      </w:r>
      <w:r>
        <w:rPr>
          <w:rFonts w:hint="eastAsia" w:ascii="仿宋_GB2312" w:eastAsia="仿宋_GB2312"/>
          <w:sz w:val="32"/>
          <w:szCs w:val="32"/>
        </w:rPr>
        <w:t>乐</w:t>
      </w:r>
      <w:r>
        <w:rPr>
          <w:rFonts w:ascii="仿宋_GB2312" w:eastAsia="仿宋_GB2312"/>
          <w:sz w:val="32"/>
          <w:szCs w:val="32"/>
        </w:rPr>
        <w:t>业</w:t>
      </w:r>
      <w:r>
        <w:rPr>
          <w:rFonts w:hint="eastAsia" w:ascii="仿宋_GB2312" w:eastAsia="仿宋_GB2312"/>
          <w:sz w:val="32"/>
          <w:szCs w:val="32"/>
        </w:rPr>
        <w:t>的</w:t>
      </w:r>
      <w:r>
        <w:rPr>
          <w:rFonts w:ascii="仿宋_GB2312" w:eastAsia="仿宋_GB2312"/>
          <w:sz w:val="32"/>
          <w:szCs w:val="32"/>
        </w:rPr>
        <w:t>中国特色社会主义新新贡献力量。</w:t>
      </w:r>
    </w:p>
    <w:p w14:paraId="0E34B89E">
      <w:pPr>
        <w:ind w:firstLine="640" w:firstLineChars="200"/>
        <w:rPr>
          <w:rFonts w:ascii="仿宋_GB2312" w:eastAsia="仿宋_GB2312"/>
          <w:sz w:val="32"/>
          <w:szCs w:val="32"/>
        </w:rPr>
      </w:pPr>
      <w:r>
        <w:rPr>
          <w:rFonts w:hint="eastAsia" w:ascii="仿宋_GB2312" w:eastAsia="仿宋_GB2312"/>
          <w:sz w:val="32"/>
          <w:szCs w:val="32"/>
        </w:rPr>
        <w:t>汪洋</w:t>
      </w:r>
      <w:r>
        <w:rPr>
          <w:rFonts w:ascii="仿宋_GB2312" w:eastAsia="仿宋_GB2312"/>
          <w:sz w:val="32"/>
          <w:szCs w:val="32"/>
        </w:rPr>
        <w:t>强调，中国特色社会主义</w:t>
      </w:r>
      <w:r>
        <w:rPr>
          <w:rFonts w:hint="eastAsia" w:ascii="仿宋_GB2312" w:eastAsia="仿宋_GB2312"/>
          <w:sz w:val="32"/>
          <w:szCs w:val="32"/>
        </w:rPr>
        <w:t>进</w:t>
      </w:r>
      <w:r>
        <w:rPr>
          <w:rFonts w:ascii="仿宋_GB2312" w:eastAsia="仿宋_GB2312"/>
          <w:sz w:val="32"/>
          <w:szCs w:val="32"/>
        </w:rPr>
        <w:t>入新时代，新疆工作也面临新形势新任务。对口援疆工作必须认真总结经验，坚持问题导向，不断提高综合效益。要</w:t>
      </w:r>
      <w:r>
        <w:rPr>
          <w:rFonts w:hint="eastAsia" w:ascii="仿宋_GB2312" w:eastAsia="仿宋_GB2312"/>
          <w:sz w:val="32"/>
          <w:szCs w:val="32"/>
        </w:rPr>
        <w:t>突</w:t>
      </w:r>
      <w:r>
        <w:rPr>
          <w:rFonts w:ascii="仿宋_GB2312" w:eastAsia="仿宋_GB2312"/>
          <w:sz w:val="32"/>
          <w:szCs w:val="32"/>
        </w:rPr>
        <w:t>出抓好干部人才援疆，做到精准选派、科学使用，最大限度发挥作用。要着力促进各民族</w:t>
      </w:r>
      <w:r>
        <w:rPr>
          <w:rFonts w:hint="eastAsia" w:ascii="仿宋_GB2312" w:eastAsia="仿宋_GB2312"/>
          <w:sz w:val="32"/>
          <w:szCs w:val="32"/>
        </w:rPr>
        <w:t>交往</w:t>
      </w:r>
      <w:r>
        <w:rPr>
          <w:rFonts w:ascii="仿宋_GB2312" w:eastAsia="仿宋_GB2312"/>
          <w:sz w:val="32"/>
          <w:szCs w:val="32"/>
        </w:rPr>
        <w:t>交流交融，支持内地与新疆各族群众多走动，推动新疆少数民族群众到内地交融发展。要把援疆工作作为锻</w:t>
      </w:r>
      <w:r>
        <w:rPr>
          <w:rFonts w:hint="eastAsia" w:ascii="仿宋_GB2312" w:eastAsia="仿宋_GB2312"/>
          <w:sz w:val="32"/>
          <w:szCs w:val="32"/>
        </w:rPr>
        <w:t>炼和</w:t>
      </w:r>
      <w:r>
        <w:rPr>
          <w:rFonts w:ascii="仿宋_GB2312" w:eastAsia="仿宋_GB2312"/>
          <w:sz w:val="32"/>
          <w:szCs w:val="32"/>
        </w:rPr>
        <w:t>培</w:t>
      </w:r>
      <w:r>
        <w:rPr>
          <w:rFonts w:hint="eastAsia" w:ascii="仿宋_GB2312" w:eastAsia="仿宋_GB2312"/>
          <w:sz w:val="32"/>
          <w:szCs w:val="32"/>
        </w:rPr>
        <w:t>养干部</w:t>
      </w:r>
      <w:r>
        <w:rPr>
          <w:rFonts w:ascii="仿宋_GB2312" w:eastAsia="仿宋_GB2312"/>
          <w:sz w:val="32"/>
          <w:szCs w:val="32"/>
        </w:rPr>
        <w:t>的平台，健全考核评价机制，加大关心关爱力度，让真情奉献、敢于担当者有干劲、有舞台。</w:t>
      </w:r>
    </w:p>
    <w:p w14:paraId="4F910C1A">
      <w:pPr>
        <w:ind w:firstLine="640" w:firstLineChars="200"/>
        <w:rPr>
          <w:rFonts w:ascii="仿宋_GB2312" w:eastAsia="仿宋_GB2312"/>
          <w:sz w:val="32"/>
          <w:szCs w:val="32"/>
        </w:rPr>
      </w:pPr>
      <w:r>
        <w:rPr>
          <w:rFonts w:hint="eastAsia" w:ascii="仿宋_GB2312" w:eastAsia="仿宋_GB2312"/>
          <w:sz w:val="32"/>
          <w:szCs w:val="32"/>
        </w:rPr>
        <w:t>2018年</w:t>
      </w:r>
      <w:r>
        <w:rPr>
          <w:rFonts w:ascii="仿宋_GB2312" w:eastAsia="仿宋_GB2312"/>
          <w:sz w:val="32"/>
          <w:szCs w:val="32"/>
        </w:rPr>
        <w:t>以来，辽宁第九批援疆工作队深入贯彻落实习近平新时代中国特色社会</w:t>
      </w:r>
      <w:r>
        <w:rPr>
          <w:rFonts w:hint="eastAsia" w:ascii="仿宋_GB2312" w:eastAsia="仿宋_GB2312"/>
          <w:sz w:val="32"/>
          <w:szCs w:val="32"/>
        </w:rPr>
        <w:t>主</w:t>
      </w:r>
      <w:r>
        <w:rPr>
          <w:rFonts w:ascii="仿宋_GB2312" w:eastAsia="仿宋_GB2312"/>
          <w:sz w:val="32"/>
          <w:szCs w:val="32"/>
        </w:rPr>
        <w:t>义思想、党的十九大精神和党中央治疆方略，贯彻落实第六次全国对口支援新疆工作会议和两省区对口</w:t>
      </w:r>
      <w:r>
        <w:rPr>
          <w:rFonts w:hint="eastAsia" w:ascii="仿宋_GB2312" w:eastAsia="仿宋_GB2312"/>
          <w:sz w:val="32"/>
          <w:szCs w:val="32"/>
        </w:rPr>
        <w:t>支援</w:t>
      </w:r>
      <w:r>
        <w:rPr>
          <w:rFonts w:ascii="仿宋_GB2312" w:eastAsia="仿宋_GB2312"/>
          <w:sz w:val="32"/>
          <w:szCs w:val="32"/>
        </w:rPr>
        <w:t>工作</w:t>
      </w:r>
      <w:r>
        <w:rPr>
          <w:rFonts w:hint="eastAsia" w:ascii="仿宋_GB2312" w:eastAsia="仿宋_GB2312"/>
          <w:sz w:val="32"/>
          <w:szCs w:val="32"/>
        </w:rPr>
        <w:t>座</w:t>
      </w:r>
      <w:r>
        <w:rPr>
          <w:rFonts w:ascii="仿宋_GB2312" w:eastAsia="仿宋_GB2312"/>
          <w:sz w:val="32"/>
          <w:szCs w:val="32"/>
        </w:rPr>
        <w:t>谈会精神，紧紧围绕社会稳定和长治久安总目标，将改善民生作为</w:t>
      </w:r>
      <w:r>
        <w:rPr>
          <w:rFonts w:hint="eastAsia" w:ascii="仿宋_GB2312" w:eastAsia="仿宋_GB2312"/>
          <w:sz w:val="32"/>
          <w:szCs w:val="32"/>
        </w:rPr>
        <w:t>援</w:t>
      </w:r>
      <w:r>
        <w:rPr>
          <w:rFonts w:ascii="仿宋_GB2312" w:eastAsia="仿宋_GB2312"/>
          <w:sz w:val="32"/>
          <w:szCs w:val="32"/>
        </w:rPr>
        <w:t>疆工作主战场，用真情的投入赢得了塔城地区各族群众的称赞。</w:t>
      </w:r>
      <w:r>
        <w:rPr>
          <w:rFonts w:hint="eastAsia" w:ascii="仿宋_GB2312" w:eastAsia="仿宋_GB2312"/>
          <w:sz w:val="32"/>
          <w:szCs w:val="32"/>
        </w:rPr>
        <w:t>塔城地区机关事务管理局按</w:t>
      </w:r>
      <w:r>
        <w:rPr>
          <w:rFonts w:ascii="仿宋_GB2312" w:eastAsia="仿宋_GB2312"/>
          <w:sz w:val="32"/>
          <w:szCs w:val="32"/>
        </w:rPr>
        <w:t>照第六次全国对口支援新疆工作会议和两省区对口</w:t>
      </w:r>
      <w:r>
        <w:rPr>
          <w:rFonts w:hint="eastAsia" w:ascii="仿宋_GB2312" w:eastAsia="仿宋_GB2312"/>
          <w:sz w:val="32"/>
          <w:szCs w:val="32"/>
        </w:rPr>
        <w:t>支援</w:t>
      </w:r>
      <w:r>
        <w:rPr>
          <w:rFonts w:ascii="仿宋_GB2312" w:eastAsia="仿宋_GB2312"/>
          <w:sz w:val="32"/>
          <w:szCs w:val="32"/>
        </w:rPr>
        <w:t>工作</w:t>
      </w:r>
      <w:r>
        <w:rPr>
          <w:rFonts w:hint="eastAsia" w:ascii="仿宋_GB2312" w:eastAsia="仿宋_GB2312"/>
          <w:sz w:val="32"/>
          <w:szCs w:val="32"/>
        </w:rPr>
        <w:t>座</w:t>
      </w:r>
      <w:r>
        <w:rPr>
          <w:rFonts w:ascii="仿宋_GB2312" w:eastAsia="仿宋_GB2312"/>
          <w:sz w:val="32"/>
          <w:szCs w:val="32"/>
        </w:rPr>
        <w:t>谈会</w:t>
      </w:r>
      <w:r>
        <w:rPr>
          <w:rFonts w:hint="eastAsia" w:ascii="仿宋_GB2312" w:eastAsia="仿宋_GB2312"/>
          <w:sz w:val="32"/>
          <w:szCs w:val="32"/>
        </w:rPr>
        <w:t>会议</w:t>
      </w:r>
      <w:r>
        <w:rPr>
          <w:rFonts w:ascii="仿宋_GB2312" w:eastAsia="仿宋_GB2312"/>
          <w:sz w:val="32"/>
          <w:szCs w:val="32"/>
        </w:rPr>
        <w:t>精神、《</w:t>
      </w:r>
      <w:r>
        <w:rPr>
          <w:rFonts w:hint="eastAsia" w:ascii="仿宋_GB2312" w:eastAsia="仿宋_GB2312"/>
          <w:sz w:val="32"/>
          <w:szCs w:val="32"/>
        </w:rPr>
        <w:t>印</w:t>
      </w:r>
      <w:r>
        <w:rPr>
          <w:rFonts w:ascii="仿宋_GB2312" w:eastAsia="仿宋_GB2312"/>
          <w:sz w:val="32"/>
          <w:szCs w:val="32"/>
        </w:rPr>
        <w:t>发地区援疆人才公寓建设协调会会议纪要的通知》</w:t>
      </w:r>
      <w:r>
        <w:rPr>
          <w:rFonts w:hint="eastAsia" w:ascii="仿宋_GB2312" w:eastAsia="仿宋_GB2312"/>
          <w:sz w:val="32"/>
          <w:szCs w:val="32"/>
        </w:rPr>
        <w:t>、《建设</w:t>
      </w:r>
      <w:r>
        <w:rPr>
          <w:rFonts w:ascii="仿宋_GB2312" w:eastAsia="仿宋_GB2312"/>
          <w:sz w:val="32"/>
          <w:szCs w:val="32"/>
        </w:rPr>
        <w:t>项目</w:t>
      </w:r>
      <w:r>
        <w:rPr>
          <w:rFonts w:hint="eastAsia" w:ascii="仿宋_GB2312" w:eastAsia="仿宋_GB2312"/>
          <w:sz w:val="32"/>
          <w:szCs w:val="32"/>
        </w:rPr>
        <w:t>立</w:t>
      </w:r>
      <w:r>
        <w:rPr>
          <w:rFonts w:ascii="仿宋_GB2312" w:eastAsia="仿宋_GB2312"/>
          <w:sz w:val="32"/>
          <w:szCs w:val="32"/>
        </w:rPr>
        <w:t>项通知书</w:t>
      </w:r>
      <w:r>
        <w:rPr>
          <w:rFonts w:hint="eastAsia" w:ascii="仿宋_GB2312" w:eastAsia="仿宋_GB2312"/>
          <w:sz w:val="32"/>
          <w:szCs w:val="32"/>
        </w:rPr>
        <w:t>》，</w:t>
      </w:r>
      <w:r>
        <w:rPr>
          <w:rFonts w:ascii="仿宋_GB2312" w:eastAsia="仿宋_GB2312"/>
          <w:sz w:val="32"/>
          <w:szCs w:val="32"/>
        </w:rPr>
        <w:t>建设</w:t>
      </w:r>
      <w:r>
        <w:rPr>
          <w:rFonts w:hint="eastAsia" w:ascii="仿宋_GB2312" w:eastAsia="仿宋_GB2312"/>
          <w:sz w:val="32"/>
          <w:szCs w:val="32"/>
        </w:rPr>
        <w:t>塔城人才公寓楼建设及配套设施项目</w:t>
      </w:r>
      <w:r>
        <w:rPr>
          <w:rFonts w:ascii="仿宋_GB2312" w:eastAsia="仿宋_GB2312"/>
          <w:sz w:val="32"/>
          <w:szCs w:val="32"/>
        </w:rPr>
        <w:t>，</w:t>
      </w:r>
      <w:r>
        <w:rPr>
          <w:rFonts w:hint="eastAsia" w:ascii="仿宋_GB2312" w:eastAsia="仿宋_GB2312"/>
          <w:sz w:val="32"/>
          <w:szCs w:val="32"/>
        </w:rPr>
        <w:t>为</w:t>
      </w:r>
      <w:r>
        <w:rPr>
          <w:rFonts w:ascii="仿宋_GB2312" w:eastAsia="仿宋_GB2312"/>
          <w:sz w:val="32"/>
          <w:szCs w:val="32"/>
        </w:rPr>
        <w:t>留</w:t>
      </w:r>
      <w:r>
        <w:rPr>
          <w:rFonts w:hint="eastAsia" w:ascii="仿宋_GB2312" w:eastAsia="仿宋_GB2312"/>
          <w:sz w:val="32"/>
          <w:szCs w:val="32"/>
        </w:rPr>
        <w:t>住</w:t>
      </w:r>
      <w:r>
        <w:rPr>
          <w:rFonts w:ascii="仿宋_GB2312" w:eastAsia="仿宋_GB2312"/>
          <w:sz w:val="32"/>
          <w:szCs w:val="32"/>
        </w:rPr>
        <w:t>人才，稳定人才队伍，解决人才团队的后顾之忧。</w:t>
      </w:r>
    </w:p>
    <w:p w14:paraId="71A7EE28">
      <w:pPr>
        <w:ind w:firstLine="643" w:firstLineChars="200"/>
        <w:rPr>
          <w:rFonts w:ascii="仿宋_GB2312" w:eastAsia="仿宋_GB2312"/>
          <w:b/>
          <w:sz w:val="32"/>
          <w:szCs w:val="32"/>
        </w:rPr>
      </w:pPr>
      <w:r>
        <w:rPr>
          <w:rFonts w:hint="eastAsia" w:ascii="仿宋_GB2312" w:eastAsia="仿宋_GB2312"/>
          <w:b/>
          <w:sz w:val="32"/>
          <w:szCs w:val="32"/>
        </w:rPr>
        <w:t>2.项目实施主体</w:t>
      </w:r>
    </w:p>
    <w:p w14:paraId="707FB9BF">
      <w:pPr>
        <w:ind w:firstLine="640" w:firstLineChars="200"/>
        <w:rPr>
          <w:rFonts w:ascii="仿宋_GB2312" w:eastAsia="仿宋_GB2312"/>
          <w:sz w:val="32"/>
          <w:szCs w:val="32"/>
        </w:rPr>
      </w:pPr>
      <w:r>
        <w:rPr>
          <w:rFonts w:hint="eastAsia" w:ascii="仿宋_GB2312" w:eastAsia="仿宋_GB2312"/>
          <w:sz w:val="32"/>
          <w:szCs w:val="32"/>
        </w:rPr>
        <w:t>塔城人才公寓楼建设及配套设施项目的</w:t>
      </w:r>
      <w:r>
        <w:rPr>
          <w:rFonts w:ascii="仿宋_GB2312" w:eastAsia="仿宋_GB2312"/>
          <w:sz w:val="32"/>
          <w:szCs w:val="32"/>
        </w:rPr>
        <w:t>实施主体是</w:t>
      </w:r>
      <w:r>
        <w:rPr>
          <w:rFonts w:hint="eastAsia" w:ascii="仿宋_GB2312" w:eastAsia="仿宋_GB2312"/>
          <w:sz w:val="32"/>
          <w:szCs w:val="32"/>
        </w:rPr>
        <w:t>塔城地区机关事务管理局，</w:t>
      </w:r>
      <w:r>
        <w:rPr>
          <w:rFonts w:ascii="仿宋_GB2312" w:eastAsia="仿宋_GB2312"/>
          <w:sz w:val="32"/>
          <w:szCs w:val="32"/>
        </w:rPr>
        <w:t>其主要职责是</w:t>
      </w:r>
      <w:r>
        <w:rPr>
          <w:rFonts w:hint="eastAsia" w:ascii="仿宋_GB2312" w:eastAsia="仿宋_GB2312"/>
          <w:sz w:val="32"/>
          <w:szCs w:val="32"/>
        </w:rPr>
        <w:t>（</w:t>
      </w:r>
      <w:r>
        <w:rPr>
          <w:rFonts w:ascii="仿宋_GB2312" w:eastAsia="仿宋_GB2312"/>
          <w:sz w:val="32"/>
          <w:szCs w:val="32"/>
        </w:rPr>
        <w:t>1）负责地区本级机关事务管理、保障、服务工作；根据党和国家、自治区党委和政府的有关政策、规章制度，研究制定地区机关事务管理工作的规划和规章制度并组织实施。（2）负责地区本级机关及部分事业单位公产房屋的建设管理，编制基建计划，制定相应管理制度；负责地区本级机关周转房统一管理。（3）负责地区本级党政机关办公用房统一管理，指导监督下级党政机关办公用房管理；负责地区本级外来领导干部住房、公务人员政策性住房、周转房项目审核，集中建设和调配租用维修管理。（4）负责地区本级党政机</w:t>
      </w:r>
      <w:r>
        <w:rPr>
          <w:rFonts w:hint="eastAsia" w:ascii="仿宋_GB2312" w:eastAsia="仿宋_GB2312"/>
          <w:sz w:val="32"/>
          <w:szCs w:val="32"/>
        </w:rPr>
        <w:t>关公务用车统一管理，指导监督下级党政机关公务用车管理；会同相关单位拟订公务用车管理规章制度并组织实施。</w:t>
      </w:r>
    </w:p>
    <w:p w14:paraId="65B5432A">
      <w:pPr>
        <w:ind w:firstLine="643" w:firstLineChars="200"/>
        <w:rPr>
          <w:rFonts w:ascii="仿宋_GB2312" w:eastAsia="仿宋_GB2312"/>
          <w:b/>
          <w:sz w:val="32"/>
          <w:szCs w:val="32"/>
        </w:rPr>
      </w:pPr>
      <w:r>
        <w:rPr>
          <w:rFonts w:hint="eastAsia" w:ascii="仿宋_GB2312" w:eastAsia="仿宋_GB2312"/>
          <w:b/>
          <w:sz w:val="32"/>
          <w:szCs w:val="32"/>
        </w:rPr>
        <w:t>3.项目主要内容</w:t>
      </w:r>
    </w:p>
    <w:p w14:paraId="010B3C57">
      <w:pPr>
        <w:ind w:firstLine="640" w:firstLineChars="200"/>
        <w:rPr>
          <w:rFonts w:ascii="仿宋_GB2312" w:eastAsia="仿宋_GB2312"/>
          <w:sz w:val="32"/>
          <w:szCs w:val="32"/>
        </w:rPr>
      </w:pPr>
      <w:r>
        <w:rPr>
          <w:rFonts w:hint="eastAsia" w:ascii="仿宋_GB2312" w:eastAsia="仿宋_GB2312"/>
          <w:sz w:val="32"/>
          <w:szCs w:val="32"/>
        </w:rPr>
        <w:t>（1）项目</w:t>
      </w:r>
      <w:r>
        <w:rPr>
          <w:rFonts w:ascii="仿宋_GB2312" w:eastAsia="仿宋_GB2312"/>
          <w:sz w:val="32"/>
          <w:szCs w:val="32"/>
        </w:rPr>
        <w:t>建设用地面积</w:t>
      </w:r>
      <w:r>
        <w:rPr>
          <w:rFonts w:hint="eastAsia" w:ascii="仿宋_GB2312" w:eastAsia="仿宋_GB2312"/>
          <w:sz w:val="32"/>
          <w:szCs w:val="32"/>
        </w:rPr>
        <w:t>33930平</w:t>
      </w:r>
      <w:r>
        <w:rPr>
          <w:rFonts w:ascii="仿宋_GB2312" w:eastAsia="仿宋_GB2312"/>
          <w:sz w:val="32"/>
          <w:szCs w:val="32"/>
        </w:rPr>
        <w:t>方米，总建筑面积</w:t>
      </w:r>
      <w:r>
        <w:rPr>
          <w:rFonts w:hint="eastAsia" w:ascii="仿宋_GB2312" w:eastAsia="仿宋_GB2312"/>
          <w:sz w:val="32"/>
          <w:szCs w:val="32"/>
        </w:rPr>
        <w:t>29110平</w:t>
      </w:r>
      <w:r>
        <w:rPr>
          <w:rFonts w:ascii="仿宋_GB2312" w:eastAsia="仿宋_GB2312"/>
          <w:sz w:val="32"/>
          <w:szCs w:val="32"/>
        </w:rPr>
        <w:t>方米，配套水、电</w:t>
      </w:r>
      <w:r>
        <w:rPr>
          <w:rFonts w:hint="eastAsia" w:ascii="仿宋_GB2312" w:eastAsia="仿宋_GB2312"/>
          <w:sz w:val="32"/>
          <w:szCs w:val="32"/>
        </w:rPr>
        <w:t>、</w:t>
      </w:r>
      <w:r>
        <w:rPr>
          <w:rFonts w:ascii="仿宋_GB2312" w:eastAsia="仿宋_GB2312"/>
          <w:sz w:val="32"/>
          <w:szCs w:val="32"/>
        </w:rPr>
        <w:t>暖等相关设施。</w:t>
      </w:r>
    </w:p>
    <w:p w14:paraId="476B0BEE">
      <w:pPr>
        <w:ind w:firstLine="640" w:firstLineChars="200"/>
        <w:rPr>
          <w:rFonts w:ascii="仿宋_GB2312" w:eastAsia="仿宋_GB2312"/>
          <w:sz w:val="32"/>
          <w:szCs w:val="32"/>
        </w:rPr>
      </w:pPr>
      <w:r>
        <w:rPr>
          <w:rFonts w:hint="eastAsia" w:ascii="仿宋_GB2312" w:eastAsia="仿宋_GB2312"/>
          <w:sz w:val="32"/>
          <w:szCs w:val="32"/>
        </w:rPr>
        <w:t>（2）项目</w:t>
      </w:r>
      <w:r>
        <w:rPr>
          <w:rFonts w:ascii="仿宋_GB2312" w:eastAsia="仿宋_GB2312"/>
          <w:sz w:val="32"/>
          <w:szCs w:val="32"/>
        </w:rPr>
        <w:t>预计建设公寓楼</w:t>
      </w:r>
      <w:r>
        <w:rPr>
          <w:rFonts w:hint="eastAsia" w:ascii="仿宋_GB2312" w:eastAsia="仿宋_GB2312"/>
          <w:sz w:val="32"/>
          <w:szCs w:val="32"/>
        </w:rPr>
        <w:t>4栋</w:t>
      </w:r>
      <w:r>
        <w:rPr>
          <w:rFonts w:ascii="仿宋_GB2312" w:eastAsia="仿宋_GB2312"/>
          <w:sz w:val="32"/>
          <w:szCs w:val="32"/>
        </w:rPr>
        <w:t>，每栋公寓楼</w:t>
      </w:r>
      <w:r>
        <w:rPr>
          <w:rFonts w:hint="eastAsia" w:ascii="仿宋_GB2312" w:eastAsia="仿宋_GB2312"/>
          <w:sz w:val="32"/>
          <w:szCs w:val="32"/>
        </w:rPr>
        <w:t>10层</w:t>
      </w:r>
      <w:r>
        <w:rPr>
          <w:rFonts w:ascii="仿宋_GB2312" w:eastAsia="仿宋_GB2312"/>
          <w:sz w:val="32"/>
          <w:szCs w:val="32"/>
        </w:rPr>
        <w:t>，共计</w:t>
      </w:r>
      <w:r>
        <w:rPr>
          <w:rFonts w:hint="eastAsia" w:ascii="仿宋_GB2312" w:eastAsia="仿宋_GB2312"/>
          <w:sz w:val="32"/>
          <w:szCs w:val="32"/>
        </w:rPr>
        <w:t>160户</w:t>
      </w:r>
      <w:r>
        <w:rPr>
          <w:rFonts w:ascii="仿宋_GB2312" w:eastAsia="仿宋_GB2312"/>
          <w:sz w:val="32"/>
          <w:szCs w:val="32"/>
        </w:rPr>
        <w:t>，其</w:t>
      </w:r>
      <w:r>
        <w:rPr>
          <w:rFonts w:hint="eastAsia" w:ascii="仿宋_GB2312" w:eastAsia="仿宋_GB2312"/>
          <w:sz w:val="32"/>
          <w:szCs w:val="32"/>
        </w:rPr>
        <w:t>中100平方</w:t>
      </w:r>
      <w:r>
        <w:rPr>
          <w:rFonts w:ascii="仿宋_GB2312" w:eastAsia="仿宋_GB2312"/>
          <w:sz w:val="32"/>
          <w:szCs w:val="32"/>
        </w:rPr>
        <w:t>米户型</w:t>
      </w:r>
      <w:r>
        <w:rPr>
          <w:rFonts w:hint="eastAsia" w:ascii="仿宋_GB2312" w:eastAsia="仿宋_GB2312"/>
          <w:sz w:val="32"/>
          <w:szCs w:val="32"/>
        </w:rPr>
        <w:t>80户</w:t>
      </w:r>
      <w:r>
        <w:rPr>
          <w:rFonts w:ascii="仿宋_GB2312" w:eastAsia="仿宋_GB2312"/>
          <w:sz w:val="32"/>
          <w:szCs w:val="32"/>
        </w:rPr>
        <w:t>，</w:t>
      </w:r>
      <w:r>
        <w:rPr>
          <w:rFonts w:hint="eastAsia" w:ascii="仿宋_GB2312" w:eastAsia="仿宋_GB2312"/>
          <w:sz w:val="32"/>
          <w:szCs w:val="32"/>
        </w:rPr>
        <w:t>130平</w:t>
      </w:r>
      <w:r>
        <w:rPr>
          <w:rFonts w:ascii="仿宋_GB2312" w:eastAsia="仿宋_GB2312"/>
          <w:sz w:val="32"/>
          <w:szCs w:val="32"/>
        </w:rPr>
        <w:t>方米</w:t>
      </w:r>
      <w:r>
        <w:rPr>
          <w:rFonts w:hint="eastAsia" w:ascii="仿宋_GB2312" w:eastAsia="仿宋_GB2312"/>
          <w:sz w:val="32"/>
          <w:szCs w:val="32"/>
        </w:rPr>
        <w:t>20户</w:t>
      </w:r>
      <w:r>
        <w:rPr>
          <w:rFonts w:ascii="仿宋_GB2312" w:eastAsia="仿宋_GB2312"/>
          <w:sz w:val="32"/>
          <w:szCs w:val="32"/>
        </w:rPr>
        <w:t>，</w:t>
      </w:r>
      <w:r>
        <w:rPr>
          <w:rFonts w:hint="eastAsia" w:ascii="仿宋_GB2312" w:eastAsia="仿宋_GB2312"/>
          <w:sz w:val="32"/>
          <w:szCs w:val="32"/>
        </w:rPr>
        <w:t>85平</w:t>
      </w:r>
      <w:r>
        <w:rPr>
          <w:rFonts w:ascii="仿宋_GB2312" w:eastAsia="仿宋_GB2312"/>
          <w:sz w:val="32"/>
          <w:szCs w:val="32"/>
        </w:rPr>
        <w:t>方米户型</w:t>
      </w:r>
      <w:r>
        <w:rPr>
          <w:rFonts w:hint="eastAsia" w:ascii="仿宋_GB2312" w:eastAsia="仿宋_GB2312"/>
          <w:sz w:val="32"/>
          <w:szCs w:val="32"/>
        </w:rPr>
        <w:t>60户</w:t>
      </w:r>
      <w:r>
        <w:rPr>
          <w:rFonts w:ascii="仿宋_GB2312" w:eastAsia="仿宋_GB2312"/>
          <w:sz w:val="32"/>
          <w:szCs w:val="32"/>
        </w:rPr>
        <w:t>。</w:t>
      </w:r>
    </w:p>
    <w:p w14:paraId="495DA665">
      <w:pPr>
        <w:ind w:firstLine="640" w:firstLineChars="200"/>
        <w:rPr>
          <w:rFonts w:ascii="仿宋_GB2312" w:eastAsia="仿宋_GB2312"/>
          <w:sz w:val="32"/>
          <w:szCs w:val="32"/>
        </w:rPr>
      </w:pPr>
      <w:r>
        <w:rPr>
          <w:rFonts w:hint="eastAsia" w:ascii="仿宋_GB2312" w:eastAsia="仿宋_GB2312"/>
          <w:sz w:val="32"/>
          <w:szCs w:val="32"/>
        </w:rPr>
        <w:t>（3）建设</w:t>
      </w:r>
      <w:r>
        <w:rPr>
          <w:rFonts w:ascii="仿宋_GB2312" w:eastAsia="仿宋_GB2312"/>
          <w:sz w:val="32"/>
          <w:szCs w:val="32"/>
        </w:rPr>
        <w:t>附属餐厅和地下设施用户一栋。</w:t>
      </w:r>
    </w:p>
    <w:p w14:paraId="5A952B3B">
      <w:pPr>
        <w:ind w:firstLine="640" w:firstLineChars="200"/>
        <w:rPr>
          <w:rFonts w:ascii="仿宋_GB2312" w:eastAsia="仿宋_GB2312"/>
          <w:sz w:val="32"/>
          <w:szCs w:val="32"/>
        </w:rPr>
      </w:pPr>
      <w:r>
        <w:rPr>
          <w:rFonts w:hint="eastAsia" w:ascii="仿宋_GB2312" w:eastAsia="仿宋_GB2312"/>
          <w:sz w:val="32"/>
          <w:szCs w:val="32"/>
        </w:rPr>
        <w:t>（4）配套</w:t>
      </w:r>
      <w:r>
        <w:rPr>
          <w:rFonts w:ascii="仿宋_GB2312" w:eastAsia="仿宋_GB2312"/>
          <w:sz w:val="32"/>
          <w:szCs w:val="32"/>
        </w:rPr>
        <w:t>水电暖气设施，小区硬</w:t>
      </w:r>
      <w:r>
        <w:rPr>
          <w:rFonts w:hint="eastAsia" w:ascii="仿宋_GB2312" w:eastAsia="仿宋_GB2312"/>
          <w:sz w:val="32"/>
          <w:szCs w:val="32"/>
        </w:rPr>
        <w:t>化</w:t>
      </w:r>
      <w:r>
        <w:rPr>
          <w:rFonts w:ascii="仿宋_GB2312" w:eastAsia="仿宋_GB2312"/>
          <w:sz w:val="32"/>
          <w:szCs w:val="32"/>
        </w:rPr>
        <w:t>、绿化、亮化及相关附属设施。</w:t>
      </w:r>
    </w:p>
    <w:p w14:paraId="590C84E1">
      <w:pPr>
        <w:ind w:firstLine="640" w:firstLineChars="200"/>
        <w:rPr>
          <w:rFonts w:ascii="仿宋_GB2312" w:eastAsia="仿宋_GB2312"/>
          <w:sz w:val="32"/>
          <w:szCs w:val="32"/>
        </w:rPr>
      </w:pPr>
      <w:r>
        <w:rPr>
          <w:rFonts w:hint="eastAsia" w:ascii="仿宋_GB2312" w:eastAsia="仿宋_GB2312"/>
          <w:sz w:val="32"/>
          <w:szCs w:val="32"/>
        </w:rPr>
        <w:t>该</w:t>
      </w:r>
      <w:r>
        <w:rPr>
          <w:rFonts w:ascii="仿宋_GB2312" w:eastAsia="仿宋_GB2312"/>
          <w:sz w:val="32"/>
          <w:szCs w:val="32"/>
        </w:rPr>
        <w:t>项目建设期为</w:t>
      </w:r>
      <w:r>
        <w:rPr>
          <w:rFonts w:hint="eastAsia" w:ascii="仿宋_GB2312" w:eastAsia="仿宋_GB2312"/>
          <w:sz w:val="32"/>
          <w:szCs w:val="32"/>
        </w:rPr>
        <w:t>2019年7月-2020年9月</w:t>
      </w:r>
      <w:r>
        <w:rPr>
          <w:rFonts w:ascii="仿宋_GB2312" w:eastAsia="仿宋_GB2312"/>
          <w:sz w:val="32"/>
          <w:szCs w:val="32"/>
        </w:rPr>
        <w:t>，由于</w:t>
      </w:r>
      <w:r>
        <w:rPr>
          <w:rFonts w:hint="eastAsia" w:ascii="仿宋_GB2312" w:eastAsia="仿宋_GB2312"/>
          <w:sz w:val="32"/>
          <w:szCs w:val="32"/>
        </w:rPr>
        <w:t>2020年</w:t>
      </w:r>
      <w:r>
        <w:rPr>
          <w:rFonts w:ascii="仿宋_GB2312" w:eastAsia="仿宋_GB2312"/>
          <w:sz w:val="32"/>
          <w:szCs w:val="32"/>
        </w:rPr>
        <w:t>和</w:t>
      </w:r>
      <w:r>
        <w:rPr>
          <w:rFonts w:hint="eastAsia" w:ascii="仿宋_GB2312" w:eastAsia="仿宋_GB2312"/>
          <w:sz w:val="32"/>
          <w:szCs w:val="32"/>
        </w:rPr>
        <w:t>2021年</w:t>
      </w:r>
      <w:r>
        <w:rPr>
          <w:rFonts w:ascii="仿宋_GB2312" w:eastAsia="仿宋_GB2312"/>
          <w:sz w:val="32"/>
          <w:szCs w:val="32"/>
        </w:rPr>
        <w:t>疫情</w:t>
      </w:r>
      <w:r>
        <w:rPr>
          <w:rFonts w:hint="eastAsia" w:ascii="仿宋_GB2312" w:eastAsia="仿宋_GB2312"/>
          <w:sz w:val="32"/>
          <w:szCs w:val="32"/>
        </w:rPr>
        <w:t>原因</w:t>
      </w:r>
      <w:r>
        <w:rPr>
          <w:rFonts w:ascii="仿宋_GB2312" w:eastAsia="仿宋_GB2312"/>
          <w:sz w:val="32"/>
          <w:szCs w:val="32"/>
        </w:rPr>
        <w:t>，工人无法进出</w:t>
      </w:r>
      <w:r>
        <w:rPr>
          <w:rFonts w:hint="eastAsia" w:ascii="仿宋_GB2312" w:eastAsia="仿宋_GB2312"/>
          <w:sz w:val="32"/>
          <w:szCs w:val="32"/>
        </w:rPr>
        <w:t>塔</w:t>
      </w:r>
      <w:r>
        <w:rPr>
          <w:rFonts w:ascii="仿宋_GB2312" w:eastAsia="仿宋_GB2312"/>
          <w:sz w:val="32"/>
          <w:szCs w:val="32"/>
        </w:rPr>
        <w:t>城，</w:t>
      </w:r>
      <w:r>
        <w:rPr>
          <w:rFonts w:hint="eastAsia" w:ascii="仿宋_GB2312" w:eastAsia="仿宋_GB2312"/>
          <w:sz w:val="32"/>
          <w:szCs w:val="32"/>
        </w:rPr>
        <w:t>施</w:t>
      </w:r>
      <w:r>
        <w:rPr>
          <w:rFonts w:ascii="仿宋_GB2312" w:eastAsia="仿宋_GB2312"/>
          <w:sz w:val="32"/>
          <w:szCs w:val="32"/>
        </w:rPr>
        <w:t>工方建设停</w:t>
      </w:r>
      <w:r>
        <w:rPr>
          <w:rFonts w:hint="eastAsia" w:ascii="仿宋_GB2312" w:eastAsia="仿宋_GB2312"/>
          <w:sz w:val="32"/>
          <w:szCs w:val="32"/>
        </w:rPr>
        <w:t>滞</w:t>
      </w:r>
      <w:r>
        <w:rPr>
          <w:rFonts w:ascii="仿宋_GB2312" w:eastAsia="仿宋_GB2312"/>
          <w:sz w:val="32"/>
          <w:szCs w:val="32"/>
        </w:rPr>
        <w:t>，</w:t>
      </w:r>
      <w:r>
        <w:rPr>
          <w:rFonts w:hint="eastAsia" w:ascii="仿宋_GB2312" w:eastAsia="仿宋_GB2312"/>
          <w:sz w:val="32"/>
          <w:szCs w:val="32"/>
        </w:rPr>
        <w:t>2022年</w:t>
      </w:r>
      <w:r>
        <w:rPr>
          <w:rFonts w:ascii="仿宋_GB2312" w:eastAsia="仿宋_GB2312"/>
          <w:sz w:val="32"/>
          <w:szCs w:val="32"/>
        </w:rPr>
        <w:t>的主要建设内容为</w:t>
      </w:r>
      <w:r>
        <w:rPr>
          <w:rFonts w:hint="eastAsia" w:ascii="仿宋_GB2312" w:eastAsia="仿宋_GB2312"/>
          <w:sz w:val="32"/>
          <w:szCs w:val="32"/>
        </w:rPr>
        <w:t>楼</w:t>
      </w:r>
      <w:r>
        <w:rPr>
          <w:rFonts w:ascii="仿宋_GB2312" w:eastAsia="仿宋_GB2312"/>
          <w:sz w:val="32"/>
          <w:szCs w:val="32"/>
        </w:rPr>
        <w:t>房主体建设、制作</w:t>
      </w:r>
      <w:r>
        <w:rPr>
          <w:rFonts w:hint="eastAsia" w:ascii="仿宋_GB2312" w:eastAsia="仿宋_GB2312"/>
          <w:sz w:val="32"/>
          <w:szCs w:val="32"/>
        </w:rPr>
        <w:t>楼</w:t>
      </w:r>
      <w:r>
        <w:rPr>
          <w:rFonts w:ascii="仿宋_GB2312" w:eastAsia="仿宋_GB2312"/>
          <w:sz w:val="32"/>
          <w:szCs w:val="32"/>
        </w:rPr>
        <w:t>栋号、门牌号、施工图审查、</w:t>
      </w:r>
      <w:r>
        <w:rPr>
          <w:rFonts w:hint="eastAsia" w:ascii="仿宋_GB2312" w:eastAsia="仿宋_GB2312"/>
          <w:sz w:val="32"/>
          <w:szCs w:val="32"/>
        </w:rPr>
        <w:t>安</w:t>
      </w:r>
      <w:r>
        <w:rPr>
          <w:rFonts w:ascii="仿宋_GB2312" w:eastAsia="仿宋_GB2312"/>
          <w:sz w:val="32"/>
          <w:szCs w:val="32"/>
        </w:rPr>
        <w:t>防信息化建设、防雷检测、结</w:t>
      </w:r>
      <w:r>
        <w:rPr>
          <w:rFonts w:hint="eastAsia" w:ascii="仿宋_GB2312" w:eastAsia="仿宋_GB2312"/>
          <w:sz w:val="32"/>
          <w:szCs w:val="32"/>
        </w:rPr>
        <w:t>构</w:t>
      </w:r>
      <w:r>
        <w:rPr>
          <w:rFonts w:ascii="仿宋_GB2312" w:eastAsia="仿宋_GB2312"/>
          <w:sz w:val="32"/>
          <w:szCs w:val="32"/>
        </w:rPr>
        <w:t>实体检测</w:t>
      </w:r>
      <w:r>
        <w:rPr>
          <w:rFonts w:hint="eastAsia" w:ascii="仿宋_GB2312" w:eastAsia="仿宋_GB2312"/>
          <w:sz w:val="32"/>
          <w:szCs w:val="32"/>
        </w:rPr>
        <w:t>、</w:t>
      </w:r>
      <w:r>
        <w:rPr>
          <w:rFonts w:ascii="仿宋_GB2312" w:eastAsia="仿宋_GB2312"/>
          <w:sz w:val="32"/>
          <w:szCs w:val="32"/>
        </w:rPr>
        <w:t>室内</w:t>
      </w:r>
      <w:r>
        <w:rPr>
          <w:rFonts w:hint="eastAsia" w:ascii="仿宋_GB2312" w:eastAsia="仿宋_GB2312"/>
          <w:sz w:val="32"/>
          <w:szCs w:val="32"/>
        </w:rPr>
        <w:t>空气</w:t>
      </w:r>
      <w:r>
        <w:rPr>
          <w:rFonts w:ascii="仿宋_GB2312" w:eastAsia="仿宋_GB2312"/>
          <w:sz w:val="32"/>
          <w:szCs w:val="32"/>
        </w:rPr>
        <w:t>检测、换热站建设等。</w:t>
      </w:r>
    </w:p>
    <w:p w14:paraId="45B65EBD">
      <w:pPr>
        <w:ind w:firstLine="643" w:firstLineChars="200"/>
        <w:rPr>
          <w:rFonts w:ascii="仿宋_GB2312" w:eastAsia="仿宋_GB2312"/>
          <w:b/>
          <w:sz w:val="32"/>
          <w:szCs w:val="32"/>
        </w:rPr>
      </w:pPr>
      <w:r>
        <w:rPr>
          <w:rFonts w:hint="eastAsia" w:ascii="仿宋_GB2312" w:eastAsia="仿宋_GB2312"/>
          <w:b/>
          <w:sz w:val="32"/>
          <w:szCs w:val="32"/>
        </w:rPr>
        <w:t>4.项目的组织及管理</w:t>
      </w:r>
    </w:p>
    <w:p w14:paraId="6428D166">
      <w:pPr>
        <w:ind w:firstLine="640" w:firstLineChars="200"/>
        <w:rPr>
          <w:rFonts w:ascii="仿宋_GB2312" w:eastAsia="仿宋_GB2312"/>
          <w:sz w:val="32"/>
          <w:szCs w:val="32"/>
        </w:rPr>
      </w:pPr>
      <w:r>
        <w:rPr>
          <w:rFonts w:hint="eastAsia" w:ascii="仿宋_GB2312" w:eastAsia="仿宋_GB2312"/>
          <w:sz w:val="32"/>
          <w:szCs w:val="32"/>
        </w:rPr>
        <w:t>本</w:t>
      </w:r>
      <w:r>
        <w:rPr>
          <w:rFonts w:ascii="仿宋_GB2312" w:eastAsia="仿宋_GB2312"/>
          <w:sz w:val="32"/>
          <w:szCs w:val="32"/>
        </w:rPr>
        <w:t>项目涉及部门为塔城</w:t>
      </w:r>
      <w:r>
        <w:rPr>
          <w:rFonts w:hint="eastAsia" w:ascii="仿宋_GB2312" w:eastAsia="仿宋_GB2312"/>
          <w:sz w:val="32"/>
          <w:szCs w:val="32"/>
        </w:rPr>
        <w:t>地</w:t>
      </w:r>
      <w:r>
        <w:rPr>
          <w:rFonts w:ascii="仿宋_GB2312" w:eastAsia="仿宋_GB2312"/>
          <w:sz w:val="32"/>
          <w:szCs w:val="32"/>
        </w:rPr>
        <w:t>区财政局、</w:t>
      </w:r>
      <w:r>
        <w:rPr>
          <w:rFonts w:hint="eastAsia" w:ascii="仿宋_GB2312" w:eastAsia="仿宋_GB2312"/>
          <w:sz w:val="32"/>
          <w:szCs w:val="32"/>
        </w:rPr>
        <w:t>塔城地区机关事务管理局</w:t>
      </w:r>
      <w:r>
        <w:rPr>
          <w:rFonts w:ascii="仿宋_GB2312" w:eastAsia="仿宋_GB2312"/>
          <w:sz w:val="32"/>
          <w:szCs w:val="32"/>
        </w:rPr>
        <w:t>、</w:t>
      </w:r>
      <w:r>
        <w:rPr>
          <w:rFonts w:hint="eastAsia" w:ascii="仿宋_GB2312" w:eastAsia="仿宋_GB2312"/>
          <w:sz w:val="32"/>
          <w:szCs w:val="32"/>
        </w:rPr>
        <w:t>新疆正塔建筑安装有限公司、塔城地区建筑材料预制构件质量检测中心站、乌鲁木齐金安北方科技发展有限公司</w:t>
      </w:r>
      <w:r>
        <w:rPr>
          <w:rFonts w:ascii="仿宋_GB2312" w:eastAsia="仿宋_GB2312"/>
          <w:sz w:val="32"/>
          <w:szCs w:val="32"/>
        </w:rPr>
        <w:t>。各部门主要职责如下：</w:t>
      </w:r>
    </w:p>
    <w:p w14:paraId="40819D60">
      <w:pPr>
        <w:ind w:firstLine="640" w:firstLineChars="200"/>
        <w:rPr>
          <w:rFonts w:ascii="仿宋_GB2312" w:eastAsia="仿宋_GB2312"/>
          <w:sz w:val="32"/>
          <w:szCs w:val="32"/>
        </w:rPr>
      </w:pPr>
      <w:r>
        <w:rPr>
          <w:rFonts w:hint="eastAsia" w:ascii="仿宋_GB2312" w:eastAsia="仿宋_GB2312"/>
          <w:sz w:val="32"/>
          <w:szCs w:val="32"/>
        </w:rPr>
        <w:t>塔</w:t>
      </w:r>
      <w:r>
        <w:rPr>
          <w:rFonts w:ascii="仿宋_GB2312" w:eastAsia="仿宋_GB2312"/>
          <w:sz w:val="32"/>
          <w:szCs w:val="32"/>
        </w:rPr>
        <w:t>城地区财政局：主要负责审</w:t>
      </w:r>
      <w:r>
        <w:rPr>
          <w:rFonts w:hint="eastAsia" w:ascii="仿宋_GB2312" w:eastAsia="仿宋_GB2312"/>
          <w:sz w:val="32"/>
          <w:szCs w:val="32"/>
        </w:rPr>
        <w:t>核专</w:t>
      </w:r>
      <w:r>
        <w:rPr>
          <w:rFonts w:ascii="仿宋_GB2312" w:eastAsia="仿宋_GB2312"/>
          <w:sz w:val="32"/>
          <w:szCs w:val="32"/>
        </w:rPr>
        <w:t>项资金的年度预算及项目资金</w:t>
      </w:r>
      <w:r>
        <w:rPr>
          <w:rFonts w:hint="eastAsia" w:ascii="仿宋_GB2312" w:eastAsia="仿宋_GB2312"/>
          <w:sz w:val="32"/>
          <w:szCs w:val="32"/>
        </w:rPr>
        <w:t>拨</w:t>
      </w:r>
      <w:r>
        <w:rPr>
          <w:rFonts w:ascii="仿宋_GB2312" w:eastAsia="仿宋_GB2312"/>
          <w:sz w:val="32"/>
          <w:szCs w:val="32"/>
        </w:rPr>
        <w:t>付管理</w:t>
      </w:r>
      <w:r>
        <w:rPr>
          <w:rFonts w:hint="eastAsia" w:ascii="仿宋_GB2312" w:eastAsia="仿宋_GB2312"/>
          <w:sz w:val="32"/>
          <w:szCs w:val="32"/>
        </w:rPr>
        <w:t>，</w:t>
      </w:r>
      <w:r>
        <w:rPr>
          <w:rFonts w:ascii="仿宋_GB2312" w:eastAsia="仿宋_GB2312"/>
          <w:sz w:val="32"/>
          <w:szCs w:val="32"/>
        </w:rPr>
        <w:t>协同各部门制</w:t>
      </w:r>
      <w:r>
        <w:rPr>
          <w:rFonts w:hint="eastAsia" w:ascii="仿宋_GB2312" w:eastAsia="仿宋_GB2312"/>
          <w:sz w:val="32"/>
          <w:szCs w:val="32"/>
        </w:rPr>
        <w:t>定</w:t>
      </w:r>
      <w:r>
        <w:rPr>
          <w:rFonts w:ascii="仿宋_GB2312" w:eastAsia="仿宋_GB2312"/>
          <w:sz w:val="32"/>
          <w:szCs w:val="32"/>
        </w:rPr>
        <w:t>专项资金管理办法，根据专项资金预算和项目公示结果、实施进度及时拨付资金，并对专项资金使用情况</w:t>
      </w:r>
      <w:r>
        <w:rPr>
          <w:rFonts w:hint="eastAsia" w:ascii="仿宋_GB2312" w:eastAsia="仿宋_GB2312"/>
          <w:sz w:val="32"/>
          <w:szCs w:val="32"/>
        </w:rPr>
        <w:t>进行</w:t>
      </w:r>
      <w:r>
        <w:rPr>
          <w:rFonts w:ascii="仿宋_GB2312" w:eastAsia="仿宋_GB2312"/>
          <w:sz w:val="32"/>
          <w:szCs w:val="32"/>
        </w:rPr>
        <w:t>绩效评价的监督检查。</w:t>
      </w:r>
    </w:p>
    <w:p w14:paraId="24150AF3">
      <w:pPr>
        <w:ind w:firstLine="640" w:firstLineChars="200"/>
        <w:rPr>
          <w:rFonts w:ascii="仿宋_GB2312" w:eastAsia="仿宋_GB2312"/>
          <w:sz w:val="32"/>
          <w:szCs w:val="32"/>
        </w:rPr>
      </w:pPr>
      <w:r>
        <w:rPr>
          <w:rFonts w:hint="eastAsia" w:ascii="仿宋_GB2312" w:eastAsia="仿宋_GB2312"/>
          <w:sz w:val="32"/>
          <w:szCs w:val="32"/>
        </w:rPr>
        <w:t>塔城地区机关事务管理局</w:t>
      </w:r>
      <w:r>
        <w:rPr>
          <w:rFonts w:ascii="仿宋_GB2312" w:eastAsia="仿宋_GB2312"/>
          <w:sz w:val="32"/>
          <w:szCs w:val="32"/>
        </w:rPr>
        <w:t>：组织项目申报、公开招</w:t>
      </w:r>
      <w:r>
        <w:rPr>
          <w:rFonts w:hint="eastAsia" w:ascii="仿宋_GB2312" w:eastAsia="仿宋_GB2312"/>
          <w:sz w:val="32"/>
          <w:szCs w:val="32"/>
        </w:rPr>
        <w:t>标</w:t>
      </w:r>
      <w:r>
        <w:rPr>
          <w:rFonts w:ascii="仿宋_GB2312" w:eastAsia="仿宋_GB2312"/>
          <w:sz w:val="32"/>
          <w:szCs w:val="32"/>
        </w:rPr>
        <w:t>、审核，并对项目实施情况进行监督检查，负责专项资金拨付管理。组织编制专项资金绩效目标和年度预算，负责项目总结和绩效评价自评工作；负责制定项目实施方案；指导、协调、监督、管理项目顺利实施。</w:t>
      </w:r>
    </w:p>
    <w:p w14:paraId="245EDE65">
      <w:pPr>
        <w:ind w:firstLine="640" w:firstLineChars="200"/>
        <w:rPr>
          <w:rFonts w:ascii="仿宋_GB2312" w:eastAsia="仿宋_GB2312"/>
          <w:sz w:val="32"/>
          <w:szCs w:val="32"/>
        </w:rPr>
      </w:pPr>
      <w:r>
        <w:rPr>
          <w:rFonts w:hint="eastAsia" w:ascii="仿宋_GB2312" w:eastAsia="仿宋_GB2312"/>
          <w:sz w:val="32"/>
          <w:szCs w:val="32"/>
        </w:rPr>
        <w:t>新疆正塔建筑安装有限公司</w:t>
      </w:r>
      <w:r>
        <w:rPr>
          <w:rFonts w:ascii="仿宋_GB2312" w:eastAsia="仿宋_GB2312"/>
          <w:sz w:val="32"/>
          <w:szCs w:val="32"/>
        </w:rPr>
        <w:t>：按照法律规定及合同约定组织完成工程</w:t>
      </w:r>
      <w:r>
        <w:rPr>
          <w:rFonts w:hint="eastAsia" w:ascii="仿宋_GB2312" w:eastAsia="仿宋_GB2312"/>
          <w:sz w:val="32"/>
          <w:szCs w:val="32"/>
        </w:rPr>
        <w:t>施</w:t>
      </w:r>
      <w:r>
        <w:rPr>
          <w:rFonts w:ascii="仿宋_GB2312" w:eastAsia="仿宋_GB2312"/>
          <w:sz w:val="32"/>
          <w:szCs w:val="32"/>
        </w:rPr>
        <w:t>工，确保工程质量和安全，不进行转包及违法分包，并在缺陷责任</w:t>
      </w:r>
      <w:r>
        <w:rPr>
          <w:rFonts w:hint="eastAsia" w:ascii="仿宋_GB2312" w:eastAsia="仿宋_GB2312"/>
          <w:sz w:val="32"/>
          <w:szCs w:val="32"/>
        </w:rPr>
        <w:t>期</w:t>
      </w:r>
      <w:r>
        <w:rPr>
          <w:rFonts w:ascii="仿宋_GB2312" w:eastAsia="仿宋_GB2312"/>
          <w:sz w:val="32"/>
          <w:szCs w:val="32"/>
        </w:rPr>
        <w:t>及保修期内承担相应的工程维修责任。</w:t>
      </w:r>
    </w:p>
    <w:p w14:paraId="5343F8E0">
      <w:pPr>
        <w:ind w:firstLine="640" w:firstLineChars="200"/>
        <w:rPr>
          <w:rFonts w:ascii="仿宋_GB2312" w:eastAsia="仿宋_GB2312"/>
          <w:sz w:val="32"/>
          <w:szCs w:val="32"/>
        </w:rPr>
      </w:pPr>
      <w:r>
        <w:rPr>
          <w:rFonts w:hint="eastAsia" w:ascii="仿宋_GB2312" w:eastAsia="仿宋_GB2312"/>
          <w:sz w:val="32"/>
          <w:szCs w:val="32"/>
        </w:rPr>
        <w:t>塔城地区建筑材料预制构件质量检测中心站:</w:t>
      </w:r>
      <w:r>
        <w:rPr>
          <w:rFonts w:ascii="仿宋_GB2312" w:eastAsia="仿宋_GB2312"/>
          <w:sz w:val="32"/>
          <w:szCs w:val="32"/>
        </w:rPr>
        <w:t>按照法律规定及合同约定组织完成</w:t>
      </w:r>
      <w:r>
        <w:rPr>
          <w:rFonts w:hint="eastAsia" w:ascii="仿宋_GB2312" w:eastAsia="仿宋_GB2312"/>
          <w:sz w:val="32"/>
          <w:szCs w:val="32"/>
        </w:rPr>
        <w:t>工程主体结构建筑材料及现场检测、功能性检测，确保检测工作质量。</w:t>
      </w:r>
    </w:p>
    <w:p w14:paraId="76318189">
      <w:pPr>
        <w:ind w:firstLine="640" w:firstLineChars="200"/>
        <w:rPr>
          <w:rFonts w:ascii="仿宋_GB2312" w:eastAsia="仿宋_GB2312"/>
          <w:sz w:val="32"/>
          <w:szCs w:val="32"/>
        </w:rPr>
      </w:pPr>
      <w:r>
        <w:rPr>
          <w:rFonts w:hint="eastAsia" w:ascii="仿宋_GB2312" w:eastAsia="仿宋_GB2312"/>
          <w:sz w:val="32"/>
          <w:szCs w:val="32"/>
        </w:rPr>
        <w:t>乌鲁木齐金安北方科技发展有限公司：</w:t>
      </w:r>
      <w:r>
        <w:rPr>
          <w:rFonts w:ascii="仿宋_GB2312" w:eastAsia="仿宋_GB2312"/>
          <w:sz w:val="32"/>
          <w:szCs w:val="32"/>
        </w:rPr>
        <w:t>按照法律规定及合同约定</w:t>
      </w:r>
      <w:r>
        <w:rPr>
          <w:rFonts w:hint="eastAsia" w:ascii="仿宋_GB2312" w:eastAsia="仿宋_GB2312"/>
          <w:sz w:val="32"/>
          <w:szCs w:val="32"/>
        </w:rPr>
        <w:t>，严格按照施工图纸或按双方协商好的点位图以及操作规程进行安防监控、停车场道闸、门禁、弱电系统施工</w:t>
      </w:r>
      <w:r>
        <w:rPr>
          <w:rFonts w:ascii="仿宋_GB2312" w:eastAsia="仿宋_GB2312"/>
          <w:sz w:val="32"/>
          <w:szCs w:val="32"/>
        </w:rPr>
        <w:t>。</w:t>
      </w:r>
    </w:p>
    <w:p w14:paraId="4AB3A841">
      <w:pPr>
        <w:ind w:firstLine="643" w:firstLineChars="200"/>
        <w:rPr>
          <w:rFonts w:ascii="楷体_GB2312" w:eastAsia="楷体_GB2312"/>
          <w:b/>
          <w:sz w:val="32"/>
          <w:szCs w:val="32"/>
        </w:rPr>
      </w:pPr>
      <w:r>
        <w:rPr>
          <w:rFonts w:hint="eastAsia" w:ascii="楷体_GB2312" w:eastAsia="楷体_GB2312"/>
          <w:b/>
          <w:sz w:val="32"/>
          <w:szCs w:val="32"/>
        </w:rPr>
        <w:t>（二）项目资金情况</w:t>
      </w:r>
    </w:p>
    <w:p w14:paraId="0EB3E654">
      <w:pPr>
        <w:ind w:firstLine="643" w:firstLineChars="200"/>
        <w:rPr>
          <w:rFonts w:ascii="仿宋_GB2312" w:eastAsia="仿宋_GB2312"/>
          <w:b/>
          <w:sz w:val="32"/>
          <w:szCs w:val="32"/>
        </w:rPr>
      </w:pPr>
      <w:r>
        <w:rPr>
          <w:rFonts w:hint="eastAsia" w:ascii="仿宋_GB2312" w:eastAsia="仿宋_GB2312"/>
          <w:b/>
          <w:sz w:val="32"/>
          <w:szCs w:val="32"/>
        </w:rPr>
        <w:t>1.预算情况</w:t>
      </w:r>
    </w:p>
    <w:p w14:paraId="6FA88D4A">
      <w:pPr>
        <w:ind w:firstLine="640" w:firstLineChars="200"/>
        <w:rPr>
          <w:rFonts w:ascii="仿宋_GB2312" w:eastAsia="仿宋_GB2312"/>
          <w:sz w:val="32"/>
          <w:szCs w:val="32"/>
        </w:rPr>
      </w:pPr>
      <w:r>
        <w:rPr>
          <w:rFonts w:hint="eastAsia" w:ascii="仿宋_GB2312" w:eastAsia="仿宋_GB2312"/>
          <w:sz w:val="32"/>
          <w:szCs w:val="32"/>
        </w:rPr>
        <w:t>该项目预算资金总额为</w:t>
      </w:r>
      <w:r>
        <w:rPr>
          <w:rFonts w:ascii="仿宋_GB2312" w:eastAsia="仿宋_GB2312"/>
          <w:sz w:val="32"/>
          <w:szCs w:val="32"/>
        </w:rPr>
        <w:t>425.57</w:t>
      </w:r>
      <w:r>
        <w:rPr>
          <w:rFonts w:hint="eastAsia" w:ascii="仿宋_GB2312" w:eastAsia="仿宋_GB2312"/>
          <w:sz w:val="32"/>
          <w:szCs w:val="32"/>
        </w:rPr>
        <w:t>万元，其中财政资金</w:t>
      </w:r>
      <w:r>
        <w:rPr>
          <w:rFonts w:ascii="仿宋_GB2312" w:eastAsia="仿宋_GB2312"/>
          <w:sz w:val="32"/>
          <w:szCs w:val="32"/>
        </w:rPr>
        <w:t>425.57</w:t>
      </w:r>
      <w:r>
        <w:rPr>
          <w:rFonts w:hint="eastAsia" w:ascii="仿宋_GB2312" w:eastAsia="仿宋_GB2312"/>
          <w:sz w:val="32"/>
          <w:szCs w:val="32"/>
        </w:rPr>
        <w:t>万元。实际到位资金</w:t>
      </w:r>
      <w:r>
        <w:rPr>
          <w:rFonts w:ascii="仿宋_GB2312" w:eastAsia="仿宋_GB2312"/>
          <w:sz w:val="32"/>
          <w:szCs w:val="32"/>
        </w:rPr>
        <w:t>425.57</w:t>
      </w:r>
      <w:r>
        <w:rPr>
          <w:rFonts w:hint="eastAsia" w:ascii="仿宋_GB2312" w:eastAsia="仿宋_GB2312"/>
          <w:sz w:val="32"/>
          <w:szCs w:val="32"/>
        </w:rPr>
        <w:t>万元，其中财政资金</w:t>
      </w:r>
      <w:r>
        <w:rPr>
          <w:rFonts w:ascii="仿宋_GB2312" w:eastAsia="仿宋_GB2312"/>
          <w:sz w:val="32"/>
          <w:szCs w:val="32"/>
        </w:rPr>
        <w:t>425.57</w:t>
      </w:r>
      <w:r>
        <w:rPr>
          <w:rFonts w:hint="eastAsia" w:ascii="仿宋_GB2312" w:eastAsia="仿宋_GB2312"/>
          <w:sz w:val="32"/>
          <w:szCs w:val="32"/>
        </w:rPr>
        <w:t>万元，资金到位率为</w:t>
      </w:r>
      <w:r>
        <w:rPr>
          <w:rFonts w:ascii="仿宋_GB2312" w:eastAsia="仿宋_GB2312"/>
          <w:sz w:val="32"/>
          <w:szCs w:val="32"/>
        </w:rPr>
        <w:t>100</w:t>
      </w:r>
      <w:r>
        <w:rPr>
          <w:rFonts w:hint="eastAsia" w:ascii="仿宋_GB2312" w:eastAsia="仿宋_GB2312"/>
          <w:sz w:val="32"/>
          <w:szCs w:val="32"/>
        </w:rPr>
        <w:t>%。</w:t>
      </w:r>
    </w:p>
    <w:p w14:paraId="3FCBD0E8">
      <w:pPr>
        <w:ind w:firstLine="643" w:firstLineChars="200"/>
        <w:rPr>
          <w:rFonts w:ascii="仿宋_GB2312" w:eastAsia="仿宋_GB2312"/>
          <w:b/>
          <w:sz w:val="32"/>
          <w:szCs w:val="32"/>
        </w:rPr>
      </w:pPr>
      <w:r>
        <w:rPr>
          <w:rFonts w:hint="eastAsia" w:ascii="仿宋_GB2312" w:eastAsia="仿宋_GB2312"/>
          <w:b/>
          <w:sz w:val="32"/>
          <w:szCs w:val="32"/>
        </w:rPr>
        <w:t>2.预算执行情况</w:t>
      </w:r>
    </w:p>
    <w:p w14:paraId="7CC81CEA">
      <w:pPr>
        <w:ind w:firstLine="640" w:firstLineChars="200"/>
        <w:rPr>
          <w:rFonts w:ascii="仿宋_GB2312" w:eastAsia="仿宋_GB2312"/>
          <w:sz w:val="32"/>
          <w:szCs w:val="32"/>
        </w:rPr>
      </w:pPr>
      <w:r>
        <w:rPr>
          <w:rFonts w:hint="eastAsia" w:ascii="仿宋_GB2312" w:eastAsia="仿宋_GB2312"/>
          <w:sz w:val="32"/>
          <w:szCs w:val="32"/>
        </w:rPr>
        <w:t>该项目实际支出资金总额为</w:t>
      </w:r>
      <w:r>
        <w:rPr>
          <w:rFonts w:ascii="仿宋_GB2312" w:eastAsia="仿宋_GB2312"/>
          <w:sz w:val="32"/>
          <w:szCs w:val="32"/>
        </w:rPr>
        <w:t>425.46</w:t>
      </w:r>
      <w:r>
        <w:rPr>
          <w:rFonts w:hint="eastAsia" w:ascii="仿宋_GB2312" w:eastAsia="仿宋_GB2312"/>
          <w:sz w:val="32"/>
          <w:szCs w:val="32"/>
        </w:rPr>
        <w:t>万元，预算资金执行率为</w:t>
      </w:r>
      <w:r>
        <w:rPr>
          <w:rFonts w:ascii="仿宋_GB2312" w:eastAsia="仿宋_GB2312"/>
          <w:sz w:val="32"/>
          <w:szCs w:val="32"/>
        </w:rPr>
        <w:t>99.97</w:t>
      </w:r>
      <w:r>
        <w:rPr>
          <w:rFonts w:hint="eastAsia" w:ascii="仿宋_GB2312" w:eastAsia="仿宋_GB2312"/>
          <w:sz w:val="32"/>
          <w:szCs w:val="32"/>
        </w:rPr>
        <w:t>%。详细资金支出明细见“表1-1：项目预算资金支出明细表”。</w:t>
      </w:r>
    </w:p>
    <w:p w14:paraId="0E368B34">
      <w:pPr>
        <w:jc w:val="center"/>
        <w:rPr>
          <w:rFonts w:ascii="仿宋_GB2312" w:eastAsia="仿宋_GB2312"/>
          <w:sz w:val="28"/>
          <w:szCs w:val="28"/>
        </w:rPr>
      </w:pPr>
      <w:r>
        <w:rPr>
          <w:rFonts w:hint="eastAsia" w:ascii="仿宋_GB2312" w:eastAsia="仿宋_GB2312"/>
          <w:sz w:val="28"/>
          <w:szCs w:val="28"/>
        </w:rPr>
        <w:t>表1-1：项目预算资金支出明细表</w:t>
      </w:r>
    </w:p>
    <w:p w14:paraId="3D27C115">
      <w:pPr>
        <w:ind w:firstLine="4830" w:firstLineChars="2300"/>
        <w:jc w:val="right"/>
        <w:rPr>
          <w:rFonts w:ascii="仿宋_GB2312" w:eastAsia="仿宋_GB2312"/>
          <w:szCs w:val="21"/>
        </w:rPr>
      </w:pPr>
      <w:r>
        <w:rPr>
          <w:rFonts w:hint="eastAsia" w:ascii="仿宋_GB2312" w:eastAsia="仿宋_GB2312"/>
          <w:szCs w:val="21"/>
        </w:rPr>
        <w:t>单位：万元</w:t>
      </w:r>
    </w:p>
    <w:tbl>
      <w:tblPr>
        <w:tblStyle w:val="5"/>
        <w:tblW w:w="8291" w:type="dxa"/>
        <w:tblInd w:w="0" w:type="dxa"/>
        <w:tblLayout w:type="fixed"/>
        <w:tblCellMar>
          <w:top w:w="0" w:type="dxa"/>
          <w:left w:w="0" w:type="dxa"/>
          <w:bottom w:w="0" w:type="dxa"/>
          <w:right w:w="0" w:type="dxa"/>
        </w:tblCellMar>
      </w:tblPr>
      <w:tblGrid>
        <w:gridCol w:w="444"/>
        <w:gridCol w:w="868"/>
        <w:gridCol w:w="4831"/>
        <w:gridCol w:w="864"/>
        <w:gridCol w:w="1284"/>
      </w:tblGrid>
      <w:tr w14:paraId="2956A3DF">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2B3714">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序号</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B5A2E4">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类别</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56DF68">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单位名称</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187E8ED">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合同金额</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8EEC7F">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实际支出金额</w:t>
            </w:r>
          </w:p>
        </w:tc>
      </w:tr>
      <w:tr w14:paraId="5237F736">
        <w:tblPrEx>
          <w:tblCellMar>
            <w:top w:w="0" w:type="dxa"/>
            <w:left w:w="0" w:type="dxa"/>
            <w:bottom w:w="0" w:type="dxa"/>
            <w:right w:w="0" w:type="dxa"/>
          </w:tblCellMar>
        </w:tblPrEx>
        <w:trPr>
          <w:trHeight w:val="90"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5A81CE">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1</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3B88B37">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检测</w:t>
            </w:r>
            <w:r>
              <w:rPr>
                <w:rFonts w:ascii="仿宋_GB2312" w:eastAsia="仿宋_GB2312" w:cs="仿宋_GB2312"/>
                <w:color w:val="000000"/>
                <w:szCs w:val="21"/>
              </w:rPr>
              <w:t>费</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DFEE82C">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塔城地区建筑材料预制构件质量检测中心站</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2E550D9">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23.70</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B874DFA">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23.70</w:t>
            </w:r>
          </w:p>
        </w:tc>
      </w:tr>
      <w:tr w14:paraId="4F6274EB">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D184D0">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2</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2AC0A3">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施</w:t>
            </w:r>
            <w:r>
              <w:rPr>
                <w:rFonts w:ascii="仿宋_GB2312" w:eastAsia="仿宋_GB2312" w:cs="仿宋_GB2312"/>
                <w:color w:val="000000"/>
                <w:szCs w:val="21"/>
              </w:rPr>
              <w:t>工费</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9B6014D">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新疆正塔建筑安装有限公司</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A27EE2E">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47</w:t>
            </w:r>
            <w:r>
              <w:rPr>
                <w:rFonts w:ascii="仿宋_GB2312" w:eastAsia="仿宋_GB2312" w:cs="仿宋_GB2312"/>
                <w:color w:val="000000"/>
                <w:szCs w:val="21"/>
              </w:rPr>
              <w:t>4</w:t>
            </w:r>
            <w:r>
              <w:rPr>
                <w:rFonts w:hint="eastAsia" w:ascii="仿宋_GB2312" w:eastAsia="仿宋_GB2312" w:cs="仿宋_GB2312"/>
                <w:color w:val="000000"/>
                <w:szCs w:val="21"/>
              </w:rPr>
              <w:t>6.27</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86A38C">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374.26</w:t>
            </w:r>
          </w:p>
        </w:tc>
      </w:tr>
      <w:tr w14:paraId="1F33704C">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6535937">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3</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8668D7">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安</w:t>
            </w:r>
            <w:r>
              <w:rPr>
                <w:rFonts w:ascii="仿宋_GB2312" w:eastAsia="仿宋_GB2312" w:cs="仿宋_GB2312"/>
                <w:color w:val="000000"/>
                <w:szCs w:val="21"/>
              </w:rPr>
              <w:t>防设备</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ED2B4F1">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乌鲁木齐金安北方科技发展有限公司</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5FEF9AE">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33.83</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776D9D">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17.96</w:t>
            </w:r>
          </w:p>
        </w:tc>
      </w:tr>
      <w:tr w14:paraId="70F4075E">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6907EC">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4</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D020EBD">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检测</w:t>
            </w:r>
            <w:r>
              <w:rPr>
                <w:rFonts w:ascii="仿宋_GB2312" w:eastAsia="仿宋_GB2312" w:cs="仿宋_GB2312"/>
                <w:color w:val="000000"/>
                <w:szCs w:val="21"/>
              </w:rPr>
              <w:t>费</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448507">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塔城地区居安室内环境检测有限公司</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4DFFDF7">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2.73</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1E2C24">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2.73</w:t>
            </w:r>
          </w:p>
        </w:tc>
      </w:tr>
      <w:tr w14:paraId="604C39D4">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820E14F">
            <w:pPr>
              <w:keepNext/>
              <w:keepLines/>
              <w:widowControl/>
              <w:jc w:val="center"/>
              <w:textAlignment w:val="center"/>
              <w:rPr>
                <w:rFonts w:ascii="仿宋_GB2312" w:eastAsia="仿宋_GB2312" w:cs="仿宋_GB2312"/>
                <w:color w:val="000000"/>
                <w:kern w:val="0"/>
                <w:szCs w:val="21"/>
                <w:lang w:bidi="ar"/>
              </w:rPr>
            </w:pPr>
            <w:r>
              <w:rPr>
                <w:rFonts w:hint="eastAsia" w:ascii="仿宋_GB2312" w:eastAsia="仿宋_GB2312" w:cs="仿宋_GB2312"/>
                <w:color w:val="000000"/>
                <w:kern w:val="0"/>
                <w:szCs w:val="21"/>
                <w:lang w:bidi="ar"/>
              </w:rPr>
              <w:t>5</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E6BC4B5">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检测</w:t>
            </w:r>
            <w:r>
              <w:rPr>
                <w:rFonts w:ascii="仿宋_GB2312" w:eastAsia="仿宋_GB2312" w:cs="仿宋_GB2312"/>
                <w:color w:val="000000"/>
                <w:szCs w:val="21"/>
              </w:rPr>
              <w:t>费</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7F58390">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昌吉州吉云防雷技术服务有限公司塔城分公司</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FA8D81D">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0.99</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997B65A">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0.99</w:t>
            </w:r>
          </w:p>
        </w:tc>
      </w:tr>
      <w:tr w14:paraId="7BF1497F">
        <w:tblPrEx>
          <w:tblCellMar>
            <w:top w:w="0" w:type="dxa"/>
            <w:left w:w="0" w:type="dxa"/>
            <w:bottom w:w="0" w:type="dxa"/>
            <w:right w:w="0" w:type="dxa"/>
          </w:tblCellMar>
        </w:tblPrEx>
        <w:trPr>
          <w:trHeight w:val="351"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A6DF0FB">
            <w:pPr>
              <w:keepNext/>
              <w:keepLines/>
              <w:widowControl/>
              <w:jc w:val="center"/>
              <w:textAlignment w:val="center"/>
              <w:rPr>
                <w:rFonts w:ascii="仿宋_GB2312" w:eastAsia="仿宋_GB2312" w:cs="仿宋_GB2312"/>
                <w:color w:val="000000"/>
                <w:kern w:val="0"/>
                <w:szCs w:val="21"/>
                <w:lang w:bidi="ar"/>
              </w:rPr>
            </w:pPr>
            <w:r>
              <w:rPr>
                <w:rFonts w:hint="eastAsia" w:ascii="仿宋_GB2312" w:eastAsia="仿宋_GB2312" w:cs="仿宋_GB2312"/>
                <w:color w:val="000000"/>
                <w:kern w:val="0"/>
                <w:szCs w:val="21"/>
                <w:lang w:bidi="ar"/>
              </w:rPr>
              <w:t>6</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69266D6">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审</w:t>
            </w:r>
            <w:r>
              <w:rPr>
                <w:rFonts w:ascii="仿宋_GB2312" w:eastAsia="仿宋_GB2312" w:cs="仿宋_GB2312"/>
                <w:color w:val="000000"/>
                <w:szCs w:val="21"/>
              </w:rPr>
              <w:t>图费</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4A1F8DD">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新疆润宏图工程技术咨询有限责任公司</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9E75D6">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0.46</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1FCBB07">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0.46</w:t>
            </w:r>
          </w:p>
        </w:tc>
      </w:tr>
      <w:tr w14:paraId="6F88E13D">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E43C876">
            <w:pPr>
              <w:keepNext/>
              <w:keepLines/>
              <w:widowControl/>
              <w:jc w:val="center"/>
              <w:textAlignment w:val="center"/>
              <w:rPr>
                <w:rFonts w:ascii="仿宋_GB2312" w:eastAsia="仿宋_GB2312" w:cs="仿宋_GB2312"/>
                <w:color w:val="000000"/>
                <w:kern w:val="0"/>
                <w:szCs w:val="21"/>
                <w:lang w:bidi="ar"/>
              </w:rPr>
            </w:pPr>
            <w:r>
              <w:rPr>
                <w:rFonts w:hint="eastAsia" w:ascii="仿宋_GB2312" w:eastAsia="仿宋_GB2312" w:cs="仿宋_GB2312"/>
                <w:color w:val="000000"/>
                <w:kern w:val="0"/>
                <w:szCs w:val="21"/>
                <w:lang w:bidi="ar"/>
              </w:rPr>
              <w:t>7</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C59281">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审</w:t>
            </w:r>
            <w:r>
              <w:rPr>
                <w:rFonts w:ascii="仿宋_GB2312" w:eastAsia="仿宋_GB2312" w:cs="仿宋_GB2312"/>
                <w:color w:val="000000"/>
                <w:szCs w:val="21"/>
              </w:rPr>
              <w:t>图费</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6E4E418">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新疆润宏图工程技术咨询有限责任公司</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E52F7D7">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0.60</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1765EB4">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0.60</w:t>
            </w:r>
          </w:p>
        </w:tc>
      </w:tr>
      <w:tr w14:paraId="2203E1E5">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EFBDF62">
            <w:pPr>
              <w:keepNext/>
              <w:keepLines/>
              <w:widowControl/>
              <w:jc w:val="center"/>
              <w:textAlignment w:val="center"/>
              <w:rPr>
                <w:rFonts w:ascii="仿宋_GB2312" w:eastAsia="仿宋_GB2312" w:cs="仿宋_GB2312"/>
                <w:color w:val="000000"/>
                <w:kern w:val="0"/>
                <w:szCs w:val="21"/>
                <w:lang w:bidi="ar"/>
              </w:rPr>
            </w:pPr>
            <w:r>
              <w:rPr>
                <w:rFonts w:hint="eastAsia" w:ascii="仿宋_GB2312" w:eastAsia="仿宋_GB2312" w:cs="仿宋_GB2312"/>
                <w:color w:val="000000"/>
                <w:kern w:val="0"/>
                <w:szCs w:val="21"/>
                <w:lang w:bidi="ar"/>
              </w:rPr>
              <w:t>8</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55F8964">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检测</w:t>
            </w:r>
            <w:r>
              <w:rPr>
                <w:rFonts w:ascii="仿宋_GB2312" w:eastAsia="仿宋_GB2312" w:cs="仿宋_GB2312"/>
                <w:color w:val="000000"/>
                <w:szCs w:val="21"/>
              </w:rPr>
              <w:t>费</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176D62D">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新疆睿邦恒诚建设工程检测技术服务有限责任公司</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6071C9">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0.30</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DF4B10B">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0.30</w:t>
            </w:r>
          </w:p>
        </w:tc>
      </w:tr>
      <w:tr w14:paraId="38EEC135">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4358C1">
            <w:pPr>
              <w:keepNext/>
              <w:keepLines/>
              <w:widowControl/>
              <w:jc w:val="center"/>
              <w:textAlignment w:val="center"/>
              <w:rPr>
                <w:rFonts w:ascii="仿宋_GB2312" w:eastAsia="仿宋_GB2312" w:cs="仿宋_GB2312"/>
                <w:color w:val="000000"/>
                <w:kern w:val="0"/>
                <w:szCs w:val="21"/>
                <w:lang w:bidi="ar"/>
              </w:rPr>
            </w:pPr>
            <w:r>
              <w:rPr>
                <w:rFonts w:hint="eastAsia" w:ascii="仿宋_GB2312" w:eastAsia="仿宋_GB2312" w:cs="仿宋_GB2312"/>
                <w:color w:val="000000"/>
                <w:kern w:val="0"/>
                <w:szCs w:val="21"/>
                <w:lang w:bidi="ar"/>
              </w:rPr>
              <w:t>9</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079D359">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制作</w:t>
            </w:r>
            <w:r>
              <w:rPr>
                <w:rFonts w:ascii="仿宋_GB2312" w:eastAsia="仿宋_GB2312" w:cs="仿宋_GB2312"/>
                <w:color w:val="000000"/>
                <w:szCs w:val="21"/>
              </w:rPr>
              <w:t>费</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B6B4BC3">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塔城市领钰广告装饰部</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C9B6FA2">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0.46</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4B11271">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0.46</w:t>
            </w:r>
          </w:p>
        </w:tc>
      </w:tr>
      <w:tr w14:paraId="588B4086">
        <w:tblPrEx>
          <w:tblCellMar>
            <w:top w:w="0" w:type="dxa"/>
            <w:left w:w="0" w:type="dxa"/>
            <w:bottom w:w="0" w:type="dxa"/>
            <w:right w:w="0" w:type="dxa"/>
          </w:tblCellMar>
        </w:tblPrEx>
        <w:trPr>
          <w:trHeight w:val="288" w:hRule="atLeast"/>
        </w:trPr>
        <w:tc>
          <w:tcPr>
            <w:tcW w:w="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37A8B1">
            <w:pPr>
              <w:keepNext/>
              <w:keepLines/>
              <w:widowControl/>
              <w:jc w:val="center"/>
              <w:textAlignment w:val="center"/>
              <w:rPr>
                <w:rFonts w:ascii="仿宋_GB2312" w:eastAsia="仿宋_GB2312" w:cs="仿宋_GB2312"/>
                <w:color w:val="000000"/>
                <w:kern w:val="0"/>
                <w:szCs w:val="21"/>
                <w:lang w:bidi="ar"/>
              </w:rPr>
            </w:pPr>
            <w:r>
              <w:rPr>
                <w:rFonts w:hint="eastAsia" w:ascii="仿宋_GB2312" w:eastAsia="仿宋_GB2312" w:cs="仿宋_GB2312"/>
                <w:color w:val="000000"/>
                <w:kern w:val="0"/>
                <w:szCs w:val="21"/>
                <w:lang w:bidi="ar"/>
              </w:rPr>
              <w:t>10</w:t>
            </w:r>
          </w:p>
        </w:tc>
        <w:tc>
          <w:tcPr>
            <w:tcW w:w="8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0ADEB8">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设备</w:t>
            </w:r>
            <w:r>
              <w:rPr>
                <w:rFonts w:ascii="仿宋_GB2312" w:eastAsia="仿宋_GB2312" w:cs="仿宋_GB2312"/>
                <w:color w:val="000000"/>
                <w:szCs w:val="21"/>
              </w:rPr>
              <w:t>购置</w:t>
            </w:r>
          </w:p>
        </w:tc>
        <w:tc>
          <w:tcPr>
            <w:tcW w:w="48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31FC90">
            <w:pPr>
              <w:keepNext/>
              <w:keepLines/>
              <w:widowControl/>
              <w:jc w:val="left"/>
              <w:textAlignment w:val="center"/>
              <w:rPr>
                <w:rFonts w:ascii="仿宋_GB2312" w:eastAsia="仿宋_GB2312" w:cs="仿宋_GB2312"/>
                <w:color w:val="000000"/>
                <w:szCs w:val="21"/>
              </w:rPr>
            </w:pPr>
            <w:r>
              <w:rPr>
                <w:rFonts w:hint="eastAsia" w:ascii="仿宋_GB2312" w:eastAsia="仿宋_GB2312" w:cs="仿宋_GB2312"/>
                <w:color w:val="000000"/>
                <w:szCs w:val="21"/>
              </w:rPr>
              <w:t>山东华昱压力容器股份有限公司</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E4851D1">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46.90</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2532248">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4.00</w:t>
            </w:r>
          </w:p>
        </w:tc>
      </w:tr>
      <w:tr w14:paraId="182A5DC9">
        <w:tblPrEx>
          <w:tblCellMar>
            <w:top w:w="0" w:type="dxa"/>
            <w:left w:w="0" w:type="dxa"/>
            <w:bottom w:w="0" w:type="dxa"/>
            <w:right w:w="0" w:type="dxa"/>
          </w:tblCellMar>
        </w:tblPrEx>
        <w:trPr>
          <w:trHeight w:val="288" w:hRule="atLeast"/>
        </w:trPr>
        <w:tc>
          <w:tcPr>
            <w:tcW w:w="6143"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8D1D811">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kern w:val="0"/>
                <w:szCs w:val="21"/>
                <w:lang w:bidi="ar"/>
              </w:rPr>
              <w:t>合计</w:t>
            </w:r>
          </w:p>
        </w:tc>
        <w:tc>
          <w:tcPr>
            <w:tcW w:w="8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057AE13">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4856.23</w:t>
            </w:r>
          </w:p>
        </w:tc>
        <w:tc>
          <w:tcPr>
            <w:tcW w:w="12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F17ECDD">
            <w:pPr>
              <w:keepNext/>
              <w:keepLines/>
              <w:widowControl/>
              <w:jc w:val="center"/>
              <w:textAlignment w:val="center"/>
              <w:rPr>
                <w:rFonts w:ascii="仿宋_GB2312" w:eastAsia="仿宋_GB2312" w:cs="仿宋_GB2312"/>
                <w:color w:val="000000"/>
                <w:szCs w:val="21"/>
              </w:rPr>
            </w:pPr>
            <w:r>
              <w:rPr>
                <w:rFonts w:hint="eastAsia" w:ascii="仿宋_GB2312" w:eastAsia="仿宋_GB2312" w:cs="仿宋_GB2312"/>
                <w:color w:val="000000"/>
                <w:szCs w:val="21"/>
              </w:rPr>
              <w:t>425.46</w:t>
            </w:r>
          </w:p>
        </w:tc>
      </w:tr>
    </w:tbl>
    <w:p w14:paraId="5DD3D907">
      <w:pPr>
        <w:ind w:firstLine="643" w:firstLineChars="200"/>
        <w:rPr>
          <w:rFonts w:ascii="楷体_GB2312" w:eastAsia="楷体_GB2312"/>
          <w:b/>
          <w:sz w:val="32"/>
          <w:szCs w:val="32"/>
        </w:rPr>
      </w:pPr>
      <w:r>
        <w:rPr>
          <w:rFonts w:hint="eastAsia" w:ascii="楷体_GB2312" w:eastAsia="楷体_GB2312"/>
          <w:b/>
          <w:sz w:val="32"/>
          <w:szCs w:val="32"/>
        </w:rPr>
        <w:t>（三）绩效目标</w:t>
      </w:r>
    </w:p>
    <w:p w14:paraId="692E642B">
      <w:pPr>
        <w:ind w:firstLine="643" w:firstLineChars="200"/>
        <w:rPr>
          <w:rFonts w:ascii="仿宋_GB2312" w:eastAsia="仿宋_GB2312"/>
          <w:b/>
          <w:sz w:val="32"/>
          <w:szCs w:val="32"/>
        </w:rPr>
      </w:pPr>
      <w:r>
        <w:rPr>
          <w:rFonts w:hint="eastAsia" w:ascii="仿宋_GB2312" w:eastAsia="仿宋_GB2312"/>
          <w:b/>
          <w:sz w:val="32"/>
          <w:szCs w:val="32"/>
        </w:rPr>
        <w:t>1.总体目标</w:t>
      </w:r>
    </w:p>
    <w:p w14:paraId="65238CE2">
      <w:pPr>
        <w:ind w:firstLine="640" w:firstLineChars="200"/>
        <w:rPr>
          <w:rFonts w:ascii="仿宋_GB2312" w:eastAsia="仿宋_GB2312"/>
          <w:b/>
          <w:sz w:val="32"/>
          <w:szCs w:val="32"/>
        </w:rPr>
      </w:pPr>
      <w:r>
        <w:rPr>
          <w:rFonts w:hint="eastAsia" w:ascii="仿宋_GB2312" w:eastAsia="仿宋_GB2312"/>
          <w:color w:val="333333"/>
          <w:sz w:val="32"/>
          <w:szCs w:val="32"/>
          <w:shd w:val="clear" w:color="auto" w:fill="FFFFFF"/>
        </w:rPr>
        <w:t>塔</w:t>
      </w:r>
      <w:r>
        <w:rPr>
          <w:rFonts w:ascii="仿宋_GB2312" w:eastAsia="仿宋_GB2312"/>
          <w:color w:val="333333"/>
          <w:sz w:val="32"/>
          <w:szCs w:val="32"/>
          <w:shd w:val="clear" w:color="auto" w:fill="FFFFFF"/>
        </w:rPr>
        <w:t>城</w:t>
      </w:r>
      <w:r>
        <w:rPr>
          <w:rFonts w:hint="eastAsia" w:ascii="仿宋_GB2312" w:eastAsia="仿宋_GB2312"/>
          <w:color w:val="333333"/>
          <w:sz w:val="32"/>
          <w:szCs w:val="32"/>
          <w:shd w:val="clear" w:color="auto" w:fill="FFFFFF"/>
        </w:rPr>
        <w:t>人才公寓楼建设是地委、行署关注民生、改善民生、构建和谐社会的重要举措。该项目的实施对解决在来地区工作的人才家庭住房问题，有助于改善和提高他们的生活水平，是政府履行住房保障职能的具体体现。</w:t>
      </w:r>
    </w:p>
    <w:p w14:paraId="0E6535C9">
      <w:pPr>
        <w:ind w:firstLine="643" w:firstLineChars="200"/>
        <w:rPr>
          <w:rFonts w:ascii="仿宋_GB2312" w:eastAsia="仿宋_GB2312"/>
          <w:b/>
          <w:sz w:val="32"/>
          <w:szCs w:val="32"/>
        </w:rPr>
      </w:pPr>
      <w:r>
        <w:rPr>
          <w:rFonts w:hint="eastAsia" w:ascii="仿宋_GB2312" w:eastAsia="仿宋_GB2312"/>
          <w:b/>
          <w:sz w:val="32"/>
          <w:szCs w:val="32"/>
        </w:rPr>
        <w:t>2.年度绩效目标</w:t>
      </w:r>
    </w:p>
    <w:tbl>
      <w:tblPr>
        <w:tblStyle w:val="5"/>
        <w:tblW w:w="8359" w:type="dxa"/>
        <w:tblInd w:w="0" w:type="dxa"/>
        <w:tblLayout w:type="fixed"/>
        <w:tblCellMar>
          <w:top w:w="0" w:type="dxa"/>
          <w:left w:w="108" w:type="dxa"/>
          <w:bottom w:w="0" w:type="dxa"/>
          <w:right w:w="108" w:type="dxa"/>
        </w:tblCellMar>
      </w:tblPr>
      <w:tblGrid>
        <w:gridCol w:w="1555"/>
        <w:gridCol w:w="1701"/>
        <w:gridCol w:w="2551"/>
        <w:gridCol w:w="2552"/>
      </w:tblGrid>
      <w:tr w14:paraId="613F1C92">
        <w:tblPrEx>
          <w:tblCellMar>
            <w:top w:w="0" w:type="dxa"/>
            <w:left w:w="108" w:type="dxa"/>
            <w:bottom w:w="0" w:type="dxa"/>
            <w:right w:w="108" w:type="dxa"/>
          </w:tblCellMar>
        </w:tblPrEx>
        <w:trPr>
          <w:trHeight w:val="379" w:hRule="atLeast"/>
        </w:trPr>
        <w:tc>
          <w:tcPr>
            <w:tcW w:w="1555" w:type="dxa"/>
            <w:tcBorders>
              <w:top w:val="single" w:color="auto" w:sz="4" w:space="0"/>
              <w:left w:val="single" w:color="auto" w:sz="4" w:space="0"/>
              <w:bottom w:val="single" w:color="auto" w:sz="4" w:space="0"/>
              <w:right w:val="single" w:color="auto" w:sz="4" w:space="0"/>
            </w:tcBorders>
            <w:shd w:val="clear" w:color="auto" w:fill="auto"/>
            <w:vAlign w:val="center"/>
          </w:tcPr>
          <w:p w14:paraId="7395617F">
            <w:pPr>
              <w:widowControl/>
              <w:jc w:val="center"/>
              <w:rPr>
                <w:rFonts w:ascii="宋体" w:hAnsi="宋体" w:eastAsia="宋体" w:cs="宋体"/>
                <w:kern w:val="0"/>
                <w:sz w:val="20"/>
                <w:szCs w:val="20"/>
              </w:rPr>
            </w:pPr>
            <w:r>
              <w:rPr>
                <w:rFonts w:hint="eastAsia" w:ascii="宋体" w:hAnsi="宋体" w:eastAsia="宋体" w:cs="宋体"/>
                <w:kern w:val="0"/>
                <w:sz w:val="20"/>
                <w:szCs w:val="20"/>
              </w:rPr>
              <w:t>一级指标</w:t>
            </w:r>
          </w:p>
        </w:tc>
        <w:tc>
          <w:tcPr>
            <w:tcW w:w="1701" w:type="dxa"/>
            <w:tcBorders>
              <w:top w:val="single" w:color="auto" w:sz="4" w:space="0"/>
              <w:left w:val="nil"/>
              <w:bottom w:val="single" w:color="auto" w:sz="4" w:space="0"/>
              <w:right w:val="single" w:color="auto" w:sz="4" w:space="0"/>
            </w:tcBorders>
            <w:shd w:val="clear" w:color="auto" w:fill="auto"/>
            <w:vAlign w:val="center"/>
          </w:tcPr>
          <w:p w14:paraId="4FA73F34">
            <w:pPr>
              <w:widowControl/>
              <w:jc w:val="center"/>
              <w:rPr>
                <w:rFonts w:ascii="宋体" w:hAnsi="宋体" w:eastAsia="宋体" w:cs="宋体"/>
                <w:kern w:val="0"/>
                <w:sz w:val="20"/>
                <w:szCs w:val="20"/>
              </w:rPr>
            </w:pPr>
            <w:r>
              <w:rPr>
                <w:rFonts w:hint="eastAsia" w:ascii="宋体" w:hAnsi="宋体" w:eastAsia="宋体" w:cs="宋体"/>
                <w:kern w:val="0"/>
                <w:sz w:val="20"/>
                <w:szCs w:val="20"/>
              </w:rPr>
              <w:t>二级指标</w:t>
            </w:r>
          </w:p>
        </w:tc>
        <w:tc>
          <w:tcPr>
            <w:tcW w:w="2551" w:type="dxa"/>
            <w:tcBorders>
              <w:top w:val="single" w:color="auto" w:sz="4" w:space="0"/>
              <w:left w:val="nil"/>
              <w:bottom w:val="single" w:color="auto" w:sz="4" w:space="0"/>
              <w:right w:val="single" w:color="auto" w:sz="4" w:space="0"/>
            </w:tcBorders>
            <w:shd w:val="clear" w:color="auto" w:fill="auto"/>
            <w:vAlign w:val="center"/>
          </w:tcPr>
          <w:p w14:paraId="0CA03937">
            <w:pPr>
              <w:widowControl/>
              <w:jc w:val="center"/>
              <w:rPr>
                <w:rFonts w:ascii="宋体" w:hAnsi="宋体" w:eastAsia="宋体" w:cs="宋体"/>
                <w:kern w:val="0"/>
                <w:sz w:val="20"/>
                <w:szCs w:val="20"/>
              </w:rPr>
            </w:pPr>
            <w:r>
              <w:rPr>
                <w:rFonts w:hint="eastAsia" w:ascii="宋体" w:hAnsi="宋体" w:eastAsia="宋体" w:cs="宋体"/>
                <w:kern w:val="0"/>
                <w:sz w:val="20"/>
                <w:szCs w:val="20"/>
              </w:rPr>
              <w:t>三级指标</w:t>
            </w:r>
          </w:p>
        </w:tc>
        <w:tc>
          <w:tcPr>
            <w:tcW w:w="2552" w:type="dxa"/>
            <w:tcBorders>
              <w:top w:val="single" w:color="auto" w:sz="4" w:space="0"/>
              <w:left w:val="nil"/>
              <w:bottom w:val="single" w:color="auto" w:sz="4" w:space="0"/>
              <w:right w:val="single" w:color="auto" w:sz="4" w:space="0"/>
            </w:tcBorders>
            <w:shd w:val="clear" w:color="auto" w:fill="auto"/>
            <w:vAlign w:val="center"/>
          </w:tcPr>
          <w:p w14:paraId="1A57E86A">
            <w:pPr>
              <w:widowControl/>
              <w:jc w:val="center"/>
              <w:rPr>
                <w:rFonts w:ascii="宋体" w:hAnsi="宋体" w:eastAsia="宋体" w:cs="宋体"/>
                <w:kern w:val="0"/>
                <w:sz w:val="20"/>
                <w:szCs w:val="20"/>
              </w:rPr>
            </w:pPr>
            <w:r>
              <w:rPr>
                <w:rFonts w:hint="eastAsia" w:ascii="宋体" w:hAnsi="宋体" w:eastAsia="宋体" w:cs="宋体"/>
                <w:kern w:val="0"/>
                <w:sz w:val="20"/>
                <w:szCs w:val="20"/>
              </w:rPr>
              <w:t>指标值</w:t>
            </w:r>
          </w:p>
        </w:tc>
      </w:tr>
      <w:tr w14:paraId="781A3DEB">
        <w:tblPrEx>
          <w:tblCellMar>
            <w:top w:w="0" w:type="dxa"/>
            <w:left w:w="108" w:type="dxa"/>
            <w:bottom w:w="0" w:type="dxa"/>
            <w:right w:w="108" w:type="dxa"/>
          </w:tblCellMar>
        </w:tblPrEx>
        <w:trPr>
          <w:trHeight w:val="402" w:hRule="atLeast"/>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14:paraId="7361BE80">
            <w:pPr>
              <w:widowControl/>
              <w:jc w:val="center"/>
              <w:rPr>
                <w:rFonts w:ascii="宋体" w:hAnsi="宋体" w:eastAsia="宋体" w:cs="宋体"/>
                <w:kern w:val="0"/>
                <w:sz w:val="20"/>
                <w:szCs w:val="20"/>
              </w:rPr>
            </w:pPr>
            <w:r>
              <w:rPr>
                <w:rFonts w:hint="eastAsia" w:ascii="宋体" w:hAnsi="宋体" w:eastAsia="宋体" w:cs="宋体"/>
                <w:kern w:val="0"/>
                <w:sz w:val="20"/>
                <w:szCs w:val="20"/>
              </w:rPr>
              <w:t>产出指标</w:t>
            </w:r>
          </w:p>
        </w:tc>
        <w:tc>
          <w:tcPr>
            <w:tcW w:w="1701" w:type="dxa"/>
            <w:vMerge w:val="restart"/>
            <w:tcBorders>
              <w:top w:val="nil"/>
              <w:left w:val="single" w:color="auto" w:sz="4" w:space="0"/>
              <w:bottom w:val="single" w:color="auto" w:sz="4" w:space="0"/>
              <w:right w:val="single" w:color="auto" w:sz="4" w:space="0"/>
            </w:tcBorders>
            <w:shd w:val="clear" w:color="auto" w:fill="auto"/>
            <w:vAlign w:val="center"/>
          </w:tcPr>
          <w:p w14:paraId="7FE16866">
            <w:pPr>
              <w:widowControl/>
              <w:jc w:val="center"/>
              <w:rPr>
                <w:rFonts w:ascii="宋体" w:hAnsi="宋体" w:eastAsia="宋体" w:cs="宋体"/>
                <w:kern w:val="0"/>
                <w:sz w:val="20"/>
                <w:szCs w:val="20"/>
              </w:rPr>
            </w:pPr>
            <w:r>
              <w:rPr>
                <w:rFonts w:hint="eastAsia" w:ascii="宋体" w:hAnsi="宋体" w:eastAsia="宋体" w:cs="宋体"/>
                <w:kern w:val="0"/>
                <w:sz w:val="20"/>
                <w:szCs w:val="20"/>
              </w:rPr>
              <w:t>数量指标</w:t>
            </w:r>
          </w:p>
        </w:tc>
        <w:tc>
          <w:tcPr>
            <w:tcW w:w="2551" w:type="dxa"/>
            <w:tcBorders>
              <w:top w:val="nil"/>
              <w:left w:val="nil"/>
              <w:bottom w:val="single" w:color="auto" w:sz="4" w:space="0"/>
              <w:right w:val="single" w:color="auto" w:sz="4" w:space="0"/>
            </w:tcBorders>
            <w:shd w:val="clear" w:color="auto" w:fill="auto"/>
            <w:vAlign w:val="center"/>
          </w:tcPr>
          <w:p w14:paraId="34CD21CE">
            <w:pPr>
              <w:widowControl/>
              <w:jc w:val="left"/>
              <w:rPr>
                <w:rFonts w:ascii="宋体" w:hAnsi="宋体" w:eastAsia="宋体" w:cs="宋体"/>
                <w:kern w:val="0"/>
                <w:sz w:val="20"/>
                <w:szCs w:val="20"/>
              </w:rPr>
            </w:pPr>
            <w:r>
              <w:rPr>
                <w:rFonts w:hint="eastAsia" w:ascii="宋体" w:hAnsi="宋体" w:eastAsia="宋体" w:cs="宋体"/>
                <w:kern w:val="0"/>
                <w:sz w:val="20"/>
                <w:szCs w:val="20"/>
              </w:rPr>
              <w:t>制作楼号门牌号</w:t>
            </w:r>
          </w:p>
        </w:tc>
        <w:tc>
          <w:tcPr>
            <w:tcW w:w="2552" w:type="dxa"/>
            <w:tcBorders>
              <w:top w:val="single" w:color="auto" w:sz="4" w:space="0"/>
              <w:left w:val="nil"/>
              <w:bottom w:val="single" w:color="auto" w:sz="4" w:space="0"/>
              <w:right w:val="single" w:color="auto" w:sz="4" w:space="0"/>
            </w:tcBorders>
            <w:shd w:val="clear" w:color="auto" w:fill="auto"/>
            <w:vAlign w:val="center"/>
          </w:tcPr>
          <w:p w14:paraId="0EF45D36">
            <w:pPr>
              <w:widowControl/>
              <w:jc w:val="center"/>
              <w:rPr>
                <w:rFonts w:ascii="宋体" w:hAnsi="宋体" w:eastAsia="宋体" w:cs="宋体"/>
                <w:kern w:val="0"/>
                <w:sz w:val="20"/>
                <w:szCs w:val="20"/>
              </w:rPr>
            </w:pPr>
            <w:r>
              <w:rPr>
                <w:rFonts w:hint="eastAsia" w:ascii="宋体" w:hAnsi="宋体" w:eastAsia="宋体" w:cs="宋体"/>
                <w:kern w:val="0"/>
                <w:sz w:val="20"/>
                <w:szCs w:val="20"/>
              </w:rPr>
              <w:t>&gt;=316个</w:t>
            </w:r>
          </w:p>
        </w:tc>
      </w:tr>
      <w:tr w14:paraId="76D60BF4">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58AC1C88">
            <w:pPr>
              <w:widowControl/>
              <w:jc w:val="left"/>
              <w:rPr>
                <w:rFonts w:ascii="宋体" w:hAnsi="宋体" w:eastAsia="宋体" w:cs="宋体"/>
                <w:kern w:val="0"/>
                <w:sz w:val="20"/>
                <w:szCs w:val="20"/>
              </w:rPr>
            </w:pPr>
          </w:p>
        </w:tc>
        <w:tc>
          <w:tcPr>
            <w:tcW w:w="1701" w:type="dxa"/>
            <w:vMerge w:val="continue"/>
            <w:tcBorders>
              <w:top w:val="nil"/>
              <w:left w:val="single" w:color="auto" w:sz="4" w:space="0"/>
              <w:bottom w:val="single" w:color="auto" w:sz="4" w:space="0"/>
              <w:right w:val="single" w:color="auto" w:sz="4" w:space="0"/>
            </w:tcBorders>
            <w:vAlign w:val="center"/>
          </w:tcPr>
          <w:p w14:paraId="25026695">
            <w:pPr>
              <w:widowControl/>
              <w:jc w:val="left"/>
              <w:rPr>
                <w:rFonts w:ascii="宋体" w:hAnsi="宋体" w:eastAsia="宋体" w:cs="宋体"/>
                <w:kern w:val="0"/>
                <w:sz w:val="20"/>
                <w:szCs w:val="20"/>
              </w:rPr>
            </w:pPr>
          </w:p>
        </w:tc>
        <w:tc>
          <w:tcPr>
            <w:tcW w:w="2551" w:type="dxa"/>
            <w:tcBorders>
              <w:top w:val="nil"/>
              <w:left w:val="nil"/>
              <w:bottom w:val="single" w:color="auto" w:sz="4" w:space="0"/>
              <w:right w:val="single" w:color="auto" w:sz="4" w:space="0"/>
            </w:tcBorders>
            <w:shd w:val="clear" w:color="auto" w:fill="auto"/>
            <w:vAlign w:val="center"/>
          </w:tcPr>
          <w:p w14:paraId="78BACCA5">
            <w:pPr>
              <w:widowControl/>
              <w:jc w:val="left"/>
              <w:rPr>
                <w:rFonts w:ascii="宋体" w:hAnsi="宋体" w:eastAsia="宋体" w:cs="宋体"/>
                <w:kern w:val="0"/>
                <w:sz w:val="20"/>
                <w:szCs w:val="20"/>
              </w:rPr>
            </w:pPr>
            <w:r>
              <w:rPr>
                <w:rFonts w:hint="eastAsia" w:ascii="宋体" w:hAnsi="宋体" w:eastAsia="宋体" w:cs="宋体"/>
                <w:kern w:val="0"/>
                <w:sz w:val="20"/>
                <w:szCs w:val="20"/>
              </w:rPr>
              <w:t>安装换热站设备</w:t>
            </w:r>
          </w:p>
        </w:tc>
        <w:tc>
          <w:tcPr>
            <w:tcW w:w="2552" w:type="dxa"/>
            <w:tcBorders>
              <w:top w:val="single" w:color="auto" w:sz="4" w:space="0"/>
              <w:left w:val="nil"/>
              <w:bottom w:val="single" w:color="auto" w:sz="4" w:space="0"/>
              <w:right w:val="single" w:color="auto" w:sz="4" w:space="0"/>
            </w:tcBorders>
            <w:shd w:val="clear" w:color="auto" w:fill="auto"/>
            <w:vAlign w:val="center"/>
          </w:tcPr>
          <w:p w14:paraId="31017552">
            <w:pPr>
              <w:widowControl/>
              <w:jc w:val="center"/>
              <w:rPr>
                <w:rFonts w:ascii="宋体" w:hAnsi="宋体" w:eastAsia="宋体" w:cs="宋体"/>
                <w:kern w:val="0"/>
                <w:sz w:val="20"/>
                <w:szCs w:val="20"/>
              </w:rPr>
            </w:pPr>
            <w:r>
              <w:rPr>
                <w:rFonts w:hint="eastAsia" w:ascii="宋体" w:hAnsi="宋体" w:eastAsia="宋体" w:cs="宋体"/>
                <w:kern w:val="0"/>
                <w:sz w:val="20"/>
                <w:szCs w:val="20"/>
              </w:rPr>
              <w:t>=1套</w:t>
            </w:r>
          </w:p>
        </w:tc>
      </w:tr>
      <w:tr w14:paraId="51D32DC2">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19C39715">
            <w:pPr>
              <w:widowControl/>
              <w:jc w:val="left"/>
              <w:rPr>
                <w:rFonts w:ascii="宋体" w:hAnsi="宋体" w:eastAsia="宋体" w:cs="宋体"/>
                <w:kern w:val="0"/>
                <w:sz w:val="20"/>
                <w:szCs w:val="20"/>
              </w:rPr>
            </w:pPr>
          </w:p>
        </w:tc>
        <w:tc>
          <w:tcPr>
            <w:tcW w:w="1701" w:type="dxa"/>
            <w:vMerge w:val="continue"/>
            <w:tcBorders>
              <w:top w:val="nil"/>
              <w:left w:val="single" w:color="auto" w:sz="4" w:space="0"/>
              <w:bottom w:val="single" w:color="auto" w:sz="4" w:space="0"/>
              <w:right w:val="single" w:color="auto" w:sz="4" w:space="0"/>
            </w:tcBorders>
            <w:vAlign w:val="center"/>
          </w:tcPr>
          <w:p w14:paraId="241A2231">
            <w:pPr>
              <w:widowControl/>
              <w:jc w:val="left"/>
              <w:rPr>
                <w:rFonts w:ascii="宋体" w:hAnsi="宋体" w:eastAsia="宋体" w:cs="宋体"/>
                <w:kern w:val="0"/>
                <w:sz w:val="20"/>
                <w:szCs w:val="20"/>
              </w:rPr>
            </w:pPr>
          </w:p>
        </w:tc>
        <w:tc>
          <w:tcPr>
            <w:tcW w:w="2551" w:type="dxa"/>
            <w:tcBorders>
              <w:top w:val="nil"/>
              <w:left w:val="nil"/>
              <w:bottom w:val="single" w:color="auto" w:sz="4" w:space="0"/>
              <w:right w:val="single" w:color="auto" w:sz="4" w:space="0"/>
            </w:tcBorders>
            <w:shd w:val="clear" w:color="auto" w:fill="auto"/>
            <w:vAlign w:val="center"/>
          </w:tcPr>
          <w:p w14:paraId="6D7DE532">
            <w:pPr>
              <w:widowControl/>
              <w:jc w:val="left"/>
              <w:rPr>
                <w:rFonts w:ascii="宋体" w:hAnsi="宋体" w:eastAsia="宋体" w:cs="宋体"/>
                <w:kern w:val="0"/>
                <w:sz w:val="20"/>
                <w:szCs w:val="20"/>
              </w:rPr>
            </w:pPr>
            <w:r>
              <w:rPr>
                <w:rFonts w:hint="eastAsia" w:ascii="宋体" w:hAnsi="宋体" w:eastAsia="宋体" w:cs="宋体"/>
                <w:kern w:val="0"/>
                <w:sz w:val="20"/>
                <w:szCs w:val="20"/>
              </w:rPr>
              <w:t>防雷装置检测</w:t>
            </w:r>
          </w:p>
        </w:tc>
        <w:tc>
          <w:tcPr>
            <w:tcW w:w="2552" w:type="dxa"/>
            <w:tcBorders>
              <w:top w:val="single" w:color="auto" w:sz="4" w:space="0"/>
              <w:left w:val="nil"/>
              <w:bottom w:val="single" w:color="auto" w:sz="4" w:space="0"/>
              <w:right w:val="single" w:color="auto" w:sz="4" w:space="0"/>
            </w:tcBorders>
            <w:shd w:val="clear" w:color="auto" w:fill="auto"/>
            <w:vAlign w:val="center"/>
          </w:tcPr>
          <w:p w14:paraId="7EDEC806">
            <w:pPr>
              <w:widowControl/>
              <w:jc w:val="center"/>
              <w:rPr>
                <w:rFonts w:ascii="宋体" w:hAnsi="宋体" w:eastAsia="宋体" w:cs="宋体"/>
                <w:kern w:val="0"/>
                <w:sz w:val="20"/>
                <w:szCs w:val="20"/>
              </w:rPr>
            </w:pPr>
            <w:r>
              <w:rPr>
                <w:rFonts w:hint="eastAsia" w:ascii="宋体" w:hAnsi="宋体" w:eastAsia="宋体" w:cs="宋体"/>
                <w:kern w:val="0"/>
                <w:sz w:val="20"/>
                <w:szCs w:val="20"/>
              </w:rPr>
              <w:t>&gt;=19789平方米</w:t>
            </w:r>
          </w:p>
        </w:tc>
      </w:tr>
      <w:tr w14:paraId="57CEC385">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11ECF816">
            <w:pPr>
              <w:widowControl/>
              <w:jc w:val="left"/>
              <w:rPr>
                <w:rFonts w:ascii="宋体" w:hAnsi="宋体" w:eastAsia="宋体" w:cs="宋体"/>
                <w:kern w:val="0"/>
                <w:sz w:val="20"/>
                <w:szCs w:val="20"/>
              </w:rPr>
            </w:pPr>
          </w:p>
        </w:tc>
        <w:tc>
          <w:tcPr>
            <w:tcW w:w="1701" w:type="dxa"/>
            <w:vMerge w:val="continue"/>
            <w:tcBorders>
              <w:top w:val="nil"/>
              <w:left w:val="single" w:color="auto" w:sz="4" w:space="0"/>
              <w:bottom w:val="single" w:color="auto" w:sz="4" w:space="0"/>
              <w:right w:val="single" w:color="auto" w:sz="4" w:space="0"/>
            </w:tcBorders>
            <w:vAlign w:val="center"/>
          </w:tcPr>
          <w:p w14:paraId="67CF5ADB">
            <w:pPr>
              <w:widowControl/>
              <w:jc w:val="left"/>
              <w:rPr>
                <w:rFonts w:ascii="宋体" w:hAnsi="宋体" w:eastAsia="宋体" w:cs="宋体"/>
                <w:kern w:val="0"/>
                <w:sz w:val="20"/>
                <w:szCs w:val="20"/>
              </w:rPr>
            </w:pPr>
          </w:p>
        </w:tc>
        <w:tc>
          <w:tcPr>
            <w:tcW w:w="2551" w:type="dxa"/>
            <w:tcBorders>
              <w:top w:val="nil"/>
              <w:left w:val="nil"/>
              <w:bottom w:val="single" w:color="auto" w:sz="4" w:space="0"/>
              <w:right w:val="single" w:color="auto" w:sz="4" w:space="0"/>
            </w:tcBorders>
            <w:shd w:val="clear" w:color="auto" w:fill="auto"/>
            <w:vAlign w:val="center"/>
          </w:tcPr>
          <w:p w14:paraId="5A4724CB">
            <w:pPr>
              <w:widowControl/>
              <w:jc w:val="left"/>
              <w:rPr>
                <w:rFonts w:ascii="宋体" w:hAnsi="宋体" w:eastAsia="宋体" w:cs="宋体"/>
                <w:kern w:val="0"/>
                <w:sz w:val="20"/>
                <w:szCs w:val="20"/>
              </w:rPr>
            </w:pPr>
            <w:r>
              <w:rPr>
                <w:rFonts w:hint="eastAsia" w:ascii="宋体" w:hAnsi="宋体" w:eastAsia="宋体" w:cs="宋体"/>
                <w:kern w:val="0"/>
                <w:sz w:val="20"/>
                <w:szCs w:val="20"/>
              </w:rPr>
              <w:t>安防信息设备采购</w:t>
            </w:r>
          </w:p>
        </w:tc>
        <w:tc>
          <w:tcPr>
            <w:tcW w:w="2552" w:type="dxa"/>
            <w:tcBorders>
              <w:top w:val="single" w:color="auto" w:sz="4" w:space="0"/>
              <w:left w:val="nil"/>
              <w:bottom w:val="single" w:color="auto" w:sz="4" w:space="0"/>
              <w:right w:val="single" w:color="auto" w:sz="4" w:space="0"/>
            </w:tcBorders>
            <w:shd w:val="clear" w:color="auto" w:fill="auto"/>
            <w:vAlign w:val="center"/>
          </w:tcPr>
          <w:p w14:paraId="23413034">
            <w:pPr>
              <w:widowControl/>
              <w:jc w:val="center"/>
              <w:rPr>
                <w:rFonts w:ascii="宋体" w:hAnsi="宋体" w:eastAsia="宋体" w:cs="宋体"/>
                <w:kern w:val="0"/>
                <w:sz w:val="20"/>
                <w:szCs w:val="20"/>
              </w:rPr>
            </w:pPr>
            <w:r>
              <w:rPr>
                <w:rFonts w:hint="eastAsia" w:ascii="宋体" w:hAnsi="宋体" w:eastAsia="宋体" w:cs="宋体"/>
                <w:kern w:val="0"/>
                <w:sz w:val="20"/>
                <w:szCs w:val="20"/>
              </w:rPr>
              <w:t>&gt;=33件</w:t>
            </w:r>
          </w:p>
        </w:tc>
      </w:tr>
      <w:tr w14:paraId="3963D3B0">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71DD6D9D">
            <w:pPr>
              <w:widowControl/>
              <w:jc w:val="left"/>
              <w:rPr>
                <w:rFonts w:ascii="宋体" w:hAnsi="宋体" w:eastAsia="宋体" w:cs="宋体"/>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14:paraId="04EAE2B2">
            <w:pPr>
              <w:widowControl/>
              <w:jc w:val="center"/>
              <w:rPr>
                <w:rFonts w:ascii="宋体" w:hAnsi="宋体" w:eastAsia="宋体" w:cs="宋体"/>
                <w:kern w:val="0"/>
                <w:sz w:val="20"/>
                <w:szCs w:val="20"/>
              </w:rPr>
            </w:pPr>
            <w:r>
              <w:rPr>
                <w:rFonts w:hint="eastAsia" w:ascii="宋体" w:hAnsi="宋体" w:eastAsia="宋体" w:cs="宋体"/>
                <w:kern w:val="0"/>
                <w:sz w:val="20"/>
                <w:szCs w:val="20"/>
              </w:rPr>
              <w:t>质量指标</w:t>
            </w:r>
          </w:p>
        </w:tc>
        <w:tc>
          <w:tcPr>
            <w:tcW w:w="2551" w:type="dxa"/>
            <w:tcBorders>
              <w:top w:val="nil"/>
              <w:left w:val="nil"/>
              <w:bottom w:val="single" w:color="auto" w:sz="4" w:space="0"/>
              <w:right w:val="single" w:color="auto" w:sz="4" w:space="0"/>
            </w:tcBorders>
            <w:shd w:val="clear" w:color="auto" w:fill="auto"/>
            <w:vAlign w:val="center"/>
          </w:tcPr>
          <w:p w14:paraId="390A3B69">
            <w:pPr>
              <w:widowControl/>
              <w:jc w:val="left"/>
              <w:rPr>
                <w:rFonts w:ascii="宋体" w:hAnsi="宋体" w:eastAsia="宋体" w:cs="宋体"/>
                <w:kern w:val="0"/>
                <w:sz w:val="20"/>
                <w:szCs w:val="20"/>
              </w:rPr>
            </w:pPr>
            <w:r>
              <w:rPr>
                <w:rFonts w:hint="eastAsia" w:ascii="宋体" w:hAnsi="宋体" w:eastAsia="宋体" w:cs="宋体"/>
                <w:kern w:val="0"/>
                <w:sz w:val="20"/>
                <w:szCs w:val="20"/>
              </w:rPr>
              <w:t>项目验收合格率</w:t>
            </w:r>
          </w:p>
        </w:tc>
        <w:tc>
          <w:tcPr>
            <w:tcW w:w="2552" w:type="dxa"/>
            <w:tcBorders>
              <w:top w:val="single" w:color="auto" w:sz="4" w:space="0"/>
              <w:left w:val="nil"/>
              <w:bottom w:val="single" w:color="auto" w:sz="4" w:space="0"/>
              <w:right w:val="single" w:color="auto" w:sz="4" w:space="0"/>
            </w:tcBorders>
            <w:shd w:val="clear" w:color="auto" w:fill="auto"/>
            <w:vAlign w:val="center"/>
          </w:tcPr>
          <w:p w14:paraId="1567ED9C">
            <w:pPr>
              <w:widowControl/>
              <w:jc w:val="center"/>
              <w:rPr>
                <w:rFonts w:ascii="宋体" w:hAnsi="宋体" w:eastAsia="宋体" w:cs="宋体"/>
                <w:kern w:val="0"/>
                <w:sz w:val="20"/>
                <w:szCs w:val="20"/>
              </w:rPr>
            </w:pPr>
            <w:r>
              <w:rPr>
                <w:rFonts w:hint="eastAsia" w:ascii="宋体" w:hAnsi="宋体" w:eastAsia="宋体" w:cs="宋体"/>
                <w:kern w:val="0"/>
                <w:sz w:val="20"/>
                <w:szCs w:val="20"/>
              </w:rPr>
              <w:t>=100%</w:t>
            </w:r>
          </w:p>
        </w:tc>
      </w:tr>
      <w:tr w14:paraId="53677136">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47957FDE">
            <w:pPr>
              <w:widowControl/>
              <w:jc w:val="left"/>
              <w:rPr>
                <w:rFonts w:ascii="宋体" w:hAnsi="宋体" w:eastAsia="宋体" w:cs="宋体"/>
                <w:kern w:val="0"/>
                <w:sz w:val="20"/>
                <w:szCs w:val="20"/>
              </w:rPr>
            </w:pPr>
          </w:p>
        </w:tc>
        <w:tc>
          <w:tcPr>
            <w:tcW w:w="1701" w:type="dxa"/>
            <w:tcBorders>
              <w:top w:val="nil"/>
              <w:left w:val="nil"/>
              <w:bottom w:val="single" w:color="auto" w:sz="4" w:space="0"/>
              <w:right w:val="single" w:color="auto" w:sz="4" w:space="0"/>
            </w:tcBorders>
            <w:shd w:val="clear" w:color="auto" w:fill="auto"/>
            <w:vAlign w:val="center"/>
          </w:tcPr>
          <w:p w14:paraId="46D921B3">
            <w:pPr>
              <w:widowControl/>
              <w:jc w:val="center"/>
              <w:rPr>
                <w:rFonts w:ascii="宋体" w:hAnsi="宋体" w:eastAsia="宋体" w:cs="宋体"/>
                <w:kern w:val="0"/>
                <w:sz w:val="20"/>
                <w:szCs w:val="20"/>
              </w:rPr>
            </w:pPr>
            <w:r>
              <w:rPr>
                <w:rFonts w:hint="eastAsia" w:ascii="宋体" w:hAnsi="宋体" w:eastAsia="宋体" w:cs="宋体"/>
                <w:kern w:val="0"/>
                <w:sz w:val="20"/>
                <w:szCs w:val="20"/>
              </w:rPr>
              <w:t>时效指标</w:t>
            </w:r>
          </w:p>
        </w:tc>
        <w:tc>
          <w:tcPr>
            <w:tcW w:w="2551" w:type="dxa"/>
            <w:tcBorders>
              <w:top w:val="nil"/>
              <w:left w:val="nil"/>
              <w:bottom w:val="single" w:color="auto" w:sz="4" w:space="0"/>
              <w:right w:val="single" w:color="auto" w:sz="4" w:space="0"/>
            </w:tcBorders>
            <w:shd w:val="clear" w:color="auto" w:fill="auto"/>
            <w:vAlign w:val="center"/>
          </w:tcPr>
          <w:p w14:paraId="09A8E4F4">
            <w:pPr>
              <w:widowControl/>
              <w:jc w:val="left"/>
              <w:rPr>
                <w:rFonts w:ascii="宋体" w:hAnsi="宋体" w:eastAsia="宋体" w:cs="宋体"/>
                <w:kern w:val="0"/>
                <w:sz w:val="20"/>
                <w:szCs w:val="20"/>
              </w:rPr>
            </w:pPr>
            <w:r>
              <w:rPr>
                <w:rFonts w:hint="eastAsia" w:ascii="宋体" w:hAnsi="宋体" w:eastAsia="宋体" w:cs="宋体"/>
                <w:kern w:val="0"/>
                <w:sz w:val="20"/>
                <w:szCs w:val="20"/>
              </w:rPr>
              <w:t>资金拨付及时率</w:t>
            </w:r>
          </w:p>
        </w:tc>
        <w:tc>
          <w:tcPr>
            <w:tcW w:w="2552" w:type="dxa"/>
            <w:tcBorders>
              <w:top w:val="single" w:color="auto" w:sz="4" w:space="0"/>
              <w:left w:val="nil"/>
              <w:bottom w:val="single" w:color="auto" w:sz="4" w:space="0"/>
              <w:right w:val="single" w:color="auto" w:sz="4" w:space="0"/>
            </w:tcBorders>
            <w:shd w:val="clear" w:color="auto" w:fill="auto"/>
            <w:vAlign w:val="center"/>
          </w:tcPr>
          <w:p w14:paraId="44CB344B">
            <w:pPr>
              <w:widowControl/>
              <w:jc w:val="center"/>
              <w:rPr>
                <w:rFonts w:ascii="宋体" w:hAnsi="宋体" w:eastAsia="宋体" w:cs="宋体"/>
                <w:kern w:val="0"/>
                <w:sz w:val="20"/>
                <w:szCs w:val="20"/>
              </w:rPr>
            </w:pPr>
            <w:r>
              <w:rPr>
                <w:rFonts w:hint="eastAsia" w:ascii="宋体" w:hAnsi="宋体" w:eastAsia="宋体" w:cs="宋体"/>
                <w:kern w:val="0"/>
                <w:sz w:val="20"/>
                <w:szCs w:val="20"/>
              </w:rPr>
              <w:t>=100%</w:t>
            </w:r>
          </w:p>
        </w:tc>
      </w:tr>
      <w:tr w14:paraId="7DBCC26C">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2DB620D8">
            <w:pPr>
              <w:widowControl/>
              <w:jc w:val="left"/>
              <w:rPr>
                <w:rFonts w:ascii="宋体" w:hAnsi="宋体" w:eastAsia="宋体" w:cs="宋体"/>
                <w:kern w:val="0"/>
                <w:sz w:val="20"/>
                <w:szCs w:val="20"/>
              </w:rPr>
            </w:pPr>
          </w:p>
        </w:tc>
        <w:tc>
          <w:tcPr>
            <w:tcW w:w="1701" w:type="dxa"/>
            <w:vMerge w:val="restart"/>
            <w:tcBorders>
              <w:top w:val="nil"/>
              <w:left w:val="single" w:color="auto" w:sz="4" w:space="0"/>
              <w:bottom w:val="single" w:color="auto" w:sz="4" w:space="0"/>
              <w:right w:val="single" w:color="auto" w:sz="4" w:space="0"/>
            </w:tcBorders>
            <w:shd w:val="clear" w:color="auto" w:fill="auto"/>
            <w:vAlign w:val="center"/>
          </w:tcPr>
          <w:p w14:paraId="0F935453">
            <w:pPr>
              <w:widowControl/>
              <w:jc w:val="center"/>
              <w:rPr>
                <w:rFonts w:ascii="宋体" w:hAnsi="宋体" w:eastAsia="宋体" w:cs="宋体"/>
                <w:kern w:val="0"/>
                <w:sz w:val="20"/>
                <w:szCs w:val="20"/>
              </w:rPr>
            </w:pPr>
            <w:r>
              <w:rPr>
                <w:rFonts w:hint="eastAsia" w:ascii="宋体" w:hAnsi="宋体" w:eastAsia="宋体" w:cs="宋体"/>
                <w:kern w:val="0"/>
                <w:sz w:val="20"/>
                <w:szCs w:val="20"/>
              </w:rPr>
              <w:t>成本指标</w:t>
            </w:r>
          </w:p>
        </w:tc>
        <w:tc>
          <w:tcPr>
            <w:tcW w:w="2551" w:type="dxa"/>
            <w:tcBorders>
              <w:top w:val="nil"/>
              <w:left w:val="nil"/>
              <w:bottom w:val="single" w:color="auto" w:sz="4" w:space="0"/>
              <w:right w:val="single" w:color="auto" w:sz="4" w:space="0"/>
            </w:tcBorders>
            <w:shd w:val="clear" w:color="auto" w:fill="auto"/>
            <w:vAlign w:val="center"/>
          </w:tcPr>
          <w:p w14:paraId="36C66EDB">
            <w:pPr>
              <w:widowControl/>
              <w:jc w:val="left"/>
              <w:rPr>
                <w:rFonts w:ascii="宋体" w:hAnsi="宋体" w:eastAsia="宋体" w:cs="宋体"/>
                <w:kern w:val="0"/>
                <w:sz w:val="20"/>
                <w:szCs w:val="20"/>
              </w:rPr>
            </w:pPr>
            <w:r>
              <w:rPr>
                <w:rFonts w:hint="eastAsia" w:ascii="宋体" w:hAnsi="宋体" w:eastAsia="宋体" w:cs="宋体"/>
                <w:kern w:val="0"/>
                <w:sz w:val="20"/>
                <w:szCs w:val="20"/>
              </w:rPr>
              <w:t>各类检测费成本</w:t>
            </w:r>
          </w:p>
        </w:tc>
        <w:tc>
          <w:tcPr>
            <w:tcW w:w="2552" w:type="dxa"/>
            <w:tcBorders>
              <w:top w:val="single" w:color="auto" w:sz="4" w:space="0"/>
              <w:left w:val="nil"/>
              <w:bottom w:val="single" w:color="auto" w:sz="4" w:space="0"/>
              <w:right w:val="single" w:color="auto" w:sz="4" w:space="0"/>
            </w:tcBorders>
            <w:shd w:val="clear" w:color="auto" w:fill="auto"/>
            <w:vAlign w:val="center"/>
          </w:tcPr>
          <w:p w14:paraId="79057E59">
            <w:pPr>
              <w:widowControl/>
              <w:jc w:val="center"/>
              <w:rPr>
                <w:rFonts w:ascii="宋体" w:hAnsi="宋体" w:eastAsia="宋体" w:cs="宋体"/>
                <w:kern w:val="0"/>
                <w:sz w:val="20"/>
                <w:szCs w:val="20"/>
              </w:rPr>
            </w:pPr>
            <w:r>
              <w:rPr>
                <w:rFonts w:hint="eastAsia" w:ascii="宋体" w:hAnsi="宋体" w:eastAsia="宋体" w:cs="宋体"/>
                <w:kern w:val="0"/>
                <w:sz w:val="20"/>
                <w:szCs w:val="20"/>
              </w:rPr>
              <w:t>&lt;=27.72万元</w:t>
            </w:r>
          </w:p>
        </w:tc>
      </w:tr>
      <w:tr w14:paraId="376BA6B0">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7EC43FF1">
            <w:pPr>
              <w:widowControl/>
              <w:jc w:val="left"/>
              <w:rPr>
                <w:rFonts w:ascii="宋体" w:hAnsi="宋体" w:eastAsia="宋体" w:cs="宋体"/>
                <w:kern w:val="0"/>
                <w:sz w:val="20"/>
                <w:szCs w:val="20"/>
              </w:rPr>
            </w:pPr>
          </w:p>
        </w:tc>
        <w:tc>
          <w:tcPr>
            <w:tcW w:w="1701" w:type="dxa"/>
            <w:vMerge w:val="continue"/>
            <w:tcBorders>
              <w:top w:val="nil"/>
              <w:left w:val="single" w:color="auto" w:sz="4" w:space="0"/>
              <w:bottom w:val="single" w:color="auto" w:sz="4" w:space="0"/>
              <w:right w:val="single" w:color="auto" w:sz="4" w:space="0"/>
            </w:tcBorders>
            <w:vAlign w:val="center"/>
          </w:tcPr>
          <w:p w14:paraId="493A1ED2">
            <w:pPr>
              <w:widowControl/>
              <w:jc w:val="left"/>
              <w:rPr>
                <w:rFonts w:ascii="宋体" w:hAnsi="宋体" w:eastAsia="宋体" w:cs="宋体"/>
                <w:kern w:val="0"/>
                <w:sz w:val="20"/>
                <w:szCs w:val="20"/>
              </w:rPr>
            </w:pPr>
          </w:p>
        </w:tc>
        <w:tc>
          <w:tcPr>
            <w:tcW w:w="2551" w:type="dxa"/>
            <w:tcBorders>
              <w:top w:val="nil"/>
              <w:left w:val="nil"/>
              <w:bottom w:val="single" w:color="auto" w:sz="4" w:space="0"/>
              <w:right w:val="single" w:color="auto" w:sz="4" w:space="0"/>
            </w:tcBorders>
            <w:shd w:val="clear" w:color="auto" w:fill="auto"/>
            <w:vAlign w:val="center"/>
          </w:tcPr>
          <w:p w14:paraId="45782267">
            <w:pPr>
              <w:widowControl/>
              <w:jc w:val="left"/>
              <w:rPr>
                <w:rFonts w:ascii="宋体" w:hAnsi="宋体" w:eastAsia="宋体" w:cs="宋体"/>
                <w:kern w:val="0"/>
                <w:sz w:val="20"/>
                <w:szCs w:val="20"/>
              </w:rPr>
            </w:pPr>
            <w:r>
              <w:rPr>
                <w:rFonts w:hint="eastAsia" w:ascii="宋体" w:hAnsi="宋体" w:eastAsia="宋体" w:cs="宋体"/>
                <w:kern w:val="0"/>
                <w:sz w:val="20"/>
                <w:szCs w:val="20"/>
              </w:rPr>
              <w:t>门牌制作成本</w:t>
            </w:r>
          </w:p>
        </w:tc>
        <w:tc>
          <w:tcPr>
            <w:tcW w:w="2552" w:type="dxa"/>
            <w:tcBorders>
              <w:top w:val="single" w:color="auto" w:sz="4" w:space="0"/>
              <w:left w:val="nil"/>
              <w:bottom w:val="single" w:color="auto" w:sz="4" w:space="0"/>
              <w:right w:val="single" w:color="auto" w:sz="4" w:space="0"/>
            </w:tcBorders>
            <w:shd w:val="clear" w:color="auto" w:fill="auto"/>
            <w:vAlign w:val="center"/>
          </w:tcPr>
          <w:p w14:paraId="5FF8C1A5">
            <w:pPr>
              <w:widowControl/>
              <w:jc w:val="center"/>
              <w:rPr>
                <w:rFonts w:ascii="宋体" w:hAnsi="宋体" w:eastAsia="宋体" w:cs="宋体"/>
                <w:kern w:val="0"/>
                <w:sz w:val="20"/>
                <w:szCs w:val="20"/>
              </w:rPr>
            </w:pPr>
            <w:r>
              <w:rPr>
                <w:rFonts w:hint="eastAsia" w:ascii="宋体" w:hAnsi="宋体" w:eastAsia="宋体" w:cs="宋体"/>
                <w:kern w:val="0"/>
                <w:sz w:val="20"/>
                <w:szCs w:val="20"/>
              </w:rPr>
              <w:t>&lt;=0.46万元</w:t>
            </w:r>
          </w:p>
        </w:tc>
      </w:tr>
      <w:tr w14:paraId="1FB8D0CF">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06B7F297">
            <w:pPr>
              <w:widowControl/>
              <w:jc w:val="left"/>
              <w:rPr>
                <w:rFonts w:ascii="宋体" w:hAnsi="宋体" w:eastAsia="宋体" w:cs="宋体"/>
                <w:kern w:val="0"/>
                <w:sz w:val="20"/>
                <w:szCs w:val="20"/>
              </w:rPr>
            </w:pPr>
          </w:p>
        </w:tc>
        <w:tc>
          <w:tcPr>
            <w:tcW w:w="1701" w:type="dxa"/>
            <w:vMerge w:val="continue"/>
            <w:tcBorders>
              <w:top w:val="nil"/>
              <w:left w:val="single" w:color="auto" w:sz="4" w:space="0"/>
              <w:bottom w:val="single" w:color="auto" w:sz="4" w:space="0"/>
              <w:right w:val="single" w:color="auto" w:sz="4" w:space="0"/>
            </w:tcBorders>
            <w:vAlign w:val="center"/>
          </w:tcPr>
          <w:p w14:paraId="0A31434D">
            <w:pPr>
              <w:widowControl/>
              <w:jc w:val="left"/>
              <w:rPr>
                <w:rFonts w:ascii="宋体" w:hAnsi="宋体" w:eastAsia="宋体" w:cs="宋体"/>
                <w:kern w:val="0"/>
                <w:sz w:val="20"/>
                <w:szCs w:val="20"/>
              </w:rPr>
            </w:pPr>
          </w:p>
        </w:tc>
        <w:tc>
          <w:tcPr>
            <w:tcW w:w="2551" w:type="dxa"/>
            <w:tcBorders>
              <w:top w:val="nil"/>
              <w:left w:val="nil"/>
              <w:bottom w:val="single" w:color="auto" w:sz="4" w:space="0"/>
              <w:right w:val="single" w:color="auto" w:sz="4" w:space="0"/>
            </w:tcBorders>
            <w:shd w:val="clear" w:color="auto" w:fill="auto"/>
            <w:vAlign w:val="center"/>
          </w:tcPr>
          <w:p w14:paraId="5B1DF26F">
            <w:pPr>
              <w:widowControl/>
              <w:jc w:val="left"/>
              <w:rPr>
                <w:rFonts w:ascii="宋体" w:hAnsi="宋体" w:eastAsia="宋体" w:cs="宋体"/>
                <w:kern w:val="0"/>
                <w:sz w:val="20"/>
                <w:szCs w:val="20"/>
              </w:rPr>
            </w:pPr>
            <w:r>
              <w:rPr>
                <w:rFonts w:hint="eastAsia" w:ascii="宋体" w:hAnsi="宋体" w:eastAsia="宋体" w:cs="宋体"/>
                <w:kern w:val="0"/>
                <w:sz w:val="20"/>
                <w:szCs w:val="20"/>
              </w:rPr>
              <w:t>图纸审查费</w:t>
            </w:r>
          </w:p>
        </w:tc>
        <w:tc>
          <w:tcPr>
            <w:tcW w:w="2552" w:type="dxa"/>
            <w:tcBorders>
              <w:top w:val="single" w:color="auto" w:sz="4" w:space="0"/>
              <w:left w:val="nil"/>
              <w:bottom w:val="single" w:color="auto" w:sz="4" w:space="0"/>
              <w:right w:val="single" w:color="auto" w:sz="4" w:space="0"/>
            </w:tcBorders>
            <w:shd w:val="clear" w:color="auto" w:fill="auto"/>
            <w:vAlign w:val="center"/>
          </w:tcPr>
          <w:p w14:paraId="3D9B2AF6">
            <w:pPr>
              <w:widowControl/>
              <w:jc w:val="center"/>
              <w:rPr>
                <w:rFonts w:ascii="宋体" w:hAnsi="宋体" w:eastAsia="宋体" w:cs="宋体"/>
                <w:kern w:val="0"/>
                <w:sz w:val="20"/>
                <w:szCs w:val="20"/>
              </w:rPr>
            </w:pPr>
            <w:r>
              <w:rPr>
                <w:rFonts w:hint="eastAsia" w:ascii="宋体" w:hAnsi="宋体" w:eastAsia="宋体" w:cs="宋体"/>
                <w:kern w:val="0"/>
                <w:sz w:val="20"/>
                <w:szCs w:val="20"/>
              </w:rPr>
              <w:t>&lt;=1.06万元</w:t>
            </w:r>
          </w:p>
        </w:tc>
      </w:tr>
      <w:tr w14:paraId="5B385F1C">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3E803A25">
            <w:pPr>
              <w:widowControl/>
              <w:jc w:val="left"/>
              <w:rPr>
                <w:rFonts w:ascii="宋体" w:hAnsi="宋体" w:eastAsia="宋体" w:cs="宋体"/>
                <w:kern w:val="0"/>
                <w:sz w:val="20"/>
                <w:szCs w:val="20"/>
              </w:rPr>
            </w:pPr>
          </w:p>
        </w:tc>
        <w:tc>
          <w:tcPr>
            <w:tcW w:w="1701" w:type="dxa"/>
            <w:vMerge w:val="continue"/>
            <w:tcBorders>
              <w:top w:val="nil"/>
              <w:left w:val="single" w:color="auto" w:sz="4" w:space="0"/>
              <w:bottom w:val="single" w:color="auto" w:sz="4" w:space="0"/>
              <w:right w:val="single" w:color="auto" w:sz="4" w:space="0"/>
            </w:tcBorders>
            <w:vAlign w:val="center"/>
          </w:tcPr>
          <w:p w14:paraId="15A317AC">
            <w:pPr>
              <w:widowControl/>
              <w:jc w:val="left"/>
              <w:rPr>
                <w:rFonts w:ascii="宋体" w:hAnsi="宋体" w:eastAsia="宋体" w:cs="宋体"/>
                <w:kern w:val="0"/>
                <w:sz w:val="20"/>
                <w:szCs w:val="20"/>
              </w:rPr>
            </w:pPr>
          </w:p>
        </w:tc>
        <w:tc>
          <w:tcPr>
            <w:tcW w:w="2551" w:type="dxa"/>
            <w:tcBorders>
              <w:top w:val="nil"/>
              <w:left w:val="nil"/>
              <w:bottom w:val="single" w:color="auto" w:sz="4" w:space="0"/>
              <w:right w:val="single" w:color="auto" w:sz="4" w:space="0"/>
            </w:tcBorders>
            <w:shd w:val="clear" w:color="auto" w:fill="auto"/>
            <w:vAlign w:val="center"/>
          </w:tcPr>
          <w:p w14:paraId="627B2565">
            <w:pPr>
              <w:widowControl/>
              <w:jc w:val="left"/>
              <w:rPr>
                <w:rFonts w:ascii="宋体" w:hAnsi="宋体" w:eastAsia="宋体" w:cs="宋体"/>
                <w:kern w:val="0"/>
                <w:sz w:val="20"/>
                <w:szCs w:val="20"/>
              </w:rPr>
            </w:pPr>
            <w:r>
              <w:rPr>
                <w:rFonts w:hint="eastAsia" w:ascii="宋体" w:hAnsi="宋体" w:eastAsia="宋体" w:cs="宋体"/>
                <w:kern w:val="0"/>
                <w:sz w:val="20"/>
                <w:szCs w:val="20"/>
              </w:rPr>
              <w:t>采购设备成本</w:t>
            </w:r>
          </w:p>
        </w:tc>
        <w:tc>
          <w:tcPr>
            <w:tcW w:w="2552" w:type="dxa"/>
            <w:tcBorders>
              <w:top w:val="single" w:color="auto" w:sz="4" w:space="0"/>
              <w:left w:val="nil"/>
              <w:bottom w:val="single" w:color="auto" w:sz="4" w:space="0"/>
              <w:right w:val="single" w:color="auto" w:sz="4" w:space="0"/>
            </w:tcBorders>
            <w:shd w:val="clear" w:color="auto" w:fill="auto"/>
            <w:vAlign w:val="center"/>
          </w:tcPr>
          <w:p w14:paraId="0E174299">
            <w:pPr>
              <w:widowControl/>
              <w:jc w:val="center"/>
              <w:rPr>
                <w:rFonts w:ascii="宋体" w:hAnsi="宋体" w:eastAsia="宋体" w:cs="宋体"/>
                <w:kern w:val="0"/>
                <w:sz w:val="20"/>
                <w:szCs w:val="20"/>
              </w:rPr>
            </w:pPr>
            <w:r>
              <w:rPr>
                <w:rFonts w:hint="eastAsia" w:ascii="宋体" w:hAnsi="宋体" w:eastAsia="宋体" w:cs="宋体"/>
                <w:kern w:val="0"/>
                <w:sz w:val="20"/>
                <w:szCs w:val="20"/>
              </w:rPr>
              <w:t>&lt;=21.97万元</w:t>
            </w:r>
          </w:p>
        </w:tc>
      </w:tr>
      <w:tr w14:paraId="3057121E">
        <w:tblPrEx>
          <w:tblCellMar>
            <w:top w:w="0" w:type="dxa"/>
            <w:left w:w="108" w:type="dxa"/>
            <w:bottom w:w="0" w:type="dxa"/>
            <w:right w:w="108" w:type="dxa"/>
          </w:tblCellMar>
        </w:tblPrEx>
        <w:trPr>
          <w:trHeight w:val="402" w:hRule="atLeast"/>
        </w:trPr>
        <w:tc>
          <w:tcPr>
            <w:tcW w:w="1555" w:type="dxa"/>
            <w:vMerge w:val="continue"/>
            <w:tcBorders>
              <w:top w:val="nil"/>
              <w:left w:val="single" w:color="auto" w:sz="4" w:space="0"/>
              <w:bottom w:val="single" w:color="auto" w:sz="4" w:space="0"/>
              <w:right w:val="single" w:color="auto" w:sz="4" w:space="0"/>
            </w:tcBorders>
            <w:vAlign w:val="center"/>
          </w:tcPr>
          <w:p w14:paraId="3E56F100">
            <w:pPr>
              <w:widowControl/>
              <w:jc w:val="left"/>
              <w:rPr>
                <w:rFonts w:ascii="宋体" w:hAnsi="宋体" w:eastAsia="宋体" w:cs="宋体"/>
                <w:kern w:val="0"/>
                <w:sz w:val="20"/>
                <w:szCs w:val="20"/>
              </w:rPr>
            </w:pPr>
          </w:p>
        </w:tc>
        <w:tc>
          <w:tcPr>
            <w:tcW w:w="1701" w:type="dxa"/>
            <w:vMerge w:val="continue"/>
            <w:tcBorders>
              <w:top w:val="nil"/>
              <w:left w:val="single" w:color="auto" w:sz="4" w:space="0"/>
              <w:bottom w:val="single" w:color="auto" w:sz="4" w:space="0"/>
              <w:right w:val="single" w:color="auto" w:sz="4" w:space="0"/>
            </w:tcBorders>
            <w:vAlign w:val="center"/>
          </w:tcPr>
          <w:p w14:paraId="27F993E5">
            <w:pPr>
              <w:widowControl/>
              <w:jc w:val="left"/>
              <w:rPr>
                <w:rFonts w:ascii="宋体" w:hAnsi="宋体" w:eastAsia="宋体" w:cs="宋体"/>
                <w:kern w:val="0"/>
                <w:sz w:val="20"/>
                <w:szCs w:val="20"/>
              </w:rPr>
            </w:pPr>
          </w:p>
        </w:tc>
        <w:tc>
          <w:tcPr>
            <w:tcW w:w="2551" w:type="dxa"/>
            <w:tcBorders>
              <w:top w:val="nil"/>
              <w:left w:val="nil"/>
              <w:bottom w:val="single" w:color="auto" w:sz="4" w:space="0"/>
              <w:right w:val="single" w:color="auto" w:sz="4" w:space="0"/>
            </w:tcBorders>
            <w:shd w:val="clear" w:color="auto" w:fill="auto"/>
            <w:vAlign w:val="center"/>
          </w:tcPr>
          <w:p w14:paraId="0B6F50A9">
            <w:pPr>
              <w:widowControl/>
              <w:jc w:val="left"/>
              <w:rPr>
                <w:rFonts w:ascii="宋体" w:hAnsi="宋体" w:eastAsia="宋体" w:cs="宋体"/>
                <w:kern w:val="0"/>
                <w:sz w:val="20"/>
                <w:szCs w:val="20"/>
              </w:rPr>
            </w:pPr>
            <w:r>
              <w:rPr>
                <w:rFonts w:hint="eastAsia" w:ascii="宋体" w:hAnsi="宋体" w:eastAsia="宋体" w:cs="宋体"/>
                <w:kern w:val="0"/>
                <w:sz w:val="20"/>
                <w:szCs w:val="20"/>
              </w:rPr>
              <w:t>工程进度款</w:t>
            </w:r>
          </w:p>
        </w:tc>
        <w:tc>
          <w:tcPr>
            <w:tcW w:w="2552" w:type="dxa"/>
            <w:tcBorders>
              <w:top w:val="single" w:color="auto" w:sz="4" w:space="0"/>
              <w:left w:val="nil"/>
              <w:bottom w:val="single" w:color="auto" w:sz="4" w:space="0"/>
              <w:right w:val="single" w:color="auto" w:sz="4" w:space="0"/>
            </w:tcBorders>
            <w:shd w:val="clear" w:color="auto" w:fill="auto"/>
            <w:vAlign w:val="center"/>
          </w:tcPr>
          <w:p w14:paraId="0347310D">
            <w:pPr>
              <w:widowControl/>
              <w:jc w:val="center"/>
              <w:rPr>
                <w:rFonts w:ascii="宋体" w:hAnsi="宋体" w:eastAsia="宋体" w:cs="宋体"/>
                <w:kern w:val="0"/>
                <w:sz w:val="20"/>
                <w:szCs w:val="20"/>
              </w:rPr>
            </w:pPr>
            <w:r>
              <w:rPr>
                <w:rFonts w:hint="eastAsia" w:ascii="宋体" w:hAnsi="宋体" w:eastAsia="宋体" w:cs="宋体"/>
                <w:kern w:val="0"/>
                <w:sz w:val="20"/>
                <w:szCs w:val="20"/>
              </w:rPr>
              <w:t>&lt;=374.27万元</w:t>
            </w:r>
          </w:p>
        </w:tc>
      </w:tr>
      <w:tr w14:paraId="29C2DE12">
        <w:tblPrEx>
          <w:tblCellMar>
            <w:top w:w="0" w:type="dxa"/>
            <w:left w:w="108" w:type="dxa"/>
            <w:bottom w:w="0" w:type="dxa"/>
            <w:right w:w="108" w:type="dxa"/>
          </w:tblCellMar>
        </w:tblPrEx>
        <w:trPr>
          <w:trHeight w:val="402" w:hRule="atLeast"/>
        </w:trPr>
        <w:tc>
          <w:tcPr>
            <w:tcW w:w="155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31CA9EA">
            <w:pPr>
              <w:widowControl/>
              <w:jc w:val="center"/>
              <w:rPr>
                <w:rFonts w:ascii="宋体" w:hAnsi="宋体" w:eastAsia="宋体" w:cs="宋体"/>
                <w:b/>
                <w:kern w:val="0"/>
                <w:sz w:val="20"/>
                <w:szCs w:val="20"/>
              </w:rPr>
            </w:pPr>
            <w:r>
              <w:rPr>
                <w:rFonts w:hint="eastAsia" w:ascii="宋体" w:hAnsi="宋体" w:eastAsia="宋体" w:cs="宋体"/>
                <w:kern w:val="0"/>
                <w:sz w:val="20"/>
                <w:szCs w:val="20"/>
              </w:rPr>
              <w:t>效益指标</w:t>
            </w:r>
          </w:p>
        </w:tc>
        <w:tc>
          <w:tcPr>
            <w:tcW w:w="1701" w:type="dxa"/>
            <w:tcBorders>
              <w:top w:val="single" w:color="auto" w:sz="4" w:space="0"/>
              <w:left w:val="nil"/>
              <w:bottom w:val="single" w:color="auto" w:sz="4" w:space="0"/>
              <w:right w:val="single" w:color="auto" w:sz="4" w:space="0"/>
            </w:tcBorders>
            <w:shd w:val="clear" w:color="auto" w:fill="auto"/>
            <w:vAlign w:val="center"/>
          </w:tcPr>
          <w:p w14:paraId="5D98BD8A">
            <w:pPr>
              <w:widowControl/>
              <w:jc w:val="center"/>
              <w:rPr>
                <w:rFonts w:ascii="宋体" w:hAnsi="宋体" w:eastAsia="宋体" w:cs="宋体"/>
                <w:kern w:val="0"/>
                <w:sz w:val="20"/>
                <w:szCs w:val="20"/>
              </w:rPr>
            </w:pPr>
            <w:r>
              <w:rPr>
                <w:rFonts w:hint="eastAsia" w:ascii="宋体" w:hAnsi="宋体" w:eastAsia="宋体" w:cs="宋体"/>
                <w:kern w:val="0"/>
                <w:sz w:val="20"/>
                <w:szCs w:val="20"/>
              </w:rPr>
              <w:t>社会效益指标</w:t>
            </w:r>
          </w:p>
        </w:tc>
        <w:tc>
          <w:tcPr>
            <w:tcW w:w="2551" w:type="dxa"/>
            <w:tcBorders>
              <w:top w:val="single" w:color="auto" w:sz="4" w:space="0"/>
              <w:left w:val="nil"/>
              <w:bottom w:val="single" w:color="auto" w:sz="4" w:space="0"/>
              <w:right w:val="single" w:color="auto" w:sz="4" w:space="0"/>
            </w:tcBorders>
            <w:shd w:val="clear" w:color="auto" w:fill="auto"/>
            <w:vAlign w:val="center"/>
          </w:tcPr>
          <w:p w14:paraId="151066BB">
            <w:pPr>
              <w:widowControl/>
              <w:jc w:val="left"/>
              <w:rPr>
                <w:rFonts w:ascii="宋体" w:hAnsi="宋体" w:eastAsia="宋体" w:cs="宋体"/>
                <w:kern w:val="0"/>
                <w:sz w:val="20"/>
                <w:szCs w:val="20"/>
              </w:rPr>
            </w:pPr>
            <w:r>
              <w:rPr>
                <w:rFonts w:hint="eastAsia" w:ascii="宋体" w:hAnsi="宋体" w:eastAsia="宋体" w:cs="宋体"/>
                <w:kern w:val="0"/>
                <w:sz w:val="20"/>
                <w:szCs w:val="20"/>
              </w:rPr>
              <w:t>有效改善干部生活条件</w:t>
            </w:r>
          </w:p>
        </w:tc>
        <w:tc>
          <w:tcPr>
            <w:tcW w:w="2552" w:type="dxa"/>
            <w:tcBorders>
              <w:top w:val="single" w:color="auto" w:sz="4" w:space="0"/>
              <w:left w:val="nil"/>
              <w:bottom w:val="single" w:color="auto" w:sz="4" w:space="0"/>
              <w:right w:val="single" w:color="auto" w:sz="4" w:space="0"/>
            </w:tcBorders>
            <w:shd w:val="clear" w:color="auto" w:fill="auto"/>
            <w:vAlign w:val="center"/>
          </w:tcPr>
          <w:p w14:paraId="70452793">
            <w:pPr>
              <w:widowControl/>
              <w:jc w:val="center"/>
              <w:rPr>
                <w:rFonts w:ascii="宋体" w:hAnsi="宋体" w:eastAsia="宋体" w:cs="宋体"/>
                <w:kern w:val="0"/>
                <w:sz w:val="20"/>
                <w:szCs w:val="20"/>
              </w:rPr>
            </w:pPr>
            <w:r>
              <w:rPr>
                <w:rFonts w:hint="eastAsia" w:ascii="宋体" w:hAnsi="宋体" w:eastAsia="宋体" w:cs="宋体"/>
                <w:kern w:val="0"/>
                <w:sz w:val="20"/>
                <w:szCs w:val="20"/>
              </w:rPr>
              <w:t>有所改善</w:t>
            </w:r>
          </w:p>
        </w:tc>
      </w:tr>
      <w:tr w14:paraId="31B9DCAB">
        <w:tblPrEx>
          <w:tblCellMar>
            <w:top w:w="0" w:type="dxa"/>
            <w:left w:w="108" w:type="dxa"/>
            <w:bottom w:w="0" w:type="dxa"/>
            <w:right w:w="108" w:type="dxa"/>
          </w:tblCellMar>
        </w:tblPrEx>
        <w:trPr>
          <w:trHeight w:val="402" w:hRule="atLeast"/>
        </w:trPr>
        <w:tc>
          <w:tcPr>
            <w:tcW w:w="1555" w:type="dxa"/>
            <w:vMerge w:val="continue"/>
            <w:tcBorders>
              <w:top w:val="single" w:color="auto" w:sz="4" w:space="0"/>
              <w:left w:val="single" w:color="auto" w:sz="4" w:space="0"/>
              <w:bottom w:val="single" w:color="000000" w:sz="4" w:space="0"/>
              <w:right w:val="single" w:color="auto" w:sz="4" w:space="0"/>
            </w:tcBorders>
            <w:vAlign w:val="center"/>
          </w:tcPr>
          <w:p w14:paraId="61C795AE">
            <w:pPr>
              <w:widowControl/>
              <w:jc w:val="left"/>
              <w:rPr>
                <w:rFonts w:ascii="宋体" w:hAnsi="宋体" w:eastAsia="宋体" w:cs="宋体"/>
                <w:kern w:val="0"/>
                <w:sz w:val="20"/>
                <w:szCs w:val="20"/>
              </w:rPr>
            </w:pPr>
          </w:p>
        </w:tc>
        <w:tc>
          <w:tcPr>
            <w:tcW w:w="1701" w:type="dxa"/>
            <w:tcBorders>
              <w:top w:val="single" w:color="auto" w:sz="4" w:space="0"/>
              <w:left w:val="nil"/>
              <w:bottom w:val="single" w:color="auto" w:sz="4" w:space="0"/>
              <w:right w:val="single" w:color="auto" w:sz="4" w:space="0"/>
            </w:tcBorders>
            <w:shd w:val="clear" w:color="auto" w:fill="auto"/>
            <w:vAlign w:val="center"/>
          </w:tcPr>
          <w:p w14:paraId="7554E391">
            <w:pPr>
              <w:widowControl/>
              <w:jc w:val="center"/>
              <w:rPr>
                <w:rFonts w:ascii="宋体" w:hAnsi="宋体" w:eastAsia="宋体" w:cs="宋体"/>
                <w:kern w:val="0"/>
                <w:sz w:val="20"/>
                <w:szCs w:val="20"/>
              </w:rPr>
            </w:pPr>
            <w:r>
              <w:rPr>
                <w:rFonts w:hint="eastAsia" w:ascii="宋体" w:hAnsi="宋体" w:eastAsia="宋体" w:cs="宋体"/>
                <w:kern w:val="0"/>
                <w:sz w:val="20"/>
                <w:szCs w:val="20"/>
              </w:rPr>
              <w:t>可持续影响指标</w:t>
            </w:r>
          </w:p>
        </w:tc>
        <w:tc>
          <w:tcPr>
            <w:tcW w:w="2551" w:type="dxa"/>
            <w:tcBorders>
              <w:top w:val="single" w:color="auto" w:sz="4" w:space="0"/>
              <w:left w:val="nil"/>
              <w:bottom w:val="single" w:color="auto" w:sz="4" w:space="0"/>
              <w:right w:val="single" w:color="auto" w:sz="4" w:space="0"/>
            </w:tcBorders>
            <w:shd w:val="clear" w:color="auto" w:fill="auto"/>
            <w:vAlign w:val="center"/>
          </w:tcPr>
          <w:p w14:paraId="3A4988F0">
            <w:pPr>
              <w:widowControl/>
              <w:jc w:val="left"/>
              <w:rPr>
                <w:rFonts w:ascii="宋体" w:hAnsi="宋体" w:eastAsia="宋体" w:cs="宋体"/>
                <w:kern w:val="0"/>
                <w:sz w:val="20"/>
                <w:szCs w:val="20"/>
              </w:rPr>
            </w:pPr>
            <w:r>
              <w:rPr>
                <w:rFonts w:hint="eastAsia" w:ascii="宋体" w:hAnsi="宋体" w:eastAsia="宋体" w:cs="宋体"/>
                <w:kern w:val="0"/>
                <w:sz w:val="20"/>
                <w:szCs w:val="20"/>
              </w:rPr>
              <w:t>正常使用年限</w:t>
            </w:r>
          </w:p>
        </w:tc>
        <w:tc>
          <w:tcPr>
            <w:tcW w:w="2552" w:type="dxa"/>
            <w:tcBorders>
              <w:top w:val="single" w:color="auto" w:sz="4" w:space="0"/>
              <w:left w:val="nil"/>
              <w:bottom w:val="single" w:color="auto" w:sz="4" w:space="0"/>
              <w:right w:val="single" w:color="auto" w:sz="4" w:space="0"/>
            </w:tcBorders>
            <w:shd w:val="clear" w:color="auto" w:fill="auto"/>
            <w:vAlign w:val="center"/>
          </w:tcPr>
          <w:p w14:paraId="5826EEC0">
            <w:pPr>
              <w:widowControl/>
              <w:jc w:val="center"/>
              <w:rPr>
                <w:rFonts w:ascii="宋体" w:hAnsi="宋体" w:eastAsia="宋体" w:cs="宋体"/>
                <w:kern w:val="0"/>
                <w:sz w:val="20"/>
                <w:szCs w:val="20"/>
              </w:rPr>
            </w:pPr>
            <w:r>
              <w:rPr>
                <w:rFonts w:hint="eastAsia" w:ascii="宋体" w:hAnsi="宋体" w:eastAsia="宋体" w:cs="宋体"/>
                <w:kern w:val="0"/>
                <w:sz w:val="20"/>
                <w:szCs w:val="20"/>
              </w:rPr>
              <w:t>&gt;=30年</w:t>
            </w:r>
          </w:p>
        </w:tc>
      </w:tr>
      <w:tr w14:paraId="05198EA4">
        <w:tblPrEx>
          <w:tblCellMar>
            <w:top w:w="0" w:type="dxa"/>
            <w:left w:w="108" w:type="dxa"/>
            <w:bottom w:w="0" w:type="dxa"/>
            <w:right w:w="108" w:type="dxa"/>
          </w:tblCellMar>
        </w:tblPrEx>
        <w:trPr>
          <w:trHeight w:val="402" w:hRule="atLeast"/>
        </w:trPr>
        <w:tc>
          <w:tcPr>
            <w:tcW w:w="1555" w:type="dxa"/>
            <w:tcBorders>
              <w:top w:val="nil"/>
              <w:left w:val="single" w:color="auto" w:sz="4" w:space="0"/>
              <w:bottom w:val="single" w:color="auto" w:sz="4" w:space="0"/>
              <w:right w:val="single" w:color="auto" w:sz="4" w:space="0"/>
            </w:tcBorders>
            <w:shd w:val="clear" w:color="auto" w:fill="auto"/>
            <w:vAlign w:val="center"/>
          </w:tcPr>
          <w:p w14:paraId="585A0EBF">
            <w:pPr>
              <w:widowControl/>
              <w:jc w:val="center"/>
              <w:rPr>
                <w:rFonts w:ascii="宋体" w:hAnsi="宋体" w:eastAsia="宋体" w:cs="宋体"/>
                <w:kern w:val="0"/>
                <w:sz w:val="20"/>
                <w:szCs w:val="20"/>
              </w:rPr>
            </w:pPr>
            <w:r>
              <w:rPr>
                <w:rFonts w:hint="eastAsia" w:ascii="宋体" w:hAnsi="宋体" w:eastAsia="宋体" w:cs="宋体"/>
                <w:kern w:val="0"/>
                <w:sz w:val="20"/>
                <w:szCs w:val="20"/>
              </w:rPr>
              <w:t>满意度指标</w:t>
            </w:r>
          </w:p>
        </w:tc>
        <w:tc>
          <w:tcPr>
            <w:tcW w:w="1701" w:type="dxa"/>
            <w:tcBorders>
              <w:top w:val="nil"/>
              <w:left w:val="nil"/>
              <w:bottom w:val="single" w:color="auto" w:sz="4" w:space="0"/>
              <w:right w:val="single" w:color="auto" w:sz="4" w:space="0"/>
            </w:tcBorders>
            <w:shd w:val="clear" w:color="auto" w:fill="auto"/>
            <w:vAlign w:val="center"/>
          </w:tcPr>
          <w:p w14:paraId="24BDCB71">
            <w:pPr>
              <w:widowControl/>
              <w:jc w:val="center"/>
              <w:rPr>
                <w:rFonts w:ascii="宋体" w:hAnsi="宋体" w:eastAsia="宋体" w:cs="宋体"/>
                <w:kern w:val="0"/>
                <w:sz w:val="20"/>
                <w:szCs w:val="20"/>
              </w:rPr>
            </w:pPr>
            <w:r>
              <w:rPr>
                <w:rFonts w:hint="eastAsia" w:ascii="宋体" w:hAnsi="宋体" w:eastAsia="宋体" w:cs="宋体"/>
                <w:kern w:val="0"/>
                <w:sz w:val="20"/>
                <w:szCs w:val="20"/>
              </w:rPr>
              <w:t>满意度指标</w:t>
            </w:r>
          </w:p>
        </w:tc>
        <w:tc>
          <w:tcPr>
            <w:tcW w:w="2551" w:type="dxa"/>
            <w:tcBorders>
              <w:top w:val="nil"/>
              <w:left w:val="nil"/>
              <w:bottom w:val="single" w:color="auto" w:sz="4" w:space="0"/>
              <w:right w:val="single" w:color="auto" w:sz="4" w:space="0"/>
            </w:tcBorders>
            <w:shd w:val="clear" w:color="auto" w:fill="auto"/>
            <w:vAlign w:val="center"/>
          </w:tcPr>
          <w:p w14:paraId="67859FE1">
            <w:pPr>
              <w:widowControl/>
              <w:jc w:val="left"/>
              <w:rPr>
                <w:rFonts w:ascii="宋体" w:hAnsi="宋体" w:eastAsia="宋体" w:cs="宋体"/>
                <w:kern w:val="0"/>
                <w:sz w:val="20"/>
                <w:szCs w:val="20"/>
              </w:rPr>
            </w:pPr>
            <w:r>
              <w:rPr>
                <w:rFonts w:hint="eastAsia" w:ascii="宋体" w:hAnsi="宋体" w:eastAsia="宋体" w:cs="宋体"/>
                <w:kern w:val="0"/>
                <w:sz w:val="20"/>
                <w:szCs w:val="20"/>
              </w:rPr>
              <w:t>入住干部满意度</w:t>
            </w:r>
          </w:p>
        </w:tc>
        <w:tc>
          <w:tcPr>
            <w:tcW w:w="2552" w:type="dxa"/>
            <w:tcBorders>
              <w:top w:val="single" w:color="auto" w:sz="4" w:space="0"/>
              <w:left w:val="nil"/>
              <w:bottom w:val="single" w:color="auto" w:sz="4" w:space="0"/>
              <w:right w:val="single" w:color="auto" w:sz="4" w:space="0"/>
            </w:tcBorders>
            <w:shd w:val="clear" w:color="auto" w:fill="auto"/>
            <w:vAlign w:val="center"/>
          </w:tcPr>
          <w:p w14:paraId="47E36B7A">
            <w:pPr>
              <w:widowControl/>
              <w:jc w:val="center"/>
              <w:rPr>
                <w:rFonts w:ascii="宋体" w:hAnsi="宋体" w:eastAsia="宋体" w:cs="宋体"/>
                <w:kern w:val="0"/>
                <w:sz w:val="20"/>
                <w:szCs w:val="20"/>
              </w:rPr>
            </w:pPr>
            <w:r>
              <w:rPr>
                <w:rFonts w:hint="eastAsia" w:ascii="宋体" w:hAnsi="宋体" w:eastAsia="宋体" w:cs="宋体"/>
                <w:kern w:val="0"/>
                <w:sz w:val="20"/>
                <w:szCs w:val="20"/>
              </w:rPr>
              <w:t>&gt;=95%</w:t>
            </w:r>
          </w:p>
        </w:tc>
      </w:tr>
    </w:tbl>
    <w:p w14:paraId="0DC49B5B">
      <w:pPr>
        <w:ind w:firstLine="643" w:firstLineChars="200"/>
        <w:rPr>
          <w:rFonts w:ascii="仿宋_GB2312" w:eastAsia="仿宋_GB2312"/>
          <w:b/>
          <w:sz w:val="32"/>
          <w:szCs w:val="32"/>
        </w:rPr>
      </w:pPr>
      <w:r>
        <w:rPr>
          <w:rFonts w:hint="eastAsia" w:ascii="仿宋_GB2312" w:eastAsia="仿宋_GB2312"/>
          <w:b/>
          <w:sz w:val="32"/>
          <w:szCs w:val="32"/>
        </w:rPr>
        <w:t>二、评价工作简述</w:t>
      </w:r>
    </w:p>
    <w:p w14:paraId="2392AC44">
      <w:pPr>
        <w:ind w:firstLine="643" w:firstLineChars="200"/>
        <w:rPr>
          <w:rFonts w:ascii="楷体_GB2312" w:eastAsia="楷体_GB2312"/>
          <w:b/>
          <w:sz w:val="32"/>
          <w:szCs w:val="32"/>
        </w:rPr>
      </w:pPr>
      <w:r>
        <w:rPr>
          <w:rFonts w:hint="eastAsia" w:ascii="楷体_GB2312" w:eastAsia="楷体_GB2312"/>
          <w:b/>
          <w:sz w:val="32"/>
          <w:szCs w:val="32"/>
        </w:rPr>
        <w:t>（一）评价目的与原则</w:t>
      </w:r>
    </w:p>
    <w:p w14:paraId="6EB83B89">
      <w:pPr>
        <w:ind w:firstLine="643" w:firstLineChars="200"/>
        <w:rPr>
          <w:rFonts w:ascii="仿宋_GB2312" w:eastAsia="仿宋_GB2312"/>
          <w:b/>
          <w:sz w:val="32"/>
          <w:szCs w:val="32"/>
        </w:rPr>
      </w:pPr>
      <w:r>
        <w:rPr>
          <w:rFonts w:hint="eastAsia" w:ascii="仿宋_GB2312" w:eastAsia="仿宋_GB2312"/>
          <w:b/>
          <w:sz w:val="32"/>
          <w:szCs w:val="32"/>
        </w:rPr>
        <w:t>1.评价的目的</w:t>
      </w:r>
    </w:p>
    <w:p w14:paraId="656D5BD8">
      <w:pPr>
        <w:ind w:firstLine="640" w:firstLineChars="200"/>
        <w:rPr>
          <w:rFonts w:ascii="仿宋_GB2312" w:eastAsia="仿宋_GB2312"/>
          <w:sz w:val="32"/>
          <w:szCs w:val="32"/>
        </w:rPr>
      </w:pPr>
      <w:r>
        <w:rPr>
          <w:rFonts w:hint="eastAsia" w:ascii="仿宋_GB2312" w:eastAsia="仿宋_GB2312"/>
          <w:sz w:val="32"/>
          <w:szCs w:val="32"/>
        </w:rPr>
        <w:t>本次绩效评价遵循财政部《项目支出绩效评价管理办法》和自治区财政厅《自治区财政支出绩效评价管理暂行办法》等相关政策文件与规定，旨在评价财政项目实施前期、过程及效果，对财政项目支出的经济性、效率性、效益性和公平性进行客观、公正的测量、分析和评判。绩效评价的目的是为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w:t>
      </w:r>
    </w:p>
    <w:p w14:paraId="3AB3B7F2">
      <w:pPr>
        <w:ind w:firstLine="643" w:firstLineChars="200"/>
        <w:rPr>
          <w:rFonts w:ascii="仿宋_GB2312" w:eastAsia="仿宋_GB2312"/>
          <w:b/>
          <w:sz w:val="32"/>
          <w:szCs w:val="32"/>
        </w:rPr>
      </w:pPr>
      <w:r>
        <w:rPr>
          <w:rFonts w:hint="eastAsia" w:ascii="仿宋_GB2312" w:eastAsia="仿宋_GB2312"/>
          <w:b/>
          <w:sz w:val="32"/>
          <w:szCs w:val="32"/>
        </w:rPr>
        <w:t>2.评价原则</w:t>
      </w:r>
    </w:p>
    <w:p w14:paraId="180736A9">
      <w:pPr>
        <w:ind w:firstLine="640" w:firstLineChars="200"/>
        <w:rPr>
          <w:rFonts w:ascii="仿宋_GB2312" w:eastAsia="仿宋_GB2312"/>
          <w:sz w:val="32"/>
          <w:szCs w:val="32"/>
        </w:rPr>
      </w:pPr>
      <w:r>
        <w:rPr>
          <w:rFonts w:hint="eastAsia" w:ascii="仿宋_GB2312" w:eastAsia="仿宋_GB2312"/>
          <w:sz w:val="32"/>
          <w:szCs w:val="32"/>
        </w:rPr>
        <w:t>依据《中华人民共和国预算法》、《中共中央国务院关于全面实施预算绩效管理的意见》、《项目支出绩效评价管理办法》、《自治区党委自治区人民政府关于全面实施预算绩效管理的实施意见》、《自治区全面实施预算绩效管理的工作方案》、《自治区财政支出绩效评价管理暂行办法》</w:t>
      </w:r>
      <w:r>
        <w:rPr>
          <w:rFonts w:ascii="仿宋_GB2312" w:eastAsia="仿宋_GB2312"/>
          <w:sz w:val="32"/>
          <w:szCs w:val="32"/>
        </w:rPr>
        <w:t>《</w:t>
      </w:r>
      <w:r>
        <w:rPr>
          <w:rFonts w:hint="eastAsia" w:ascii="仿宋_GB2312" w:eastAsia="仿宋_GB2312"/>
          <w:sz w:val="32"/>
          <w:szCs w:val="32"/>
        </w:rPr>
        <w:t>关于</w:t>
      </w:r>
      <w:r>
        <w:rPr>
          <w:rFonts w:ascii="仿宋_GB2312" w:eastAsia="仿宋_GB2312"/>
          <w:sz w:val="32"/>
          <w:szCs w:val="32"/>
        </w:rPr>
        <w:t>印发〈</w:t>
      </w:r>
      <w:r>
        <w:rPr>
          <w:rFonts w:hint="eastAsia" w:ascii="仿宋_GB2312" w:eastAsia="仿宋_GB2312"/>
          <w:sz w:val="32"/>
          <w:szCs w:val="32"/>
        </w:rPr>
        <w:t>塔</w:t>
      </w:r>
      <w:r>
        <w:rPr>
          <w:rFonts w:ascii="仿宋_GB2312" w:eastAsia="仿宋_GB2312"/>
          <w:sz w:val="32"/>
          <w:szCs w:val="32"/>
        </w:rPr>
        <w:t>城地区</w:t>
      </w:r>
      <w:r>
        <w:rPr>
          <w:rFonts w:hint="eastAsia" w:ascii="仿宋_GB2312" w:eastAsia="仿宋_GB2312"/>
          <w:sz w:val="32"/>
          <w:szCs w:val="32"/>
        </w:rPr>
        <w:t>财政</w:t>
      </w:r>
      <w:r>
        <w:rPr>
          <w:rFonts w:ascii="仿宋_GB2312" w:eastAsia="仿宋_GB2312"/>
          <w:sz w:val="32"/>
          <w:szCs w:val="32"/>
        </w:rPr>
        <w:t>支出绩效评价管理暂行办法〉</w:t>
      </w:r>
      <w:r>
        <w:rPr>
          <w:rFonts w:hint="eastAsia" w:ascii="仿宋_GB2312" w:eastAsia="仿宋_GB2312"/>
          <w:sz w:val="32"/>
          <w:szCs w:val="32"/>
        </w:rPr>
        <w:t>的</w:t>
      </w:r>
      <w:r>
        <w:rPr>
          <w:rFonts w:ascii="仿宋_GB2312" w:eastAsia="仿宋_GB2312"/>
          <w:sz w:val="32"/>
          <w:szCs w:val="32"/>
        </w:rPr>
        <w:t>通知》</w:t>
      </w:r>
      <w:r>
        <w:rPr>
          <w:rFonts w:hint="eastAsia" w:ascii="仿宋_GB2312" w:eastAsia="仿宋_GB2312"/>
          <w:sz w:val="32"/>
          <w:szCs w:val="32"/>
        </w:rPr>
        <w:t>系列文件的要求，本次绩效评价秉承科学规范、公正公开、分级分类、绩效相关等原则，按照从投入、过程到产出效果和影响的绩效逻辑路径，结合塔城人才公寓楼建设及配套设施项目实际开展情况，运用定量和定性分析相结合的方法，总结经验做法，反思项目实施和管理中的问题，以切实提升财政资金管理的科学化、规范化和精细化水平。</w:t>
      </w:r>
    </w:p>
    <w:p w14:paraId="2657F37A">
      <w:pPr>
        <w:ind w:firstLine="640" w:firstLineChars="200"/>
        <w:rPr>
          <w:rFonts w:ascii="仿宋_GB2312" w:eastAsia="仿宋_GB2312"/>
          <w:sz w:val="32"/>
          <w:szCs w:val="32"/>
        </w:rPr>
      </w:pPr>
      <w:r>
        <w:rPr>
          <w:rFonts w:hint="eastAsia" w:ascii="仿宋_GB2312" w:eastAsia="仿宋_GB2312"/>
          <w:sz w:val="32"/>
          <w:szCs w:val="32"/>
        </w:rPr>
        <w:t>根据以上原则，绩效评价应遵循如下要求：</w:t>
      </w:r>
    </w:p>
    <w:p w14:paraId="6276ADA8">
      <w:pPr>
        <w:ind w:firstLine="640" w:firstLineChars="200"/>
        <w:rPr>
          <w:rFonts w:ascii="仿宋_GB2312" w:eastAsia="仿宋_GB2312"/>
          <w:sz w:val="32"/>
          <w:szCs w:val="32"/>
        </w:rPr>
      </w:pPr>
      <w:r>
        <w:rPr>
          <w:rFonts w:hint="eastAsia" w:ascii="仿宋_GB2312" w:eastAsia="仿宋_GB2312"/>
          <w:sz w:val="32"/>
          <w:szCs w:val="32"/>
        </w:rPr>
        <w:t>（1）在数据收集时，采取客观数据，主管部门审查、社会中介组织复查，与问卷调查相结合的形式，以保证各项指标的真实性。</w:t>
      </w:r>
    </w:p>
    <w:p w14:paraId="06FF373A">
      <w:pPr>
        <w:ind w:firstLine="640" w:firstLineChars="200"/>
        <w:rPr>
          <w:rFonts w:ascii="仿宋_GB2312" w:eastAsia="仿宋_GB2312"/>
          <w:sz w:val="32"/>
          <w:szCs w:val="32"/>
        </w:rPr>
      </w:pPr>
      <w:r>
        <w:rPr>
          <w:rFonts w:hint="eastAsia" w:ascii="仿宋_GB2312" w:eastAsia="仿宋_GB2312"/>
          <w:sz w:val="32"/>
          <w:szCs w:val="32"/>
        </w:rPr>
        <w:t>（2）保证评价结果的真实性、公正性，提高评价报告的公信力。</w:t>
      </w:r>
    </w:p>
    <w:p w14:paraId="5840C9D3">
      <w:pPr>
        <w:ind w:firstLine="640" w:firstLineChars="200"/>
        <w:rPr>
          <w:rFonts w:ascii="仿宋_GB2312" w:eastAsia="仿宋_GB2312"/>
          <w:sz w:val="32"/>
          <w:szCs w:val="32"/>
        </w:rPr>
      </w:pPr>
      <w:r>
        <w:rPr>
          <w:rFonts w:hint="eastAsia" w:ascii="仿宋_GB2312" w:eastAsia="仿宋_GB2312"/>
          <w:sz w:val="32"/>
          <w:szCs w:val="32"/>
        </w:rPr>
        <w:t>（3）绩效评价报告应当简明扼要，除了对绩效评价的过程、结果描述外，还应总结经验，指出问题，并就共性问题提出可操作性改进建议。</w:t>
      </w:r>
    </w:p>
    <w:p w14:paraId="5ED543B7">
      <w:pPr>
        <w:ind w:firstLine="643" w:firstLineChars="200"/>
        <w:rPr>
          <w:rFonts w:ascii="楷体_GB2312" w:eastAsia="楷体_GB2312"/>
          <w:b/>
          <w:sz w:val="32"/>
          <w:szCs w:val="32"/>
        </w:rPr>
      </w:pPr>
      <w:r>
        <w:rPr>
          <w:rFonts w:hint="eastAsia" w:ascii="楷体_GB2312" w:eastAsia="楷体_GB2312"/>
          <w:b/>
          <w:sz w:val="32"/>
          <w:szCs w:val="32"/>
        </w:rPr>
        <w:t>（二）评价方法</w:t>
      </w:r>
    </w:p>
    <w:p w14:paraId="67EEB3BC">
      <w:pPr>
        <w:ind w:firstLine="640" w:firstLineChars="200"/>
        <w:rPr>
          <w:rFonts w:ascii="仿宋_GB2312" w:eastAsia="仿宋_GB2312"/>
          <w:sz w:val="32"/>
          <w:szCs w:val="32"/>
        </w:rPr>
      </w:pPr>
      <w:r>
        <w:rPr>
          <w:rFonts w:hint="eastAsia" w:ascii="仿宋_GB2312" w:eastAsia="仿宋_GB2312"/>
          <w:sz w:val="32"/>
          <w:szCs w:val="32"/>
        </w:rPr>
        <w:t xml:space="preserve">正确的评价方法是评价工作顺利开展的保障，在结合实际项目经验的情况下，绩效评价小组根据该项目资金的性质  </w:t>
      </w:r>
    </w:p>
    <w:p w14:paraId="6B85E842">
      <w:pPr>
        <w:rPr>
          <w:rFonts w:ascii="仿宋_GB2312" w:eastAsia="仿宋_GB2312"/>
          <w:sz w:val="32"/>
          <w:szCs w:val="32"/>
        </w:rPr>
      </w:pPr>
      <w:r>
        <w:rPr>
          <w:rFonts w:hint="eastAsia" w:ascii="仿宋_GB2312" w:eastAsia="仿宋_GB2312"/>
          <w:sz w:val="32"/>
          <w:szCs w:val="32"/>
        </w:rPr>
        <w:t>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p>
    <w:p w14:paraId="31ED8A45">
      <w:pPr>
        <w:ind w:firstLine="643" w:firstLineChars="200"/>
        <w:rPr>
          <w:rFonts w:ascii="仿宋_GB2312" w:eastAsia="仿宋_GB2312"/>
          <w:sz w:val="32"/>
          <w:szCs w:val="32"/>
        </w:rPr>
      </w:pPr>
      <w:r>
        <w:rPr>
          <w:rFonts w:hint="eastAsia" w:ascii="仿宋_GB2312" w:eastAsia="仿宋_GB2312"/>
          <w:b/>
          <w:sz w:val="32"/>
          <w:szCs w:val="32"/>
        </w:rPr>
        <w:t>1.定量指标分析环节：</w:t>
      </w:r>
      <w:r>
        <w:rPr>
          <w:rFonts w:hint="eastAsia" w:ascii="仿宋_GB2312" w:eastAsia="仿宋_GB2312"/>
          <w:sz w:val="32"/>
          <w:szCs w:val="32"/>
        </w:rPr>
        <w:t>主要采用比较法，对比三级指标预期指标值和三级指标截止评价日的完成情况，综合分析绩效目标实现程度。详细评价方法的应用如下：</w:t>
      </w:r>
    </w:p>
    <w:p w14:paraId="2B0BB251">
      <w:pPr>
        <w:ind w:firstLine="640" w:firstLineChars="200"/>
        <w:rPr>
          <w:rFonts w:ascii="仿宋_GB2312" w:eastAsia="仿宋_GB2312"/>
          <w:sz w:val="32"/>
          <w:szCs w:val="32"/>
        </w:rPr>
      </w:pPr>
      <w:r>
        <w:rPr>
          <w:rFonts w:hint="eastAsia" w:ascii="仿宋_GB2312" w:eastAsia="仿宋_GB2312"/>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p>
    <w:p w14:paraId="2F9FDCAA">
      <w:pPr>
        <w:ind w:firstLine="640" w:firstLineChars="200"/>
        <w:rPr>
          <w:rFonts w:ascii="仿宋_GB2312" w:eastAsia="仿宋_GB2312"/>
          <w:sz w:val="32"/>
          <w:szCs w:val="32"/>
        </w:rPr>
      </w:pPr>
      <w:r>
        <w:rPr>
          <w:rFonts w:hint="eastAsia" w:ascii="仿宋_GB2312" w:eastAsia="仿宋_GB2312"/>
          <w:sz w:val="32"/>
          <w:szCs w:val="32"/>
        </w:rPr>
        <w:t>满意度指标：主要采用比较法，据满意度问卷统计情况计算完成比率与预期指标值对比，达成满意度预期目标的，得满分；未完成指标值的，则每降低1%扣除5%的权重分，扣完为止。</w:t>
      </w:r>
    </w:p>
    <w:p w14:paraId="6DD2D96A">
      <w:pPr>
        <w:ind w:firstLine="645"/>
        <w:rPr>
          <w:rFonts w:ascii="仿宋_GB2312" w:eastAsia="仿宋_GB2312"/>
          <w:sz w:val="32"/>
          <w:szCs w:val="32"/>
        </w:rPr>
      </w:pPr>
      <w:r>
        <w:rPr>
          <w:rFonts w:hint="eastAsia" w:ascii="仿宋_GB2312" w:eastAsia="仿宋_GB2312"/>
          <w:b/>
          <w:sz w:val="32"/>
          <w:szCs w:val="32"/>
        </w:rPr>
        <w:t>2.定性指标分析环节：</w:t>
      </w:r>
      <w:r>
        <w:rPr>
          <w:rFonts w:hint="eastAsia" w:ascii="仿宋_GB2312" w:eastAsia="仿宋_GB2312"/>
          <w:sz w:val="32"/>
          <w:szCs w:val="32"/>
        </w:rPr>
        <w:t xml:space="preserve">主要采用公众评判法，通过问卷及抽样调查等方式评价本项目实施后社会公众对于其实施效果的满意程度，将调研结果按照《项目支出绩效评价管理办法》《关于印发＜自治区项目支出绩效目标设置指引＞的通知）文要求分为基本达成目标、部分实现目标、实现目标程度较低三档，分别按照该指标对应分值区间100.00％-80％（含）、80％-60％（含）、60％-0％合理确定分值，详细评价方法的应用如下：   </w:t>
      </w:r>
    </w:p>
    <w:p w14:paraId="0D27EFD1">
      <w:pPr>
        <w:ind w:firstLine="645"/>
        <w:rPr>
          <w:rFonts w:ascii="仿宋_GB2312" w:eastAsia="仿宋_GB2312"/>
          <w:sz w:val="32"/>
          <w:szCs w:val="32"/>
        </w:rPr>
      </w:pPr>
      <w:r>
        <w:rPr>
          <w:rFonts w:hint="eastAsia" w:ascii="仿宋_GB2312" w:eastAsia="仿宋_GB2312"/>
          <w:sz w:val="32"/>
          <w:szCs w:val="32"/>
        </w:rPr>
        <w:t>立项依据充分性：比较法和文献法，查找法律法规政策以及规划，对比实际执行内容和政策支持内容是否匹配，分析立项依据充分性。</w:t>
      </w:r>
    </w:p>
    <w:p w14:paraId="14B6464B">
      <w:pPr>
        <w:ind w:firstLine="640" w:firstLineChars="200"/>
        <w:rPr>
          <w:rFonts w:ascii="仿宋_GB2312" w:eastAsia="仿宋_GB2312"/>
          <w:sz w:val="32"/>
          <w:szCs w:val="32"/>
        </w:rPr>
      </w:pPr>
      <w:r>
        <w:rPr>
          <w:rFonts w:hint="eastAsia" w:ascii="仿宋_GB2312" w:eastAsia="仿宋_GB2312"/>
          <w:sz w:val="32"/>
          <w:szCs w:val="32"/>
        </w:rPr>
        <w:t>立项程序规范性：比较法合和文献法，查找相关项目设立的政策和文件要求，对比分析实际执行程序是否按照政策及文件要求执行，分析立项程序的规范性。</w:t>
      </w:r>
    </w:p>
    <w:p w14:paraId="3B9F834D">
      <w:pPr>
        <w:ind w:firstLine="640" w:firstLineChars="200"/>
        <w:rPr>
          <w:rFonts w:ascii="仿宋_GB2312" w:eastAsia="仿宋_GB2312"/>
          <w:sz w:val="32"/>
          <w:szCs w:val="32"/>
        </w:rPr>
      </w:pPr>
      <w:r>
        <w:rPr>
          <w:rFonts w:hint="eastAsia" w:ascii="仿宋_GB2312" w:eastAsia="仿宋_GB2312"/>
          <w:sz w:val="32"/>
          <w:szCs w:val="32"/>
        </w:rPr>
        <w:t>绩效目标合理性：比较法和因素分析法，对比分析年初编制项目支出绩效目标表与项目内容的相关性、资金的匹配性等。</w:t>
      </w:r>
    </w:p>
    <w:p w14:paraId="31D8523A">
      <w:pPr>
        <w:ind w:firstLine="640" w:firstLineChars="200"/>
        <w:rPr>
          <w:rFonts w:ascii="仿宋_GB2312" w:eastAsia="仿宋_GB2312"/>
          <w:sz w:val="32"/>
          <w:szCs w:val="32"/>
        </w:rPr>
      </w:pPr>
      <w:r>
        <w:rPr>
          <w:rFonts w:hint="eastAsia" w:ascii="仿宋_GB2312" w:eastAsia="仿宋_GB2312"/>
          <w:sz w:val="32"/>
          <w:szCs w:val="32"/>
        </w:rPr>
        <w:t>绩效指标明确性：比较法和因素分析法，比较分析年初编制项目支出绩效目标表是否符合双七原则，是否可衡量。</w:t>
      </w:r>
    </w:p>
    <w:p w14:paraId="55D3B76A">
      <w:pPr>
        <w:ind w:firstLine="640" w:firstLineChars="200"/>
        <w:rPr>
          <w:rFonts w:ascii="仿宋_GB2312" w:eastAsia="仿宋_GB2312"/>
          <w:sz w:val="32"/>
          <w:szCs w:val="32"/>
        </w:rPr>
      </w:pPr>
      <w:r>
        <w:rPr>
          <w:rFonts w:hint="eastAsia" w:ascii="仿宋_GB2312" w:eastAsia="仿宋_GB2312"/>
          <w:sz w:val="32"/>
          <w:szCs w:val="32"/>
        </w:rPr>
        <w:t>预算编制科学性：专项转移支付资金分配采取因素分析法，应当主要选取自然、经济、社会、绩效等客观因素，并在资金管理办法中明确相应的权重或标准。</w:t>
      </w:r>
    </w:p>
    <w:p w14:paraId="7F0B0B52">
      <w:pPr>
        <w:ind w:firstLine="640" w:firstLineChars="200"/>
        <w:rPr>
          <w:rFonts w:ascii="仿宋_GB2312" w:eastAsia="仿宋_GB2312"/>
          <w:sz w:val="32"/>
          <w:szCs w:val="32"/>
        </w:rPr>
      </w:pPr>
      <w:r>
        <w:rPr>
          <w:rFonts w:hint="eastAsia" w:ascii="仿宋_GB2312" w:eastAsia="仿宋_GB2312"/>
          <w:sz w:val="32"/>
          <w:szCs w:val="32"/>
        </w:rPr>
        <w:t>资金分配合理性：因素分析法，综合分析资金的分配依据是否充分，分配金额是否与项目实施单位需求金额一致。</w:t>
      </w:r>
    </w:p>
    <w:p w14:paraId="28E52038">
      <w:pPr>
        <w:ind w:firstLine="640" w:firstLineChars="200"/>
        <w:rPr>
          <w:rFonts w:ascii="仿宋_GB2312" w:eastAsia="仿宋_GB2312"/>
          <w:sz w:val="32"/>
          <w:szCs w:val="32"/>
        </w:rPr>
      </w:pPr>
      <w:r>
        <w:rPr>
          <w:rFonts w:hint="eastAsia" w:ascii="仿宋_GB2312" w:eastAsia="仿宋_GB2312"/>
          <w:sz w:val="32"/>
          <w:szCs w:val="32"/>
        </w:rPr>
        <w:t>资金到位率：比较法分析法，按</w:t>
      </w:r>
      <w:r>
        <w:rPr>
          <w:rFonts w:ascii="仿宋_GB2312" w:eastAsia="仿宋_GB2312"/>
          <w:sz w:val="32"/>
          <w:szCs w:val="32"/>
        </w:rPr>
        <w:t>资金到位</w:t>
      </w:r>
      <w:r>
        <w:rPr>
          <w:rFonts w:hint="eastAsia" w:ascii="仿宋_GB2312" w:eastAsia="仿宋_GB2312"/>
          <w:sz w:val="32"/>
          <w:szCs w:val="32"/>
        </w:rPr>
        <w:t>的</w:t>
      </w:r>
      <w:r>
        <w:rPr>
          <w:rFonts w:ascii="仿宋_GB2312" w:eastAsia="仿宋_GB2312"/>
          <w:sz w:val="32"/>
          <w:szCs w:val="32"/>
        </w:rPr>
        <w:t>比例得分，</w:t>
      </w:r>
      <w:r>
        <w:rPr>
          <w:rFonts w:hint="eastAsia" w:ascii="仿宋_GB2312" w:eastAsia="仿宋_GB2312"/>
          <w:sz w:val="32"/>
          <w:szCs w:val="32"/>
        </w:rPr>
        <w:t>并分析实际完成值和预期指标值之间的差距和原因。</w:t>
      </w:r>
    </w:p>
    <w:p w14:paraId="0BE78280">
      <w:pPr>
        <w:ind w:firstLine="640" w:firstLineChars="200"/>
        <w:rPr>
          <w:rFonts w:ascii="仿宋_GB2312" w:eastAsia="仿宋_GB2312"/>
          <w:sz w:val="32"/>
          <w:szCs w:val="32"/>
        </w:rPr>
      </w:pPr>
      <w:r>
        <w:rPr>
          <w:rFonts w:hint="eastAsia" w:ascii="仿宋_GB2312" w:eastAsia="仿宋_GB2312"/>
          <w:sz w:val="32"/>
          <w:szCs w:val="32"/>
        </w:rPr>
        <w:t>预算执行率：比较法分析法，按实际支出资金占</w:t>
      </w:r>
      <w:r>
        <w:rPr>
          <w:rFonts w:ascii="仿宋_GB2312" w:eastAsia="仿宋_GB2312"/>
          <w:sz w:val="32"/>
          <w:szCs w:val="32"/>
        </w:rPr>
        <w:t>实际到位资金</w:t>
      </w:r>
      <w:r>
        <w:rPr>
          <w:rFonts w:hint="eastAsia" w:ascii="仿宋_GB2312" w:eastAsia="仿宋_GB2312"/>
          <w:sz w:val="32"/>
          <w:szCs w:val="32"/>
        </w:rPr>
        <w:t>的</w:t>
      </w:r>
      <w:r>
        <w:rPr>
          <w:rFonts w:ascii="仿宋_GB2312" w:eastAsia="仿宋_GB2312"/>
          <w:sz w:val="32"/>
          <w:szCs w:val="32"/>
        </w:rPr>
        <w:t>比</w:t>
      </w:r>
      <w:r>
        <w:rPr>
          <w:rFonts w:hint="eastAsia" w:ascii="仿宋_GB2312" w:eastAsia="仿宋_GB2312"/>
          <w:sz w:val="32"/>
          <w:szCs w:val="32"/>
        </w:rPr>
        <w:t>例</w:t>
      </w:r>
      <w:r>
        <w:rPr>
          <w:rFonts w:ascii="仿宋_GB2312" w:eastAsia="仿宋_GB2312"/>
          <w:sz w:val="32"/>
          <w:szCs w:val="32"/>
        </w:rPr>
        <w:t>计算得分，</w:t>
      </w:r>
      <w:r>
        <w:rPr>
          <w:rFonts w:hint="eastAsia" w:ascii="仿宋_GB2312" w:eastAsia="仿宋_GB2312"/>
          <w:sz w:val="32"/>
          <w:szCs w:val="32"/>
        </w:rPr>
        <w:t>并分析实际完成值和预期指标值之间的差距和原因。</w:t>
      </w:r>
    </w:p>
    <w:p w14:paraId="321808AD">
      <w:pPr>
        <w:ind w:firstLine="640" w:firstLineChars="200"/>
        <w:rPr>
          <w:rFonts w:ascii="仿宋_GB2312" w:eastAsia="仿宋_GB2312"/>
          <w:sz w:val="32"/>
          <w:szCs w:val="32"/>
        </w:rPr>
      </w:pPr>
      <w:r>
        <w:rPr>
          <w:rFonts w:hint="eastAsia" w:ascii="仿宋_GB2312" w:eastAsia="仿宋_GB2312"/>
          <w:sz w:val="32"/>
          <w:szCs w:val="32"/>
        </w:rPr>
        <w:t>资金使用合规性：比较法、文献法和因素分析法等，通过实地调研，检查项目资金使用情况，对比专项资金管理办法要求，分析资金使用合规性。</w:t>
      </w:r>
    </w:p>
    <w:p w14:paraId="614F3333">
      <w:pPr>
        <w:ind w:firstLine="640" w:firstLineChars="200"/>
        <w:rPr>
          <w:rFonts w:ascii="仿宋_GB2312" w:eastAsia="仿宋_GB2312"/>
          <w:sz w:val="32"/>
          <w:szCs w:val="32"/>
        </w:rPr>
      </w:pPr>
      <w:r>
        <w:rPr>
          <w:rFonts w:hint="eastAsia" w:ascii="仿宋_GB2312" w:eastAsia="仿宋_GB2312"/>
          <w:sz w:val="32"/>
          <w:szCs w:val="32"/>
        </w:rPr>
        <w:t>管理制度健全性：文献法、比较法和因素分析法等，通过查阅项目实施单位提供的财务和业务管理制度，将已建立的制度与现行的法律法规和政策要求进行对比，分析项目制度的合法性、合规性、完整性。</w:t>
      </w:r>
    </w:p>
    <w:p w14:paraId="641CD418">
      <w:pPr>
        <w:ind w:firstLine="640" w:firstLineChars="200"/>
        <w:rPr>
          <w:rFonts w:ascii="仿宋_GB2312" w:eastAsia="仿宋_GB2312"/>
          <w:sz w:val="32"/>
          <w:szCs w:val="32"/>
        </w:rPr>
      </w:pPr>
      <w:r>
        <w:rPr>
          <w:rFonts w:hint="eastAsia" w:ascii="仿宋_GB2312" w:eastAsia="仿宋_GB2312"/>
          <w:sz w:val="32"/>
          <w:szCs w:val="32"/>
        </w:rPr>
        <w:t>制度执行有效性：比较法，结合项目实际实施过程性文件，根据已建设的财务管理制度和项目管理制度综合分析制度执行的有效性。</w:t>
      </w:r>
    </w:p>
    <w:p w14:paraId="65D6AE40">
      <w:pPr>
        <w:ind w:firstLine="640" w:firstLineChars="200"/>
        <w:rPr>
          <w:rFonts w:ascii="仿宋_GB2312" w:eastAsia="仿宋_GB2312"/>
          <w:sz w:val="32"/>
          <w:szCs w:val="32"/>
        </w:rPr>
      </w:pPr>
      <w:r>
        <w:rPr>
          <w:rFonts w:hint="eastAsia" w:ascii="仿宋_GB2312" w:eastAsia="仿宋_GB2312"/>
          <w:sz w:val="32"/>
          <w:szCs w:val="32"/>
        </w:rPr>
        <w:t>其他定性指标：公众评判法，通过问卷及抽样调查等方式评价本项目实施后社会公众对于其实施效果的满意程度。</w:t>
      </w:r>
    </w:p>
    <w:p w14:paraId="771FC3CB">
      <w:pPr>
        <w:ind w:firstLine="643" w:firstLineChars="200"/>
        <w:rPr>
          <w:rFonts w:ascii="楷体_GB2312" w:hAnsi="黑体" w:eastAsia="楷体_GB2312"/>
          <w:b/>
          <w:sz w:val="32"/>
          <w:szCs w:val="32"/>
        </w:rPr>
      </w:pPr>
      <w:r>
        <w:rPr>
          <w:rFonts w:hint="eastAsia" w:ascii="楷体_GB2312" w:hAnsi="黑体" w:eastAsia="楷体_GB2312"/>
          <w:b/>
          <w:sz w:val="32"/>
          <w:szCs w:val="32"/>
        </w:rPr>
        <w:t>（三）评价指标体系</w:t>
      </w:r>
    </w:p>
    <w:p w14:paraId="643FA8F7">
      <w:pPr>
        <w:ind w:firstLine="643" w:firstLineChars="200"/>
        <w:rPr>
          <w:rFonts w:ascii="仿宋_GB2312" w:eastAsia="仿宋_GB2312"/>
          <w:b/>
          <w:sz w:val="32"/>
          <w:szCs w:val="32"/>
        </w:rPr>
      </w:pPr>
      <w:r>
        <w:rPr>
          <w:rFonts w:ascii="仿宋_GB2312" w:eastAsia="仿宋_GB2312"/>
          <w:b/>
          <w:sz w:val="32"/>
          <w:szCs w:val="32"/>
        </w:rPr>
        <w:t>1.指标体系设计思路</w:t>
      </w:r>
    </w:p>
    <w:p w14:paraId="5C9F5DD2">
      <w:pPr>
        <w:ind w:firstLine="640" w:firstLineChars="200"/>
        <w:rPr>
          <w:rFonts w:ascii="仿宋_GB2312" w:eastAsia="仿宋_GB2312"/>
          <w:sz w:val="32"/>
          <w:szCs w:val="32"/>
        </w:rPr>
      </w:pPr>
      <w:r>
        <w:rPr>
          <w:rFonts w:hint="eastAsia" w:ascii="仿宋_GB2312" w:eastAsia="仿宋_GB2312"/>
          <w:sz w:val="32"/>
          <w:szCs w:val="32"/>
        </w:rPr>
        <w:t>根据绩效评价的基本原理、原则和项目特点，结合绩效</w:t>
      </w:r>
    </w:p>
    <w:p w14:paraId="2A1D2FE0">
      <w:pPr>
        <w:rPr>
          <w:rFonts w:ascii="仿宋_GB2312" w:eastAsia="仿宋_GB2312"/>
          <w:sz w:val="32"/>
          <w:szCs w:val="32"/>
        </w:rPr>
      </w:pPr>
      <w:r>
        <w:rPr>
          <w:rFonts w:hint="eastAsia" w:ascii="仿宋_GB2312" w:eastAsia="仿宋_GB2312"/>
          <w:sz w:val="32"/>
          <w:szCs w:val="32"/>
        </w:rPr>
        <w:t>目标，由项目组独立研制科学的指标体系。评价指标体系按</w:t>
      </w:r>
    </w:p>
    <w:p w14:paraId="07FEC802">
      <w:pPr>
        <w:rPr>
          <w:rFonts w:ascii="仿宋_GB2312" w:eastAsia="仿宋_GB2312"/>
          <w:sz w:val="32"/>
          <w:szCs w:val="32"/>
        </w:rPr>
      </w:pPr>
      <w:r>
        <w:rPr>
          <w:rFonts w:hint="eastAsia" w:ascii="仿宋_GB2312" w:eastAsia="仿宋_GB2312"/>
          <w:sz w:val="32"/>
          <w:szCs w:val="32"/>
        </w:rPr>
        <w:t>照逻辑分析法设计，包括项目决策、项目过程、项目产出、</w:t>
      </w:r>
    </w:p>
    <w:p w14:paraId="61341B31">
      <w:pPr>
        <w:rPr>
          <w:rFonts w:ascii="仿宋_GB2312" w:eastAsia="仿宋_GB2312"/>
          <w:sz w:val="32"/>
          <w:szCs w:val="32"/>
        </w:rPr>
      </w:pPr>
      <w:r>
        <w:rPr>
          <w:rFonts w:hint="eastAsia" w:ascii="仿宋_GB2312" w:eastAsia="仿宋_GB2312"/>
          <w:sz w:val="32"/>
          <w:szCs w:val="32"/>
        </w:rPr>
        <w:t>项目效益四部分内容，力求全面考察项目决策、资金投入、</w:t>
      </w:r>
    </w:p>
    <w:p w14:paraId="5CF3811C">
      <w:pPr>
        <w:rPr>
          <w:rFonts w:ascii="仿宋_GB2312" w:eastAsia="仿宋_GB2312"/>
          <w:sz w:val="32"/>
          <w:szCs w:val="32"/>
        </w:rPr>
      </w:pPr>
      <w:r>
        <w:rPr>
          <w:rFonts w:hint="eastAsia" w:ascii="仿宋_GB2312" w:eastAsia="仿宋_GB2312"/>
          <w:sz w:val="32"/>
          <w:szCs w:val="32"/>
        </w:rPr>
        <w:t>过程管理、产出效果和社会效益，体现从项目本身、执行到</w:t>
      </w:r>
    </w:p>
    <w:p w14:paraId="13CA8CED">
      <w:pPr>
        <w:rPr>
          <w:rFonts w:ascii="仿宋_GB2312" w:eastAsia="仿宋_GB2312"/>
          <w:sz w:val="32"/>
          <w:szCs w:val="32"/>
        </w:rPr>
      </w:pPr>
      <w:r>
        <w:rPr>
          <w:rFonts w:hint="eastAsia" w:ascii="仿宋_GB2312" w:eastAsia="仿宋_GB2312"/>
          <w:sz w:val="32"/>
          <w:szCs w:val="32"/>
        </w:rPr>
        <w:t>效果的逻辑路径。内在逻辑的一致性也增强了评估的科学性、</w:t>
      </w:r>
    </w:p>
    <w:p w14:paraId="33633555">
      <w:pPr>
        <w:rPr>
          <w:rFonts w:ascii="仿宋_GB2312" w:eastAsia="仿宋_GB2312"/>
          <w:sz w:val="32"/>
          <w:szCs w:val="32"/>
        </w:rPr>
      </w:pPr>
      <w:r>
        <w:rPr>
          <w:rFonts w:hint="eastAsia" w:ascii="仿宋_GB2312" w:eastAsia="仿宋_GB2312"/>
          <w:sz w:val="32"/>
          <w:szCs w:val="32"/>
        </w:rPr>
        <w:t>严谨性和可行性。评价指标体系是评价的依据，评价数据通</w:t>
      </w:r>
    </w:p>
    <w:p w14:paraId="05D0070D">
      <w:pPr>
        <w:rPr>
          <w:rFonts w:ascii="仿宋_GB2312" w:eastAsia="仿宋_GB2312"/>
          <w:sz w:val="32"/>
          <w:szCs w:val="32"/>
        </w:rPr>
      </w:pPr>
      <w:r>
        <w:rPr>
          <w:rFonts w:hint="eastAsia" w:ascii="仿宋_GB2312" w:eastAsia="仿宋_GB2312"/>
          <w:sz w:val="32"/>
          <w:szCs w:val="32"/>
        </w:rPr>
        <w:t>过由基础表、访谈等方式获取。</w:t>
      </w:r>
    </w:p>
    <w:p w14:paraId="12EC937F">
      <w:pPr>
        <w:ind w:firstLine="643" w:firstLineChars="200"/>
        <w:rPr>
          <w:rFonts w:ascii="仿宋_GB2312" w:eastAsia="仿宋_GB2312"/>
          <w:b/>
          <w:sz w:val="32"/>
          <w:szCs w:val="32"/>
        </w:rPr>
      </w:pPr>
      <w:r>
        <w:rPr>
          <w:rFonts w:ascii="仿宋_GB2312" w:eastAsia="仿宋_GB2312"/>
          <w:b/>
          <w:sz w:val="32"/>
          <w:szCs w:val="32"/>
        </w:rPr>
        <w:t>2.指标解释</w:t>
      </w:r>
    </w:p>
    <w:p w14:paraId="0BA03F68">
      <w:pPr>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1）权重</w:t>
      </w:r>
    </w:p>
    <w:p w14:paraId="267AE266">
      <w:pPr>
        <w:ind w:firstLine="640" w:firstLineChars="200"/>
        <w:rPr>
          <w:rFonts w:ascii="仿宋_GB2312" w:eastAsia="仿宋_GB2312"/>
          <w:sz w:val="32"/>
          <w:szCs w:val="32"/>
        </w:rPr>
      </w:pPr>
      <w:r>
        <w:rPr>
          <w:rFonts w:hint="eastAsia" w:ascii="仿宋_GB2312" w:eastAsia="仿宋_GB2312"/>
          <w:sz w:val="32"/>
          <w:szCs w:val="32"/>
        </w:rPr>
        <w:t>本报告评价指标体系各指标的权重由评价组根据项目评价需求，在调研基础上依据指标的重要性进行分配，在经</w:t>
      </w:r>
    </w:p>
    <w:p w14:paraId="324F1185">
      <w:pPr>
        <w:rPr>
          <w:rFonts w:ascii="仿宋_GB2312" w:eastAsia="仿宋_GB2312"/>
          <w:sz w:val="32"/>
          <w:szCs w:val="32"/>
        </w:rPr>
      </w:pPr>
      <w:r>
        <w:rPr>
          <w:rFonts w:hint="eastAsia" w:ascii="仿宋_GB2312" w:eastAsia="仿宋_GB2312"/>
          <w:sz w:val="32"/>
          <w:szCs w:val="32"/>
        </w:rPr>
        <w:t>专家论证后结合专家意见最终确定。</w:t>
      </w:r>
    </w:p>
    <w:p w14:paraId="6A24C16C">
      <w:pPr>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2）评价标准</w:t>
      </w:r>
    </w:p>
    <w:p w14:paraId="2D83A0E0">
      <w:pPr>
        <w:ind w:firstLine="640" w:firstLineChars="200"/>
        <w:rPr>
          <w:rFonts w:ascii="仿宋_GB2312" w:eastAsia="仿宋_GB2312"/>
          <w:sz w:val="32"/>
          <w:szCs w:val="32"/>
        </w:rPr>
      </w:pPr>
      <w:r>
        <w:rPr>
          <w:rFonts w:hint="eastAsia" w:ascii="仿宋_GB2312" w:eastAsia="仿宋_GB2312"/>
          <w:sz w:val="32"/>
          <w:szCs w:val="32"/>
        </w:rPr>
        <w:t>本报告指标体系的评价标准按照计划标准、行业标准、</w:t>
      </w:r>
    </w:p>
    <w:p w14:paraId="554BBC89">
      <w:pPr>
        <w:rPr>
          <w:rFonts w:ascii="仿宋_GB2312" w:eastAsia="仿宋_GB2312"/>
          <w:sz w:val="32"/>
          <w:szCs w:val="32"/>
        </w:rPr>
      </w:pPr>
      <w:r>
        <w:rPr>
          <w:rFonts w:hint="eastAsia" w:ascii="仿宋_GB2312" w:eastAsia="仿宋_GB2312"/>
          <w:sz w:val="32"/>
          <w:szCs w:val="32"/>
        </w:rPr>
        <w:t>历史标准等制定。对于定性指标，一般通过访谈采集相关数</w:t>
      </w:r>
    </w:p>
    <w:p w14:paraId="6B38FA39">
      <w:pPr>
        <w:rPr>
          <w:rFonts w:ascii="仿宋_GB2312" w:eastAsia="仿宋_GB2312"/>
          <w:sz w:val="32"/>
          <w:szCs w:val="32"/>
        </w:rPr>
      </w:pPr>
      <w:r>
        <w:rPr>
          <w:rFonts w:hint="eastAsia" w:ascii="仿宋_GB2312" w:eastAsia="仿宋_GB2312"/>
          <w:sz w:val="32"/>
          <w:szCs w:val="32"/>
        </w:rPr>
        <w:t>据，在实施过程中运用等级描述法进行考核，通过设置分级</w:t>
      </w:r>
    </w:p>
    <w:p w14:paraId="74416200">
      <w:pPr>
        <w:rPr>
          <w:rFonts w:ascii="仿宋_GB2312" w:eastAsia="仿宋_GB2312"/>
          <w:sz w:val="32"/>
          <w:szCs w:val="32"/>
        </w:rPr>
      </w:pPr>
      <w:r>
        <w:rPr>
          <w:rFonts w:hint="eastAsia" w:ascii="仿宋_GB2312" w:eastAsia="仿宋_GB2312"/>
          <w:sz w:val="32"/>
          <w:szCs w:val="32"/>
        </w:rPr>
        <w:t>标准来体现该指标认可程度的差异。对于定量指标，一般通</w:t>
      </w:r>
    </w:p>
    <w:p w14:paraId="5A757128">
      <w:pPr>
        <w:rPr>
          <w:rFonts w:ascii="仿宋_GB2312" w:eastAsia="仿宋_GB2312"/>
          <w:sz w:val="32"/>
          <w:szCs w:val="32"/>
        </w:rPr>
      </w:pPr>
      <w:r>
        <w:rPr>
          <w:rFonts w:hint="eastAsia" w:ascii="仿宋_GB2312" w:eastAsia="仿宋_GB2312"/>
          <w:sz w:val="32"/>
          <w:szCs w:val="32"/>
        </w:rPr>
        <w:t>过公式等方式予以量化，可以准确数量定义、精确衡量并能</w:t>
      </w:r>
    </w:p>
    <w:p w14:paraId="7892AAF7">
      <w:pPr>
        <w:rPr>
          <w:rFonts w:ascii="仿宋_GB2312" w:eastAsia="仿宋_GB2312"/>
          <w:sz w:val="32"/>
          <w:szCs w:val="32"/>
        </w:rPr>
      </w:pPr>
      <w:r>
        <w:rPr>
          <w:rFonts w:hint="eastAsia" w:ascii="仿宋_GB2312" w:eastAsia="仿宋_GB2312"/>
          <w:sz w:val="32"/>
          <w:szCs w:val="32"/>
        </w:rPr>
        <w:t>设定目标值的考核指标。</w:t>
      </w:r>
    </w:p>
    <w:p w14:paraId="3F5E48AF">
      <w:pPr>
        <w:ind w:firstLine="643" w:firstLineChars="200"/>
        <w:rPr>
          <w:rFonts w:ascii="仿宋_GB2312" w:eastAsia="仿宋_GB2312"/>
          <w:b/>
          <w:sz w:val="32"/>
          <w:szCs w:val="32"/>
        </w:rPr>
      </w:pPr>
      <w:r>
        <w:rPr>
          <w:rFonts w:ascii="仿宋_GB2312" w:eastAsia="仿宋_GB2312"/>
          <w:b/>
          <w:sz w:val="32"/>
          <w:szCs w:val="32"/>
        </w:rPr>
        <w:t>3.指标体系</w:t>
      </w:r>
    </w:p>
    <w:p w14:paraId="05A0F125">
      <w:pPr>
        <w:ind w:firstLine="640" w:firstLineChars="200"/>
        <w:rPr>
          <w:rFonts w:ascii="仿宋_GB2312" w:eastAsia="仿宋_GB2312"/>
          <w:sz w:val="32"/>
          <w:szCs w:val="32"/>
        </w:rPr>
      </w:pPr>
      <w:r>
        <w:rPr>
          <w:rFonts w:hint="eastAsia" w:ascii="仿宋_GB2312" w:eastAsia="仿宋_GB2312"/>
          <w:sz w:val="32"/>
          <w:szCs w:val="32"/>
        </w:rPr>
        <w:t>根据《财政部关于印发〈项目支</w:t>
      </w:r>
      <w:r>
        <w:rPr>
          <w:rFonts w:hint="eastAsia" w:ascii="微软雅黑" w:hAnsi="微软雅黑" w:eastAsia="微软雅黑" w:cs="微软雅黑"/>
          <w:sz w:val="32"/>
          <w:szCs w:val="32"/>
        </w:rPr>
        <w:t>岀</w:t>
      </w:r>
      <w:r>
        <w:rPr>
          <w:rFonts w:hint="eastAsia" w:ascii="仿宋_GB2312" w:hAnsi="仿宋_GB2312" w:eastAsia="仿宋_GB2312" w:cs="仿宋_GB2312"/>
          <w:sz w:val="32"/>
          <w:szCs w:val="32"/>
        </w:rPr>
        <w:t>绩效评价管理办法〉</w:t>
      </w:r>
    </w:p>
    <w:p w14:paraId="18C8DC88">
      <w:pPr>
        <w:rPr>
          <w:rFonts w:ascii="仿宋_GB2312" w:eastAsia="仿宋_GB2312"/>
          <w:sz w:val="32"/>
          <w:szCs w:val="32"/>
        </w:rPr>
      </w:pPr>
      <w:r>
        <w:rPr>
          <w:rFonts w:hint="eastAsia" w:ascii="仿宋_GB2312" w:eastAsia="仿宋_GB2312"/>
          <w:sz w:val="32"/>
          <w:szCs w:val="32"/>
        </w:rPr>
        <w:t>的通知》</w:t>
      </w:r>
      <w:r>
        <w:rPr>
          <w:rFonts w:ascii="仿宋_GB2312" w:eastAsia="仿宋_GB2312"/>
          <w:sz w:val="32"/>
          <w:szCs w:val="32"/>
        </w:rPr>
        <w:t>《关于印发〈自治区本级财</w:t>
      </w:r>
    </w:p>
    <w:p w14:paraId="1EDB2F01">
      <w:pPr>
        <w:rPr>
          <w:rFonts w:ascii="仿宋_GB2312" w:eastAsia="仿宋_GB2312"/>
          <w:sz w:val="32"/>
          <w:szCs w:val="32"/>
        </w:rPr>
      </w:pPr>
      <w:r>
        <w:rPr>
          <w:rFonts w:hint="eastAsia" w:ascii="仿宋_GB2312" w:eastAsia="仿宋_GB2312"/>
          <w:sz w:val="32"/>
          <w:szCs w:val="32"/>
        </w:rPr>
        <w:t>政支出绩效评价管理暂行办法〉的通知》</w:t>
      </w:r>
      <w:r>
        <w:rPr>
          <w:rFonts w:ascii="仿宋_GB2312" w:eastAsia="仿宋_GB2312"/>
          <w:sz w:val="32"/>
          <w:szCs w:val="32"/>
        </w:rPr>
        <w:t>等相关文件要求，本次专项资金的评价指标体系包</w:t>
      </w:r>
    </w:p>
    <w:p w14:paraId="0540D1F4">
      <w:pPr>
        <w:rPr>
          <w:rFonts w:ascii="仿宋_GB2312" w:eastAsia="仿宋_GB2312"/>
          <w:sz w:val="32"/>
          <w:szCs w:val="32"/>
        </w:rPr>
      </w:pPr>
      <w:r>
        <w:rPr>
          <w:rFonts w:hint="eastAsia" w:ascii="仿宋_GB2312" w:eastAsia="仿宋_GB2312"/>
          <w:sz w:val="32"/>
          <w:szCs w:val="32"/>
        </w:rPr>
        <w:t>括评价指标、权重、指标解释、计算公式、评分标准，完整</w:t>
      </w:r>
    </w:p>
    <w:p w14:paraId="0C237531">
      <w:pPr>
        <w:rPr>
          <w:rFonts w:ascii="仿宋_GB2312" w:eastAsia="仿宋_GB2312"/>
          <w:sz w:val="32"/>
          <w:szCs w:val="32"/>
        </w:rPr>
      </w:pPr>
      <w:r>
        <w:rPr>
          <w:rFonts w:hint="eastAsia" w:ascii="仿宋_GB2312" w:eastAsia="仿宋_GB2312"/>
          <w:sz w:val="32"/>
          <w:szCs w:val="32"/>
        </w:rPr>
        <w:t>的绩效评价指标体系及评分过程详见附件</w:t>
      </w:r>
      <w:r>
        <w:rPr>
          <w:rFonts w:ascii="仿宋_GB2312" w:eastAsia="仿宋_GB2312"/>
          <w:sz w:val="32"/>
          <w:szCs w:val="32"/>
        </w:rPr>
        <w:t xml:space="preserve"> 1。</w:t>
      </w:r>
    </w:p>
    <w:p w14:paraId="2D358905">
      <w:pPr>
        <w:spacing w:line="560" w:lineRule="exact"/>
        <w:ind w:firstLine="643" w:firstLineChars="200"/>
        <w:rPr>
          <w:rFonts w:ascii="仿宋_GB2312" w:eastAsia="仿宋_GB2312"/>
          <w:b/>
          <w:sz w:val="32"/>
          <w:szCs w:val="32"/>
        </w:rPr>
      </w:pPr>
      <w:r>
        <w:rPr>
          <w:rFonts w:hint="eastAsia" w:ascii="仿宋_GB2312" w:eastAsia="仿宋_GB2312"/>
          <w:b/>
          <w:sz w:val="32"/>
          <w:szCs w:val="32"/>
        </w:rPr>
        <w:t>（四）评价组织实施</w:t>
      </w:r>
    </w:p>
    <w:p w14:paraId="54788822">
      <w:pPr>
        <w:spacing w:line="560" w:lineRule="exact"/>
        <w:ind w:left="641"/>
        <w:jc w:val="left"/>
        <w:rPr>
          <w:rFonts w:ascii="仿宋_GB2312" w:eastAsia="仿宋_GB2312"/>
          <w:b/>
          <w:color w:val="000000"/>
          <w:sz w:val="32"/>
        </w:rPr>
      </w:pPr>
      <w:r>
        <w:rPr>
          <w:rFonts w:hint="eastAsia" w:ascii="仿宋_GB2312" w:eastAsia="仿宋_GB2312"/>
          <w:b/>
          <w:color w:val="000000"/>
          <w:sz w:val="32"/>
        </w:rPr>
        <w:t>1.</w:t>
      </w:r>
      <w:r>
        <w:rPr>
          <w:rFonts w:hint="eastAsia" w:ascii="仿宋_GB2312" w:hAnsi="楷体" w:eastAsia="仿宋_GB2312" w:cs="楷体"/>
          <w:b/>
          <w:color w:val="000000"/>
          <w:spacing w:val="2"/>
          <w:sz w:val="32"/>
        </w:rPr>
        <w:t>评价人员</w:t>
      </w:r>
    </w:p>
    <w:p w14:paraId="606C51EB">
      <w:pPr>
        <w:ind w:firstLine="636" w:firstLineChars="200"/>
        <w:rPr>
          <w:rFonts w:ascii="仿宋_GB2312" w:eastAsia="仿宋_GB2312"/>
          <w:color w:val="000000"/>
          <w:sz w:val="32"/>
        </w:rPr>
      </w:pPr>
      <w:r>
        <w:rPr>
          <w:rFonts w:hint="eastAsia" w:ascii="仿宋_GB2312" w:hAnsi="仿宋_GB2312" w:eastAsia="仿宋_GB2312" w:cs="仿宋_GB2312"/>
          <w:color w:val="000000"/>
          <w:spacing w:val="-1"/>
          <w:sz w:val="32"/>
        </w:rPr>
        <w:t>本次评价委托方为塔</w:t>
      </w:r>
      <w:r>
        <w:rPr>
          <w:rFonts w:ascii="仿宋_GB2312" w:hAnsi="仿宋_GB2312" w:eastAsia="仿宋_GB2312" w:cs="仿宋_GB2312"/>
          <w:color w:val="000000"/>
          <w:spacing w:val="-1"/>
          <w:sz w:val="32"/>
        </w:rPr>
        <w:t>城地区</w:t>
      </w:r>
      <w:r>
        <w:rPr>
          <w:rFonts w:hint="eastAsia" w:ascii="仿宋_GB2312" w:hAnsi="仿宋_GB2312" w:eastAsia="仿宋_GB2312" w:cs="仿宋_GB2312"/>
          <w:color w:val="000000"/>
          <w:spacing w:val="-1"/>
          <w:sz w:val="32"/>
        </w:rPr>
        <w:t>财政局，受托方为</w:t>
      </w:r>
      <w:r>
        <w:rPr>
          <w:rFonts w:hint="eastAsia" w:ascii="仿宋_GB2312" w:eastAsia="仿宋_GB2312"/>
          <w:sz w:val="32"/>
          <w:szCs w:val="32"/>
        </w:rPr>
        <w:t>北京用友政务软件股份有限公司</w:t>
      </w:r>
      <w:r>
        <w:rPr>
          <w:rFonts w:hint="eastAsia" w:ascii="仿宋_GB2312" w:hAnsi="仿宋_GB2312" w:eastAsia="仿宋_GB2312" w:cs="仿宋_GB2312"/>
          <w:color w:val="000000"/>
          <w:spacing w:val="-1"/>
          <w:sz w:val="32"/>
        </w:rPr>
        <w:t>。</w:t>
      </w:r>
      <w:r>
        <w:rPr>
          <w:rFonts w:hint="eastAsia" w:ascii="仿宋_GB2312" w:eastAsia="仿宋_GB2312"/>
          <w:sz w:val="32"/>
          <w:szCs w:val="32"/>
        </w:rPr>
        <w:t>北京用友政务软件股份有限公司</w:t>
      </w:r>
      <w:r>
        <w:rPr>
          <w:rFonts w:hint="eastAsia" w:ascii="仿宋_GB2312" w:hAnsi="仿宋_GB2312" w:eastAsia="仿宋_GB2312" w:cs="仿宋_GB2312"/>
          <w:color w:val="000000"/>
          <w:spacing w:val="-1"/>
          <w:sz w:val="32"/>
        </w:rPr>
        <w:t>负责完成评价工作，包括前期调查，制定工作方案，调查取数，撰</w:t>
      </w:r>
      <w:r>
        <w:rPr>
          <w:rFonts w:hint="eastAsia" w:ascii="仿宋_GB2312" w:hAnsi="仿宋_GB2312" w:eastAsia="仿宋_GB2312" w:cs="仿宋_GB2312"/>
          <w:color w:val="000000"/>
          <w:sz w:val="32"/>
        </w:rPr>
        <w:t>写评价报告。具体人员名单如下：</w:t>
      </w:r>
    </w:p>
    <w:p w14:paraId="124B202C">
      <w:pPr>
        <w:spacing w:before="287" w:line="261" w:lineRule="exact"/>
        <w:ind w:firstLine="2800" w:firstLineChars="1000"/>
        <w:jc w:val="left"/>
        <w:rPr>
          <w:rFonts w:ascii="仿宋_GB2312" w:hAnsi="仿宋_GB2312" w:eastAsia="仿宋_GB2312" w:cs="仿宋_GB2312"/>
          <w:color w:val="000000"/>
          <w:spacing w:val="1"/>
          <w:sz w:val="28"/>
          <w:szCs w:val="28"/>
        </w:rPr>
      </w:pPr>
      <w:r>
        <w:rPr>
          <w:rFonts w:hint="eastAsia" w:ascii="仿宋_GB2312" w:hAnsi="宋体" w:eastAsia="仿宋_GB2312" w:cs="宋体"/>
          <w:color w:val="000000"/>
          <w:sz w:val="28"/>
          <w:szCs w:val="28"/>
        </w:rPr>
        <w:t>表</w:t>
      </w:r>
      <w:r>
        <w:rPr>
          <w:rFonts w:hint="eastAsia" w:ascii="仿宋_GB2312" w:eastAsia="仿宋_GB2312"/>
          <w:color w:val="000000"/>
          <w:spacing w:val="2"/>
          <w:sz w:val="28"/>
          <w:szCs w:val="28"/>
        </w:rPr>
        <w:t xml:space="preserve"> </w:t>
      </w:r>
      <w:r>
        <w:rPr>
          <w:rFonts w:hint="eastAsia" w:ascii="仿宋_GB2312" w:eastAsia="仿宋_GB2312"/>
          <w:color w:val="000000"/>
          <w:sz w:val="28"/>
          <w:szCs w:val="28"/>
        </w:rPr>
        <w:t>2-1</w:t>
      </w:r>
      <w:r>
        <w:rPr>
          <w:rFonts w:hint="eastAsia" w:ascii="仿宋_GB2312" w:eastAsia="仿宋_GB2312"/>
          <w:color w:val="000000"/>
          <w:spacing w:val="51"/>
          <w:sz w:val="28"/>
          <w:szCs w:val="28"/>
        </w:rPr>
        <w:t xml:space="preserve"> </w:t>
      </w:r>
      <w:r>
        <w:rPr>
          <w:rFonts w:hint="eastAsia" w:ascii="仿宋_GB2312" w:hAnsi="仿宋_GB2312" w:eastAsia="仿宋_GB2312" w:cs="仿宋_GB2312"/>
          <w:color w:val="000000"/>
          <w:spacing w:val="1"/>
          <w:sz w:val="28"/>
          <w:szCs w:val="28"/>
        </w:rPr>
        <w:t>评价组组员表</w:t>
      </w:r>
    </w:p>
    <w:tbl>
      <w:tblPr>
        <w:tblStyle w:val="5"/>
        <w:tblW w:w="8217" w:type="dxa"/>
        <w:tblInd w:w="0" w:type="dxa"/>
        <w:tblLayout w:type="fixed"/>
        <w:tblCellMar>
          <w:top w:w="0" w:type="dxa"/>
          <w:left w:w="108" w:type="dxa"/>
          <w:bottom w:w="0" w:type="dxa"/>
          <w:right w:w="108" w:type="dxa"/>
        </w:tblCellMar>
      </w:tblPr>
      <w:tblGrid>
        <w:gridCol w:w="640"/>
        <w:gridCol w:w="1080"/>
        <w:gridCol w:w="1640"/>
        <w:gridCol w:w="4857"/>
      </w:tblGrid>
      <w:tr w14:paraId="0A2D3129">
        <w:tblPrEx>
          <w:tblCellMar>
            <w:top w:w="0" w:type="dxa"/>
            <w:left w:w="108" w:type="dxa"/>
            <w:bottom w:w="0" w:type="dxa"/>
            <w:right w:w="108" w:type="dxa"/>
          </w:tblCellMar>
        </w:tblPrEx>
        <w:trPr>
          <w:trHeight w:val="427" w:hRule="atLeast"/>
        </w:trPr>
        <w:tc>
          <w:tcPr>
            <w:tcW w:w="6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DBECB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序</w:t>
            </w:r>
            <w:bookmarkStart w:id="0" w:name="_GoBack"/>
            <w:bookmarkEnd w:id="0"/>
            <w:r>
              <w:rPr>
                <w:rFonts w:hint="eastAsia" w:ascii="仿宋_GB2312" w:hAnsi="宋体" w:eastAsia="仿宋_GB2312" w:cs="宋体"/>
                <w:color w:val="000000"/>
                <w:kern w:val="0"/>
                <w:szCs w:val="21"/>
              </w:rPr>
              <w:t>号</w:t>
            </w:r>
          </w:p>
        </w:tc>
        <w:tc>
          <w:tcPr>
            <w:tcW w:w="1080" w:type="dxa"/>
            <w:tcBorders>
              <w:top w:val="single" w:color="auto" w:sz="4" w:space="0"/>
              <w:left w:val="nil"/>
              <w:bottom w:val="single" w:color="auto" w:sz="4" w:space="0"/>
              <w:right w:val="single" w:color="auto" w:sz="4" w:space="0"/>
            </w:tcBorders>
            <w:shd w:val="clear" w:color="auto" w:fill="auto"/>
            <w:noWrap/>
            <w:vAlign w:val="center"/>
          </w:tcPr>
          <w:p w14:paraId="36C22AC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姓名</w:t>
            </w:r>
          </w:p>
        </w:tc>
        <w:tc>
          <w:tcPr>
            <w:tcW w:w="1640" w:type="dxa"/>
            <w:tcBorders>
              <w:top w:val="single" w:color="auto" w:sz="4" w:space="0"/>
              <w:left w:val="nil"/>
              <w:bottom w:val="single" w:color="auto" w:sz="4" w:space="0"/>
              <w:right w:val="single" w:color="auto" w:sz="4" w:space="0"/>
            </w:tcBorders>
            <w:shd w:val="clear" w:color="auto" w:fill="auto"/>
            <w:noWrap/>
            <w:vAlign w:val="center"/>
          </w:tcPr>
          <w:p w14:paraId="474D878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本政策中角色</w:t>
            </w:r>
          </w:p>
        </w:tc>
        <w:tc>
          <w:tcPr>
            <w:tcW w:w="4857" w:type="dxa"/>
            <w:tcBorders>
              <w:top w:val="single" w:color="auto" w:sz="4" w:space="0"/>
              <w:left w:val="nil"/>
              <w:bottom w:val="single" w:color="auto" w:sz="4" w:space="0"/>
              <w:right w:val="single" w:color="auto" w:sz="4" w:space="0"/>
            </w:tcBorders>
            <w:shd w:val="clear" w:color="auto" w:fill="auto"/>
            <w:noWrap/>
            <w:vAlign w:val="center"/>
          </w:tcPr>
          <w:p w14:paraId="191D0F8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工作职责</w:t>
            </w:r>
          </w:p>
        </w:tc>
      </w:tr>
      <w:tr w14:paraId="107B37D2">
        <w:tblPrEx>
          <w:tblCellMar>
            <w:top w:w="0" w:type="dxa"/>
            <w:left w:w="108" w:type="dxa"/>
            <w:bottom w:w="0" w:type="dxa"/>
            <w:right w:w="108" w:type="dxa"/>
          </w:tblCellMar>
        </w:tblPrEx>
        <w:trPr>
          <w:trHeight w:val="507"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2F24502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w:t>
            </w:r>
          </w:p>
        </w:tc>
        <w:tc>
          <w:tcPr>
            <w:tcW w:w="1080" w:type="dxa"/>
            <w:tcBorders>
              <w:top w:val="nil"/>
              <w:left w:val="nil"/>
              <w:bottom w:val="single" w:color="auto" w:sz="4" w:space="0"/>
              <w:right w:val="single" w:color="auto" w:sz="4" w:space="0"/>
            </w:tcBorders>
            <w:shd w:val="clear" w:color="auto" w:fill="auto"/>
            <w:noWrap/>
            <w:vAlign w:val="center"/>
          </w:tcPr>
          <w:p w14:paraId="137C0AB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蒋秀</w:t>
            </w:r>
            <w:r>
              <w:rPr>
                <w:rFonts w:ascii="仿宋_GB2312" w:hAnsi="宋体" w:eastAsia="仿宋_GB2312" w:cs="宋体"/>
                <w:color w:val="000000"/>
                <w:kern w:val="0"/>
                <w:szCs w:val="21"/>
              </w:rPr>
              <w:t>兰</w:t>
            </w:r>
          </w:p>
        </w:tc>
        <w:tc>
          <w:tcPr>
            <w:tcW w:w="1640" w:type="dxa"/>
            <w:tcBorders>
              <w:top w:val="nil"/>
              <w:left w:val="nil"/>
              <w:bottom w:val="single" w:color="auto" w:sz="4" w:space="0"/>
              <w:right w:val="single" w:color="auto" w:sz="4" w:space="0"/>
            </w:tcBorders>
            <w:shd w:val="clear" w:color="auto" w:fill="auto"/>
            <w:noWrap/>
            <w:vAlign w:val="center"/>
          </w:tcPr>
          <w:p w14:paraId="3886CAD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项目主评人</w:t>
            </w:r>
          </w:p>
        </w:tc>
        <w:tc>
          <w:tcPr>
            <w:tcW w:w="4857" w:type="dxa"/>
            <w:tcBorders>
              <w:top w:val="nil"/>
              <w:left w:val="nil"/>
              <w:bottom w:val="single" w:color="auto" w:sz="4" w:space="0"/>
              <w:right w:val="single" w:color="auto" w:sz="4" w:space="0"/>
            </w:tcBorders>
            <w:shd w:val="clear" w:color="auto" w:fill="auto"/>
            <w:noWrap/>
            <w:vAlign w:val="center"/>
          </w:tcPr>
          <w:p w14:paraId="7628D018">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负责绩效评价过程指导</w:t>
            </w:r>
          </w:p>
        </w:tc>
      </w:tr>
      <w:tr w14:paraId="061B2060">
        <w:tblPrEx>
          <w:tblCellMar>
            <w:top w:w="0" w:type="dxa"/>
            <w:left w:w="108" w:type="dxa"/>
            <w:bottom w:w="0" w:type="dxa"/>
            <w:right w:w="108" w:type="dxa"/>
          </w:tblCellMar>
        </w:tblPrEx>
        <w:trPr>
          <w:trHeight w:val="555"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1DFC090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1080" w:type="dxa"/>
            <w:tcBorders>
              <w:top w:val="nil"/>
              <w:left w:val="nil"/>
              <w:bottom w:val="single" w:color="auto" w:sz="4" w:space="0"/>
              <w:right w:val="single" w:color="auto" w:sz="4" w:space="0"/>
            </w:tcBorders>
            <w:shd w:val="clear" w:color="auto" w:fill="auto"/>
            <w:noWrap/>
            <w:vAlign w:val="center"/>
          </w:tcPr>
          <w:p w14:paraId="53BBD71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周扬</w:t>
            </w:r>
          </w:p>
        </w:tc>
        <w:tc>
          <w:tcPr>
            <w:tcW w:w="1640" w:type="dxa"/>
            <w:tcBorders>
              <w:top w:val="nil"/>
              <w:left w:val="nil"/>
              <w:bottom w:val="single" w:color="auto" w:sz="4" w:space="0"/>
              <w:right w:val="single" w:color="auto" w:sz="4" w:space="0"/>
            </w:tcBorders>
            <w:shd w:val="clear" w:color="auto" w:fill="auto"/>
            <w:noWrap/>
            <w:vAlign w:val="center"/>
          </w:tcPr>
          <w:p w14:paraId="04150BF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项目质控</w:t>
            </w:r>
          </w:p>
        </w:tc>
        <w:tc>
          <w:tcPr>
            <w:tcW w:w="4857" w:type="dxa"/>
            <w:tcBorders>
              <w:top w:val="nil"/>
              <w:left w:val="nil"/>
              <w:bottom w:val="single" w:color="auto" w:sz="4" w:space="0"/>
              <w:right w:val="single" w:color="auto" w:sz="4" w:space="0"/>
            </w:tcBorders>
            <w:shd w:val="clear" w:color="auto" w:fill="auto"/>
            <w:vAlign w:val="center"/>
          </w:tcPr>
          <w:p w14:paraId="51235DD0">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负责评价方案，项目报告等重点工作内容的质量控制，技术指导</w:t>
            </w:r>
          </w:p>
        </w:tc>
      </w:tr>
      <w:tr w14:paraId="38D64BD9">
        <w:tblPrEx>
          <w:tblCellMar>
            <w:top w:w="0" w:type="dxa"/>
            <w:left w:w="108" w:type="dxa"/>
            <w:bottom w:w="0" w:type="dxa"/>
            <w:right w:w="108" w:type="dxa"/>
          </w:tblCellMar>
        </w:tblPrEx>
        <w:trPr>
          <w:trHeight w:val="810"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0B3E469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w:t>
            </w:r>
          </w:p>
        </w:tc>
        <w:tc>
          <w:tcPr>
            <w:tcW w:w="1080" w:type="dxa"/>
            <w:tcBorders>
              <w:top w:val="nil"/>
              <w:left w:val="nil"/>
              <w:bottom w:val="single" w:color="auto" w:sz="4" w:space="0"/>
              <w:right w:val="single" w:color="auto" w:sz="4" w:space="0"/>
            </w:tcBorders>
            <w:shd w:val="clear" w:color="auto" w:fill="auto"/>
            <w:vAlign w:val="center"/>
          </w:tcPr>
          <w:p w14:paraId="6903FE1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张雁群</w:t>
            </w:r>
          </w:p>
        </w:tc>
        <w:tc>
          <w:tcPr>
            <w:tcW w:w="1640" w:type="dxa"/>
            <w:tcBorders>
              <w:top w:val="nil"/>
              <w:left w:val="nil"/>
              <w:bottom w:val="single" w:color="auto" w:sz="4" w:space="0"/>
              <w:right w:val="single" w:color="auto" w:sz="4" w:space="0"/>
            </w:tcBorders>
            <w:shd w:val="clear" w:color="auto" w:fill="auto"/>
            <w:vAlign w:val="center"/>
          </w:tcPr>
          <w:p w14:paraId="4A971EF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项目经理</w:t>
            </w:r>
          </w:p>
        </w:tc>
        <w:tc>
          <w:tcPr>
            <w:tcW w:w="4857" w:type="dxa"/>
            <w:tcBorders>
              <w:top w:val="nil"/>
              <w:left w:val="nil"/>
              <w:bottom w:val="single" w:color="auto" w:sz="4" w:space="0"/>
              <w:right w:val="single" w:color="auto" w:sz="4" w:space="0"/>
            </w:tcBorders>
            <w:shd w:val="clear" w:color="auto" w:fill="auto"/>
            <w:vAlign w:val="center"/>
          </w:tcPr>
          <w:p w14:paraId="3B79B919">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负责对项目实施统筹、资料收集、整理及数据分析、撰写工作方案及评价报告并对评价报告进行负责</w:t>
            </w:r>
          </w:p>
        </w:tc>
      </w:tr>
      <w:tr w14:paraId="43C7793E">
        <w:tblPrEx>
          <w:tblCellMar>
            <w:top w:w="0" w:type="dxa"/>
            <w:left w:w="108" w:type="dxa"/>
            <w:bottom w:w="0" w:type="dxa"/>
            <w:right w:w="108" w:type="dxa"/>
          </w:tblCellMar>
        </w:tblPrEx>
        <w:trPr>
          <w:trHeight w:val="592" w:hRule="atLeast"/>
        </w:trPr>
        <w:tc>
          <w:tcPr>
            <w:tcW w:w="640" w:type="dxa"/>
            <w:tcBorders>
              <w:top w:val="nil"/>
              <w:left w:val="single" w:color="auto" w:sz="4" w:space="0"/>
              <w:bottom w:val="single" w:color="auto" w:sz="4" w:space="0"/>
              <w:right w:val="single" w:color="auto" w:sz="4" w:space="0"/>
            </w:tcBorders>
            <w:shd w:val="clear" w:color="auto" w:fill="auto"/>
            <w:noWrap/>
            <w:vAlign w:val="center"/>
          </w:tcPr>
          <w:p w14:paraId="14F8E25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1080" w:type="dxa"/>
            <w:tcBorders>
              <w:top w:val="nil"/>
              <w:left w:val="nil"/>
              <w:bottom w:val="single" w:color="auto" w:sz="4" w:space="0"/>
              <w:right w:val="single" w:color="auto" w:sz="4" w:space="0"/>
            </w:tcBorders>
            <w:shd w:val="clear" w:color="auto" w:fill="auto"/>
            <w:vAlign w:val="center"/>
          </w:tcPr>
          <w:p w14:paraId="44BFDE0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陈雪</w:t>
            </w:r>
          </w:p>
        </w:tc>
        <w:tc>
          <w:tcPr>
            <w:tcW w:w="1640" w:type="dxa"/>
            <w:tcBorders>
              <w:top w:val="nil"/>
              <w:left w:val="nil"/>
              <w:bottom w:val="single" w:color="auto" w:sz="4" w:space="0"/>
              <w:right w:val="single" w:color="auto" w:sz="4" w:space="0"/>
            </w:tcBorders>
            <w:shd w:val="clear" w:color="auto" w:fill="auto"/>
            <w:vAlign w:val="center"/>
          </w:tcPr>
          <w:p w14:paraId="7B2E3AA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项目助理</w:t>
            </w:r>
          </w:p>
        </w:tc>
        <w:tc>
          <w:tcPr>
            <w:tcW w:w="4857" w:type="dxa"/>
            <w:tcBorders>
              <w:top w:val="nil"/>
              <w:left w:val="nil"/>
              <w:bottom w:val="single" w:color="auto" w:sz="4" w:space="0"/>
              <w:right w:val="single" w:color="auto" w:sz="4" w:space="0"/>
            </w:tcBorders>
            <w:shd w:val="clear" w:color="auto" w:fill="auto"/>
            <w:vAlign w:val="center"/>
          </w:tcPr>
          <w:p w14:paraId="0CA7D276">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负责资料搜集、整理及数据分析等，并协助撰写工作方案及评价报告等</w:t>
            </w:r>
          </w:p>
        </w:tc>
      </w:tr>
    </w:tbl>
    <w:p w14:paraId="5275B327">
      <w:pPr>
        <w:spacing w:line="560" w:lineRule="exact"/>
        <w:ind w:firstLine="643" w:firstLineChars="200"/>
        <w:jc w:val="left"/>
        <w:rPr>
          <w:rFonts w:ascii="仿宋_GB2312" w:eastAsia="仿宋_GB2312"/>
          <w:b/>
          <w:color w:val="000000"/>
          <w:sz w:val="32"/>
          <w:szCs w:val="32"/>
        </w:rPr>
      </w:pPr>
      <w:r>
        <w:rPr>
          <w:rFonts w:hint="eastAsia" w:ascii="仿宋_GB2312" w:eastAsia="仿宋_GB2312"/>
          <w:b/>
          <w:color w:val="000000"/>
          <w:sz w:val="32"/>
          <w:szCs w:val="32"/>
        </w:rPr>
        <w:t>2.评</w:t>
      </w:r>
      <w:r>
        <w:rPr>
          <w:rFonts w:ascii="仿宋_GB2312" w:eastAsia="仿宋_GB2312"/>
          <w:b/>
          <w:color w:val="000000"/>
          <w:sz w:val="32"/>
          <w:szCs w:val="32"/>
        </w:rPr>
        <w:t>价进度</w:t>
      </w:r>
    </w:p>
    <w:p w14:paraId="23AD39B6">
      <w:pPr>
        <w:adjustRightInd w:val="0"/>
        <w:snapToGrid w:val="0"/>
        <w:spacing w:line="560" w:lineRule="exact"/>
        <w:ind w:firstLine="640"/>
        <w:rPr>
          <w:rFonts w:ascii="仿宋_GB2312" w:hAnsi="Times New Roman" w:eastAsia="仿宋_GB2312"/>
          <w:sz w:val="32"/>
          <w:szCs w:val="32"/>
        </w:rPr>
      </w:pPr>
      <w:r>
        <w:rPr>
          <w:rFonts w:hint="eastAsia" w:ascii="仿宋_GB2312" w:hAnsi="Times New Roman" w:eastAsia="仿宋_GB2312"/>
          <w:bCs/>
          <w:sz w:val="32"/>
          <w:szCs w:val="32"/>
        </w:rPr>
        <w:t>（1）前期准备（2023年5月10日-5月30日）。一</w:t>
      </w:r>
      <w:r>
        <w:rPr>
          <w:rFonts w:ascii="仿宋_GB2312" w:hAnsi="Times New Roman" w:eastAsia="仿宋_GB2312"/>
          <w:bCs/>
          <w:sz w:val="32"/>
          <w:szCs w:val="32"/>
        </w:rPr>
        <w:t>是</w:t>
      </w:r>
      <w:r>
        <w:rPr>
          <w:rFonts w:hint="eastAsia" w:ascii="仿宋_GB2312" w:hAnsi="仿宋_GB2312" w:eastAsia="仿宋_GB2312" w:cs="仿宋_GB2312"/>
          <w:sz w:val="32"/>
          <w:szCs w:val="32"/>
        </w:rPr>
        <w:t>成立项目组，制定科学合理的工作实施方案，明确工作方法和步骤。二</w:t>
      </w:r>
      <w:r>
        <w:rPr>
          <w:rFonts w:ascii="仿宋_GB2312" w:hAnsi="仿宋_GB2312" w:eastAsia="仿宋_GB2312" w:cs="仿宋_GB2312"/>
          <w:sz w:val="32"/>
          <w:szCs w:val="32"/>
        </w:rPr>
        <w:t>是各项目单位按照要求准备相关资料</w:t>
      </w:r>
      <w:r>
        <w:rPr>
          <w:rFonts w:hint="eastAsia" w:ascii="仿宋_GB2312" w:hAnsi="仿宋_GB2312" w:eastAsia="仿宋_GB2312" w:cs="仿宋_GB2312"/>
          <w:sz w:val="32"/>
          <w:szCs w:val="32"/>
        </w:rPr>
        <w:t>并</w:t>
      </w:r>
      <w:r>
        <w:rPr>
          <w:rFonts w:ascii="仿宋_GB2312" w:hAnsi="仿宋_GB2312" w:eastAsia="仿宋_GB2312" w:cs="仿宋_GB2312"/>
          <w:sz w:val="32"/>
          <w:szCs w:val="32"/>
        </w:rPr>
        <w:t>提供给第三方机构</w:t>
      </w:r>
      <w:r>
        <w:rPr>
          <w:rFonts w:hint="eastAsia" w:ascii="仿宋_GB2312" w:hAnsi="Times New Roman" w:eastAsia="仿宋_GB2312"/>
          <w:sz w:val="32"/>
          <w:szCs w:val="32"/>
        </w:rPr>
        <w:t>。</w:t>
      </w:r>
    </w:p>
    <w:p w14:paraId="116F94A0">
      <w:pPr>
        <w:adjustRightInd w:val="0"/>
        <w:snapToGrid w:val="0"/>
        <w:spacing w:line="560" w:lineRule="exact"/>
        <w:ind w:firstLine="640"/>
        <w:rPr>
          <w:rFonts w:ascii="仿宋_GB2312" w:hAnsi="Times New Roman" w:eastAsia="仿宋_GB2312"/>
          <w:sz w:val="32"/>
          <w:szCs w:val="32"/>
        </w:rPr>
      </w:pPr>
      <w:r>
        <w:rPr>
          <w:rFonts w:hint="eastAsia" w:ascii="仿宋_GB2312" w:hAnsi="Times New Roman" w:eastAsia="仿宋_GB2312"/>
          <w:bCs/>
          <w:sz w:val="32"/>
          <w:szCs w:val="32"/>
        </w:rPr>
        <w:t>（2）组织实施（2023年6月1日-</w:t>
      </w:r>
      <w:r>
        <w:rPr>
          <w:rFonts w:ascii="仿宋_GB2312" w:hAnsi="Times New Roman" w:eastAsia="仿宋_GB2312"/>
          <w:bCs/>
          <w:sz w:val="32"/>
          <w:szCs w:val="32"/>
        </w:rPr>
        <w:t>20</w:t>
      </w:r>
      <w:r>
        <w:rPr>
          <w:rFonts w:hint="eastAsia" w:ascii="仿宋_GB2312" w:hAnsi="Times New Roman" w:eastAsia="仿宋_GB2312"/>
          <w:bCs/>
          <w:sz w:val="32"/>
          <w:szCs w:val="32"/>
        </w:rPr>
        <w:t>日）。</w:t>
      </w:r>
      <w:r>
        <w:rPr>
          <w:rFonts w:hint="eastAsia" w:ascii="仿宋_GB2312" w:hAnsi="Times New Roman" w:eastAsia="仿宋_GB2312"/>
          <w:sz w:val="32"/>
          <w:szCs w:val="32"/>
        </w:rPr>
        <w:t>一</w:t>
      </w:r>
      <w:r>
        <w:rPr>
          <w:rFonts w:ascii="仿宋_GB2312" w:hAnsi="Times New Roman" w:eastAsia="仿宋_GB2312"/>
          <w:sz w:val="32"/>
          <w:szCs w:val="32"/>
        </w:rPr>
        <w:t>是</w:t>
      </w:r>
      <w:r>
        <w:rPr>
          <w:rFonts w:hint="eastAsia" w:ascii="仿宋_GB2312" w:hAnsi="Times New Roman" w:eastAsia="仿宋_GB2312"/>
          <w:sz w:val="32"/>
          <w:szCs w:val="32"/>
        </w:rPr>
        <w:t>对被</w:t>
      </w:r>
      <w:r>
        <w:rPr>
          <w:rFonts w:ascii="仿宋_GB2312" w:hAnsi="Times New Roman" w:eastAsia="仿宋_GB2312"/>
          <w:sz w:val="32"/>
          <w:szCs w:val="32"/>
        </w:rPr>
        <w:t>评价项目单位</w:t>
      </w:r>
      <w:r>
        <w:rPr>
          <w:rFonts w:hint="eastAsia" w:ascii="仿宋_GB2312" w:hAnsi="Times New Roman" w:eastAsia="仿宋_GB2312"/>
          <w:sz w:val="32"/>
          <w:szCs w:val="32"/>
        </w:rPr>
        <w:t>提供的自评材料及其他佐证材料进行整理、分析。</w:t>
      </w:r>
      <w:r>
        <w:rPr>
          <w:rFonts w:hint="eastAsia" w:ascii="仿宋_GB2312" w:hAnsi="Times New Roman" w:eastAsia="仿宋_GB2312"/>
          <w:bCs/>
          <w:sz w:val="32"/>
          <w:szCs w:val="32"/>
        </w:rPr>
        <w:t>二</w:t>
      </w:r>
      <w:r>
        <w:rPr>
          <w:rFonts w:ascii="仿宋_GB2312" w:hAnsi="Times New Roman" w:eastAsia="仿宋_GB2312"/>
          <w:bCs/>
          <w:sz w:val="32"/>
          <w:szCs w:val="32"/>
        </w:rPr>
        <w:t>是进行现场核</w:t>
      </w:r>
      <w:r>
        <w:rPr>
          <w:rFonts w:hint="eastAsia" w:ascii="仿宋_GB2312" w:hAnsi="Times New Roman" w:eastAsia="仿宋_GB2312"/>
          <w:bCs/>
          <w:sz w:val="32"/>
          <w:szCs w:val="32"/>
        </w:rPr>
        <w:t>查。</w:t>
      </w:r>
      <w:r>
        <w:rPr>
          <w:rFonts w:hint="eastAsia" w:ascii="仿宋_GB2312" w:hAnsi="Times New Roman" w:eastAsia="仿宋_GB2312"/>
          <w:sz w:val="32"/>
          <w:szCs w:val="32"/>
        </w:rPr>
        <w:t>首先听取项目执行单位工作情况介绍，其次根据绩效评价指标要求，按照具体情况开展现场评价工作。</w:t>
      </w:r>
    </w:p>
    <w:p w14:paraId="64B4E2C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（3）综合分析评价（2023年6月21日</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7月5日）。</w:t>
      </w:r>
      <w:r>
        <w:rPr>
          <w:rFonts w:hint="eastAsia" w:ascii="仿宋_GB2312" w:hAnsi="仿宋_GB2312" w:eastAsia="仿宋_GB2312" w:cs="仿宋_GB2312"/>
          <w:sz w:val="32"/>
          <w:szCs w:val="32"/>
        </w:rPr>
        <w:t>结合实地评价有关情况，整理绩效评价所需基础资料和数据，按照既定工作实施方案确定的评价指标、评价标准和评价方法，对项目实施绩效情况进行全面的定量、定性分析和综合评价，量化打分，形成评价初步结论，并将初步评价结论和有关说明送达相关单位征求意见。</w:t>
      </w:r>
    </w:p>
    <w:p w14:paraId="260E03B7">
      <w:pPr>
        <w:spacing w:line="56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（4）撰写绩效评价报告（2023年7月6日－7月25日）。绩效评价结束后，第三方机构应按要求提交绩效评价报告。绩效中</w:t>
      </w:r>
      <w:r>
        <w:rPr>
          <w:rFonts w:ascii="仿宋_GB2312" w:hAnsi="仿宋_GB2312" w:eastAsia="仿宋_GB2312" w:cs="仿宋_GB2312"/>
          <w:sz w:val="32"/>
          <w:szCs w:val="32"/>
        </w:rPr>
        <w:t>心</w:t>
      </w:r>
      <w:r>
        <w:rPr>
          <w:rFonts w:hint="eastAsia" w:ascii="仿宋_GB2312" w:hAnsi="仿宋_GB2312" w:eastAsia="仿宋_GB2312" w:cs="仿宋_GB2312"/>
          <w:sz w:val="32"/>
          <w:szCs w:val="32"/>
        </w:rPr>
        <w:t>和财政局各业务科室应对第三方机构提交的绩效评价报告初稿进行审核，提出修改意见并反馈第三方机构。第三方机构根据审核意见进一步修改完善后，送</w:t>
      </w:r>
      <w:r>
        <w:rPr>
          <w:rFonts w:ascii="仿宋_GB2312" w:hAnsi="仿宋_GB2312" w:eastAsia="仿宋_GB2312" w:cs="仿宋_GB2312"/>
          <w:sz w:val="32"/>
          <w:szCs w:val="32"/>
        </w:rPr>
        <w:t>达</w:t>
      </w:r>
      <w:r>
        <w:rPr>
          <w:rFonts w:hint="eastAsia" w:ascii="仿宋_GB2312" w:hAnsi="仿宋_GB2312" w:eastAsia="仿宋_GB2312" w:cs="仿宋_GB2312"/>
          <w:sz w:val="32"/>
          <w:szCs w:val="32"/>
        </w:rPr>
        <w:t>被</w:t>
      </w:r>
      <w:r>
        <w:rPr>
          <w:rFonts w:ascii="仿宋_GB2312" w:hAnsi="仿宋_GB2312" w:eastAsia="仿宋_GB2312" w:cs="仿宋_GB2312"/>
          <w:sz w:val="32"/>
          <w:szCs w:val="32"/>
        </w:rPr>
        <w:t>评价</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单位</w:t>
      </w:r>
      <w:r>
        <w:rPr>
          <w:rFonts w:hint="eastAsia" w:ascii="仿宋_GB2312" w:hAnsi="仿宋_GB2312" w:eastAsia="仿宋_GB2312" w:cs="仿宋_GB2312"/>
          <w:sz w:val="32"/>
          <w:szCs w:val="32"/>
        </w:rPr>
        <w:t>征</w:t>
      </w:r>
      <w:r>
        <w:rPr>
          <w:rFonts w:ascii="仿宋_GB2312" w:hAnsi="仿宋_GB2312" w:eastAsia="仿宋_GB2312" w:cs="仿宋_GB2312"/>
          <w:sz w:val="32"/>
          <w:szCs w:val="32"/>
        </w:rPr>
        <w:t>询意见。并将</w:t>
      </w:r>
      <w:r>
        <w:rPr>
          <w:rFonts w:hint="eastAsia" w:ascii="仿宋_GB2312" w:hAnsi="仿宋_GB2312" w:eastAsia="仿宋_GB2312" w:cs="仿宋_GB2312"/>
          <w:sz w:val="32"/>
          <w:szCs w:val="32"/>
        </w:rPr>
        <w:t>绩效评价报告并报送绩效中</w:t>
      </w:r>
      <w:r>
        <w:rPr>
          <w:rFonts w:ascii="仿宋_GB2312" w:hAnsi="仿宋_GB2312" w:eastAsia="仿宋_GB2312" w:cs="仿宋_GB2312"/>
          <w:sz w:val="32"/>
          <w:szCs w:val="32"/>
        </w:rPr>
        <w:t>心</w:t>
      </w:r>
      <w:r>
        <w:rPr>
          <w:rFonts w:hint="eastAsia" w:ascii="仿宋_GB2312" w:hAnsi="仿宋_GB2312" w:eastAsia="仿宋_GB2312" w:cs="仿宋_GB2312"/>
          <w:sz w:val="32"/>
          <w:szCs w:val="32"/>
        </w:rPr>
        <w:t>。</w:t>
      </w:r>
    </w:p>
    <w:p w14:paraId="3ECFA194">
      <w:pPr>
        <w:spacing w:line="560" w:lineRule="exact"/>
        <w:ind w:firstLine="640" w:firstLineChars="200"/>
        <w:rPr>
          <w:rFonts w:ascii="黑体" w:hAnsi="黑体" w:eastAsia="黑体"/>
          <w:sz w:val="32"/>
          <w:szCs w:val="32"/>
        </w:rPr>
      </w:pPr>
      <w:r>
        <w:rPr>
          <w:rFonts w:hint="eastAsia" w:ascii="黑体" w:hAnsi="黑体" w:eastAsia="黑体"/>
          <w:sz w:val="32"/>
          <w:szCs w:val="32"/>
        </w:rPr>
        <w:t>三、评价结论</w:t>
      </w:r>
    </w:p>
    <w:p w14:paraId="414C6DDB">
      <w:pPr>
        <w:spacing w:line="560" w:lineRule="exact"/>
        <w:ind w:firstLine="640" w:firstLineChars="200"/>
        <w:rPr>
          <w:rFonts w:ascii="仿宋_GB2312" w:eastAsia="仿宋_GB2312"/>
          <w:sz w:val="32"/>
          <w:szCs w:val="32"/>
        </w:rPr>
      </w:pPr>
      <w:r>
        <w:rPr>
          <w:rFonts w:hint="eastAsia" w:ascii="仿宋_GB2312" w:eastAsia="仿宋_GB2312"/>
          <w:sz w:val="32"/>
          <w:szCs w:val="32"/>
        </w:rPr>
        <w:t>运用由评价组研发并通过主管单位确认的评价指标体系及评分标准，通过基础数据填报和访谈获取的数据，评价组对塔城人才公寓楼建设及配套设施项目进行了独立客观地评价，最终评分结果为</w:t>
      </w:r>
      <w:r>
        <w:rPr>
          <w:rFonts w:ascii="仿宋_GB2312" w:eastAsia="仿宋_GB2312"/>
          <w:sz w:val="32"/>
          <w:szCs w:val="32"/>
        </w:rPr>
        <w:t>86.71分，评价等级为“</w:t>
      </w:r>
      <w:r>
        <w:rPr>
          <w:rFonts w:hint="eastAsia" w:ascii="仿宋_GB2312" w:eastAsia="仿宋_GB2312"/>
          <w:sz w:val="32"/>
          <w:szCs w:val="32"/>
        </w:rPr>
        <w:t>良</w:t>
      </w:r>
      <w:r>
        <w:rPr>
          <w:rFonts w:ascii="仿宋_GB2312" w:eastAsia="仿宋_GB2312"/>
          <w:sz w:val="32"/>
          <w:szCs w:val="32"/>
        </w:rPr>
        <w:t>”，</w:t>
      </w:r>
      <w:r>
        <w:rPr>
          <w:rFonts w:hint="eastAsia" w:ascii="仿宋_GB2312" w:eastAsia="仿宋_GB2312"/>
          <w:sz w:val="32"/>
          <w:szCs w:val="32"/>
        </w:rPr>
        <w:t>各部分得分情况详见下表。评分过程详见附件</w:t>
      </w:r>
      <w:r>
        <w:rPr>
          <w:rFonts w:ascii="仿宋_GB2312" w:eastAsia="仿宋_GB2312"/>
          <w:sz w:val="32"/>
          <w:szCs w:val="32"/>
        </w:rPr>
        <w:t xml:space="preserve"> 1。</w:t>
      </w:r>
    </w:p>
    <w:p w14:paraId="442757EF">
      <w:pPr>
        <w:spacing w:line="560" w:lineRule="exact"/>
        <w:jc w:val="center"/>
        <w:rPr>
          <w:rFonts w:ascii="仿宋_GB2312" w:eastAsia="仿宋_GB2312"/>
          <w:sz w:val="28"/>
          <w:szCs w:val="28"/>
        </w:rPr>
      </w:pPr>
      <w:r>
        <w:rPr>
          <w:rFonts w:hint="eastAsia" w:ascii="仿宋_GB2312" w:hAnsi="仿宋_GB2312" w:eastAsia="仿宋_GB2312" w:cs="仿宋_GB2312"/>
          <w:sz w:val="28"/>
          <w:szCs w:val="28"/>
          <w:lang w:val="zh-TW" w:eastAsia="zh-TW"/>
        </w:rPr>
        <w:t>表3</w:t>
      </w:r>
      <w:r>
        <w:rPr>
          <w:rFonts w:hint="eastAsia" w:ascii="仿宋_GB2312" w:hAnsi="等线" w:eastAsia="仿宋_GB2312" w:cs="仿宋_GB2312"/>
          <w:sz w:val="28"/>
          <w:szCs w:val="28"/>
          <w:lang w:val="zh-TW" w:eastAsia="zh-TW"/>
        </w:rPr>
        <w:t>-</w:t>
      </w:r>
      <w:r>
        <w:rPr>
          <w:rFonts w:hint="eastAsia" w:ascii="仿宋_GB2312" w:hAnsi="仿宋_GB2312" w:eastAsia="仿宋_GB2312" w:cs="仿宋_GB2312"/>
          <w:sz w:val="28"/>
          <w:szCs w:val="28"/>
          <w:lang w:val="zh-TW" w:eastAsia="zh-TW"/>
        </w:rPr>
        <w:t>1</w:t>
      </w:r>
      <w:r>
        <w:rPr>
          <w:rFonts w:hint="eastAsia" w:ascii="仿宋_GB2312" w:hAnsi="仿宋_GB2312" w:eastAsia="仿宋_GB2312" w:cs="仿宋_GB2312"/>
          <w:sz w:val="28"/>
          <w:szCs w:val="28"/>
          <w:lang w:val="zh-TW"/>
        </w:rPr>
        <w:t>：</w:t>
      </w:r>
      <w:r>
        <w:rPr>
          <w:rFonts w:hint="eastAsia" w:ascii="仿宋_GB2312" w:hAnsi="仿宋_GB2312" w:eastAsia="仿宋_GB2312" w:cs="仿宋_GB2312"/>
          <w:sz w:val="28"/>
          <w:szCs w:val="28"/>
        </w:rPr>
        <w:t>塔城人才公寓楼建设及配套设施</w:t>
      </w:r>
      <w:r>
        <w:rPr>
          <w:rFonts w:hint="eastAsia" w:ascii="仿宋_GB2312" w:hAnsi="仿宋_GB2312" w:eastAsia="仿宋_GB2312" w:cs="仿宋_GB2312"/>
          <w:sz w:val="28"/>
          <w:szCs w:val="28"/>
          <w:lang w:val="zh-TW" w:eastAsia="zh-TW"/>
        </w:rPr>
        <w:t>项目</w:t>
      </w:r>
      <w:r>
        <w:rPr>
          <w:rFonts w:hint="eastAsia" w:ascii="仿宋_GB2312" w:hAnsi="仿宋_GB2312" w:eastAsia="仿宋_GB2312" w:cs="仿宋_GB2312"/>
          <w:sz w:val="28"/>
          <w:szCs w:val="28"/>
          <w:lang w:val="zh-TW"/>
        </w:rPr>
        <w:t>得分表</w:t>
      </w:r>
    </w:p>
    <w:p w14:paraId="46BEE941"/>
    <w:tbl>
      <w:tblPr>
        <w:tblStyle w:val="5"/>
        <w:tblW w:w="8217" w:type="dxa"/>
        <w:tblInd w:w="0" w:type="dxa"/>
        <w:tblLayout w:type="fixed"/>
        <w:tblCellMar>
          <w:top w:w="0" w:type="dxa"/>
          <w:left w:w="108" w:type="dxa"/>
          <w:bottom w:w="0" w:type="dxa"/>
          <w:right w:w="108" w:type="dxa"/>
        </w:tblCellMar>
      </w:tblPr>
      <w:tblGrid>
        <w:gridCol w:w="2263"/>
        <w:gridCol w:w="2127"/>
        <w:gridCol w:w="1842"/>
        <w:gridCol w:w="1985"/>
      </w:tblGrid>
      <w:tr w14:paraId="4359E9C4">
        <w:tblPrEx>
          <w:tblCellMar>
            <w:top w:w="0" w:type="dxa"/>
            <w:left w:w="108" w:type="dxa"/>
            <w:bottom w:w="0" w:type="dxa"/>
            <w:right w:w="108" w:type="dxa"/>
          </w:tblCellMar>
        </w:tblPrEx>
        <w:trPr>
          <w:trHeight w:val="270" w:hRule="atLeast"/>
        </w:trPr>
        <w:tc>
          <w:tcPr>
            <w:tcW w:w="2263"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1C458D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2127" w:type="dxa"/>
            <w:tcBorders>
              <w:top w:val="single" w:color="auto" w:sz="4" w:space="0"/>
              <w:left w:val="nil"/>
              <w:bottom w:val="single" w:color="auto" w:sz="4" w:space="0"/>
              <w:right w:val="single" w:color="auto" w:sz="4" w:space="0"/>
            </w:tcBorders>
            <w:shd w:val="clear" w:color="auto" w:fill="auto"/>
            <w:noWrap/>
            <w:vAlign w:val="bottom"/>
          </w:tcPr>
          <w:p w14:paraId="5AF7AAD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权重分</w:t>
            </w:r>
          </w:p>
        </w:tc>
        <w:tc>
          <w:tcPr>
            <w:tcW w:w="1842" w:type="dxa"/>
            <w:tcBorders>
              <w:top w:val="single" w:color="auto" w:sz="4" w:space="0"/>
              <w:left w:val="nil"/>
              <w:bottom w:val="single" w:color="auto" w:sz="4" w:space="0"/>
              <w:right w:val="single" w:color="auto" w:sz="4" w:space="0"/>
            </w:tcBorders>
            <w:shd w:val="clear" w:color="auto" w:fill="auto"/>
            <w:noWrap/>
            <w:vAlign w:val="bottom"/>
          </w:tcPr>
          <w:p w14:paraId="45FB870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1985" w:type="dxa"/>
            <w:tcBorders>
              <w:top w:val="single" w:color="auto" w:sz="4" w:space="0"/>
              <w:left w:val="nil"/>
              <w:bottom w:val="single" w:color="auto" w:sz="4" w:space="0"/>
              <w:right w:val="single" w:color="auto" w:sz="4" w:space="0"/>
            </w:tcBorders>
            <w:shd w:val="clear" w:color="auto" w:fill="auto"/>
            <w:noWrap/>
            <w:vAlign w:val="bottom"/>
          </w:tcPr>
          <w:p w14:paraId="24A1E6D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得分率</w:t>
            </w:r>
          </w:p>
        </w:tc>
      </w:tr>
      <w:tr w14:paraId="50E0789C">
        <w:tblPrEx>
          <w:tblCellMar>
            <w:top w:w="0" w:type="dxa"/>
            <w:left w:w="108" w:type="dxa"/>
            <w:bottom w:w="0" w:type="dxa"/>
            <w:right w:w="108" w:type="dxa"/>
          </w:tblCellMar>
        </w:tblPrEx>
        <w:trPr>
          <w:trHeight w:val="270" w:hRule="atLeast"/>
        </w:trPr>
        <w:tc>
          <w:tcPr>
            <w:tcW w:w="2263" w:type="dxa"/>
            <w:tcBorders>
              <w:top w:val="nil"/>
              <w:left w:val="single" w:color="auto" w:sz="4" w:space="0"/>
              <w:bottom w:val="single" w:color="auto" w:sz="4" w:space="0"/>
              <w:right w:val="single" w:color="auto" w:sz="4" w:space="0"/>
            </w:tcBorders>
            <w:shd w:val="clear" w:color="auto" w:fill="auto"/>
            <w:noWrap/>
            <w:vAlign w:val="bottom"/>
          </w:tcPr>
          <w:p w14:paraId="11C7649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项目决策</w:t>
            </w:r>
          </w:p>
        </w:tc>
        <w:tc>
          <w:tcPr>
            <w:tcW w:w="2127" w:type="dxa"/>
            <w:tcBorders>
              <w:top w:val="nil"/>
              <w:left w:val="nil"/>
              <w:bottom w:val="single" w:color="auto" w:sz="4" w:space="0"/>
              <w:right w:val="single" w:color="auto" w:sz="4" w:space="0"/>
            </w:tcBorders>
            <w:shd w:val="clear" w:color="auto" w:fill="auto"/>
            <w:noWrap/>
            <w:vAlign w:val="bottom"/>
          </w:tcPr>
          <w:p w14:paraId="61C96FA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w:t>
            </w:r>
          </w:p>
        </w:tc>
        <w:tc>
          <w:tcPr>
            <w:tcW w:w="1842" w:type="dxa"/>
            <w:tcBorders>
              <w:top w:val="nil"/>
              <w:left w:val="nil"/>
              <w:bottom w:val="single" w:color="auto" w:sz="4" w:space="0"/>
              <w:right w:val="single" w:color="auto" w:sz="4" w:space="0"/>
            </w:tcBorders>
            <w:shd w:val="clear" w:color="auto" w:fill="auto"/>
            <w:noWrap/>
            <w:vAlign w:val="bottom"/>
          </w:tcPr>
          <w:p w14:paraId="39B8A19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18.32　</w:t>
            </w:r>
          </w:p>
        </w:tc>
        <w:tc>
          <w:tcPr>
            <w:tcW w:w="1985" w:type="dxa"/>
            <w:tcBorders>
              <w:top w:val="nil"/>
              <w:left w:val="nil"/>
              <w:bottom w:val="single" w:color="auto" w:sz="4" w:space="0"/>
              <w:right w:val="single" w:color="auto" w:sz="4" w:space="0"/>
            </w:tcBorders>
            <w:shd w:val="clear" w:color="auto" w:fill="auto"/>
            <w:noWrap/>
            <w:vAlign w:val="bottom"/>
          </w:tcPr>
          <w:p w14:paraId="7AD9D57B">
            <w:pPr>
              <w:widowControl/>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91.6</w:t>
            </w:r>
            <w:r>
              <w:rPr>
                <w:rFonts w:hint="eastAsia" w:ascii="仿宋_GB2312" w:hAnsi="宋体" w:eastAsia="仿宋_GB2312" w:cs="宋体"/>
                <w:color w:val="000000"/>
                <w:kern w:val="0"/>
                <w:szCs w:val="21"/>
              </w:rPr>
              <w:t>%</w:t>
            </w:r>
          </w:p>
        </w:tc>
      </w:tr>
      <w:tr w14:paraId="4A123E46">
        <w:tblPrEx>
          <w:tblCellMar>
            <w:top w:w="0" w:type="dxa"/>
            <w:left w:w="108" w:type="dxa"/>
            <w:bottom w:w="0" w:type="dxa"/>
            <w:right w:w="108" w:type="dxa"/>
          </w:tblCellMar>
        </w:tblPrEx>
        <w:trPr>
          <w:trHeight w:val="270" w:hRule="atLeast"/>
        </w:trPr>
        <w:tc>
          <w:tcPr>
            <w:tcW w:w="2263" w:type="dxa"/>
            <w:tcBorders>
              <w:top w:val="nil"/>
              <w:left w:val="single" w:color="auto" w:sz="4" w:space="0"/>
              <w:bottom w:val="single" w:color="auto" w:sz="4" w:space="0"/>
              <w:right w:val="single" w:color="auto" w:sz="4" w:space="0"/>
            </w:tcBorders>
            <w:shd w:val="clear" w:color="auto" w:fill="auto"/>
            <w:noWrap/>
            <w:vAlign w:val="bottom"/>
          </w:tcPr>
          <w:p w14:paraId="5005B73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项目管理</w:t>
            </w:r>
          </w:p>
        </w:tc>
        <w:tc>
          <w:tcPr>
            <w:tcW w:w="2127" w:type="dxa"/>
            <w:tcBorders>
              <w:top w:val="nil"/>
              <w:left w:val="nil"/>
              <w:bottom w:val="single" w:color="auto" w:sz="4" w:space="0"/>
              <w:right w:val="single" w:color="auto" w:sz="4" w:space="0"/>
            </w:tcBorders>
            <w:shd w:val="clear" w:color="auto" w:fill="auto"/>
            <w:noWrap/>
            <w:vAlign w:val="bottom"/>
          </w:tcPr>
          <w:p w14:paraId="3073373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w:t>
            </w:r>
          </w:p>
        </w:tc>
        <w:tc>
          <w:tcPr>
            <w:tcW w:w="1842" w:type="dxa"/>
            <w:tcBorders>
              <w:top w:val="nil"/>
              <w:left w:val="nil"/>
              <w:bottom w:val="single" w:color="auto" w:sz="4" w:space="0"/>
              <w:right w:val="single" w:color="auto" w:sz="4" w:space="0"/>
            </w:tcBorders>
            <w:shd w:val="clear" w:color="auto" w:fill="auto"/>
            <w:noWrap/>
            <w:vAlign w:val="bottom"/>
          </w:tcPr>
          <w:p w14:paraId="7E270D4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19　</w:t>
            </w:r>
          </w:p>
        </w:tc>
        <w:tc>
          <w:tcPr>
            <w:tcW w:w="1985" w:type="dxa"/>
            <w:tcBorders>
              <w:top w:val="nil"/>
              <w:left w:val="nil"/>
              <w:bottom w:val="single" w:color="auto" w:sz="4" w:space="0"/>
              <w:right w:val="single" w:color="auto" w:sz="4" w:space="0"/>
            </w:tcBorders>
            <w:shd w:val="clear" w:color="auto" w:fill="auto"/>
            <w:noWrap/>
            <w:vAlign w:val="bottom"/>
          </w:tcPr>
          <w:p w14:paraId="570A664F">
            <w:pPr>
              <w:widowControl/>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95%</w:t>
            </w:r>
          </w:p>
        </w:tc>
      </w:tr>
      <w:tr w14:paraId="185B4E57">
        <w:tblPrEx>
          <w:tblCellMar>
            <w:top w:w="0" w:type="dxa"/>
            <w:left w:w="108" w:type="dxa"/>
            <w:bottom w:w="0" w:type="dxa"/>
            <w:right w:w="108" w:type="dxa"/>
          </w:tblCellMar>
        </w:tblPrEx>
        <w:trPr>
          <w:trHeight w:val="270" w:hRule="atLeast"/>
        </w:trPr>
        <w:tc>
          <w:tcPr>
            <w:tcW w:w="2263" w:type="dxa"/>
            <w:tcBorders>
              <w:top w:val="nil"/>
              <w:left w:val="single" w:color="auto" w:sz="4" w:space="0"/>
              <w:bottom w:val="single" w:color="auto" w:sz="4" w:space="0"/>
              <w:right w:val="single" w:color="auto" w:sz="4" w:space="0"/>
            </w:tcBorders>
            <w:shd w:val="clear" w:color="auto" w:fill="auto"/>
            <w:noWrap/>
            <w:vAlign w:val="bottom"/>
          </w:tcPr>
          <w:p w14:paraId="28304BC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项目产出</w:t>
            </w:r>
          </w:p>
        </w:tc>
        <w:tc>
          <w:tcPr>
            <w:tcW w:w="2127" w:type="dxa"/>
            <w:tcBorders>
              <w:top w:val="nil"/>
              <w:left w:val="nil"/>
              <w:bottom w:val="single" w:color="auto" w:sz="4" w:space="0"/>
              <w:right w:val="single" w:color="auto" w:sz="4" w:space="0"/>
            </w:tcBorders>
            <w:shd w:val="clear" w:color="auto" w:fill="auto"/>
            <w:noWrap/>
            <w:vAlign w:val="bottom"/>
          </w:tcPr>
          <w:p w14:paraId="27AFB4A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40</w:t>
            </w:r>
          </w:p>
        </w:tc>
        <w:tc>
          <w:tcPr>
            <w:tcW w:w="1842" w:type="dxa"/>
            <w:tcBorders>
              <w:top w:val="nil"/>
              <w:left w:val="nil"/>
              <w:bottom w:val="single" w:color="auto" w:sz="4" w:space="0"/>
              <w:right w:val="single" w:color="auto" w:sz="4" w:space="0"/>
            </w:tcBorders>
            <w:shd w:val="clear" w:color="auto" w:fill="auto"/>
            <w:noWrap/>
            <w:vAlign w:val="bottom"/>
          </w:tcPr>
          <w:p w14:paraId="103CC55D">
            <w:pPr>
              <w:widowControl/>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3</w:t>
            </w:r>
            <w:r>
              <w:rPr>
                <w:rFonts w:hint="eastAsia" w:ascii="仿宋_GB2312" w:hAnsi="宋体" w:eastAsia="仿宋_GB2312" w:cs="宋体"/>
                <w:color w:val="000000"/>
                <w:kern w:val="0"/>
                <w:szCs w:val="21"/>
              </w:rPr>
              <w:t>5.54　</w:t>
            </w:r>
          </w:p>
        </w:tc>
        <w:tc>
          <w:tcPr>
            <w:tcW w:w="1985" w:type="dxa"/>
            <w:tcBorders>
              <w:top w:val="nil"/>
              <w:left w:val="nil"/>
              <w:bottom w:val="single" w:color="auto" w:sz="4" w:space="0"/>
              <w:right w:val="single" w:color="auto" w:sz="4" w:space="0"/>
            </w:tcBorders>
            <w:shd w:val="clear" w:color="auto" w:fill="auto"/>
            <w:noWrap/>
            <w:vAlign w:val="bottom"/>
          </w:tcPr>
          <w:p w14:paraId="626408EC">
            <w:pPr>
              <w:widowControl/>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88.85%</w:t>
            </w:r>
          </w:p>
        </w:tc>
      </w:tr>
      <w:tr w14:paraId="6D3282C7">
        <w:tblPrEx>
          <w:tblCellMar>
            <w:top w:w="0" w:type="dxa"/>
            <w:left w:w="108" w:type="dxa"/>
            <w:bottom w:w="0" w:type="dxa"/>
            <w:right w:w="108" w:type="dxa"/>
          </w:tblCellMar>
        </w:tblPrEx>
        <w:trPr>
          <w:trHeight w:val="270" w:hRule="atLeast"/>
        </w:trPr>
        <w:tc>
          <w:tcPr>
            <w:tcW w:w="2263" w:type="dxa"/>
            <w:tcBorders>
              <w:top w:val="nil"/>
              <w:left w:val="single" w:color="auto" w:sz="4" w:space="0"/>
              <w:bottom w:val="single" w:color="auto" w:sz="4" w:space="0"/>
              <w:right w:val="single" w:color="auto" w:sz="4" w:space="0"/>
            </w:tcBorders>
            <w:shd w:val="clear" w:color="auto" w:fill="auto"/>
            <w:noWrap/>
            <w:vAlign w:val="bottom"/>
          </w:tcPr>
          <w:p w14:paraId="25D6902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项目效益</w:t>
            </w:r>
          </w:p>
        </w:tc>
        <w:tc>
          <w:tcPr>
            <w:tcW w:w="2127" w:type="dxa"/>
            <w:tcBorders>
              <w:top w:val="nil"/>
              <w:left w:val="nil"/>
              <w:bottom w:val="single" w:color="auto" w:sz="4" w:space="0"/>
              <w:right w:val="single" w:color="auto" w:sz="4" w:space="0"/>
            </w:tcBorders>
            <w:shd w:val="clear" w:color="auto" w:fill="auto"/>
            <w:noWrap/>
            <w:vAlign w:val="bottom"/>
          </w:tcPr>
          <w:p w14:paraId="17ECD63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w:t>
            </w:r>
          </w:p>
        </w:tc>
        <w:tc>
          <w:tcPr>
            <w:tcW w:w="1842" w:type="dxa"/>
            <w:tcBorders>
              <w:top w:val="nil"/>
              <w:left w:val="nil"/>
              <w:bottom w:val="single" w:color="auto" w:sz="4" w:space="0"/>
              <w:right w:val="single" w:color="auto" w:sz="4" w:space="0"/>
            </w:tcBorders>
            <w:shd w:val="clear" w:color="auto" w:fill="auto"/>
            <w:noWrap/>
            <w:vAlign w:val="bottom"/>
          </w:tcPr>
          <w:p w14:paraId="173E870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13.85　</w:t>
            </w:r>
          </w:p>
        </w:tc>
        <w:tc>
          <w:tcPr>
            <w:tcW w:w="1985" w:type="dxa"/>
            <w:tcBorders>
              <w:top w:val="nil"/>
              <w:left w:val="nil"/>
              <w:bottom w:val="single" w:color="auto" w:sz="4" w:space="0"/>
              <w:right w:val="single" w:color="auto" w:sz="4" w:space="0"/>
            </w:tcBorders>
            <w:shd w:val="clear" w:color="auto" w:fill="auto"/>
            <w:noWrap/>
            <w:vAlign w:val="bottom"/>
          </w:tcPr>
          <w:p w14:paraId="3F9A5AC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69.25</w:t>
            </w:r>
            <w:r>
              <w:rPr>
                <w:rFonts w:ascii="仿宋_GB2312" w:hAnsi="宋体" w:eastAsia="仿宋_GB2312" w:cs="宋体"/>
                <w:color w:val="000000"/>
                <w:kern w:val="0"/>
                <w:szCs w:val="21"/>
              </w:rPr>
              <w:t>%</w:t>
            </w:r>
          </w:p>
        </w:tc>
      </w:tr>
      <w:tr w14:paraId="0C9D0E02">
        <w:tblPrEx>
          <w:tblCellMar>
            <w:top w:w="0" w:type="dxa"/>
            <w:left w:w="108" w:type="dxa"/>
            <w:bottom w:w="0" w:type="dxa"/>
            <w:right w:w="108" w:type="dxa"/>
          </w:tblCellMar>
        </w:tblPrEx>
        <w:trPr>
          <w:trHeight w:val="270" w:hRule="atLeast"/>
        </w:trPr>
        <w:tc>
          <w:tcPr>
            <w:tcW w:w="2263" w:type="dxa"/>
            <w:tcBorders>
              <w:top w:val="nil"/>
              <w:left w:val="single" w:color="auto" w:sz="4" w:space="0"/>
              <w:bottom w:val="single" w:color="auto" w:sz="4" w:space="0"/>
              <w:right w:val="single" w:color="auto" w:sz="4" w:space="0"/>
            </w:tcBorders>
            <w:shd w:val="clear" w:color="auto" w:fill="auto"/>
            <w:noWrap/>
            <w:vAlign w:val="bottom"/>
          </w:tcPr>
          <w:p w14:paraId="1E7E303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合计</w:t>
            </w:r>
          </w:p>
        </w:tc>
        <w:tc>
          <w:tcPr>
            <w:tcW w:w="2127" w:type="dxa"/>
            <w:tcBorders>
              <w:top w:val="nil"/>
              <w:left w:val="nil"/>
              <w:bottom w:val="single" w:color="auto" w:sz="4" w:space="0"/>
              <w:right w:val="single" w:color="auto" w:sz="4" w:space="0"/>
            </w:tcBorders>
            <w:shd w:val="clear" w:color="auto" w:fill="auto"/>
            <w:noWrap/>
            <w:vAlign w:val="bottom"/>
          </w:tcPr>
          <w:p w14:paraId="069B8CD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842" w:type="dxa"/>
            <w:tcBorders>
              <w:top w:val="nil"/>
              <w:left w:val="nil"/>
              <w:bottom w:val="single" w:color="auto" w:sz="4" w:space="0"/>
              <w:right w:val="single" w:color="auto" w:sz="4" w:space="0"/>
            </w:tcBorders>
            <w:shd w:val="clear" w:color="auto" w:fill="auto"/>
            <w:noWrap/>
            <w:vAlign w:val="bottom"/>
          </w:tcPr>
          <w:p w14:paraId="44ADFF71">
            <w:pPr>
              <w:widowControl/>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86.71</w:t>
            </w:r>
          </w:p>
        </w:tc>
        <w:tc>
          <w:tcPr>
            <w:tcW w:w="1985" w:type="dxa"/>
            <w:tcBorders>
              <w:top w:val="nil"/>
              <w:left w:val="nil"/>
              <w:bottom w:val="single" w:color="auto" w:sz="4" w:space="0"/>
              <w:right w:val="single" w:color="auto" w:sz="4" w:space="0"/>
            </w:tcBorders>
            <w:shd w:val="clear" w:color="auto" w:fill="auto"/>
            <w:noWrap/>
            <w:vAlign w:val="bottom"/>
          </w:tcPr>
          <w:p w14:paraId="388C3CFE">
            <w:pPr>
              <w:widowControl/>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86.71%</w:t>
            </w:r>
          </w:p>
        </w:tc>
      </w:tr>
    </w:tbl>
    <w:p w14:paraId="2E470AE7">
      <w:pPr>
        <w:spacing w:line="560" w:lineRule="exact"/>
        <w:ind w:firstLine="640" w:firstLineChars="200"/>
        <w:rPr>
          <w:rFonts w:ascii="黑体" w:hAnsi="黑体" w:eastAsia="黑体"/>
          <w:sz w:val="32"/>
          <w:szCs w:val="32"/>
        </w:rPr>
      </w:pPr>
      <w:r>
        <w:rPr>
          <w:rFonts w:hint="eastAsia" w:ascii="黑体" w:hAnsi="黑体" w:eastAsia="黑体"/>
          <w:sz w:val="32"/>
          <w:szCs w:val="32"/>
        </w:rPr>
        <w:t>四、绩效评价分析</w:t>
      </w:r>
    </w:p>
    <w:p w14:paraId="19C6E7DC">
      <w:pPr>
        <w:spacing w:line="560" w:lineRule="exact"/>
        <w:ind w:firstLine="643" w:firstLineChars="200"/>
        <w:rPr>
          <w:rFonts w:ascii="楷体_GB2312" w:eastAsia="楷体_GB2312"/>
          <w:b/>
          <w:sz w:val="32"/>
          <w:szCs w:val="32"/>
        </w:rPr>
      </w:pPr>
      <w:r>
        <w:rPr>
          <w:rFonts w:hint="eastAsia" w:ascii="楷体_GB2312" w:eastAsia="楷体_GB2312"/>
          <w:b/>
          <w:sz w:val="32"/>
          <w:szCs w:val="32"/>
        </w:rPr>
        <w:t>（一）决策情况分析（分值</w:t>
      </w:r>
      <w:r>
        <w:rPr>
          <w:rFonts w:ascii="楷体_GB2312" w:eastAsia="楷体_GB2312"/>
          <w:b/>
          <w:sz w:val="32"/>
          <w:szCs w:val="32"/>
        </w:rPr>
        <w:t>20</w:t>
      </w:r>
      <w:r>
        <w:rPr>
          <w:rFonts w:hint="eastAsia" w:ascii="楷体_GB2312" w:eastAsia="楷体_GB2312"/>
          <w:b/>
          <w:sz w:val="32"/>
          <w:szCs w:val="32"/>
        </w:rPr>
        <w:t>分，得</w:t>
      </w:r>
      <w:r>
        <w:rPr>
          <w:rFonts w:ascii="楷体_GB2312" w:eastAsia="楷体_GB2312"/>
          <w:b/>
          <w:sz w:val="32"/>
          <w:szCs w:val="32"/>
        </w:rPr>
        <w:t>18.32</w:t>
      </w:r>
      <w:r>
        <w:rPr>
          <w:rFonts w:hint="eastAsia" w:ascii="楷体_GB2312" w:eastAsia="楷体_GB2312"/>
          <w:b/>
          <w:sz w:val="32"/>
          <w:szCs w:val="32"/>
        </w:rPr>
        <w:t>分）</w:t>
      </w:r>
    </w:p>
    <w:p w14:paraId="299CD8E7">
      <w:pPr>
        <w:spacing w:line="560" w:lineRule="exact"/>
        <w:ind w:firstLine="643" w:firstLineChars="200"/>
        <w:rPr>
          <w:rFonts w:ascii="仿宋_GB2312" w:eastAsia="仿宋_GB2312"/>
          <w:b/>
          <w:sz w:val="32"/>
          <w:szCs w:val="32"/>
        </w:rPr>
      </w:pPr>
      <w:r>
        <w:rPr>
          <w:rFonts w:hint="eastAsia" w:ascii="仿宋_GB2312" w:eastAsia="仿宋_GB2312"/>
          <w:b/>
          <w:sz w:val="32"/>
          <w:szCs w:val="32"/>
        </w:rPr>
        <w:t>1.项目立项（分值</w:t>
      </w:r>
      <w:r>
        <w:rPr>
          <w:rFonts w:ascii="仿宋_GB2312" w:eastAsia="仿宋_GB2312"/>
          <w:b/>
          <w:sz w:val="32"/>
          <w:szCs w:val="32"/>
        </w:rPr>
        <w:t>6</w:t>
      </w:r>
      <w:r>
        <w:rPr>
          <w:rFonts w:hint="eastAsia" w:ascii="仿宋_GB2312" w:eastAsia="仿宋_GB2312"/>
          <w:b/>
          <w:sz w:val="32"/>
          <w:szCs w:val="32"/>
        </w:rPr>
        <w:t>分，得</w:t>
      </w:r>
      <w:r>
        <w:rPr>
          <w:rFonts w:ascii="仿宋_GB2312" w:eastAsia="仿宋_GB2312"/>
          <w:b/>
          <w:sz w:val="32"/>
          <w:szCs w:val="32"/>
        </w:rPr>
        <w:t>6</w:t>
      </w:r>
      <w:r>
        <w:rPr>
          <w:rFonts w:hint="eastAsia" w:ascii="仿宋_GB2312" w:eastAsia="仿宋_GB2312"/>
          <w:b/>
          <w:sz w:val="32"/>
          <w:szCs w:val="32"/>
        </w:rPr>
        <w:t>分）</w:t>
      </w:r>
    </w:p>
    <w:p w14:paraId="2FA5C9E8">
      <w:pPr>
        <w:spacing w:line="560" w:lineRule="exact"/>
        <w:ind w:firstLine="640" w:firstLineChars="200"/>
        <w:rPr>
          <w:rFonts w:ascii="仿宋_GB2312" w:eastAsia="仿宋_GB2312"/>
          <w:sz w:val="32"/>
          <w:szCs w:val="32"/>
        </w:rPr>
      </w:pPr>
      <w:r>
        <w:rPr>
          <w:rFonts w:hint="eastAsia" w:ascii="仿宋_GB2312" w:eastAsia="仿宋_GB2312"/>
          <w:sz w:val="32"/>
          <w:szCs w:val="32"/>
        </w:rPr>
        <w:t>（1）立项依据充分性（分值</w:t>
      </w:r>
      <w:r>
        <w:rPr>
          <w:rFonts w:ascii="仿宋_GB2312" w:eastAsia="仿宋_GB2312"/>
          <w:sz w:val="32"/>
          <w:szCs w:val="32"/>
        </w:rPr>
        <w:t>3</w:t>
      </w:r>
      <w:r>
        <w:rPr>
          <w:rFonts w:hint="eastAsia" w:ascii="仿宋_GB2312" w:eastAsia="仿宋_GB2312"/>
          <w:sz w:val="32"/>
          <w:szCs w:val="32"/>
        </w:rPr>
        <w:t>分，得</w:t>
      </w:r>
      <w:r>
        <w:rPr>
          <w:rFonts w:ascii="仿宋_GB2312" w:eastAsia="仿宋_GB2312"/>
          <w:sz w:val="32"/>
          <w:szCs w:val="32"/>
        </w:rPr>
        <w:t>3</w:t>
      </w:r>
      <w:r>
        <w:rPr>
          <w:rFonts w:hint="eastAsia" w:ascii="仿宋_GB2312" w:eastAsia="仿宋_GB2312"/>
          <w:sz w:val="32"/>
          <w:szCs w:val="32"/>
        </w:rPr>
        <w:t>分）</w:t>
      </w:r>
    </w:p>
    <w:p w14:paraId="30FC8D4B">
      <w:pPr>
        <w:spacing w:line="560" w:lineRule="exact"/>
        <w:ind w:firstLine="640" w:firstLineChars="200"/>
        <w:rPr>
          <w:rFonts w:ascii="仿宋_GB2312" w:eastAsia="仿宋_GB2312"/>
          <w:sz w:val="32"/>
          <w:szCs w:val="32"/>
        </w:rPr>
      </w:pPr>
      <w:r>
        <w:rPr>
          <w:rFonts w:hint="eastAsia" w:ascii="仿宋_GB2312" w:eastAsia="仿宋_GB2312"/>
          <w:sz w:val="32"/>
          <w:szCs w:val="32"/>
        </w:rPr>
        <w:t>该项目立项符合国家法律法规，符合国家和自治区事业发展规划和相关政策,与部门职责范围相符，属于部门履职所需依据评分规则得</w:t>
      </w:r>
      <w:r>
        <w:rPr>
          <w:rFonts w:ascii="仿宋_GB2312" w:eastAsia="仿宋_GB2312"/>
          <w:sz w:val="32"/>
          <w:szCs w:val="32"/>
        </w:rPr>
        <w:t>3</w:t>
      </w:r>
      <w:r>
        <w:rPr>
          <w:rFonts w:hint="eastAsia" w:ascii="仿宋_GB2312" w:eastAsia="仿宋_GB2312"/>
          <w:sz w:val="32"/>
          <w:szCs w:val="32"/>
        </w:rPr>
        <w:t>分。</w:t>
      </w:r>
    </w:p>
    <w:p w14:paraId="54D034AC">
      <w:pPr>
        <w:spacing w:line="560" w:lineRule="exact"/>
        <w:ind w:firstLine="640" w:firstLineChars="200"/>
        <w:rPr>
          <w:rFonts w:ascii="仿宋_GB2312" w:eastAsia="仿宋_GB2312"/>
          <w:sz w:val="32"/>
          <w:szCs w:val="32"/>
        </w:rPr>
      </w:pPr>
      <w:r>
        <w:rPr>
          <w:rFonts w:hint="eastAsia" w:ascii="仿宋_GB2312" w:eastAsia="仿宋_GB2312"/>
          <w:sz w:val="32"/>
          <w:szCs w:val="32"/>
        </w:rPr>
        <w:t>（2）项目库建设规范性（分值</w:t>
      </w:r>
      <w:r>
        <w:rPr>
          <w:rFonts w:ascii="仿宋_GB2312" w:eastAsia="仿宋_GB2312"/>
          <w:sz w:val="32"/>
          <w:szCs w:val="32"/>
        </w:rPr>
        <w:t>3</w:t>
      </w:r>
      <w:r>
        <w:rPr>
          <w:rFonts w:hint="eastAsia" w:ascii="仿宋_GB2312" w:eastAsia="仿宋_GB2312"/>
          <w:sz w:val="32"/>
          <w:szCs w:val="32"/>
        </w:rPr>
        <w:t>分，得</w:t>
      </w:r>
      <w:r>
        <w:rPr>
          <w:rFonts w:ascii="仿宋_GB2312" w:eastAsia="仿宋_GB2312"/>
          <w:sz w:val="32"/>
          <w:szCs w:val="32"/>
        </w:rPr>
        <w:t>3</w:t>
      </w:r>
      <w:r>
        <w:rPr>
          <w:rFonts w:hint="eastAsia" w:ascii="仿宋_GB2312" w:eastAsia="仿宋_GB2312"/>
          <w:sz w:val="32"/>
          <w:szCs w:val="32"/>
        </w:rPr>
        <w:t>分）</w:t>
      </w:r>
    </w:p>
    <w:p w14:paraId="4FD39449">
      <w:pPr>
        <w:spacing w:line="560" w:lineRule="exact"/>
        <w:ind w:firstLine="640" w:firstLineChars="200"/>
        <w:rPr>
          <w:rFonts w:ascii="仿宋_GB2312" w:eastAsia="仿宋_GB2312"/>
          <w:sz w:val="32"/>
          <w:szCs w:val="32"/>
        </w:rPr>
      </w:pPr>
      <w:r>
        <w:rPr>
          <w:rFonts w:hint="eastAsia" w:ascii="仿宋_GB2312" w:eastAsia="仿宋_GB2312"/>
          <w:sz w:val="32"/>
          <w:szCs w:val="32"/>
        </w:rPr>
        <w:t>该</w:t>
      </w:r>
      <w:r>
        <w:rPr>
          <w:rFonts w:ascii="仿宋_GB2312" w:eastAsia="仿宋_GB2312"/>
          <w:sz w:val="32"/>
          <w:szCs w:val="32"/>
        </w:rPr>
        <w:t>项目</w:t>
      </w:r>
      <w:r>
        <w:rPr>
          <w:rFonts w:hint="eastAsia" w:ascii="仿宋_GB2312" w:eastAsia="仿宋_GB2312"/>
          <w:sz w:val="32"/>
          <w:szCs w:val="32"/>
        </w:rPr>
        <w:t>为续</w:t>
      </w:r>
      <w:r>
        <w:rPr>
          <w:rFonts w:ascii="仿宋_GB2312" w:eastAsia="仿宋_GB2312"/>
          <w:sz w:val="32"/>
          <w:szCs w:val="32"/>
        </w:rPr>
        <w:t>建</w:t>
      </w:r>
      <w:r>
        <w:rPr>
          <w:rFonts w:hint="eastAsia" w:ascii="仿宋_GB2312" w:eastAsia="仿宋_GB2312"/>
          <w:sz w:val="32"/>
          <w:szCs w:val="32"/>
        </w:rPr>
        <w:t>项目，按照规定的程序申请设立,审批文件、材料符合相关要求,依据评分规则得</w:t>
      </w:r>
      <w:r>
        <w:rPr>
          <w:rFonts w:ascii="仿宋_GB2312" w:eastAsia="仿宋_GB2312"/>
          <w:sz w:val="32"/>
          <w:szCs w:val="32"/>
        </w:rPr>
        <w:t>3</w:t>
      </w:r>
      <w:r>
        <w:rPr>
          <w:rFonts w:hint="eastAsia" w:ascii="仿宋_GB2312" w:eastAsia="仿宋_GB2312"/>
          <w:sz w:val="32"/>
          <w:szCs w:val="32"/>
        </w:rPr>
        <w:t>分。</w:t>
      </w:r>
    </w:p>
    <w:p w14:paraId="67F7DA06">
      <w:pPr>
        <w:spacing w:line="560" w:lineRule="exact"/>
        <w:ind w:firstLine="643" w:firstLineChars="200"/>
        <w:rPr>
          <w:rFonts w:ascii="仿宋_GB2312" w:eastAsia="仿宋_GB2312"/>
          <w:b/>
          <w:sz w:val="32"/>
          <w:szCs w:val="32"/>
        </w:rPr>
      </w:pPr>
      <w:r>
        <w:rPr>
          <w:rFonts w:hint="eastAsia" w:ascii="仿宋_GB2312" w:eastAsia="仿宋_GB2312"/>
          <w:b/>
          <w:sz w:val="32"/>
          <w:szCs w:val="32"/>
        </w:rPr>
        <w:t>2.绩效目标（分值</w:t>
      </w:r>
      <w:r>
        <w:rPr>
          <w:rFonts w:ascii="仿宋_GB2312" w:eastAsia="仿宋_GB2312"/>
          <w:b/>
          <w:sz w:val="32"/>
          <w:szCs w:val="32"/>
        </w:rPr>
        <w:t>9</w:t>
      </w:r>
      <w:r>
        <w:rPr>
          <w:rFonts w:hint="eastAsia" w:ascii="仿宋_GB2312" w:eastAsia="仿宋_GB2312"/>
          <w:b/>
          <w:sz w:val="32"/>
          <w:szCs w:val="32"/>
        </w:rPr>
        <w:t>分，得</w:t>
      </w:r>
      <w:r>
        <w:rPr>
          <w:rFonts w:ascii="仿宋_GB2312" w:eastAsia="仿宋_GB2312"/>
          <w:b/>
          <w:sz w:val="32"/>
          <w:szCs w:val="32"/>
        </w:rPr>
        <w:t>7.32</w:t>
      </w:r>
      <w:r>
        <w:rPr>
          <w:rFonts w:hint="eastAsia" w:ascii="仿宋_GB2312" w:eastAsia="仿宋_GB2312"/>
          <w:b/>
          <w:sz w:val="32"/>
          <w:szCs w:val="32"/>
        </w:rPr>
        <w:t>分）</w:t>
      </w:r>
    </w:p>
    <w:p w14:paraId="3D1EC8F5">
      <w:pPr>
        <w:spacing w:line="560" w:lineRule="exact"/>
        <w:ind w:firstLine="640" w:firstLineChars="200"/>
        <w:rPr>
          <w:rFonts w:ascii="仿宋_GB2312" w:eastAsia="仿宋_GB2312"/>
          <w:sz w:val="32"/>
          <w:szCs w:val="32"/>
        </w:rPr>
      </w:pPr>
      <w:r>
        <w:rPr>
          <w:rFonts w:hint="eastAsia" w:ascii="仿宋_GB2312" w:eastAsia="仿宋_GB2312"/>
          <w:sz w:val="32"/>
          <w:szCs w:val="32"/>
        </w:rPr>
        <w:t>（1）绩效目标合理性（分值</w:t>
      </w:r>
      <w:r>
        <w:rPr>
          <w:rFonts w:ascii="仿宋_GB2312" w:eastAsia="仿宋_GB2312"/>
          <w:sz w:val="32"/>
          <w:szCs w:val="32"/>
        </w:rPr>
        <w:t>5</w:t>
      </w:r>
      <w:r>
        <w:rPr>
          <w:rFonts w:hint="eastAsia" w:ascii="仿宋_GB2312" w:eastAsia="仿宋_GB2312"/>
          <w:sz w:val="32"/>
          <w:szCs w:val="32"/>
        </w:rPr>
        <w:t>分，得</w:t>
      </w:r>
      <w:r>
        <w:rPr>
          <w:rFonts w:ascii="仿宋_GB2312" w:eastAsia="仿宋_GB2312"/>
          <w:sz w:val="32"/>
          <w:szCs w:val="32"/>
        </w:rPr>
        <w:t>5</w:t>
      </w:r>
      <w:r>
        <w:rPr>
          <w:rFonts w:hint="eastAsia" w:ascii="仿宋_GB2312" w:eastAsia="仿宋_GB2312"/>
          <w:sz w:val="32"/>
          <w:szCs w:val="32"/>
        </w:rPr>
        <w:t>分）</w:t>
      </w:r>
    </w:p>
    <w:p w14:paraId="392B4ED1">
      <w:pPr>
        <w:spacing w:line="560" w:lineRule="exact"/>
        <w:ind w:firstLine="640" w:firstLineChars="200"/>
        <w:rPr>
          <w:rFonts w:ascii="仿宋_GB2312" w:eastAsia="仿宋_GB2312"/>
          <w:sz w:val="32"/>
          <w:szCs w:val="32"/>
        </w:rPr>
      </w:pPr>
      <w:r>
        <w:rPr>
          <w:rFonts w:hint="eastAsia" w:ascii="仿宋_GB2312" w:eastAsia="仿宋_GB2312"/>
          <w:sz w:val="32"/>
          <w:szCs w:val="32"/>
        </w:rPr>
        <w:t>该项目有绩效目标,项目绩效目标与实际工作内容具有相关性,项目预期产出效益和效果符合正常的业绩水平,与预算确定的项目投资额或资金量相匹配</w:t>
      </w:r>
      <w:r>
        <w:rPr>
          <w:rFonts w:ascii="仿宋_GB2312" w:eastAsia="仿宋_GB2312"/>
          <w:sz w:val="32"/>
          <w:szCs w:val="32"/>
        </w:rPr>
        <w:t>。</w:t>
      </w:r>
      <w:r>
        <w:rPr>
          <w:rFonts w:hint="eastAsia" w:ascii="仿宋_GB2312" w:eastAsia="仿宋_GB2312"/>
          <w:sz w:val="32"/>
          <w:szCs w:val="32"/>
        </w:rPr>
        <w:t>依据评分规则得</w:t>
      </w:r>
      <w:r>
        <w:rPr>
          <w:rFonts w:ascii="仿宋_GB2312" w:eastAsia="仿宋_GB2312"/>
          <w:sz w:val="32"/>
          <w:szCs w:val="32"/>
        </w:rPr>
        <w:t>5</w:t>
      </w:r>
      <w:r>
        <w:rPr>
          <w:rFonts w:hint="eastAsia" w:ascii="仿宋_GB2312" w:eastAsia="仿宋_GB2312"/>
          <w:sz w:val="32"/>
          <w:szCs w:val="32"/>
        </w:rPr>
        <w:t>分。</w:t>
      </w:r>
    </w:p>
    <w:p w14:paraId="53C3C668">
      <w:pPr>
        <w:spacing w:line="560" w:lineRule="exact"/>
        <w:ind w:firstLine="640" w:firstLineChars="200"/>
        <w:rPr>
          <w:rFonts w:ascii="仿宋_GB2312" w:eastAsia="仿宋_GB2312"/>
          <w:sz w:val="32"/>
          <w:szCs w:val="32"/>
        </w:rPr>
      </w:pPr>
      <w:r>
        <w:rPr>
          <w:rFonts w:hint="eastAsia" w:ascii="仿宋_GB2312" w:eastAsia="仿宋_GB2312"/>
          <w:sz w:val="32"/>
          <w:szCs w:val="32"/>
        </w:rPr>
        <w:t>（2）绩效指标明确性（分值</w:t>
      </w:r>
      <w:r>
        <w:rPr>
          <w:rFonts w:ascii="仿宋_GB2312" w:eastAsia="仿宋_GB2312"/>
          <w:sz w:val="32"/>
          <w:szCs w:val="32"/>
        </w:rPr>
        <w:t>4</w:t>
      </w:r>
      <w:r>
        <w:rPr>
          <w:rFonts w:hint="eastAsia" w:ascii="仿宋_GB2312" w:eastAsia="仿宋_GB2312"/>
          <w:sz w:val="32"/>
          <w:szCs w:val="32"/>
        </w:rPr>
        <w:t>分，得</w:t>
      </w:r>
      <w:r>
        <w:rPr>
          <w:rFonts w:ascii="仿宋_GB2312" w:eastAsia="仿宋_GB2312"/>
          <w:sz w:val="32"/>
          <w:szCs w:val="32"/>
        </w:rPr>
        <w:t>2.32</w:t>
      </w:r>
      <w:r>
        <w:rPr>
          <w:rFonts w:hint="eastAsia" w:ascii="仿宋_GB2312" w:eastAsia="仿宋_GB2312"/>
          <w:sz w:val="32"/>
          <w:szCs w:val="32"/>
        </w:rPr>
        <w:t>分）</w:t>
      </w:r>
    </w:p>
    <w:p w14:paraId="48D74F61">
      <w:pPr>
        <w:spacing w:line="560" w:lineRule="exact"/>
        <w:ind w:firstLine="640" w:firstLineChars="200"/>
        <w:rPr>
          <w:rFonts w:ascii="仿宋_GB2312" w:eastAsia="仿宋_GB2312"/>
          <w:sz w:val="32"/>
          <w:szCs w:val="32"/>
        </w:rPr>
      </w:pPr>
      <w:r>
        <w:rPr>
          <w:rFonts w:hint="eastAsia" w:ascii="仿宋_GB2312" w:eastAsia="仿宋_GB2312"/>
          <w:sz w:val="32"/>
          <w:szCs w:val="32"/>
        </w:rPr>
        <w:t>经</w:t>
      </w:r>
      <w:r>
        <w:rPr>
          <w:rFonts w:ascii="仿宋_GB2312" w:eastAsia="仿宋_GB2312"/>
          <w:sz w:val="32"/>
          <w:szCs w:val="32"/>
        </w:rPr>
        <w:t>核实，该</w:t>
      </w:r>
      <w:r>
        <w:rPr>
          <w:rFonts w:hint="eastAsia" w:ascii="仿宋_GB2312" w:eastAsia="仿宋_GB2312"/>
          <w:sz w:val="32"/>
          <w:szCs w:val="32"/>
        </w:rPr>
        <w:t>项目</w:t>
      </w:r>
      <w:r>
        <w:rPr>
          <w:rFonts w:ascii="仿宋_GB2312" w:eastAsia="仿宋_GB2312"/>
          <w:sz w:val="32"/>
          <w:szCs w:val="32"/>
        </w:rPr>
        <w:t>主要支出为项目工程</w:t>
      </w:r>
      <w:r>
        <w:rPr>
          <w:rFonts w:hint="eastAsia" w:ascii="仿宋_GB2312" w:eastAsia="仿宋_GB2312"/>
          <w:sz w:val="32"/>
          <w:szCs w:val="32"/>
        </w:rPr>
        <w:t>款</w:t>
      </w:r>
      <w:r>
        <w:rPr>
          <w:rFonts w:ascii="仿宋_GB2312" w:eastAsia="仿宋_GB2312"/>
          <w:sz w:val="32"/>
          <w:szCs w:val="32"/>
        </w:rPr>
        <w:t>但</w:t>
      </w:r>
      <w:r>
        <w:rPr>
          <w:rFonts w:hint="eastAsia" w:ascii="仿宋_GB2312" w:eastAsia="仿宋_GB2312"/>
          <w:sz w:val="32"/>
          <w:szCs w:val="32"/>
        </w:rPr>
        <w:t>数量指标的设置没</w:t>
      </w:r>
      <w:r>
        <w:rPr>
          <w:rFonts w:ascii="仿宋_GB2312" w:eastAsia="仿宋_GB2312"/>
          <w:sz w:val="32"/>
          <w:szCs w:val="32"/>
        </w:rPr>
        <w:t>有</w:t>
      </w:r>
      <w:r>
        <w:rPr>
          <w:rFonts w:hint="eastAsia" w:ascii="仿宋_GB2312" w:eastAsia="仿宋_GB2312"/>
          <w:sz w:val="32"/>
          <w:szCs w:val="32"/>
        </w:rPr>
        <w:t>体现出项目施</w:t>
      </w:r>
      <w:r>
        <w:rPr>
          <w:rFonts w:ascii="仿宋_GB2312" w:eastAsia="仿宋_GB2312"/>
          <w:sz w:val="32"/>
          <w:szCs w:val="32"/>
        </w:rPr>
        <w:t>工</w:t>
      </w:r>
      <w:r>
        <w:rPr>
          <w:rFonts w:hint="eastAsia" w:ascii="仿宋_GB2312" w:eastAsia="仿宋_GB2312"/>
          <w:sz w:val="32"/>
          <w:szCs w:val="32"/>
        </w:rPr>
        <w:t>的工</w:t>
      </w:r>
      <w:r>
        <w:rPr>
          <w:rFonts w:ascii="仿宋_GB2312" w:eastAsia="仿宋_GB2312"/>
          <w:sz w:val="32"/>
          <w:szCs w:val="32"/>
        </w:rPr>
        <w:t>作量</w:t>
      </w:r>
      <w:r>
        <w:rPr>
          <w:rFonts w:hint="eastAsia" w:ascii="仿宋_GB2312" w:eastAsia="仿宋_GB2312"/>
          <w:sz w:val="32"/>
          <w:szCs w:val="32"/>
        </w:rPr>
        <w:t>；</w:t>
      </w:r>
      <w:r>
        <w:rPr>
          <w:rFonts w:ascii="仿宋_GB2312" w:eastAsia="仿宋_GB2312"/>
          <w:sz w:val="32"/>
          <w:szCs w:val="32"/>
        </w:rPr>
        <w:t>设置</w:t>
      </w:r>
      <w:r>
        <w:rPr>
          <w:rFonts w:hint="eastAsia" w:ascii="仿宋_GB2312" w:eastAsia="仿宋_GB2312"/>
          <w:sz w:val="32"/>
          <w:szCs w:val="32"/>
        </w:rPr>
        <w:t>的</w:t>
      </w:r>
      <w:r>
        <w:rPr>
          <w:rFonts w:ascii="仿宋_GB2312" w:eastAsia="仿宋_GB2312"/>
          <w:sz w:val="32"/>
          <w:szCs w:val="32"/>
        </w:rPr>
        <w:t>绩效目标与年初项目测算表</w:t>
      </w:r>
      <w:r>
        <w:rPr>
          <w:rFonts w:hint="eastAsia" w:ascii="仿宋_GB2312" w:eastAsia="仿宋_GB2312"/>
          <w:sz w:val="32"/>
          <w:szCs w:val="32"/>
        </w:rPr>
        <w:t>内容</w:t>
      </w:r>
      <w:r>
        <w:rPr>
          <w:rFonts w:ascii="仿宋_GB2312" w:eastAsia="仿宋_GB2312"/>
          <w:sz w:val="32"/>
          <w:szCs w:val="32"/>
        </w:rPr>
        <w:t>不一致，</w:t>
      </w:r>
      <w:r>
        <w:rPr>
          <w:rFonts w:hint="eastAsia" w:ascii="仿宋_GB2312" w:eastAsia="仿宋_GB2312"/>
          <w:sz w:val="32"/>
          <w:szCs w:val="32"/>
        </w:rPr>
        <w:t>依据评分规则扣</w:t>
      </w:r>
      <w:r>
        <w:rPr>
          <w:rFonts w:ascii="仿宋_GB2312" w:eastAsia="仿宋_GB2312"/>
          <w:sz w:val="32"/>
          <w:szCs w:val="32"/>
        </w:rPr>
        <w:t>1.68</w:t>
      </w:r>
      <w:r>
        <w:rPr>
          <w:rFonts w:hint="eastAsia" w:ascii="仿宋_GB2312" w:eastAsia="仿宋_GB2312"/>
          <w:sz w:val="32"/>
          <w:szCs w:val="32"/>
        </w:rPr>
        <w:t>分，得</w:t>
      </w:r>
      <w:r>
        <w:rPr>
          <w:rFonts w:ascii="仿宋_GB2312" w:eastAsia="仿宋_GB2312"/>
          <w:sz w:val="32"/>
          <w:szCs w:val="32"/>
        </w:rPr>
        <w:t>2.32</w:t>
      </w:r>
      <w:r>
        <w:rPr>
          <w:rFonts w:hint="eastAsia" w:ascii="仿宋_GB2312" w:eastAsia="仿宋_GB2312"/>
          <w:sz w:val="32"/>
          <w:szCs w:val="32"/>
        </w:rPr>
        <w:t>分。</w:t>
      </w:r>
    </w:p>
    <w:p w14:paraId="4CEB7AFF">
      <w:pPr>
        <w:spacing w:line="560" w:lineRule="exact"/>
        <w:ind w:firstLine="643" w:firstLineChars="200"/>
        <w:rPr>
          <w:rFonts w:ascii="仿宋_GB2312" w:eastAsia="仿宋_GB2312"/>
          <w:b/>
          <w:sz w:val="32"/>
          <w:szCs w:val="32"/>
        </w:rPr>
      </w:pPr>
      <w:r>
        <w:rPr>
          <w:rFonts w:hint="eastAsia" w:ascii="仿宋_GB2312" w:eastAsia="仿宋_GB2312"/>
          <w:b/>
          <w:sz w:val="32"/>
          <w:szCs w:val="32"/>
        </w:rPr>
        <w:t>3.资金</w:t>
      </w:r>
      <w:r>
        <w:rPr>
          <w:rFonts w:ascii="仿宋_GB2312" w:eastAsia="仿宋_GB2312"/>
          <w:b/>
          <w:sz w:val="32"/>
          <w:szCs w:val="32"/>
        </w:rPr>
        <w:t>投入</w:t>
      </w:r>
      <w:r>
        <w:rPr>
          <w:rFonts w:hint="eastAsia" w:ascii="仿宋_GB2312" w:eastAsia="仿宋_GB2312"/>
          <w:b/>
          <w:sz w:val="32"/>
          <w:szCs w:val="32"/>
        </w:rPr>
        <w:t>（分值</w:t>
      </w:r>
      <w:r>
        <w:rPr>
          <w:rFonts w:ascii="仿宋_GB2312" w:eastAsia="仿宋_GB2312"/>
          <w:b/>
          <w:sz w:val="32"/>
          <w:szCs w:val="32"/>
        </w:rPr>
        <w:t>5</w:t>
      </w:r>
      <w:r>
        <w:rPr>
          <w:rFonts w:hint="eastAsia" w:ascii="仿宋_GB2312" w:eastAsia="仿宋_GB2312"/>
          <w:b/>
          <w:sz w:val="32"/>
          <w:szCs w:val="32"/>
        </w:rPr>
        <w:t>分，得</w:t>
      </w:r>
      <w:r>
        <w:rPr>
          <w:rFonts w:ascii="仿宋_GB2312" w:eastAsia="仿宋_GB2312"/>
          <w:b/>
          <w:sz w:val="32"/>
          <w:szCs w:val="32"/>
        </w:rPr>
        <w:t>5</w:t>
      </w:r>
      <w:r>
        <w:rPr>
          <w:rFonts w:hint="eastAsia" w:ascii="仿宋_GB2312" w:eastAsia="仿宋_GB2312"/>
          <w:b/>
          <w:sz w:val="32"/>
          <w:szCs w:val="32"/>
        </w:rPr>
        <w:t>分）</w:t>
      </w:r>
    </w:p>
    <w:p w14:paraId="5EB1BC1E">
      <w:pPr>
        <w:spacing w:line="560" w:lineRule="exact"/>
        <w:ind w:firstLine="640" w:firstLineChars="200"/>
        <w:rPr>
          <w:rFonts w:ascii="仿宋_GB2312" w:eastAsia="仿宋_GB2312"/>
          <w:sz w:val="32"/>
          <w:szCs w:val="32"/>
        </w:rPr>
      </w:pPr>
      <w:r>
        <w:rPr>
          <w:rFonts w:hint="eastAsia" w:ascii="仿宋_GB2312" w:eastAsia="仿宋_GB2312"/>
          <w:sz w:val="32"/>
          <w:szCs w:val="32"/>
        </w:rPr>
        <w:t>（1）预算编制科学性（分值</w:t>
      </w:r>
      <w:r>
        <w:rPr>
          <w:rFonts w:ascii="仿宋_GB2312" w:eastAsia="仿宋_GB2312"/>
          <w:sz w:val="32"/>
          <w:szCs w:val="32"/>
        </w:rPr>
        <w:t>3</w:t>
      </w:r>
      <w:r>
        <w:rPr>
          <w:rFonts w:hint="eastAsia" w:ascii="仿宋_GB2312" w:eastAsia="仿宋_GB2312"/>
          <w:sz w:val="32"/>
          <w:szCs w:val="32"/>
        </w:rPr>
        <w:t>分，得</w:t>
      </w:r>
      <w:r>
        <w:rPr>
          <w:rFonts w:ascii="仿宋_GB2312" w:eastAsia="仿宋_GB2312"/>
          <w:sz w:val="32"/>
          <w:szCs w:val="32"/>
        </w:rPr>
        <w:t>3</w:t>
      </w:r>
      <w:r>
        <w:rPr>
          <w:rFonts w:hint="eastAsia" w:ascii="仿宋_GB2312" w:eastAsia="仿宋_GB2312"/>
          <w:sz w:val="32"/>
          <w:szCs w:val="32"/>
        </w:rPr>
        <w:t>分）</w:t>
      </w:r>
    </w:p>
    <w:p w14:paraId="63ED11BF">
      <w:pPr>
        <w:spacing w:line="560" w:lineRule="exact"/>
        <w:ind w:firstLine="640" w:firstLineChars="200"/>
        <w:rPr>
          <w:rFonts w:ascii="仿宋_GB2312" w:eastAsia="仿宋_GB2312"/>
          <w:sz w:val="32"/>
          <w:szCs w:val="32"/>
        </w:rPr>
      </w:pPr>
      <w:r>
        <w:rPr>
          <w:rFonts w:hint="eastAsia" w:ascii="仿宋_GB2312" w:eastAsia="仿宋_GB2312"/>
          <w:sz w:val="32"/>
          <w:szCs w:val="32"/>
        </w:rPr>
        <w:t>经</w:t>
      </w:r>
      <w:r>
        <w:rPr>
          <w:rFonts w:ascii="仿宋_GB2312" w:eastAsia="仿宋_GB2312"/>
          <w:sz w:val="32"/>
          <w:szCs w:val="32"/>
        </w:rPr>
        <w:t>核实，该项目</w:t>
      </w:r>
      <w:r>
        <w:rPr>
          <w:rFonts w:hint="eastAsia" w:ascii="仿宋_GB2312" w:eastAsia="仿宋_GB2312"/>
          <w:sz w:val="32"/>
          <w:szCs w:val="32"/>
        </w:rPr>
        <w:t>预算编制经过科学论证，预算内容与项目内容匹配</w:t>
      </w:r>
      <w:r>
        <w:rPr>
          <w:rFonts w:ascii="仿宋_GB2312" w:eastAsia="仿宋_GB2312"/>
          <w:sz w:val="32"/>
          <w:szCs w:val="32"/>
        </w:rPr>
        <w:t>，</w:t>
      </w:r>
      <w:r>
        <w:rPr>
          <w:rFonts w:hint="eastAsia" w:ascii="仿宋_GB2312" w:eastAsia="仿宋_GB2312"/>
          <w:sz w:val="32"/>
          <w:szCs w:val="32"/>
        </w:rPr>
        <w:t>预算额度测算依据较充分，预算确定的项目投资额或资金量与工作任务相匹配。依据评分规则得</w:t>
      </w:r>
      <w:r>
        <w:rPr>
          <w:rFonts w:ascii="仿宋_GB2312" w:eastAsia="仿宋_GB2312"/>
          <w:sz w:val="32"/>
          <w:szCs w:val="32"/>
        </w:rPr>
        <w:t>3</w:t>
      </w:r>
      <w:r>
        <w:rPr>
          <w:rFonts w:hint="eastAsia" w:ascii="仿宋_GB2312" w:eastAsia="仿宋_GB2312"/>
          <w:sz w:val="32"/>
          <w:szCs w:val="32"/>
        </w:rPr>
        <w:t>分。</w:t>
      </w:r>
    </w:p>
    <w:p w14:paraId="5D1F2923">
      <w:pPr>
        <w:spacing w:line="560" w:lineRule="exact"/>
        <w:ind w:firstLine="640" w:firstLineChars="200"/>
        <w:rPr>
          <w:rFonts w:ascii="仿宋_GB2312" w:eastAsia="仿宋_GB2312"/>
          <w:sz w:val="32"/>
          <w:szCs w:val="32"/>
        </w:rPr>
      </w:pPr>
      <w:r>
        <w:rPr>
          <w:rFonts w:hint="eastAsia" w:ascii="仿宋_GB2312" w:eastAsia="仿宋_GB2312"/>
          <w:sz w:val="32"/>
          <w:szCs w:val="32"/>
        </w:rPr>
        <w:t>（2）资金分配合理性（分值</w:t>
      </w:r>
      <w:r>
        <w:rPr>
          <w:rFonts w:ascii="仿宋_GB2312" w:eastAsia="仿宋_GB2312"/>
          <w:sz w:val="32"/>
          <w:szCs w:val="32"/>
        </w:rPr>
        <w:t>2</w:t>
      </w:r>
      <w:r>
        <w:rPr>
          <w:rFonts w:hint="eastAsia" w:ascii="仿宋_GB2312" w:eastAsia="仿宋_GB2312"/>
          <w:sz w:val="32"/>
          <w:szCs w:val="32"/>
        </w:rPr>
        <w:t>分，得</w:t>
      </w:r>
      <w:r>
        <w:rPr>
          <w:rFonts w:ascii="仿宋_GB2312" w:eastAsia="仿宋_GB2312"/>
          <w:sz w:val="32"/>
          <w:szCs w:val="32"/>
        </w:rPr>
        <w:t>2</w:t>
      </w:r>
      <w:r>
        <w:rPr>
          <w:rFonts w:hint="eastAsia" w:ascii="仿宋_GB2312" w:eastAsia="仿宋_GB2312"/>
          <w:sz w:val="32"/>
          <w:szCs w:val="32"/>
        </w:rPr>
        <w:t>分）</w:t>
      </w:r>
    </w:p>
    <w:p w14:paraId="235E0FA2">
      <w:pPr>
        <w:spacing w:line="560" w:lineRule="exact"/>
        <w:ind w:firstLine="640" w:firstLineChars="200"/>
        <w:rPr>
          <w:rFonts w:ascii="仿宋_GB2312" w:eastAsia="仿宋_GB2312"/>
          <w:sz w:val="32"/>
          <w:szCs w:val="32"/>
        </w:rPr>
      </w:pPr>
      <w:r>
        <w:rPr>
          <w:rFonts w:hint="eastAsia" w:ascii="仿宋_GB2312" w:eastAsia="仿宋_GB2312"/>
          <w:sz w:val="32"/>
          <w:szCs w:val="32"/>
        </w:rPr>
        <w:t>预算资金分配依据充分，资金分配额度合理，与项目单位实际相适应。依据评分规则得</w:t>
      </w:r>
      <w:r>
        <w:rPr>
          <w:rFonts w:ascii="仿宋_GB2312" w:eastAsia="仿宋_GB2312"/>
          <w:sz w:val="32"/>
          <w:szCs w:val="32"/>
        </w:rPr>
        <w:t>2</w:t>
      </w:r>
      <w:r>
        <w:rPr>
          <w:rFonts w:hint="eastAsia" w:ascii="仿宋_GB2312" w:eastAsia="仿宋_GB2312"/>
          <w:sz w:val="32"/>
          <w:szCs w:val="32"/>
        </w:rPr>
        <w:t>分。</w:t>
      </w:r>
    </w:p>
    <w:p w14:paraId="6AAE2B3A">
      <w:pPr>
        <w:spacing w:line="560" w:lineRule="exact"/>
        <w:ind w:firstLine="643" w:firstLineChars="200"/>
        <w:rPr>
          <w:rFonts w:ascii="楷体_GB2312" w:eastAsia="楷体_GB2312"/>
          <w:b/>
          <w:sz w:val="32"/>
          <w:szCs w:val="32"/>
        </w:rPr>
      </w:pPr>
      <w:r>
        <w:rPr>
          <w:rFonts w:hint="eastAsia" w:ascii="楷体_GB2312" w:eastAsia="楷体_GB2312"/>
          <w:b/>
          <w:sz w:val="32"/>
          <w:szCs w:val="32"/>
        </w:rPr>
        <w:t>（二）项目管理（分值20分，得</w:t>
      </w:r>
      <w:r>
        <w:rPr>
          <w:rFonts w:ascii="楷体_GB2312" w:eastAsia="楷体_GB2312"/>
          <w:b/>
          <w:sz w:val="32"/>
          <w:szCs w:val="32"/>
        </w:rPr>
        <w:t>19</w:t>
      </w:r>
      <w:r>
        <w:rPr>
          <w:rFonts w:hint="eastAsia" w:ascii="楷体_GB2312" w:eastAsia="楷体_GB2312"/>
          <w:b/>
          <w:sz w:val="32"/>
          <w:szCs w:val="32"/>
        </w:rPr>
        <w:t>分）</w:t>
      </w:r>
    </w:p>
    <w:p w14:paraId="1995380C">
      <w:pPr>
        <w:spacing w:line="560" w:lineRule="exact"/>
        <w:ind w:firstLine="643" w:firstLineChars="200"/>
        <w:rPr>
          <w:rFonts w:ascii="仿宋_GB2312" w:eastAsia="仿宋_GB2312"/>
          <w:b/>
          <w:sz w:val="32"/>
          <w:szCs w:val="32"/>
        </w:rPr>
      </w:pPr>
      <w:r>
        <w:rPr>
          <w:rFonts w:hint="eastAsia" w:ascii="仿宋_GB2312" w:eastAsia="仿宋_GB2312"/>
          <w:b/>
          <w:sz w:val="32"/>
          <w:szCs w:val="32"/>
        </w:rPr>
        <w:t>1.资金管理（分值</w:t>
      </w:r>
      <w:r>
        <w:rPr>
          <w:rFonts w:ascii="仿宋_GB2312" w:eastAsia="仿宋_GB2312"/>
          <w:b/>
          <w:sz w:val="32"/>
          <w:szCs w:val="32"/>
        </w:rPr>
        <w:t>12</w:t>
      </w:r>
      <w:r>
        <w:rPr>
          <w:rFonts w:hint="eastAsia" w:ascii="仿宋_GB2312" w:eastAsia="仿宋_GB2312"/>
          <w:b/>
          <w:sz w:val="32"/>
          <w:szCs w:val="32"/>
        </w:rPr>
        <w:t>分，得</w:t>
      </w:r>
      <w:r>
        <w:rPr>
          <w:rFonts w:ascii="仿宋_GB2312" w:eastAsia="仿宋_GB2312"/>
          <w:b/>
          <w:sz w:val="32"/>
          <w:szCs w:val="32"/>
        </w:rPr>
        <w:t>11</w:t>
      </w:r>
      <w:r>
        <w:rPr>
          <w:rFonts w:hint="eastAsia" w:ascii="仿宋_GB2312" w:eastAsia="仿宋_GB2312"/>
          <w:b/>
          <w:sz w:val="32"/>
          <w:szCs w:val="32"/>
        </w:rPr>
        <w:t>分）</w:t>
      </w:r>
    </w:p>
    <w:p w14:paraId="168E4662">
      <w:pPr>
        <w:spacing w:line="560" w:lineRule="exact"/>
        <w:ind w:firstLine="640" w:firstLineChars="200"/>
        <w:rPr>
          <w:rFonts w:ascii="仿宋_GB2312" w:eastAsia="仿宋_GB2312"/>
          <w:sz w:val="32"/>
          <w:szCs w:val="32"/>
        </w:rPr>
      </w:pPr>
      <w:r>
        <w:rPr>
          <w:rFonts w:hint="eastAsia" w:ascii="仿宋_GB2312" w:eastAsia="仿宋_GB2312"/>
          <w:sz w:val="32"/>
          <w:szCs w:val="32"/>
        </w:rPr>
        <w:t>（1）资金到位率（分值4分，得</w:t>
      </w:r>
      <w:r>
        <w:rPr>
          <w:rFonts w:ascii="仿宋_GB2312" w:eastAsia="仿宋_GB2312"/>
          <w:sz w:val="32"/>
          <w:szCs w:val="32"/>
        </w:rPr>
        <w:t>4</w:t>
      </w:r>
      <w:r>
        <w:rPr>
          <w:rFonts w:hint="eastAsia" w:ascii="仿宋_GB2312" w:eastAsia="仿宋_GB2312"/>
          <w:sz w:val="32"/>
          <w:szCs w:val="32"/>
        </w:rPr>
        <w:t>分）</w:t>
      </w:r>
    </w:p>
    <w:p w14:paraId="4C19C877">
      <w:pPr>
        <w:spacing w:line="560" w:lineRule="exact"/>
        <w:ind w:firstLine="640" w:firstLineChars="200"/>
        <w:rPr>
          <w:rFonts w:ascii="仿宋_GB2312" w:eastAsia="仿宋_GB2312"/>
          <w:sz w:val="32"/>
          <w:szCs w:val="32"/>
        </w:rPr>
      </w:pPr>
      <w:r>
        <w:rPr>
          <w:rFonts w:hint="eastAsia" w:ascii="仿宋_GB2312" w:eastAsia="仿宋_GB2312"/>
          <w:sz w:val="32"/>
          <w:szCs w:val="32"/>
        </w:rPr>
        <w:t>塔城人才公寓楼建设及配套设施项目，202</w:t>
      </w:r>
      <w:r>
        <w:rPr>
          <w:rFonts w:ascii="仿宋_GB2312" w:eastAsia="仿宋_GB2312"/>
          <w:sz w:val="32"/>
          <w:szCs w:val="32"/>
        </w:rPr>
        <w:t>2</w:t>
      </w:r>
      <w:r>
        <w:rPr>
          <w:rFonts w:hint="eastAsia" w:ascii="仿宋_GB2312" w:eastAsia="仿宋_GB2312"/>
          <w:sz w:val="32"/>
          <w:szCs w:val="32"/>
        </w:rPr>
        <w:t>年应到位</w:t>
      </w:r>
      <w:r>
        <w:rPr>
          <w:rFonts w:ascii="仿宋_GB2312" w:eastAsia="仿宋_GB2312"/>
          <w:sz w:val="32"/>
          <w:szCs w:val="32"/>
        </w:rPr>
        <w:t>425.57</w:t>
      </w:r>
      <w:r>
        <w:rPr>
          <w:rFonts w:hint="eastAsia" w:ascii="仿宋_GB2312" w:eastAsia="仿宋_GB2312"/>
          <w:sz w:val="32"/>
          <w:szCs w:val="32"/>
        </w:rPr>
        <w:t>万元，实际到位资金</w:t>
      </w:r>
      <w:r>
        <w:rPr>
          <w:rFonts w:ascii="仿宋_GB2312" w:eastAsia="仿宋_GB2312"/>
          <w:sz w:val="32"/>
          <w:szCs w:val="32"/>
        </w:rPr>
        <w:t>425.57</w:t>
      </w:r>
      <w:r>
        <w:rPr>
          <w:rFonts w:hint="eastAsia" w:ascii="仿宋_GB2312" w:eastAsia="仿宋_GB2312"/>
          <w:sz w:val="32"/>
          <w:szCs w:val="32"/>
        </w:rPr>
        <w:t>万元，资金到位率</w:t>
      </w:r>
      <w:r>
        <w:rPr>
          <w:rFonts w:ascii="仿宋_GB2312" w:eastAsia="仿宋_GB2312"/>
          <w:sz w:val="32"/>
          <w:szCs w:val="32"/>
        </w:rPr>
        <w:t>100</w:t>
      </w:r>
      <w:r>
        <w:rPr>
          <w:rFonts w:hint="eastAsia" w:ascii="仿宋_GB2312" w:eastAsia="仿宋_GB2312"/>
          <w:sz w:val="32"/>
          <w:szCs w:val="32"/>
        </w:rPr>
        <w:t>%。依据评分规则得</w:t>
      </w:r>
      <w:r>
        <w:rPr>
          <w:rFonts w:ascii="仿宋_GB2312" w:eastAsia="仿宋_GB2312"/>
          <w:sz w:val="32"/>
          <w:szCs w:val="32"/>
        </w:rPr>
        <w:t>4</w:t>
      </w:r>
      <w:r>
        <w:rPr>
          <w:rFonts w:hint="eastAsia" w:ascii="仿宋_GB2312" w:eastAsia="仿宋_GB2312"/>
          <w:sz w:val="32"/>
          <w:szCs w:val="32"/>
        </w:rPr>
        <w:t>分 。</w:t>
      </w:r>
    </w:p>
    <w:p w14:paraId="09D02C34">
      <w:pPr>
        <w:spacing w:line="560" w:lineRule="exact"/>
        <w:ind w:firstLine="640" w:firstLineChars="200"/>
        <w:rPr>
          <w:rFonts w:ascii="仿宋_GB2312" w:eastAsia="仿宋_GB2312"/>
          <w:sz w:val="32"/>
          <w:szCs w:val="32"/>
        </w:rPr>
      </w:pPr>
      <w:r>
        <w:rPr>
          <w:rFonts w:hint="eastAsia" w:ascii="仿宋_GB2312" w:eastAsia="仿宋_GB2312"/>
          <w:sz w:val="32"/>
          <w:szCs w:val="32"/>
        </w:rPr>
        <w:t>（2）预算</w:t>
      </w:r>
      <w:r>
        <w:rPr>
          <w:rFonts w:ascii="仿宋_GB2312" w:eastAsia="仿宋_GB2312"/>
          <w:sz w:val="32"/>
          <w:szCs w:val="32"/>
        </w:rPr>
        <w:t>执行率</w:t>
      </w:r>
      <w:r>
        <w:rPr>
          <w:rFonts w:hint="eastAsia" w:ascii="仿宋_GB2312" w:eastAsia="仿宋_GB2312"/>
          <w:sz w:val="32"/>
          <w:szCs w:val="32"/>
        </w:rPr>
        <w:t>（分值4分，得</w:t>
      </w:r>
      <w:r>
        <w:rPr>
          <w:rFonts w:ascii="仿宋_GB2312" w:eastAsia="仿宋_GB2312"/>
          <w:sz w:val="32"/>
          <w:szCs w:val="32"/>
        </w:rPr>
        <w:t>4</w:t>
      </w:r>
      <w:r>
        <w:rPr>
          <w:rFonts w:hint="eastAsia" w:ascii="仿宋_GB2312" w:eastAsia="仿宋_GB2312"/>
          <w:sz w:val="32"/>
          <w:szCs w:val="32"/>
        </w:rPr>
        <w:t>分）</w:t>
      </w:r>
    </w:p>
    <w:p w14:paraId="06245799">
      <w:pPr>
        <w:spacing w:line="560" w:lineRule="exact"/>
        <w:ind w:firstLine="640" w:firstLineChars="200"/>
        <w:rPr>
          <w:rFonts w:ascii="仿宋_GB2312" w:eastAsia="仿宋_GB2312"/>
          <w:sz w:val="32"/>
          <w:szCs w:val="32"/>
        </w:rPr>
      </w:pPr>
      <w:r>
        <w:rPr>
          <w:rFonts w:hint="eastAsia" w:ascii="仿宋_GB2312" w:eastAsia="仿宋_GB2312"/>
          <w:sz w:val="32"/>
          <w:szCs w:val="32"/>
        </w:rPr>
        <w:t>塔城人才公寓楼建设及配套设施项目</w:t>
      </w:r>
      <w:r>
        <w:rPr>
          <w:rFonts w:ascii="仿宋_GB2312" w:eastAsia="仿宋_GB2312"/>
          <w:sz w:val="32"/>
          <w:szCs w:val="32"/>
        </w:rPr>
        <w:t>实际</w:t>
      </w:r>
      <w:r>
        <w:rPr>
          <w:rFonts w:hint="eastAsia" w:ascii="仿宋_GB2312" w:eastAsia="仿宋_GB2312"/>
          <w:sz w:val="32"/>
          <w:szCs w:val="32"/>
        </w:rPr>
        <w:t>支出</w:t>
      </w:r>
      <w:r>
        <w:rPr>
          <w:rFonts w:ascii="仿宋_GB2312" w:eastAsia="仿宋_GB2312"/>
          <w:sz w:val="32"/>
          <w:szCs w:val="32"/>
        </w:rPr>
        <w:t>资金425.46</w:t>
      </w:r>
      <w:r>
        <w:rPr>
          <w:rFonts w:hint="eastAsia" w:ascii="仿宋_GB2312" w:eastAsia="仿宋_GB2312"/>
          <w:sz w:val="32"/>
          <w:szCs w:val="32"/>
        </w:rPr>
        <w:t>万</w:t>
      </w:r>
      <w:r>
        <w:rPr>
          <w:rFonts w:ascii="仿宋_GB2312" w:eastAsia="仿宋_GB2312"/>
          <w:sz w:val="32"/>
          <w:szCs w:val="32"/>
        </w:rPr>
        <w:t>元，预算执行率为99.97%</w:t>
      </w:r>
      <w:r>
        <w:rPr>
          <w:rFonts w:hint="eastAsia" w:ascii="仿宋_GB2312" w:eastAsia="仿宋_GB2312"/>
          <w:sz w:val="32"/>
          <w:szCs w:val="32"/>
        </w:rPr>
        <w:t>，依据评分规则得</w:t>
      </w:r>
      <w:r>
        <w:rPr>
          <w:rFonts w:ascii="仿宋_GB2312" w:eastAsia="仿宋_GB2312"/>
          <w:sz w:val="32"/>
          <w:szCs w:val="32"/>
        </w:rPr>
        <w:t>4</w:t>
      </w:r>
      <w:r>
        <w:rPr>
          <w:rFonts w:hint="eastAsia" w:ascii="仿宋_GB2312" w:eastAsia="仿宋_GB2312"/>
          <w:sz w:val="32"/>
          <w:szCs w:val="32"/>
        </w:rPr>
        <w:t>分 。</w:t>
      </w:r>
    </w:p>
    <w:p w14:paraId="453DDEF4">
      <w:pPr>
        <w:spacing w:line="560" w:lineRule="exact"/>
        <w:ind w:firstLine="640" w:firstLineChars="200"/>
        <w:rPr>
          <w:rFonts w:ascii="仿宋_GB2312" w:eastAsia="仿宋_GB2312"/>
          <w:sz w:val="32"/>
          <w:szCs w:val="32"/>
        </w:rPr>
      </w:pPr>
      <w:r>
        <w:rPr>
          <w:rFonts w:hint="eastAsia" w:ascii="仿宋_GB2312" w:eastAsia="仿宋_GB2312"/>
          <w:sz w:val="32"/>
          <w:szCs w:val="32"/>
        </w:rPr>
        <w:t>（3）资金使用合规性（分值</w:t>
      </w:r>
      <w:r>
        <w:rPr>
          <w:rFonts w:ascii="仿宋_GB2312" w:eastAsia="仿宋_GB2312"/>
          <w:sz w:val="32"/>
          <w:szCs w:val="32"/>
        </w:rPr>
        <w:t>4</w:t>
      </w:r>
      <w:r>
        <w:rPr>
          <w:rFonts w:hint="eastAsia" w:ascii="仿宋_GB2312" w:eastAsia="仿宋_GB2312"/>
          <w:sz w:val="32"/>
          <w:szCs w:val="32"/>
        </w:rPr>
        <w:t>分，得</w:t>
      </w:r>
      <w:r>
        <w:rPr>
          <w:rFonts w:ascii="仿宋_GB2312" w:eastAsia="仿宋_GB2312"/>
          <w:sz w:val="32"/>
          <w:szCs w:val="32"/>
        </w:rPr>
        <w:t>3</w:t>
      </w:r>
      <w:r>
        <w:rPr>
          <w:rFonts w:hint="eastAsia" w:ascii="仿宋_GB2312" w:eastAsia="仿宋_GB2312"/>
          <w:sz w:val="32"/>
          <w:szCs w:val="32"/>
        </w:rPr>
        <w:t>分）</w:t>
      </w:r>
    </w:p>
    <w:p w14:paraId="109222D6">
      <w:pPr>
        <w:spacing w:line="560" w:lineRule="exact"/>
        <w:ind w:firstLine="640" w:firstLineChars="200"/>
        <w:rPr>
          <w:rFonts w:ascii="仿宋_GB2312" w:eastAsia="仿宋_GB2312"/>
          <w:sz w:val="32"/>
          <w:szCs w:val="32"/>
        </w:rPr>
      </w:pPr>
      <w:r>
        <w:rPr>
          <w:rFonts w:hint="eastAsia" w:ascii="仿宋_GB2312" w:eastAsia="仿宋_GB2312"/>
          <w:sz w:val="32"/>
          <w:szCs w:val="32"/>
        </w:rPr>
        <w:t>经核查，该</w:t>
      </w:r>
      <w:r>
        <w:rPr>
          <w:rFonts w:ascii="仿宋_GB2312" w:eastAsia="仿宋_GB2312"/>
          <w:sz w:val="32"/>
          <w:szCs w:val="32"/>
        </w:rPr>
        <w:t>项目</w:t>
      </w:r>
      <w:r>
        <w:rPr>
          <w:rFonts w:hint="eastAsia" w:ascii="仿宋_GB2312" w:eastAsia="仿宋_GB2312"/>
          <w:sz w:val="32"/>
          <w:szCs w:val="32"/>
        </w:rPr>
        <w:t>付款审批未按照财务管理制度执行，在支付新疆润宏图工程技术咨询有限责任公司审图费</w:t>
      </w:r>
      <w:r>
        <w:rPr>
          <w:rFonts w:ascii="仿宋_GB2312" w:eastAsia="仿宋_GB2312"/>
          <w:sz w:val="32"/>
          <w:szCs w:val="32"/>
        </w:rPr>
        <w:t>5960元，支付山东华昱压力容器股份有限公司40000元，发票未经财务分管领导</w:t>
      </w:r>
      <w:r>
        <w:rPr>
          <w:rFonts w:hint="eastAsia" w:ascii="仿宋_GB2312" w:eastAsia="仿宋_GB2312"/>
          <w:sz w:val="32"/>
          <w:szCs w:val="32"/>
        </w:rPr>
        <w:t>审核</w:t>
      </w:r>
      <w:r>
        <w:rPr>
          <w:rFonts w:ascii="仿宋_GB2312" w:eastAsia="仿宋_GB2312"/>
          <w:sz w:val="32"/>
          <w:szCs w:val="32"/>
        </w:rPr>
        <w:t>签字，</w:t>
      </w:r>
      <w:r>
        <w:rPr>
          <w:rFonts w:hint="eastAsia" w:ascii="仿宋_GB2312" w:eastAsia="仿宋_GB2312"/>
          <w:sz w:val="32"/>
          <w:szCs w:val="32"/>
        </w:rPr>
        <w:t>依据评分规则扣</w:t>
      </w:r>
      <w:r>
        <w:rPr>
          <w:rFonts w:ascii="仿宋_GB2312" w:eastAsia="仿宋_GB2312"/>
          <w:sz w:val="32"/>
          <w:szCs w:val="32"/>
        </w:rPr>
        <w:t>1</w:t>
      </w:r>
      <w:r>
        <w:rPr>
          <w:rFonts w:hint="eastAsia" w:ascii="仿宋_GB2312" w:eastAsia="仿宋_GB2312"/>
          <w:sz w:val="32"/>
          <w:szCs w:val="32"/>
        </w:rPr>
        <w:t>分，得</w:t>
      </w:r>
      <w:r>
        <w:rPr>
          <w:rFonts w:ascii="仿宋_GB2312" w:eastAsia="仿宋_GB2312"/>
          <w:sz w:val="32"/>
          <w:szCs w:val="32"/>
        </w:rPr>
        <w:t>3</w:t>
      </w:r>
      <w:r>
        <w:rPr>
          <w:rFonts w:hint="eastAsia" w:ascii="仿宋_GB2312" w:eastAsia="仿宋_GB2312"/>
          <w:sz w:val="32"/>
          <w:szCs w:val="32"/>
        </w:rPr>
        <w:t>分。</w:t>
      </w:r>
    </w:p>
    <w:p w14:paraId="547508B7">
      <w:pPr>
        <w:spacing w:line="560" w:lineRule="exact"/>
        <w:ind w:firstLine="643" w:firstLineChars="200"/>
        <w:rPr>
          <w:rFonts w:ascii="仿宋_GB2312" w:eastAsia="仿宋_GB2312"/>
          <w:b/>
          <w:sz w:val="32"/>
          <w:szCs w:val="32"/>
        </w:rPr>
      </w:pPr>
      <w:r>
        <w:rPr>
          <w:rFonts w:hint="eastAsia" w:ascii="仿宋_GB2312" w:eastAsia="仿宋_GB2312"/>
          <w:b/>
          <w:sz w:val="32"/>
          <w:szCs w:val="32"/>
        </w:rPr>
        <w:t>2.组织</w:t>
      </w:r>
      <w:r>
        <w:rPr>
          <w:rFonts w:ascii="仿宋_GB2312" w:eastAsia="仿宋_GB2312"/>
          <w:b/>
          <w:sz w:val="32"/>
          <w:szCs w:val="32"/>
        </w:rPr>
        <w:t>实施</w:t>
      </w:r>
      <w:r>
        <w:rPr>
          <w:rFonts w:hint="eastAsia" w:ascii="仿宋_GB2312" w:eastAsia="仿宋_GB2312"/>
          <w:b/>
          <w:sz w:val="32"/>
          <w:szCs w:val="32"/>
        </w:rPr>
        <w:t>（分值</w:t>
      </w:r>
      <w:r>
        <w:rPr>
          <w:rFonts w:ascii="仿宋_GB2312" w:eastAsia="仿宋_GB2312"/>
          <w:b/>
          <w:sz w:val="32"/>
          <w:szCs w:val="32"/>
        </w:rPr>
        <w:t>8</w:t>
      </w:r>
      <w:r>
        <w:rPr>
          <w:rFonts w:hint="eastAsia" w:ascii="仿宋_GB2312" w:eastAsia="仿宋_GB2312"/>
          <w:b/>
          <w:sz w:val="32"/>
          <w:szCs w:val="32"/>
        </w:rPr>
        <w:t>分，得</w:t>
      </w:r>
      <w:r>
        <w:rPr>
          <w:rFonts w:ascii="仿宋_GB2312" w:eastAsia="仿宋_GB2312"/>
          <w:b/>
          <w:sz w:val="32"/>
          <w:szCs w:val="32"/>
        </w:rPr>
        <w:t>8</w:t>
      </w:r>
      <w:r>
        <w:rPr>
          <w:rFonts w:hint="eastAsia" w:ascii="仿宋_GB2312" w:eastAsia="仿宋_GB2312"/>
          <w:b/>
          <w:sz w:val="32"/>
          <w:szCs w:val="32"/>
        </w:rPr>
        <w:t>分）</w:t>
      </w:r>
    </w:p>
    <w:p w14:paraId="5E349170">
      <w:pPr>
        <w:spacing w:line="560" w:lineRule="exact"/>
        <w:ind w:firstLine="640" w:firstLineChars="200"/>
        <w:rPr>
          <w:rFonts w:ascii="仿宋_GB2312" w:eastAsia="仿宋_GB2312"/>
          <w:sz w:val="32"/>
          <w:szCs w:val="32"/>
        </w:rPr>
      </w:pPr>
      <w:r>
        <w:rPr>
          <w:rFonts w:hint="eastAsia" w:ascii="仿宋_GB2312" w:eastAsia="仿宋_GB2312"/>
          <w:sz w:val="32"/>
          <w:szCs w:val="32"/>
        </w:rPr>
        <w:t>（1）管理制度健全性（分值</w:t>
      </w:r>
      <w:r>
        <w:rPr>
          <w:rFonts w:ascii="仿宋_GB2312" w:eastAsia="仿宋_GB2312"/>
          <w:sz w:val="32"/>
          <w:szCs w:val="32"/>
        </w:rPr>
        <w:t>4</w:t>
      </w:r>
      <w:r>
        <w:rPr>
          <w:rFonts w:hint="eastAsia" w:ascii="仿宋_GB2312" w:eastAsia="仿宋_GB2312"/>
          <w:sz w:val="32"/>
          <w:szCs w:val="32"/>
        </w:rPr>
        <w:t>分，得4分）</w:t>
      </w:r>
    </w:p>
    <w:p w14:paraId="5F153072">
      <w:pPr>
        <w:spacing w:line="560" w:lineRule="exact"/>
        <w:ind w:firstLine="640" w:firstLineChars="200"/>
        <w:rPr>
          <w:rFonts w:ascii="仿宋_GB2312" w:eastAsia="仿宋_GB2312"/>
          <w:sz w:val="32"/>
          <w:szCs w:val="32"/>
        </w:rPr>
      </w:pPr>
      <w:r>
        <w:rPr>
          <w:rFonts w:hint="eastAsia" w:ascii="仿宋_GB2312" w:eastAsia="仿宋_GB2312"/>
          <w:sz w:val="32"/>
          <w:szCs w:val="32"/>
        </w:rPr>
        <w:t>塔城地区机关事务管理局制定了项目管理制度、资金使用审批程序和财务管理制度，制度内容符合项目管理、资金管理、收支管理等法律法规且具有可操作性。依据评分规则得</w:t>
      </w:r>
      <w:r>
        <w:rPr>
          <w:rFonts w:ascii="仿宋_GB2312" w:eastAsia="仿宋_GB2312"/>
          <w:sz w:val="32"/>
          <w:szCs w:val="32"/>
        </w:rPr>
        <w:t>4</w:t>
      </w:r>
      <w:r>
        <w:rPr>
          <w:rFonts w:hint="eastAsia" w:ascii="仿宋_GB2312" w:eastAsia="仿宋_GB2312"/>
          <w:sz w:val="32"/>
          <w:szCs w:val="32"/>
        </w:rPr>
        <w:t>分 。</w:t>
      </w:r>
    </w:p>
    <w:p w14:paraId="5E861B1B">
      <w:pPr>
        <w:spacing w:line="560" w:lineRule="exact"/>
        <w:ind w:firstLine="640" w:firstLineChars="200"/>
        <w:rPr>
          <w:rFonts w:ascii="仿宋_GB2312" w:eastAsia="仿宋_GB2312"/>
          <w:sz w:val="32"/>
          <w:szCs w:val="32"/>
        </w:rPr>
      </w:pPr>
      <w:r>
        <w:rPr>
          <w:rFonts w:hint="eastAsia" w:ascii="仿宋_GB2312" w:eastAsia="仿宋_GB2312"/>
          <w:sz w:val="32"/>
          <w:szCs w:val="32"/>
        </w:rPr>
        <w:t>（2）制度</w:t>
      </w:r>
      <w:r>
        <w:rPr>
          <w:rFonts w:ascii="仿宋_GB2312" w:eastAsia="仿宋_GB2312"/>
          <w:sz w:val="32"/>
          <w:szCs w:val="32"/>
        </w:rPr>
        <w:t>执行有效性</w:t>
      </w:r>
      <w:r>
        <w:rPr>
          <w:rFonts w:hint="eastAsia" w:ascii="仿宋_GB2312" w:eastAsia="仿宋_GB2312"/>
          <w:sz w:val="32"/>
          <w:szCs w:val="32"/>
        </w:rPr>
        <w:t>（分值</w:t>
      </w:r>
      <w:r>
        <w:rPr>
          <w:rFonts w:ascii="仿宋_GB2312" w:eastAsia="仿宋_GB2312"/>
          <w:sz w:val="32"/>
          <w:szCs w:val="32"/>
        </w:rPr>
        <w:t>4</w:t>
      </w:r>
      <w:r>
        <w:rPr>
          <w:rFonts w:hint="eastAsia" w:ascii="仿宋_GB2312" w:eastAsia="仿宋_GB2312"/>
          <w:sz w:val="32"/>
          <w:szCs w:val="32"/>
        </w:rPr>
        <w:t>分，得4分）</w:t>
      </w:r>
    </w:p>
    <w:p w14:paraId="079B8A96">
      <w:pPr>
        <w:spacing w:line="560" w:lineRule="exact"/>
        <w:ind w:firstLine="640" w:firstLineChars="200"/>
        <w:rPr>
          <w:rFonts w:ascii="仿宋_GB2312" w:eastAsia="仿宋_GB2312"/>
          <w:sz w:val="32"/>
          <w:szCs w:val="32"/>
        </w:rPr>
      </w:pPr>
      <w:r>
        <w:rPr>
          <w:rFonts w:hint="eastAsia" w:ascii="仿宋_GB2312" w:eastAsia="仿宋_GB2312"/>
          <w:sz w:val="32"/>
          <w:szCs w:val="32"/>
        </w:rPr>
        <w:t>该</w:t>
      </w:r>
      <w:r>
        <w:rPr>
          <w:rFonts w:ascii="仿宋_GB2312" w:eastAsia="仿宋_GB2312"/>
          <w:sz w:val="32"/>
          <w:szCs w:val="32"/>
        </w:rPr>
        <w:t>项目在实施过程中</w:t>
      </w:r>
      <w:r>
        <w:rPr>
          <w:rFonts w:hint="eastAsia" w:ascii="仿宋_GB2312" w:eastAsia="仿宋_GB2312"/>
          <w:sz w:val="32"/>
          <w:szCs w:val="32"/>
        </w:rPr>
        <w:t>遵守相关法律法规和相关管理规定,依据评分规则得</w:t>
      </w:r>
      <w:r>
        <w:rPr>
          <w:rFonts w:ascii="仿宋_GB2312" w:eastAsia="仿宋_GB2312"/>
          <w:sz w:val="32"/>
          <w:szCs w:val="32"/>
        </w:rPr>
        <w:t>4</w:t>
      </w:r>
      <w:r>
        <w:rPr>
          <w:rFonts w:hint="eastAsia" w:ascii="仿宋_GB2312" w:eastAsia="仿宋_GB2312"/>
          <w:sz w:val="32"/>
          <w:szCs w:val="32"/>
        </w:rPr>
        <w:t>分 。</w:t>
      </w:r>
    </w:p>
    <w:p w14:paraId="4A4B0114">
      <w:pPr>
        <w:spacing w:line="560" w:lineRule="exact"/>
        <w:ind w:firstLine="643" w:firstLineChars="200"/>
        <w:rPr>
          <w:rFonts w:ascii="楷体_GB2312" w:eastAsia="楷体_GB2312"/>
          <w:b/>
          <w:sz w:val="32"/>
          <w:szCs w:val="32"/>
        </w:rPr>
      </w:pPr>
      <w:r>
        <w:rPr>
          <w:rFonts w:hint="eastAsia" w:ascii="楷体_GB2312" w:eastAsia="楷体_GB2312"/>
          <w:b/>
          <w:sz w:val="32"/>
          <w:szCs w:val="32"/>
        </w:rPr>
        <w:t>（三）项目产出（分值40分，得35.54分）</w:t>
      </w:r>
    </w:p>
    <w:p w14:paraId="6210F093">
      <w:pPr>
        <w:spacing w:line="560" w:lineRule="exact"/>
        <w:ind w:firstLine="643" w:firstLineChars="200"/>
        <w:rPr>
          <w:rFonts w:ascii="仿宋_GB2312" w:eastAsia="仿宋_GB2312"/>
          <w:b/>
          <w:sz w:val="32"/>
          <w:szCs w:val="32"/>
        </w:rPr>
      </w:pPr>
      <w:r>
        <w:rPr>
          <w:rFonts w:hint="eastAsia" w:ascii="仿宋_GB2312" w:eastAsia="仿宋_GB2312"/>
          <w:b/>
          <w:sz w:val="32"/>
          <w:szCs w:val="32"/>
        </w:rPr>
        <w:t>1.产出数量（分值</w:t>
      </w:r>
      <w:r>
        <w:rPr>
          <w:rFonts w:ascii="仿宋_GB2312" w:eastAsia="仿宋_GB2312"/>
          <w:b/>
          <w:sz w:val="32"/>
          <w:szCs w:val="32"/>
        </w:rPr>
        <w:t>16</w:t>
      </w:r>
      <w:r>
        <w:rPr>
          <w:rFonts w:hint="eastAsia" w:ascii="仿宋_GB2312" w:eastAsia="仿宋_GB2312"/>
          <w:b/>
          <w:sz w:val="32"/>
          <w:szCs w:val="32"/>
        </w:rPr>
        <w:t>分，得</w:t>
      </w:r>
      <w:r>
        <w:rPr>
          <w:rFonts w:ascii="仿宋_GB2312" w:eastAsia="仿宋_GB2312"/>
          <w:b/>
          <w:sz w:val="32"/>
          <w:szCs w:val="32"/>
        </w:rPr>
        <w:t>15.54</w:t>
      </w:r>
      <w:r>
        <w:rPr>
          <w:rFonts w:hint="eastAsia" w:ascii="仿宋_GB2312" w:eastAsia="仿宋_GB2312"/>
          <w:b/>
          <w:sz w:val="32"/>
          <w:szCs w:val="32"/>
        </w:rPr>
        <w:t>分）</w:t>
      </w:r>
    </w:p>
    <w:p w14:paraId="59DDED03">
      <w:pPr>
        <w:spacing w:line="560" w:lineRule="exact"/>
        <w:ind w:firstLine="640" w:firstLineChars="200"/>
        <w:rPr>
          <w:rFonts w:ascii="仿宋_GB2312" w:eastAsia="仿宋_GB2312"/>
          <w:sz w:val="32"/>
          <w:szCs w:val="32"/>
        </w:rPr>
      </w:pPr>
      <w:r>
        <w:rPr>
          <w:rFonts w:hint="eastAsia" w:ascii="仿宋_GB2312" w:eastAsia="仿宋_GB2312"/>
          <w:sz w:val="32"/>
          <w:szCs w:val="32"/>
        </w:rPr>
        <w:t>经</w:t>
      </w:r>
      <w:r>
        <w:rPr>
          <w:rFonts w:ascii="仿宋_GB2312" w:eastAsia="仿宋_GB2312"/>
          <w:sz w:val="32"/>
          <w:szCs w:val="32"/>
        </w:rPr>
        <w:t>核实，完成</w:t>
      </w:r>
      <w:r>
        <w:rPr>
          <w:rFonts w:hint="eastAsia" w:ascii="仿宋_GB2312" w:eastAsia="仿宋_GB2312"/>
          <w:sz w:val="32"/>
          <w:szCs w:val="32"/>
        </w:rPr>
        <w:t>制作楼号门牌号280个</w:t>
      </w:r>
      <w:r>
        <w:rPr>
          <w:rFonts w:ascii="仿宋_GB2312" w:eastAsia="仿宋_GB2312"/>
          <w:sz w:val="32"/>
          <w:szCs w:val="32"/>
        </w:rPr>
        <w:t>，低于目标值</w:t>
      </w:r>
      <w:r>
        <w:rPr>
          <w:rFonts w:hint="eastAsia" w:ascii="仿宋_GB2312" w:eastAsia="仿宋_GB2312"/>
          <w:sz w:val="32"/>
          <w:szCs w:val="32"/>
        </w:rPr>
        <w:t>316个</w:t>
      </w:r>
      <w:r>
        <w:rPr>
          <w:rFonts w:ascii="仿宋_GB2312" w:eastAsia="仿宋_GB2312"/>
          <w:sz w:val="32"/>
          <w:szCs w:val="32"/>
        </w:rPr>
        <w:t>，</w:t>
      </w:r>
      <w:r>
        <w:rPr>
          <w:rFonts w:hint="eastAsia" w:ascii="仿宋_GB2312" w:eastAsia="仿宋_GB2312"/>
          <w:sz w:val="32"/>
          <w:szCs w:val="32"/>
        </w:rPr>
        <w:t>购置安装换热站设备1套</w:t>
      </w:r>
      <w:r>
        <w:rPr>
          <w:rFonts w:ascii="仿宋_GB2312" w:eastAsia="仿宋_GB2312"/>
          <w:sz w:val="32"/>
          <w:szCs w:val="32"/>
        </w:rPr>
        <w:t>，</w:t>
      </w:r>
      <w:r>
        <w:rPr>
          <w:rFonts w:hint="eastAsia" w:ascii="仿宋_GB2312" w:eastAsia="仿宋_GB2312"/>
          <w:sz w:val="32"/>
          <w:szCs w:val="32"/>
        </w:rPr>
        <w:t>防</w:t>
      </w:r>
      <w:r>
        <w:rPr>
          <w:rFonts w:ascii="仿宋_GB2312" w:eastAsia="仿宋_GB2312"/>
          <w:sz w:val="32"/>
          <w:szCs w:val="32"/>
        </w:rPr>
        <w:t>雷装置检测面积</w:t>
      </w:r>
      <w:r>
        <w:rPr>
          <w:rFonts w:hint="eastAsia" w:ascii="仿宋_GB2312" w:eastAsia="仿宋_GB2312"/>
          <w:sz w:val="32"/>
          <w:szCs w:val="32"/>
        </w:rPr>
        <w:t>19789平</w:t>
      </w:r>
      <w:r>
        <w:rPr>
          <w:rFonts w:ascii="仿宋_GB2312" w:eastAsia="仿宋_GB2312"/>
          <w:sz w:val="32"/>
          <w:szCs w:val="32"/>
        </w:rPr>
        <w:t>方米，</w:t>
      </w:r>
      <w:r>
        <w:rPr>
          <w:rFonts w:hint="eastAsia" w:ascii="仿宋_GB2312" w:eastAsia="仿宋_GB2312"/>
          <w:sz w:val="32"/>
          <w:szCs w:val="32"/>
        </w:rPr>
        <w:t>采购</w:t>
      </w:r>
      <w:r>
        <w:rPr>
          <w:rFonts w:ascii="仿宋_GB2312" w:eastAsia="仿宋_GB2312"/>
          <w:sz w:val="32"/>
          <w:szCs w:val="32"/>
        </w:rPr>
        <w:t>安防设备</w:t>
      </w:r>
      <w:r>
        <w:rPr>
          <w:rFonts w:hint="eastAsia" w:ascii="仿宋_GB2312" w:eastAsia="仿宋_GB2312"/>
          <w:sz w:val="32"/>
          <w:szCs w:val="32"/>
        </w:rPr>
        <w:t>33件</w:t>
      </w:r>
      <w:r>
        <w:rPr>
          <w:rFonts w:ascii="仿宋_GB2312" w:eastAsia="仿宋_GB2312"/>
          <w:sz w:val="32"/>
          <w:szCs w:val="32"/>
        </w:rPr>
        <w:t>，依据评分规则扣</w:t>
      </w:r>
      <w:r>
        <w:rPr>
          <w:rFonts w:hint="eastAsia" w:ascii="仿宋_GB2312" w:eastAsia="仿宋_GB2312"/>
          <w:sz w:val="32"/>
          <w:szCs w:val="32"/>
        </w:rPr>
        <w:t>0.46分</w:t>
      </w:r>
      <w:r>
        <w:rPr>
          <w:rFonts w:ascii="仿宋_GB2312" w:eastAsia="仿宋_GB2312"/>
          <w:sz w:val="32"/>
          <w:szCs w:val="32"/>
        </w:rPr>
        <w:t>，得</w:t>
      </w:r>
      <w:r>
        <w:rPr>
          <w:rFonts w:hint="eastAsia" w:ascii="仿宋_GB2312" w:eastAsia="仿宋_GB2312"/>
          <w:sz w:val="32"/>
          <w:szCs w:val="32"/>
        </w:rPr>
        <w:t>15.54分</w:t>
      </w:r>
      <w:r>
        <w:rPr>
          <w:rFonts w:ascii="仿宋_GB2312" w:eastAsia="仿宋_GB2312"/>
          <w:sz w:val="32"/>
          <w:szCs w:val="32"/>
        </w:rPr>
        <w:t>。</w:t>
      </w:r>
    </w:p>
    <w:p w14:paraId="68A8319A">
      <w:pPr>
        <w:spacing w:line="560" w:lineRule="exact"/>
        <w:ind w:firstLine="643" w:firstLineChars="200"/>
        <w:rPr>
          <w:rFonts w:ascii="仿宋_GB2312" w:eastAsia="仿宋_GB2312"/>
          <w:b/>
          <w:sz w:val="32"/>
          <w:szCs w:val="32"/>
        </w:rPr>
      </w:pPr>
      <w:r>
        <w:rPr>
          <w:rFonts w:hint="eastAsia" w:ascii="仿宋_GB2312" w:eastAsia="仿宋_GB2312"/>
          <w:b/>
          <w:sz w:val="32"/>
          <w:szCs w:val="32"/>
        </w:rPr>
        <w:t>2.产出质量（分值</w:t>
      </w:r>
      <w:r>
        <w:rPr>
          <w:rFonts w:ascii="仿宋_GB2312" w:eastAsia="仿宋_GB2312"/>
          <w:b/>
          <w:sz w:val="32"/>
          <w:szCs w:val="32"/>
        </w:rPr>
        <w:t>4</w:t>
      </w:r>
      <w:r>
        <w:rPr>
          <w:rFonts w:hint="eastAsia" w:ascii="仿宋_GB2312" w:eastAsia="仿宋_GB2312"/>
          <w:b/>
          <w:sz w:val="32"/>
          <w:szCs w:val="32"/>
        </w:rPr>
        <w:t>分，得</w:t>
      </w:r>
      <w:r>
        <w:rPr>
          <w:rFonts w:ascii="仿宋_GB2312" w:eastAsia="仿宋_GB2312"/>
          <w:b/>
          <w:sz w:val="32"/>
          <w:szCs w:val="32"/>
        </w:rPr>
        <w:t>0</w:t>
      </w:r>
      <w:r>
        <w:rPr>
          <w:rFonts w:hint="eastAsia" w:ascii="仿宋_GB2312" w:eastAsia="仿宋_GB2312"/>
          <w:b/>
          <w:sz w:val="32"/>
          <w:szCs w:val="32"/>
        </w:rPr>
        <w:t>分）</w:t>
      </w:r>
    </w:p>
    <w:p w14:paraId="7E9A94AE">
      <w:pPr>
        <w:spacing w:line="560" w:lineRule="exact"/>
        <w:ind w:firstLine="640" w:firstLineChars="200"/>
        <w:rPr>
          <w:rFonts w:ascii="仿宋_GB2312" w:eastAsia="仿宋_GB2312"/>
          <w:sz w:val="32"/>
          <w:szCs w:val="32"/>
        </w:rPr>
      </w:pPr>
      <w:r>
        <w:rPr>
          <w:rFonts w:hint="eastAsia" w:ascii="仿宋_GB2312" w:eastAsia="仿宋_GB2312"/>
          <w:sz w:val="32"/>
          <w:szCs w:val="32"/>
        </w:rPr>
        <w:t>经</w:t>
      </w:r>
      <w:r>
        <w:rPr>
          <w:rFonts w:ascii="仿宋_GB2312" w:eastAsia="仿宋_GB2312"/>
          <w:sz w:val="32"/>
          <w:szCs w:val="32"/>
        </w:rPr>
        <w:t>核查</w:t>
      </w:r>
      <w:r>
        <w:rPr>
          <w:rFonts w:hint="eastAsia" w:ascii="仿宋_GB2312" w:eastAsia="仿宋_GB2312"/>
          <w:sz w:val="32"/>
          <w:szCs w:val="32"/>
        </w:rPr>
        <w:t>，</w:t>
      </w:r>
      <w:r>
        <w:rPr>
          <w:rFonts w:ascii="仿宋_GB2312" w:eastAsia="仿宋_GB2312"/>
          <w:sz w:val="32"/>
          <w:szCs w:val="32"/>
        </w:rPr>
        <w:t>该项目截止</w:t>
      </w:r>
      <w:r>
        <w:rPr>
          <w:rFonts w:hint="eastAsia" w:ascii="仿宋_GB2312" w:eastAsia="仿宋_GB2312"/>
          <w:sz w:val="32"/>
          <w:szCs w:val="32"/>
        </w:rPr>
        <w:t>2022年12月31日</w:t>
      </w:r>
      <w:r>
        <w:rPr>
          <w:rFonts w:ascii="仿宋_GB2312" w:eastAsia="仿宋_GB2312"/>
          <w:sz w:val="32"/>
          <w:szCs w:val="32"/>
        </w:rPr>
        <w:t>未组织验收，依据评分规则扣</w:t>
      </w:r>
      <w:r>
        <w:rPr>
          <w:rFonts w:hint="eastAsia" w:ascii="仿宋_GB2312" w:eastAsia="仿宋_GB2312"/>
          <w:sz w:val="32"/>
          <w:szCs w:val="32"/>
        </w:rPr>
        <w:t>4分</w:t>
      </w:r>
      <w:r>
        <w:rPr>
          <w:rFonts w:ascii="仿宋_GB2312" w:eastAsia="仿宋_GB2312"/>
          <w:sz w:val="32"/>
          <w:szCs w:val="32"/>
        </w:rPr>
        <w:t>，得</w:t>
      </w:r>
      <w:r>
        <w:rPr>
          <w:rFonts w:hint="eastAsia" w:ascii="仿宋_GB2312" w:eastAsia="仿宋_GB2312"/>
          <w:sz w:val="32"/>
          <w:szCs w:val="32"/>
        </w:rPr>
        <w:t>0分</w:t>
      </w:r>
      <w:r>
        <w:rPr>
          <w:rFonts w:ascii="仿宋_GB2312" w:eastAsia="仿宋_GB2312"/>
          <w:sz w:val="32"/>
          <w:szCs w:val="32"/>
        </w:rPr>
        <w:t>。</w:t>
      </w:r>
    </w:p>
    <w:p w14:paraId="08E796D2">
      <w:pPr>
        <w:spacing w:line="560" w:lineRule="exact"/>
        <w:ind w:firstLine="643" w:firstLineChars="200"/>
        <w:rPr>
          <w:rFonts w:ascii="仿宋_GB2312" w:eastAsia="仿宋_GB2312"/>
          <w:b/>
          <w:sz w:val="32"/>
          <w:szCs w:val="32"/>
        </w:rPr>
      </w:pPr>
      <w:r>
        <w:rPr>
          <w:rFonts w:hint="eastAsia" w:ascii="仿宋_GB2312" w:eastAsia="仿宋_GB2312"/>
          <w:b/>
          <w:sz w:val="32"/>
          <w:szCs w:val="32"/>
        </w:rPr>
        <w:t>3.产出时效（分值</w:t>
      </w:r>
      <w:r>
        <w:rPr>
          <w:rFonts w:ascii="仿宋_GB2312" w:eastAsia="仿宋_GB2312"/>
          <w:b/>
          <w:sz w:val="32"/>
          <w:szCs w:val="32"/>
        </w:rPr>
        <w:t>4</w:t>
      </w:r>
      <w:r>
        <w:rPr>
          <w:rFonts w:hint="eastAsia" w:ascii="仿宋_GB2312" w:eastAsia="仿宋_GB2312"/>
          <w:b/>
          <w:sz w:val="32"/>
          <w:szCs w:val="32"/>
        </w:rPr>
        <w:t>分，得</w:t>
      </w:r>
      <w:r>
        <w:rPr>
          <w:rFonts w:ascii="仿宋_GB2312" w:eastAsia="仿宋_GB2312"/>
          <w:b/>
          <w:sz w:val="32"/>
          <w:szCs w:val="32"/>
        </w:rPr>
        <w:t>4</w:t>
      </w:r>
      <w:r>
        <w:rPr>
          <w:rFonts w:hint="eastAsia" w:ascii="仿宋_GB2312" w:eastAsia="仿宋_GB2312"/>
          <w:b/>
          <w:sz w:val="32"/>
          <w:szCs w:val="32"/>
        </w:rPr>
        <w:t>分）</w:t>
      </w:r>
    </w:p>
    <w:p w14:paraId="5498F645">
      <w:pPr>
        <w:spacing w:line="560" w:lineRule="exact"/>
        <w:ind w:firstLine="640" w:firstLineChars="200"/>
        <w:rPr>
          <w:rFonts w:ascii="仿宋_GB2312" w:eastAsia="仿宋_GB2312"/>
          <w:sz w:val="32"/>
          <w:szCs w:val="32"/>
        </w:rPr>
      </w:pPr>
      <w:r>
        <w:rPr>
          <w:rFonts w:hint="eastAsia" w:ascii="仿宋_GB2312" w:eastAsia="仿宋_GB2312"/>
          <w:sz w:val="32"/>
          <w:szCs w:val="32"/>
        </w:rPr>
        <w:t>根据</w:t>
      </w:r>
      <w:r>
        <w:rPr>
          <w:rFonts w:ascii="仿宋_GB2312" w:eastAsia="仿宋_GB2312"/>
          <w:sz w:val="32"/>
          <w:szCs w:val="32"/>
        </w:rPr>
        <w:t>单位提供资料，该项目资</w:t>
      </w:r>
      <w:r>
        <w:rPr>
          <w:rFonts w:hint="eastAsia" w:ascii="仿宋_GB2312" w:eastAsia="仿宋_GB2312"/>
          <w:sz w:val="32"/>
          <w:szCs w:val="32"/>
        </w:rPr>
        <w:t>金</w:t>
      </w:r>
      <w:r>
        <w:rPr>
          <w:rFonts w:ascii="仿宋_GB2312" w:eastAsia="仿宋_GB2312"/>
          <w:sz w:val="32"/>
          <w:szCs w:val="32"/>
        </w:rPr>
        <w:t>拨付及时率为</w:t>
      </w:r>
      <w:r>
        <w:rPr>
          <w:rFonts w:hint="eastAsia" w:ascii="仿宋_GB2312" w:eastAsia="仿宋_GB2312"/>
          <w:sz w:val="32"/>
          <w:szCs w:val="32"/>
        </w:rPr>
        <w:t>100%，</w:t>
      </w:r>
      <w:r>
        <w:rPr>
          <w:rFonts w:ascii="仿宋_GB2312" w:eastAsia="仿宋_GB2312"/>
          <w:sz w:val="32"/>
          <w:szCs w:val="32"/>
        </w:rPr>
        <w:t>依</w:t>
      </w:r>
      <w:r>
        <w:rPr>
          <w:rFonts w:hint="eastAsia" w:ascii="仿宋_GB2312" w:eastAsia="仿宋_GB2312"/>
          <w:sz w:val="32"/>
          <w:szCs w:val="32"/>
        </w:rPr>
        <w:t>据</w:t>
      </w:r>
      <w:r>
        <w:rPr>
          <w:rFonts w:ascii="仿宋_GB2312" w:eastAsia="仿宋_GB2312"/>
          <w:sz w:val="32"/>
          <w:szCs w:val="32"/>
        </w:rPr>
        <w:t>评分规则得</w:t>
      </w:r>
      <w:r>
        <w:rPr>
          <w:rFonts w:hint="eastAsia" w:ascii="仿宋_GB2312" w:eastAsia="仿宋_GB2312"/>
          <w:sz w:val="32"/>
          <w:szCs w:val="32"/>
        </w:rPr>
        <w:t>4分</w:t>
      </w:r>
      <w:r>
        <w:rPr>
          <w:rFonts w:ascii="仿宋_GB2312" w:eastAsia="仿宋_GB2312"/>
          <w:sz w:val="32"/>
          <w:szCs w:val="32"/>
        </w:rPr>
        <w:t>。</w:t>
      </w:r>
    </w:p>
    <w:p w14:paraId="15C24189">
      <w:pPr>
        <w:spacing w:line="560" w:lineRule="exact"/>
        <w:ind w:firstLine="643" w:firstLineChars="200"/>
        <w:rPr>
          <w:rFonts w:ascii="仿宋_GB2312" w:eastAsia="仿宋_GB2312"/>
          <w:b/>
          <w:sz w:val="32"/>
          <w:szCs w:val="32"/>
        </w:rPr>
      </w:pPr>
      <w:r>
        <w:rPr>
          <w:rFonts w:hint="eastAsia" w:ascii="仿宋_GB2312" w:eastAsia="仿宋_GB2312"/>
          <w:b/>
          <w:sz w:val="32"/>
          <w:szCs w:val="32"/>
        </w:rPr>
        <w:t>4.产出成本（分值</w:t>
      </w:r>
      <w:r>
        <w:rPr>
          <w:rFonts w:ascii="仿宋_GB2312" w:eastAsia="仿宋_GB2312"/>
          <w:b/>
          <w:sz w:val="32"/>
          <w:szCs w:val="32"/>
        </w:rPr>
        <w:t>16</w:t>
      </w:r>
      <w:r>
        <w:rPr>
          <w:rFonts w:hint="eastAsia" w:ascii="仿宋_GB2312" w:eastAsia="仿宋_GB2312"/>
          <w:b/>
          <w:sz w:val="32"/>
          <w:szCs w:val="32"/>
        </w:rPr>
        <w:t>分，得</w:t>
      </w:r>
      <w:r>
        <w:rPr>
          <w:rFonts w:ascii="仿宋_GB2312" w:eastAsia="仿宋_GB2312"/>
          <w:b/>
          <w:sz w:val="32"/>
          <w:szCs w:val="32"/>
        </w:rPr>
        <w:t>16</w:t>
      </w:r>
      <w:r>
        <w:rPr>
          <w:rFonts w:hint="eastAsia" w:ascii="仿宋_GB2312" w:eastAsia="仿宋_GB2312"/>
          <w:b/>
          <w:sz w:val="32"/>
          <w:szCs w:val="32"/>
        </w:rPr>
        <w:t>分）</w:t>
      </w:r>
    </w:p>
    <w:p w14:paraId="2319834B">
      <w:pPr>
        <w:spacing w:line="560" w:lineRule="exact"/>
        <w:ind w:firstLine="640" w:firstLineChars="200"/>
        <w:rPr>
          <w:rFonts w:ascii="仿宋_GB2312" w:eastAsia="仿宋_GB2312"/>
          <w:sz w:val="32"/>
          <w:szCs w:val="32"/>
        </w:rPr>
      </w:pPr>
      <w:r>
        <w:rPr>
          <w:rFonts w:hint="eastAsia" w:ascii="仿宋_GB2312" w:eastAsia="仿宋_GB2312"/>
          <w:sz w:val="32"/>
          <w:szCs w:val="32"/>
        </w:rPr>
        <w:t>2022年“各类检测费”实际</w:t>
      </w:r>
      <w:r>
        <w:rPr>
          <w:rFonts w:ascii="仿宋_GB2312" w:eastAsia="仿宋_GB2312"/>
          <w:sz w:val="32"/>
          <w:szCs w:val="32"/>
        </w:rPr>
        <w:t>支出</w:t>
      </w:r>
      <w:r>
        <w:rPr>
          <w:rFonts w:hint="eastAsia" w:ascii="仿宋_GB2312" w:eastAsia="仿宋_GB2312"/>
          <w:sz w:val="32"/>
          <w:szCs w:val="32"/>
        </w:rPr>
        <w:t>27.72万</w:t>
      </w:r>
      <w:r>
        <w:rPr>
          <w:rFonts w:ascii="仿宋_GB2312" w:eastAsia="仿宋_GB2312"/>
          <w:sz w:val="32"/>
          <w:szCs w:val="32"/>
        </w:rPr>
        <w:t>元，</w:t>
      </w:r>
      <w:r>
        <w:rPr>
          <w:rFonts w:hint="eastAsia" w:ascii="仿宋_GB2312" w:eastAsia="仿宋_GB2312"/>
          <w:sz w:val="32"/>
          <w:szCs w:val="32"/>
        </w:rPr>
        <w:t>“门牌制作费”实际</w:t>
      </w:r>
      <w:r>
        <w:rPr>
          <w:rFonts w:ascii="仿宋_GB2312" w:eastAsia="仿宋_GB2312"/>
          <w:sz w:val="32"/>
          <w:szCs w:val="32"/>
        </w:rPr>
        <w:t>支出</w:t>
      </w:r>
      <w:r>
        <w:rPr>
          <w:rFonts w:hint="eastAsia" w:ascii="仿宋_GB2312" w:eastAsia="仿宋_GB2312"/>
          <w:sz w:val="32"/>
          <w:szCs w:val="32"/>
        </w:rPr>
        <w:t>0.46万</w:t>
      </w:r>
      <w:r>
        <w:rPr>
          <w:rFonts w:ascii="仿宋_GB2312" w:eastAsia="仿宋_GB2312"/>
          <w:sz w:val="32"/>
          <w:szCs w:val="32"/>
        </w:rPr>
        <w:t>元，</w:t>
      </w:r>
      <w:r>
        <w:rPr>
          <w:rFonts w:hint="eastAsia" w:ascii="仿宋_GB2312" w:eastAsia="仿宋_GB2312"/>
          <w:sz w:val="32"/>
          <w:szCs w:val="32"/>
        </w:rPr>
        <w:t>“图纸审查费”实际</w:t>
      </w:r>
      <w:r>
        <w:rPr>
          <w:rFonts w:ascii="仿宋_GB2312" w:eastAsia="仿宋_GB2312"/>
          <w:sz w:val="32"/>
          <w:szCs w:val="32"/>
        </w:rPr>
        <w:t>支出</w:t>
      </w:r>
      <w:r>
        <w:rPr>
          <w:rFonts w:hint="eastAsia" w:ascii="仿宋_GB2312" w:eastAsia="仿宋_GB2312"/>
          <w:sz w:val="32"/>
          <w:szCs w:val="32"/>
        </w:rPr>
        <w:t>1.06万</w:t>
      </w:r>
      <w:r>
        <w:rPr>
          <w:rFonts w:ascii="仿宋_GB2312" w:eastAsia="仿宋_GB2312"/>
          <w:sz w:val="32"/>
          <w:szCs w:val="32"/>
        </w:rPr>
        <w:t>元</w:t>
      </w:r>
      <w:r>
        <w:rPr>
          <w:rFonts w:hint="eastAsia" w:ascii="仿宋_GB2312" w:eastAsia="仿宋_GB2312"/>
          <w:sz w:val="32"/>
          <w:szCs w:val="32"/>
        </w:rPr>
        <w:t>，“采购</w:t>
      </w:r>
      <w:r>
        <w:rPr>
          <w:rFonts w:ascii="仿宋_GB2312" w:eastAsia="仿宋_GB2312"/>
          <w:sz w:val="32"/>
          <w:szCs w:val="32"/>
        </w:rPr>
        <w:t>设备</w:t>
      </w:r>
      <w:r>
        <w:rPr>
          <w:rFonts w:hint="eastAsia" w:ascii="仿宋_GB2312" w:eastAsia="仿宋_GB2312"/>
          <w:sz w:val="32"/>
          <w:szCs w:val="32"/>
        </w:rPr>
        <w:t>”实际</w:t>
      </w:r>
      <w:r>
        <w:rPr>
          <w:rFonts w:ascii="仿宋_GB2312" w:eastAsia="仿宋_GB2312"/>
          <w:sz w:val="32"/>
          <w:szCs w:val="32"/>
        </w:rPr>
        <w:t>支出</w:t>
      </w:r>
      <w:r>
        <w:rPr>
          <w:rFonts w:hint="eastAsia" w:ascii="仿宋_GB2312" w:eastAsia="仿宋_GB2312"/>
          <w:sz w:val="32"/>
          <w:szCs w:val="32"/>
        </w:rPr>
        <w:t>21.97万</w:t>
      </w:r>
      <w:r>
        <w:rPr>
          <w:rFonts w:ascii="仿宋_GB2312" w:eastAsia="仿宋_GB2312"/>
          <w:sz w:val="32"/>
          <w:szCs w:val="32"/>
        </w:rPr>
        <w:t>元</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工程进度款</w:t>
      </w:r>
      <w:r>
        <w:rPr>
          <w:rFonts w:ascii="仿宋_GB2312" w:eastAsia="仿宋_GB2312"/>
          <w:sz w:val="32"/>
          <w:szCs w:val="32"/>
        </w:rPr>
        <w:t>”</w:t>
      </w:r>
      <w:r>
        <w:rPr>
          <w:rFonts w:hint="eastAsia" w:ascii="仿宋_GB2312" w:eastAsia="仿宋_GB2312"/>
          <w:sz w:val="32"/>
          <w:szCs w:val="32"/>
        </w:rPr>
        <w:t>实际</w:t>
      </w:r>
      <w:r>
        <w:rPr>
          <w:rFonts w:ascii="仿宋_GB2312" w:eastAsia="仿宋_GB2312"/>
          <w:sz w:val="32"/>
          <w:szCs w:val="32"/>
        </w:rPr>
        <w:t>支出</w:t>
      </w:r>
      <w:r>
        <w:rPr>
          <w:rFonts w:hint="eastAsia" w:ascii="仿宋_GB2312" w:eastAsia="仿宋_GB2312"/>
          <w:sz w:val="32"/>
          <w:szCs w:val="32"/>
        </w:rPr>
        <w:t>374.27万</w:t>
      </w:r>
      <w:r>
        <w:rPr>
          <w:rFonts w:ascii="仿宋_GB2312" w:eastAsia="仿宋_GB2312"/>
          <w:sz w:val="32"/>
          <w:szCs w:val="32"/>
        </w:rPr>
        <w:t>元，所有成本指标均</w:t>
      </w:r>
      <w:r>
        <w:rPr>
          <w:rFonts w:hint="eastAsia" w:ascii="仿宋_GB2312" w:eastAsia="仿宋_GB2312"/>
          <w:sz w:val="32"/>
          <w:szCs w:val="32"/>
        </w:rPr>
        <w:t>未</w:t>
      </w:r>
      <w:r>
        <w:rPr>
          <w:rFonts w:ascii="仿宋_GB2312" w:eastAsia="仿宋_GB2312"/>
          <w:sz w:val="32"/>
          <w:szCs w:val="32"/>
        </w:rPr>
        <w:t>超过合同</w:t>
      </w:r>
      <w:r>
        <w:rPr>
          <w:rFonts w:hint="eastAsia" w:ascii="仿宋_GB2312" w:eastAsia="仿宋_GB2312"/>
          <w:sz w:val="32"/>
          <w:szCs w:val="32"/>
        </w:rPr>
        <w:t>金额</w:t>
      </w:r>
      <w:r>
        <w:rPr>
          <w:rFonts w:ascii="仿宋_GB2312" w:eastAsia="仿宋_GB2312"/>
          <w:sz w:val="32"/>
          <w:szCs w:val="32"/>
        </w:rPr>
        <w:t>，也未超概算，依据评分规则得</w:t>
      </w:r>
      <w:r>
        <w:rPr>
          <w:rFonts w:hint="eastAsia" w:ascii="仿宋_GB2312" w:eastAsia="仿宋_GB2312"/>
          <w:sz w:val="32"/>
          <w:szCs w:val="32"/>
        </w:rPr>
        <w:t>16分</w:t>
      </w:r>
      <w:r>
        <w:rPr>
          <w:rFonts w:ascii="仿宋_GB2312" w:eastAsia="仿宋_GB2312"/>
          <w:sz w:val="32"/>
          <w:szCs w:val="32"/>
        </w:rPr>
        <w:t>。</w:t>
      </w:r>
    </w:p>
    <w:p w14:paraId="50A06A22">
      <w:pPr>
        <w:spacing w:line="560" w:lineRule="exact"/>
        <w:ind w:firstLine="643" w:firstLineChars="200"/>
        <w:rPr>
          <w:rFonts w:ascii="楷体_GB2312" w:eastAsia="楷体_GB2312"/>
          <w:b/>
          <w:sz w:val="32"/>
          <w:szCs w:val="32"/>
        </w:rPr>
      </w:pPr>
      <w:r>
        <w:rPr>
          <w:rFonts w:hint="eastAsia" w:ascii="楷体_GB2312" w:eastAsia="楷体_GB2312"/>
          <w:b/>
          <w:sz w:val="32"/>
          <w:szCs w:val="32"/>
        </w:rPr>
        <w:t>（四）项目效益情况分析（分值 20分，得</w:t>
      </w:r>
      <w:r>
        <w:rPr>
          <w:rFonts w:ascii="楷体_GB2312" w:eastAsia="楷体_GB2312"/>
          <w:b/>
          <w:sz w:val="32"/>
          <w:szCs w:val="32"/>
        </w:rPr>
        <w:t>13.85</w:t>
      </w:r>
      <w:r>
        <w:rPr>
          <w:rFonts w:hint="eastAsia" w:ascii="楷体_GB2312" w:eastAsia="楷体_GB2312"/>
          <w:b/>
          <w:sz w:val="32"/>
          <w:szCs w:val="32"/>
        </w:rPr>
        <w:t>分）</w:t>
      </w:r>
    </w:p>
    <w:p w14:paraId="7B9781CC">
      <w:pPr>
        <w:spacing w:line="560" w:lineRule="exact"/>
        <w:ind w:firstLine="643" w:firstLineChars="200"/>
        <w:rPr>
          <w:rFonts w:ascii="仿宋_GB2312" w:eastAsia="仿宋_GB2312"/>
          <w:b/>
          <w:sz w:val="32"/>
          <w:szCs w:val="32"/>
        </w:rPr>
      </w:pPr>
      <w:r>
        <w:rPr>
          <w:rFonts w:hint="eastAsia" w:ascii="仿宋_GB2312" w:eastAsia="仿宋_GB2312"/>
          <w:b/>
          <w:sz w:val="32"/>
          <w:szCs w:val="32"/>
        </w:rPr>
        <w:t>1.社会效益（分值</w:t>
      </w:r>
      <w:r>
        <w:rPr>
          <w:rFonts w:ascii="仿宋_GB2312" w:eastAsia="仿宋_GB2312"/>
          <w:b/>
          <w:sz w:val="32"/>
          <w:szCs w:val="32"/>
        </w:rPr>
        <w:t>7</w:t>
      </w:r>
      <w:r>
        <w:rPr>
          <w:rFonts w:hint="eastAsia" w:ascii="仿宋_GB2312" w:eastAsia="仿宋_GB2312"/>
          <w:b/>
          <w:sz w:val="32"/>
          <w:szCs w:val="32"/>
        </w:rPr>
        <w:t>分，得</w:t>
      </w:r>
      <w:r>
        <w:rPr>
          <w:rFonts w:ascii="仿宋_GB2312" w:eastAsia="仿宋_GB2312"/>
          <w:b/>
          <w:sz w:val="32"/>
          <w:szCs w:val="32"/>
        </w:rPr>
        <w:t>7</w:t>
      </w:r>
      <w:r>
        <w:rPr>
          <w:rFonts w:hint="eastAsia" w:ascii="仿宋_GB2312" w:eastAsia="仿宋_GB2312"/>
          <w:b/>
          <w:sz w:val="32"/>
          <w:szCs w:val="32"/>
        </w:rPr>
        <w:t>分）</w:t>
      </w:r>
    </w:p>
    <w:p w14:paraId="7C7BC6DC">
      <w:pPr>
        <w:spacing w:line="560" w:lineRule="exact"/>
        <w:ind w:firstLine="640" w:firstLineChars="200"/>
        <w:rPr>
          <w:rFonts w:ascii="仿宋_GB2312" w:eastAsia="仿宋_GB2312"/>
          <w:sz w:val="32"/>
          <w:szCs w:val="32"/>
        </w:rPr>
      </w:pPr>
      <w:r>
        <w:rPr>
          <w:rFonts w:hint="eastAsia" w:ascii="仿宋_GB2312" w:eastAsia="仿宋_GB2312"/>
          <w:sz w:val="32"/>
          <w:szCs w:val="32"/>
        </w:rPr>
        <w:t>经现场勘察调查，项目建成后可达到有效改善干部生活条件的</w:t>
      </w:r>
      <w:r>
        <w:rPr>
          <w:rFonts w:ascii="仿宋_GB2312" w:eastAsia="仿宋_GB2312"/>
          <w:sz w:val="32"/>
          <w:szCs w:val="32"/>
        </w:rPr>
        <w:t>目标</w:t>
      </w:r>
      <w:r>
        <w:rPr>
          <w:rFonts w:hint="eastAsia" w:ascii="仿宋_GB2312" w:eastAsia="仿宋_GB2312"/>
          <w:sz w:val="32"/>
          <w:szCs w:val="32"/>
        </w:rPr>
        <w:t>，依据评分规则得</w:t>
      </w:r>
      <w:r>
        <w:rPr>
          <w:rFonts w:ascii="仿宋_GB2312" w:eastAsia="仿宋_GB2312"/>
          <w:sz w:val="32"/>
          <w:szCs w:val="32"/>
        </w:rPr>
        <w:t>7</w:t>
      </w:r>
      <w:r>
        <w:rPr>
          <w:rFonts w:hint="eastAsia" w:ascii="仿宋_GB2312" w:eastAsia="仿宋_GB2312"/>
          <w:sz w:val="32"/>
          <w:szCs w:val="32"/>
        </w:rPr>
        <w:t>分。</w:t>
      </w:r>
    </w:p>
    <w:p w14:paraId="6E9CF856">
      <w:pPr>
        <w:spacing w:line="560" w:lineRule="exact"/>
        <w:ind w:firstLine="643" w:firstLineChars="200"/>
        <w:rPr>
          <w:rFonts w:ascii="仿宋_GB2312" w:eastAsia="仿宋_GB2312"/>
          <w:b/>
          <w:sz w:val="32"/>
          <w:szCs w:val="32"/>
        </w:rPr>
      </w:pPr>
      <w:r>
        <w:rPr>
          <w:rFonts w:hint="eastAsia" w:ascii="仿宋_GB2312" w:eastAsia="仿宋_GB2312"/>
          <w:b/>
          <w:sz w:val="32"/>
          <w:szCs w:val="32"/>
        </w:rPr>
        <w:t>2.可持续影响（分值</w:t>
      </w:r>
      <w:r>
        <w:rPr>
          <w:rFonts w:ascii="仿宋_GB2312" w:eastAsia="仿宋_GB2312"/>
          <w:b/>
          <w:sz w:val="32"/>
          <w:szCs w:val="32"/>
        </w:rPr>
        <w:t>8</w:t>
      </w:r>
      <w:r>
        <w:rPr>
          <w:rFonts w:hint="eastAsia" w:ascii="仿宋_GB2312" w:eastAsia="仿宋_GB2312"/>
          <w:b/>
          <w:sz w:val="32"/>
          <w:szCs w:val="32"/>
        </w:rPr>
        <w:t>分，得</w:t>
      </w:r>
      <w:r>
        <w:rPr>
          <w:rFonts w:ascii="仿宋_GB2312" w:eastAsia="仿宋_GB2312"/>
          <w:b/>
          <w:sz w:val="32"/>
          <w:szCs w:val="32"/>
        </w:rPr>
        <w:t>5.6</w:t>
      </w:r>
      <w:r>
        <w:rPr>
          <w:rFonts w:hint="eastAsia" w:ascii="仿宋_GB2312" w:eastAsia="仿宋_GB2312"/>
          <w:b/>
          <w:sz w:val="32"/>
          <w:szCs w:val="32"/>
        </w:rPr>
        <w:t>分）</w:t>
      </w:r>
    </w:p>
    <w:p w14:paraId="17189897">
      <w:pPr>
        <w:spacing w:line="560" w:lineRule="exact"/>
        <w:ind w:firstLine="640" w:firstLineChars="200"/>
        <w:rPr>
          <w:rFonts w:ascii="仿宋_GB2312" w:eastAsia="仿宋_GB2312"/>
          <w:sz w:val="32"/>
          <w:szCs w:val="32"/>
        </w:rPr>
      </w:pPr>
      <w:r>
        <w:rPr>
          <w:rFonts w:hint="eastAsia" w:ascii="仿宋_GB2312" w:eastAsia="仿宋_GB2312"/>
          <w:sz w:val="32"/>
          <w:szCs w:val="32"/>
        </w:rPr>
        <w:t>经</w:t>
      </w:r>
      <w:r>
        <w:rPr>
          <w:rFonts w:ascii="仿宋_GB2312" w:eastAsia="仿宋_GB2312"/>
          <w:sz w:val="32"/>
          <w:szCs w:val="32"/>
        </w:rPr>
        <w:t>核实，该项目未</w:t>
      </w:r>
      <w:r>
        <w:rPr>
          <w:rFonts w:hint="eastAsia" w:ascii="仿宋_GB2312" w:eastAsia="仿宋_GB2312"/>
          <w:sz w:val="32"/>
          <w:szCs w:val="32"/>
        </w:rPr>
        <w:t>组织</w:t>
      </w:r>
      <w:r>
        <w:rPr>
          <w:rFonts w:ascii="仿宋_GB2312" w:eastAsia="仿宋_GB2312"/>
          <w:sz w:val="32"/>
          <w:szCs w:val="32"/>
        </w:rPr>
        <w:t>项目验收，</w:t>
      </w:r>
      <w:r>
        <w:rPr>
          <w:rFonts w:hint="eastAsia" w:ascii="仿宋_GB2312" w:eastAsia="仿宋_GB2312"/>
          <w:sz w:val="32"/>
          <w:szCs w:val="32"/>
        </w:rPr>
        <w:t>不</w:t>
      </w:r>
      <w:r>
        <w:rPr>
          <w:rFonts w:ascii="仿宋_GB2312" w:eastAsia="仿宋_GB2312"/>
          <w:sz w:val="32"/>
          <w:szCs w:val="32"/>
        </w:rPr>
        <w:t>能判定</w:t>
      </w:r>
      <w:r>
        <w:rPr>
          <w:rFonts w:hint="eastAsia" w:ascii="仿宋_GB2312" w:eastAsia="仿宋_GB2312"/>
          <w:sz w:val="32"/>
          <w:szCs w:val="32"/>
        </w:rPr>
        <w:t>人</w:t>
      </w:r>
      <w:r>
        <w:rPr>
          <w:rFonts w:ascii="仿宋_GB2312" w:eastAsia="仿宋_GB2312"/>
          <w:sz w:val="32"/>
          <w:szCs w:val="32"/>
        </w:rPr>
        <w:t>才公</w:t>
      </w:r>
      <w:r>
        <w:rPr>
          <w:rFonts w:hint="eastAsia" w:ascii="仿宋_GB2312" w:eastAsia="仿宋_GB2312"/>
          <w:sz w:val="32"/>
          <w:szCs w:val="32"/>
        </w:rPr>
        <w:t>寓</w:t>
      </w:r>
      <w:r>
        <w:rPr>
          <w:rFonts w:ascii="仿宋_GB2312" w:eastAsia="仿宋_GB2312"/>
          <w:sz w:val="32"/>
          <w:szCs w:val="32"/>
        </w:rPr>
        <w:t>楼</w:t>
      </w:r>
      <w:r>
        <w:rPr>
          <w:rFonts w:hint="eastAsia" w:ascii="仿宋_GB2312" w:eastAsia="仿宋_GB2312"/>
          <w:sz w:val="32"/>
          <w:szCs w:val="32"/>
        </w:rPr>
        <w:t>正常</w:t>
      </w:r>
      <w:r>
        <w:rPr>
          <w:rFonts w:ascii="仿宋_GB2312" w:eastAsia="仿宋_GB2312"/>
          <w:sz w:val="32"/>
          <w:szCs w:val="32"/>
        </w:rPr>
        <w:t>使用年限为</w:t>
      </w:r>
      <w:r>
        <w:rPr>
          <w:rFonts w:hint="eastAsia" w:ascii="仿宋_GB2312" w:eastAsia="仿宋_GB2312"/>
          <w:sz w:val="32"/>
          <w:szCs w:val="32"/>
        </w:rPr>
        <w:t>30年</w:t>
      </w:r>
      <w:r>
        <w:rPr>
          <w:rFonts w:ascii="仿宋_GB2312" w:eastAsia="仿宋_GB2312"/>
          <w:sz w:val="32"/>
          <w:szCs w:val="32"/>
        </w:rPr>
        <w:t>，</w:t>
      </w:r>
      <w:r>
        <w:rPr>
          <w:rFonts w:hint="eastAsia" w:ascii="仿宋_GB2312" w:eastAsia="仿宋_GB2312"/>
          <w:sz w:val="32"/>
          <w:szCs w:val="32"/>
        </w:rPr>
        <w:t>结合项目提供</w:t>
      </w:r>
      <w:r>
        <w:rPr>
          <w:rFonts w:ascii="仿宋_GB2312" w:eastAsia="仿宋_GB2312"/>
          <w:sz w:val="32"/>
          <w:szCs w:val="32"/>
        </w:rPr>
        <w:t>资料</w:t>
      </w:r>
      <w:r>
        <w:rPr>
          <w:rFonts w:hint="eastAsia" w:ascii="仿宋_GB2312" w:eastAsia="仿宋_GB2312"/>
          <w:sz w:val="32"/>
          <w:szCs w:val="32"/>
        </w:rPr>
        <w:t>判定</w:t>
      </w:r>
      <w:r>
        <w:rPr>
          <w:rFonts w:ascii="仿宋_GB2312" w:eastAsia="仿宋_GB2312"/>
          <w:sz w:val="32"/>
          <w:szCs w:val="32"/>
        </w:rPr>
        <w:t>部分达成年度指标，</w:t>
      </w:r>
      <w:r>
        <w:rPr>
          <w:rFonts w:hint="eastAsia" w:ascii="仿宋_GB2312" w:eastAsia="仿宋_GB2312"/>
          <w:sz w:val="32"/>
          <w:szCs w:val="32"/>
        </w:rPr>
        <w:t>依据评分规则扣2.4分，得5</w:t>
      </w:r>
      <w:r>
        <w:rPr>
          <w:rFonts w:ascii="仿宋_GB2312" w:eastAsia="仿宋_GB2312"/>
          <w:sz w:val="32"/>
          <w:szCs w:val="32"/>
        </w:rPr>
        <w:t>.6</w:t>
      </w:r>
      <w:r>
        <w:rPr>
          <w:rFonts w:hint="eastAsia" w:ascii="仿宋_GB2312" w:eastAsia="仿宋_GB2312"/>
          <w:sz w:val="32"/>
          <w:szCs w:val="32"/>
        </w:rPr>
        <w:t>分。</w:t>
      </w:r>
    </w:p>
    <w:p w14:paraId="5100EF6F">
      <w:pPr>
        <w:spacing w:line="560" w:lineRule="exact"/>
        <w:ind w:firstLine="643" w:firstLineChars="200"/>
        <w:rPr>
          <w:rFonts w:ascii="仿宋_GB2312" w:eastAsia="仿宋_GB2312"/>
          <w:b/>
          <w:sz w:val="32"/>
          <w:szCs w:val="32"/>
        </w:rPr>
      </w:pPr>
      <w:r>
        <w:rPr>
          <w:rFonts w:hint="eastAsia" w:ascii="仿宋_GB2312" w:eastAsia="仿宋_GB2312"/>
          <w:b/>
          <w:sz w:val="32"/>
          <w:szCs w:val="32"/>
        </w:rPr>
        <w:t>3.入</w:t>
      </w:r>
      <w:r>
        <w:rPr>
          <w:rFonts w:ascii="仿宋_GB2312" w:eastAsia="仿宋_GB2312"/>
          <w:b/>
          <w:sz w:val="32"/>
          <w:szCs w:val="32"/>
        </w:rPr>
        <w:t>住干部</w:t>
      </w:r>
      <w:r>
        <w:rPr>
          <w:rFonts w:hint="eastAsia" w:ascii="仿宋_GB2312" w:eastAsia="仿宋_GB2312"/>
          <w:b/>
          <w:sz w:val="32"/>
          <w:szCs w:val="32"/>
        </w:rPr>
        <w:t>满意度（分值</w:t>
      </w:r>
      <w:r>
        <w:rPr>
          <w:rFonts w:ascii="仿宋_GB2312" w:eastAsia="仿宋_GB2312"/>
          <w:b/>
          <w:sz w:val="32"/>
          <w:szCs w:val="32"/>
        </w:rPr>
        <w:t>5</w:t>
      </w:r>
      <w:r>
        <w:rPr>
          <w:rFonts w:hint="eastAsia" w:ascii="仿宋_GB2312" w:eastAsia="仿宋_GB2312"/>
          <w:b/>
          <w:sz w:val="32"/>
          <w:szCs w:val="32"/>
        </w:rPr>
        <w:t>分，得</w:t>
      </w:r>
      <w:r>
        <w:rPr>
          <w:rFonts w:ascii="仿宋_GB2312" w:eastAsia="仿宋_GB2312"/>
          <w:b/>
          <w:sz w:val="32"/>
          <w:szCs w:val="32"/>
        </w:rPr>
        <w:t>1.25</w:t>
      </w:r>
      <w:r>
        <w:rPr>
          <w:rFonts w:hint="eastAsia" w:ascii="仿宋_GB2312" w:eastAsia="仿宋_GB2312"/>
          <w:b/>
          <w:sz w:val="32"/>
          <w:szCs w:val="32"/>
        </w:rPr>
        <w:t>分）</w:t>
      </w:r>
    </w:p>
    <w:p w14:paraId="01AF6961">
      <w:pPr>
        <w:spacing w:line="560" w:lineRule="exact"/>
        <w:ind w:firstLine="640" w:firstLineChars="200"/>
        <w:rPr>
          <w:rFonts w:ascii="仿宋_GB2312" w:eastAsia="仿宋_GB2312"/>
          <w:sz w:val="32"/>
          <w:szCs w:val="32"/>
        </w:rPr>
      </w:pPr>
      <w:r>
        <w:rPr>
          <w:rFonts w:hint="eastAsia" w:ascii="仿宋_GB2312" w:eastAsia="仿宋_GB2312"/>
          <w:sz w:val="32"/>
          <w:szCs w:val="32"/>
        </w:rPr>
        <w:t>据</w:t>
      </w:r>
      <w:r>
        <w:rPr>
          <w:rFonts w:ascii="仿宋_GB2312" w:eastAsia="仿宋_GB2312"/>
          <w:sz w:val="32"/>
          <w:szCs w:val="32"/>
        </w:rPr>
        <w:t>回收的</w:t>
      </w:r>
      <w:r>
        <w:rPr>
          <w:rFonts w:hint="eastAsia" w:ascii="仿宋_GB2312" w:eastAsia="仿宋_GB2312"/>
          <w:sz w:val="32"/>
          <w:szCs w:val="32"/>
        </w:rPr>
        <w:t>满意度调查问卷汇</w:t>
      </w:r>
      <w:r>
        <w:rPr>
          <w:rFonts w:ascii="仿宋_GB2312" w:eastAsia="仿宋_GB2312"/>
          <w:sz w:val="32"/>
          <w:szCs w:val="32"/>
        </w:rPr>
        <w:t>总结果显示</w:t>
      </w:r>
      <w:r>
        <w:rPr>
          <w:rFonts w:hint="eastAsia" w:ascii="仿宋_GB2312" w:eastAsia="仿宋_GB2312"/>
          <w:sz w:val="32"/>
          <w:szCs w:val="32"/>
        </w:rPr>
        <w:t>，入</w:t>
      </w:r>
      <w:r>
        <w:rPr>
          <w:rFonts w:ascii="仿宋_GB2312" w:eastAsia="仿宋_GB2312"/>
          <w:sz w:val="32"/>
          <w:szCs w:val="32"/>
        </w:rPr>
        <w:t>住干部的满意</w:t>
      </w:r>
      <w:r>
        <w:rPr>
          <w:rFonts w:hint="eastAsia" w:ascii="仿宋_GB2312" w:eastAsia="仿宋_GB2312"/>
          <w:sz w:val="32"/>
          <w:szCs w:val="32"/>
        </w:rPr>
        <w:t>度</w:t>
      </w:r>
      <w:r>
        <w:rPr>
          <w:rFonts w:ascii="仿宋_GB2312" w:eastAsia="仿宋_GB2312"/>
          <w:sz w:val="32"/>
          <w:szCs w:val="32"/>
        </w:rPr>
        <w:t>为</w:t>
      </w:r>
      <w:r>
        <w:rPr>
          <w:rFonts w:hint="eastAsia" w:ascii="仿宋_GB2312" w:eastAsia="仿宋_GB2312"/>
          <w:sz w:val="32"/>
          <w:szCs w:val="32"/>
        </w:rPr>
        <w:t>80.32%，依据评分规则扣3.75分</w:t>
      </w:r>
      <w:r>
        <w:rPr>
          <w:rFonts w:ascii="仿宋_GB2312" w:eastAsia="仿宋_GB2312"/>
          <w:sz w:val="32"/>
          <w:szCs w:val="32"/>
        </w:rPr>
        <w:t>，</w:t>
      </w:r>
      <w:r>
        <w:rPr>
          <w:rFonts w:hint="eastAsia" w:ascii="仿宋_GB2312" w:eastAsia="仿宋_GB2312"/>
          <w:sz w:val="32"/>
          <w:szCs w:val="32"/>
        </w:rPr>
        <w:t>得1.25分。</w:t>
      </w:r>
    </w:p>
    <w:p w14:paraId="3013E9E8">
      <w:pPr>
        <w:spacing w:line="600" w:lineRule="exact"/>
        <w:ind w:firstLine="640" w:firstLineChars="200"/>
        <w:rPr>
          <w:rFonts w:ascii="黑体" w:hAnsi="黑体" w:eastAsia="黑体" w:cs="宋体"/>
          <w:sz w:val="32"/>
          <w:szCs w:val="32"/>
          <w:lang w:bidi="ar"/>
        </w:rPr>
      </w:pPr>
      <w:r>
        <w:rPr>
          <w:rFonts w:hint="eastAsia" w:ascii="黑体" w:hAnsi="黑体" w:eastAsia="黑体" w:cs="宋体"/>
          <w:sz w:val="32"/>
          <w:szCs w:val="32"/>
          <w:lang w:bidi="ar"/>
        </w:rPr>
        <w:t>五、存</w:t>
      </w:r>
      <w:r>
        <w:rPr>
          <w:rFonts w:ascii="黑体" w:hAnsi="黑体" w:eastAsia="黑体" w:cs="宋体"/>
          <w:sz w:val="32"/>
          <w:szCs w:val="32"/>
          <w:lang w:bidi="ar"/>
        </w:rPr>
        <w:t>在的</w:t>
      </w:r>
      <w:r>
        <w:rPr>
          <w:rFonts w:hint="eastAsia" w:ascii="黑体" w:hAnsi="黑体" w:eastAsia="黑体" w:cs="宋体"/>
          <w:sz w:val="32"/>
          <w:szCs w:val="32"/>
          <w:lang w:bidi="ar"/>
        </w:rPr>
        <w:t>问题建议</w:t>
      </w:r>
    </w:p>
    <w:p w14:paraId="3B271F42">
      <w:pPr>
        <w:spacing w:line="560" w:lineRule="exact"/>
        <w:ind w:firstLine="643" w:firstLineChars="200"/>
        <w:rPr>
          <w:rFonts w:ascii="楷体_GB2312" w:eastAsia="楷体_GB2312"/>
          <w:b/>
          <w:sz w:val="32"/>
          <w:szCs w:val="32"/>
        </w:rPr>
      </w:pPr>
      <w:r>
        <w:rPr>
          <w:rFonts w:hint="eastAsia" w:ascii="楷体_GB2312" w:eastAsia="楷体_GB2312"/>
          <w:b/>
          <w:sz w:val="32"/>
          <w:szCs w:val="32"/>
        </w:rPr>
        <w:t>（一）项目决策方面问题</w:t>
      </w:r>
    </w:p>
    <w:p w14:paraId="163F84CE">
      <w:pPr>
        <w:spacing w:line="560" w:lineRule="exact"/>
        <w:ind w:firstLine="643" w:firstLineChars="200"/>
        <w:rPr>
          <w:rFonts w:ascii="仿宋_GB2312" w:eastAsia="仿宋_GB2312"/>
          <w:sz w:val="32"/>
          <w:szCs w:val="32"/>
        </w:rPr>
      </w:pPr>
      <w:r>
        <w:rPr>
          <w:rFonts w:hint="eastAsia" w:ascii="仿宋_GB2312" w:eastAsia="仿宋_GB2312"/>
          <w:b/>
          <w:sz w:val="32"/>
          <w:szCs w:val="32"/>
        </w:rPr>
        <w:t>绩效</w:t>
      </w:r>
      <w:r>
        <w:rPr>
          <w:rFonts w:ascii="仿宋_GB2312" w:eastAsia="仿宋_GB2312"/>
          <w:b/>
          <w:sz w:val="32"/>
          <w:szCs w:val="32"/>
        </w:rPr>
        <w:t>目标设置不完整。</w:t>
      </w:r>
      <w:r>
        <w:rPr>
          <w:rFonts w:hint="eastAsia" w:ascii="仿宋_GB2312" w:eastAsia="仿宋_GB2312"/>
          <w:sz w:val="32"/>
          <w:szCs w:val="32"/>
        </w:rPr>
        <w:t>产</w:t>
      </w:r>
      <w:r>
        <w:rPr>
          <w:rFonts w:ascii="仿宋_GB2312" w:eastAsia="仿宋_GB2312"/>
          <w:sz w:val="32"/>
          <w:szCs w:val="32"/>
        </w:rPr>
        <w:t>出指标缺少核心指标，不能完全体现项目的投入产出效果，该</w:t>
      </w:r>
      <w:r>
        <w:rPr>
          <w:rFonts w:hint="eastAsia" w:ascii="仿宋_GB2312" w:eastAsia="仿宋_GB2312"/>
          <w:sz w:val="32"/>
          <w:szCs w:val="32"/>
        </w:rPr>
        <w:t>项目</w:t>
      </w:r>
      <w:r>
        <w:rPr>
          <w:rFonts w:ascii="仿宋_GB2312" w:eastAsia="仿宋_GB2312"/>
          <w:sz w:val="32"/>
          <w:szCs w:val="32"/>
        </w:rPr>
        <w:t>主要支出为项目工程</w:t>
      </w:r>
      <w:r>
        <w:rPr>
          <w:rFonts w:hint="eastAsia" w:ascii="仿宋_GB2312" w:eastAsia="仿宋_GB2312"/>
          <w:sz w:val="32"/>
          <w:szCs w:val="32"/>
        </w:rPr>
        <w:t>款</w:t>
      </w:r>
      <w:r>
        <w:rPr>
          <w:rFonts w:ascii="仿宋_GB2312" w:eastAsia="仿宋_GB2312"/>
          <w:sz w:val="32"/>
          <w:szCs w:val="32"/>
        </w:rPr>
        <w:t>但</w:t>
      </w:r>
      <w:r>
        <w:rPr>
          <w:rFonts w:hint="eastAsia" w:ascii="仿宋_GB2312" w:eastAsia="仿宋_GB2312"/>
          <w:sz w:val="32"/>
          <w:szCs w:val="32"/>
        </w:rPr>
        <w:t>数量指标的设置没</w:t>
      </w:r>
      <w:r>
        <w:rPr>
          <w:rFonts w:ascii="仿宋_GB2312" w:eastAsia="仿宋_GB2312"/>
          <w:sz w:val="32"/>
          <w:szCs w:val="32"/>
        </w:rPr>
        <w:t>有</w:t>
      </w:r>
      <w:r>
        <w:rPr>
          <w:rFonts w:hint="eastAsia" w:ascii="仿宋_GB2312" w:eastAsia="仿宋_GB2312"/>
          <w:sz w:val="32"/>
          <w:szCs w:val="32"/>
        </w:rPr>
        <w:t>体现出项目施</w:t>
      </w:r>
      <w:r>
        <w:rPr>
          <w:rFonts w:ascii="仿宋_GB2312" w:eastAsia="仿宋_GB2312"/>
          <w:sz w:val="32"/>
          <w:szCs w:val="32"/>
        </w:rPr>
        <w:t>工</w:t>
      </w:r>
      <w:r>
        <w:rPr>
          <w:rFonts w:hint="eastAsia" w:ascii="仿宋_GB2312" w:eastAsia="仿宋_GB2312"/>
          <w:sz w:val="32"/>
          <w:szCs w:val="32"/>
        </w:rPr>
        <w:t>的工</w:t>
      </w:r>
      <w:r>
        <w:rPr>
          <w:rFonts w:ascii="仿宋_GB2312" w:eastAsia="仿宋_GB2312"/>
          <w:sz w:val="32"/>
          <w:szCs w:val="32"/>
        </w:rPr>
        <w:t>作</w:t>
      </w:r>
      <w:r>
        <w:rPr>
          <w:rFonts w:hint="eastAsia" w:ascii="仿宋_GB2312" w:eastAsia="仿宋_GB2312"/>
          <w:sz w:val="32"/>
          <w:szCs w:val="32"/>
        </w:rPr>
        <w:t>量</w:t>
      </w:r>
      <w:r>
        <w:rPr>
          <w:rFonts w:ascii="仿宋_GB2312" w:eastAsia="仿宋_GB2312"/>
          <w:sz w:val="32"/>
          <w:szCs w:val="32"/>
        </w:rPr>
        <w:t>。</w:t>
      </w:r>
    </w:p>
    <w:p w14:paraId="2D1CD667">
      <w:pPr>
        <w:spacing w:line="56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（二）项目管理方面问题</w:t>
      </w:r>
    </w:p>
    <w:p w14:paraId="6FECB773">
      <w:pPr>
        <w:spacing w:line="560" w:lineRule="exact"/>
        <w:ind w:firstLine="643" w:firstLineChars="200"/>
        <w:rPr>
          <w:rFonts w:ascii="仿宋_GB2312" w:eastAsia="仿宋_GB2312"/>
          <w:sz w:val="32"/>
          <w:szCs w:val="32"/>
        </w:rPr>
      </w:pPr>
      <w:r>
        <w:rPr>
          <w:rFonts w:hint="eastAsia" w:ascii="仿宋_GB2312" w:eastAsia="仿宋_GB2312"/>
          <w:b/>
          <w:sz w:val="32"/>
          <w:szCs w:val="32"/>
        </w:rPr>
        <w:t>1.付</w:t>
      </w:r>
      <w:r>
        <w:rPr>
          <w:rFonts w:ascii="仿宋_GB2312" w:eastAsia="仿宋_GB2312"/>
          <w:b/>
          <w:sz w:val="32"/>
          <w:szCs w:val="32"/>
        </w:rPr>
        <w:t>款审批流程未</w:t>
      </w:r>
      <w:r>
        <w:rPr>
          <w:rFonts w:hint="eastAsia" w:ascii="仿宋_GB2312" w:eastAsia="仿宋_GB2312"/>
          <w:b/>
          <w:sz w:val="32"/>
          <w:szCs w:val="32"/>
        </w:rPr>
        <w:t>按</w:t>
      </w:r>
      <w:r>
        <w:rPr>
          <w:rFonts w:ascii="仿宋_GB2312" w:eastAsia="仿宋_GB2312"/>
          <w:b/>
          <w:sz w:val="32"/>
          <w:szCs w:val="32"/>
        </w:rPr>
        <w:t>照财务制度执行</w:t>
      </w:r>
      <w:r>
        <w:rPr>
          <w:rFonts w:hint="eastAsia" w:ascii="仿宋_GB2312" w:eastAsia="仿宋_GB2312"/>
          <w:b/>
          <w:sz w:val="32"/>
          <w:szCs w:val="32"/>
        </w:rPr>
        <w:t>。</w:t>
      </w:r>
      <w:r>
        <w:rPr>
          <w:rFonts w:hint="eastAsia" w:ascii="仿宋_GB2312" w:eastAsia="仿宋_GB2312"/>
          <w:sz w:val="32"/>
          <w:szCs w:val="32"/>
        </w:rPr>
        <w:t>在支付新疆润宏图工程技术咨询有限责任公司审图费</w:t>
      </w:r>
      <w:r>
        <w:rPr>
          <w:rFonts w:ascii="仿宋_GB2312" w:eastAsia="仿宋_GB2312"/>
          <w:sz w:val="32"/>
          <w:szCs w:val="32"/>
        </w:rPr>
        <w:t>5960</w:t>
      </w:r>
      <w:r>
        <w:rPr>
          <w:rFonts w:hint="eastAsia" w:ascii="仿宋_GB2312" w:eastAsia="仿宋_GB2312"/>
          <w:sz w:val="32"/>
          <w:szCs w:val="32"/>
        </w:rPr>
        <w:t>元，支付山东华昱压力容器股份有限公司</w:t>
      </w:r>
      <w:r>
        <w:rPr>
          <w:rFonts w:ascii="仿宋_GB2312" w:eastAsia="仿宋_GB2312"/>
          <w:sz w:val="32"/>
          <w:szCs w:val="32"/>
        </w:rPr>
        <w:t>40000</w:t>
      </w:r>
      <w:r>
        <w:rPr>
          <w:rFonts w:hint="eastAsia" w:ascii="仿宋_GB2312" w:eastAsia="仿宋_GB2312"/>
          <w:sz w:val="32"/>
          <w:szCs w:val="32"/>
        </w:rPr>
        <w:t>元，发票未经财务分管领导审批签字。</w:t>
      </w:r>
    </w:p>
    <w:p w14:paraId="699B91BC">
      <w:pPr>
        <w:spacing w:line="560" w:lineRule="exact"/>
        <w:ind w:firstLine="643" w:firstLineChars="200"/>
        <w:rPr>
          <w:rFonts w:ascii="仿宋_GB2312" w:eastAsia="仿宋_GB2312"/>
          <w:sz w:val="32"/>
          <w:szCs w:val="32"/>
        </w:rPr>
      </w:pPr>
      <w:r>
        <w:rPr>
          <w:rFonts w:hint="eastAsia" w:ascii="仿宋_GB2312" w:eastAsia="仿宋_GB2312"/>
          <w:b/>
          <w:sz w:val="32"/>
          <w:szCs w:val="32"/>
        </w:rPr>
        <w:t>2.项目</w:t>
      </w:r>
      <w:r>
        <w:rPr>
          <w:rFonts w:ascii="仿宋_GB2312" w:eastAsia="仿宋_GB2312"/>
          <w:b/>
          <w:sz w:val="32"/>
          <w:szCs w:val="32"/>
        </w:rPr>
        <w:t>资金支付审批资料不全。</w:t>
      </w:r>
      <w:r>
        <w:rPr>
          <w:rFonts w:ascii="仿宋_GB2312" w:eastAsia="仿宋_GB2312"/>
          <w:sz w:val="32"/>
          <w:szCs w:val="32"/>
        </w:rPr>
        <w:t>资金支付审批资料中缺少已完工</w:t>
      </w:r>
      <w:r>
        <w:rPr>
          <w:rFonts w:hint="eastAsia" w:ascii="仿宋_GB2312" w:eastAsia="仿宋_GB2312"/>
          <w:sz w:val="32"/>
          <w:szCs w:val="32"/>
        </w:rPr>
        <w:t>工</w:t>
      </w:r>
      <w:r>
        <w:rPr>
          <w:rFonts w:ascii="仿宋_GB2312" w:eastAsia="仿宋_GB2312"/>
          <w:sz w:val="32"/>
          <w:szCs w:val="32"/>
        </w:rPr>
        <w:t>程量清单</w:t>
      </w:r>
      <w:r>
        <w:rPr>
          <w:rFonts w:hint="eastAsia" w:ascii="仿宋_GB2312" w:eastAsia="仿宋_GB2312"/>
          <w:sz w:val="32"/>
          <w:szCs w:val="32"/>
        </w:rPr>
        <w:t>、</w:t>
      </w:r>
      <w:r>
        <w:rPr>
          <w:rFonts w:ascii="仿宋_GB2312" w:eastAsia="仿宋_GB2312"/>
          <w:sz w:val="32"/>
          <w:szCs w:val="32"/>
        </w:rPr>
        <w:t>已完工工程量清单预算表</w:t>
      </w:r>
      <w:r>
        <w:rPr>
          <w:rFonts w:hint="eastAsia" w:ascii="仿宋_GB2312" w:eastAsia="仿宋_GB2312"/>
          <w:sz w:val="32"/>
          <w:szCs w:val="32"/>
        </w:rPr>
        <w:t>及</w:t>
      </w:r>
      <w:r>
        <w:rPr>
          <w:rFonts w:ascii="仿宋_GB2312" w:eastAsia="仿宋_GB2312"/>
          <w:sz w:val="32"/>
          <w:szCs w:val="32"/>
        </w:rPr>
        <w:t>请款说明。</w:t>
      </w:r>
    </w:p>
    <w:p w14:paraId="0C2C271A">
      <w:pPr>
        <w:spacing w:line="560" w:lineRule="exact"/>
        <w:ind w:firstLine="643" w:firstLineChars="200"/>
        <w:rPr>
          <w:rFonts w:ascii="仿宋_GB2312" w:eastAsia="仿宋_GB2312"/>
          <w:b/>
          <w:sz w:val="32"/>
          <w:szCs w:val="32"/>
        </w:rPr>
      </w:pPr>
      <w:r>
        <w:rPr>
          <w:rFonts w:ascii="仿宋_GB2312" w:eastAsia="仿宋_GB2312"/>
          <w:b/>
          <w:sz w:val="32"/>
          <w:szCs w:val="32"/>
        </w:rPr>
        <w:t>3</w:t>
      </w:r>
      <w:r>
        <w:rPr>
          <w:rFonts w:hint="eastAsia" w:ascii="仿宋_GB2312" w:eastAsia="仿宋_GB2312"/>
          <w:b/>
          <w:sz w:val="32"/>
          <w:szCs w:val="32"/>
        </w:rPr>
        <w:t>.项目施</w:t>
      </w:r>
      <w:r>
        <w:rPr>
          <w:rFonts w:ascii="仿宋_GB2312" w:eastAsia="仿宋_GB2312"/>
          <w:b/>
          <w:sz w:val="32"/>
          <w:szCs w:val="32"/>
        </w:rPr>
        <w:t>工进度缓慢，延期交工两年之久。</w:t>
      </w:r>
    </w:p>
    <w:p w14:paraId="4854394D">
      <w:pPr>
        <w:spacing w:line="560" w:lineRule="exact"/>
        <w:ind w:firstLine="640" w:firstLineChars="200"/>
        <w:rPr>
          <w:rFonts w:ascii="仿宋_GB2312" w:hAnsi="黑体" w:eastAsia="仿宋_GB2312"/>
          <w:sz w:val="32"/>
          <w:szCs w:val="32"/>
        </w:rPr>
      </w:pPr>
      <w:r>
        <w:rPr>
          <w:rFonts w:hint="eastAsia" w:ascii="仿宋_GB2312" w:eastAsia="仿宋_GB2312"/>
          <w:sz w:val="32"/>
          <w:szCs w:val="32"/>
        </w:rPr>
        <w:t>该</w:t>
      </w:r>
      <w:r>
        <w:rPr>
          <w:rFonts w:ascii="仿宋_GB2312" w:eastAsia="仿宋_GB2312"/>
          <w:sz w:val="32"/>
          <w:szCs w:val="32"/>
        </w:rPr>
        <w:t>项目建设期为</w:t>
      </w:r>
      <w:r>
        <w:rPr>
          <w:rFonts w:hint="eastAsia" w:ascii="仿宋_GB2312" w:eastAsia="仿宋_GB2312"/>
          <w:sz w:val="32"/>
          <w:szCs w:val="32"/>
        </w:rPr>
        <w:t>2019年7月-2020年9月</w:t>
      </w:r>
      <w:r>
        <w:rPr>
          <w:rFonts w:ascii="仿宋_GB2312" w:eastAsia="仿宋_GB2312"/>
          <w:sz w:val="32"/>
          <w:szCs w:val="32"/>
        </w:rPr>
        <w:t>，</w:t>
      </w:r>
      <w:r>
        <w:rPr>
          <w:rFonts w:hint="eastAsia" w:ascii="仿宋_GB2312" w:eastAsia="仿宋_GB2312"/>
          <w:sz w:val="32"/>
          <w:szCs w:val="32"/>
        </w:rPr>
        <w:t>因</w:t>
      </w:r>
      <w:r>
        <w:rPr>
          <w:rFonts w:ascii="仿宋_GB2312" w:eastAsia="仿宋_GB2312"/>
          <w:sz w:val="32"/>
          <w:szCs w:val="32"/>
        </w:rPr>
        <w:t>受</w:t>
      </w:r>
      <w:r>
        <w:rPr>
          <w:rFonts w:hint="eastAsia" w:ascii="仿宋_GB2312" w:eastAsia="仿宋_GB2312"/>
          <w:sz w:val="32"/>
          <w:szCs w:val="32"/>
        </w:rPr>
        <w:t>2020年</w:t>
      </w:r>
      <w:r>
        <w:rPr>
          <w:rFonts w:ascii="仿宋_GB2312" w:eastAsia="仿宋_GB2312"/>
          <w:sz w:val="32"/>
          <w:szCs w:val="32"/>
        </w:rPr>
        <w:t>度疫情影响，施工单位不能在约定的工期交工</w:t>
      </w:r>
      <w:r>
        <w:rPr>
          <w:rFonts w:hint="eastAsia" w:ascii="仿宋_GB2312" w:eastAsia="仿宋_GB2312"/>
          <w:sz w:val="32"/>
          <w:szCs w:val="32"/>
        </w:rPr>
        <w:t>。</w:t>
      </w:r>
      <w:r>
        <w:rPr>
          <w:rFonts w:ascii="仿宋_GB2312" w:eastAsia="仿宋_GB2312"/>
          <w:sz w:val="32"/>
          <w:szCs w:val="32"/>
        </w:rPr>
        <w:t>经协商</w:t>
      </w:r>
      <w:r>
        <w:rPr>
          <w:rFonts w:hint="eastAsia" w:ascii="仿宋_GB2312" w:eastAsia="仿宋_GB2312"/>
          <w:sz w:val="32"/>
          <w:szCs w:val="32"/>
        </w:rPr>
        <w:t>，塔城地区机关事务管理局与</w:t>
      </w:r>
      <w:r>
        <w:rPr>
          <w:rFonts w:ascii="仿宋_GB2312" w:eastAsia="仿宋_GB2312"/>
          <w:sz w:val="32"/>
          <w:szCs w:val="32"/>
        </w:rPr>
        <w:t>施工方</w:t>
      </w:r>
      <w:r>
        <w:rPr>
          <w:rFonts w:hint="eastAsia" w:ascii="仿宋_GB2312" w:eastAsia="仿宋_GB2312"/>
          <w:sz w:val="32"/>
          <w:szCs w:val="32"/>
        </w:rPr>
        <w:t>于2020年12月2日</w:t>
      </w:r>
      <w:r>
        <w:rPr>
          <w:rFonts w:ascii="仿宋_GB2312" w:eastAsia="仿宋_GB2312"/>
          <w:sz w:val="32"/>
          <w:szCs w:val="32"/>
        </w:rPr>
        <w:t>签订了补充协议，将工程工期顺延至</w:t>
      </w:r>
      <w:r>
        <w:rPr>
          <w:rFonts w:hint="eastAsia" w:ascii="仿宋_GB2312" w:eastAsia="仿宋_GB2312"/>
          <w:sz w:val="32"/>
          <w:szCs w:val="32"/>
        </w:rPr>
        <w:t>2021年10月30日</w:t>
      </w:r>
      <w:r>
        <w:rPr>
          <w:rFonts w:ascii="仿宋_GB2312" w:eastAsia="仿宋_GB2312"/>
          <w:sz w:val="32"/>
          <w:szCs w:val="32"/>
        </w:rPr>
        <w:t>交工</w:t>
      </w:r>
      <w:r>
        <w:rPr>
          <w:rFonts w:hint="eastAsia" w:ascii="仿宋_GB2312" w:eastAsia="仿宋_GB2312"/>
          <w:sz w:val="32"/>
          <w:szCs w:val="32"/>
        </w:rPr>
        <w:t>。</w:t>
      </w:r>
      <w:r>
        <w:rPr>
          <w:rFonts w:ascii="仿宋_GB2312" w:eastAsia="仿宋_GB2312"/>
          <w:sz w:val="32"/>
          <w:szCs w:val="32"/>
        </w:rPr>
        <w:t>据核实，该项目于</w:t>
      </w:r>
      <w:r>
        <w:rPr>
          <w:rFonts w:hint="eastAsia" w:ascii="仿宋_GB2312" w:eastAsia="仿宋_GB2312"/>
          <w:sz w:val="32"/>
          <w:szCs w:val="32"/>
        </w:rPr>
        <w:t>2022年9月30日</w:t>
      </w:r>
      <w:r>
        <w:rPr>
          <w:rFonts w:ascii="仿宋_GB2312" w:eastAsia="仿宋_GB2312"/>
          <w:sz w:val="32"/>
          <w:szCs w:val="32"/>
        </w:rPr>
        <w:t>交工。</w:t>
      </w:r>
    </w:p>
    <w:p w14:paraId="724E74FE">
      <w:pPr>
        <w:spacing w:line="56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（三）项目产出方面问题</w:t>
      </w:r>
    </w:p>
    <w:p w14:paraId="2B2697D6">
      <w:pPr>
        <w:spacing w:line="560" w:lineRule="exact"/>
        <w:ind w:firstLine="643" w:firstLineChars="200"/>
        <w:rPr>
          <w:rFonts w:ascii="仿宋_GB2312" w:hAnsi="黑体" w:eastAsia="仿宋_GB2312"/>
          <w:sz w:val="32"/>
          <w:szCs w:val="32"/>
        </w:rPr>
      </w:pPr>
      <w:r>
        <w:rPr>
          <w:rFonts w:hint="eastAsia" w:ascii="仿宋_GB2312" w:hAnsi="黑体" w:eastAsia="仿宋_GB2312"/>
          <w:b/>
          <w:sz w:val="32"/>
          <w:szCs w:val="32"/>
        </w:rPr>
        <w:t>项目</w:t>
      </w:r>
      <w:r>
        <w:rPr>
          <w:rFonts w:ascii="仿宋_GB2312" w:hAnsi="黑体" w:eastAsia="仿宋_GB2312"/>
          <w:b/>
          <w:sz w:val="32"/>
          <w:szCs w:val="32"/>
        </w:rPr>
        <w:t>自评与真实情况不符。</w:t>
      </w:r>
      <w:r>
        <w:rPr>
          <w:rFonts w:ascii="仿宋_GB2312" w:hAnsi="黑体" w:eastAsia="仿宋_GB2312"/>
          <w:sz w:val="32"/>
          <w:szCs w:val="32"/>
        </w:rPr>
        <w:t>经调查，</w:t>
      </w:r>
      <w:r>
        <w:rPr>
          <w:rFonts w:hint="eastAsia" w:ascii="仿宋_GB2312" w:eastAsia="仿宋_GB2312"/>
          <w:sz w:val="32"/>
          <w:szCs w:val="32"/>
        </w:rPr>
        <w:t>塔城地区机关事务管理局在</w:t>
      </w:r>
      <w:r>
        <w:rPr>
          <w:rFonts w:ascii="仿宋_GB2312" w:hAnsi="黑体" w:eastAsia="仿宋_GB2312"/>
          <w:sz w:val="32"/>
          <w:szCs w:val="32"/>
        </w:rPr>
        <w:t>自评表中</w:t>
      </w:r>
      <w:r>
        <w:rPr>
          <w:rFonts w:hint="eastAsia" w:ascii="仿宋_GB2312" w:hAnsi="黑体" w:eastAsia="仿宋_GB2312"/>
          <w:sz w:val="32"/>
          <w:szCs w:val="32"/>
        </w:rPr>
        <w:t>填</w:t>
      </w:r>
      <w:r>
        <w:rPr>
          <w:rFonts w:ascii="仿宋_GB2312" w:hAnsi="黑体" w:eastAsia="仿宋_GB2312"/>
          <w:sz w:val="32"/>
          <w:szCs w:val="32"/>
        </w:rPr>
        <w:t>报</w:t>
      </w:r>
      <w:r>
        <w:rPr>
          <w:rFonts w:hint="eastAsia" w:ascii="仿宋_GB2312" w:hAnsi="黑体" w:eastAsia="仿宋_GB2312"/>
          <w:sz w:val="32"/>
          <w:szCs w:val="32"/>
        </w:rPr>
        <w:t>“制作楼号门牌号”</w:t>
      </w:r>
      <w:r>
        <w:rPr>
          <w:rFonts w:hint="eastAsia"/>
        </w:rPr>
        <w:t xml:space="preserve"> </w:t>
      </w:r>
      <w:r>
        <w:rPr>
          <w:rFonts w:hint="eastAsia" w:ascii="仿宋_GB2312" w:hAnsi="黑体" w:eastAsia="仿宋_GB2312"/>
          <w:sz w:val="32"/>
          <w:szCs w:val="32"/>
        </w:rPr>
        <w:t>“项目验收合格率”两</w:t>
      </w:r>
      <w:r>
        <w:rPr>
          <w:rFonts w:ascii="仿宋_GB2312" w:hAnsi="黑体" w:eastAsia="仿宋_GB2312"/>
          <w:sz w:val="32"/>
          <w:szCs w:val="32"/>
        </w:rPr>
        <w:t>个指标的完成情况</w:t>
      </w:r>
      <w:r>
        <w:rPr>
          <w:rFonts w:hint="eastAsia" w:ascii="仿宋_GB2312" w:hAnsi="黑体" w:eastAsia="仿宋_GB2312"/>
          <w:sz w:val="32"/>
          <w:szCs w:val="32"/>
        </w:rPr>
        <w:t>与</w:t>
      </w:r>
      <w:r>
        <w:rPr>
          <w:rFonts w:ascii="仿宋_GB2312" w:hAnsi="黑体" w:eastAsia="仿宋_GB2312"/>
          <w:sz w:val="32"/>
          <w:szCs w:val="32"/>
        </w:rPr>
        <w:t>实际</w:t>
      </w:r>
      <w:r>
        <w:rPr>
          <w:rFonts w:hint="eastAsia" w:ascii="仿宋_GB2312" w:hAnsi="黑体" w:eastAsia="仿宋_GB2312"/>
          <w:sz w:val="32"/>
          <w:szCs w:val="32"/>
        </w:rPr>
        <w:t>不</w:t>
      </w:r>
      <w:r>
        <w:rPr>
          <w:rFonts w:ascii="仿宋_GB2312" w:hAnsi="黑体" w:eastAsia="仿宋_GB2312"/>
          <w:sz w:val="32"/>
          <w:szCs w:val="32"/>
        </w:rPr>
        <w:t>相符</w:t>
      </w:r>
      <w:r>
        <w:rPr>
          <w:rFonts w:hint="eastAsia" w:ascii="仿宋_GB2312" w:hAnsi="黑体" w:eastAsia="仿宋_GB2312"/>
          <w:sz w:val="32"/>
          <w:szCs w:val="32"/>
        </w:rPr>
        <w:t>。</w:t>
      </w:r>
    </w:p>
    <w:p w14:paraId="747352E3">
      <w:pPr>
        <w:spacing w:line="560" w:lineRule="exact"/>
        <w:ind w:firstLine="640" w:firstLineChars="200"/>
        <w:rPr>
          <w:rFonts w:ascii="黑体" w:hAnsi="黑体" w:eastAsia="黑体"/>
          <w:sz w:val="32"/>
          <w:szCs w:val="32"/>
        </w:rPr>
      </w:pPr>
      <w:r>
        <w:rPr>
          <w:rFonts w:hint="eastAsia" w:ascii="黑体" w:hAnsi="黑体" w:eastAsia="黑体"/>
          <w:sz w:val="32"/>
          <w:szCs w:val="32"/>
        </w:rPr>
        <w:t>六</w:t>
      </w:r>
      <w:r>
        <w:rPr>
          <w:rFonts w:ascii="黑体" w:hAnsi="黑体" w:eastAsia="黑体"/>
          <w:sz w:val="32"/>
          <w:szCs w:val="32"/>
        </w:rPr>
        <w:t>、</w:t>
      </w:r>
      <w:r>
        <w:rPr>
          <w:rFonts w:hint="eastAsia" w:ascii="黑体" w:hAnsi="黑体" w:eastAsia="黑体"/>
          <w:sz w:val="32"/>
          <w:szCs w:val="32"/>
        </w:rPr>
        <w:t>意见建议</w:t>
      </w:r>
    </w:p>
    <w:p w14:paraId="46F1FB38">
      <w:pPr>
        <w:spacing w:line="56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（一）加强绩效目标管理，提高绩效目标设置的科学性</w:t>
      </w:r>
    </w:p>
    <w:p w14:paraId="38207D3F">
      <w:pPr>
        <w:spacing w:line="560" w:lineRule="exact"/>
        <w:ind w:firstLine="640" w:firstLineChars="200"/>
        <w:rPr>
          <w:rFonts w:ascii="黑体" w:hAnsi="黑体" w:eastAsia="黑体"/>
          <w:sz w:val="32"/>
          <w:szCs w:val="32"/>
        </w:rPr>
      </w:pPr>
      <w:r>
        <w:rPr>
          <w:rFonts w:hint="eastAsia" w:ascii="仿宋_GB2312" w:hAnsi="黑体" w:eastAsia="仿宋_GB2312"/>
          <w:sz w:val="32"/>
          <w:szCs w:val="32"/>
        </w:rPr>
        <w:t>针对部分绩效目标设置不够完</w:t>
      </w:r>
      <w:r>
        <w:rPr>
          <w:rFonts w:ascii="仿宋_GB2312" w:hAnsi="黑体" w:eastAsia="仿宋_GB2312"/>
          <w:sz w:val="32"/>
          <w:szCs w:val="32"/>
        </w:rPr>
        <w:t>整</w:t>
      </w:r>
      <w:r>
        <w:rPr>
          <w:rFonts w:hint="eastAsia" w:ascii="仿宋_GB2312" w:hAnsi="黑体" w:eastAsia="仿宋_GB2312"/>
          <w:sz w:val="32"/>
          <w:szCs w:val="32"/>
        </w:rPr>
        <w:t>的问题，建议</w:t>
      </w:r>
      <w:r>
        <w:rPr>
          <w:rFonts w:hint="eastAsia" w:ascii="仿宋_GB2312" w:eastAsia="仿宋_GB2312"/>
          <w:sz w:val="32"/>
          <w:szCs w:val="32"/>
        </w:rPr>
        <w:t>塔城地区机关事务管理局</w:t>
      </w:r>
      <w:r>
        <w:rPr>
          <w:rFonts w:hint="eastAsia" w:ascii="仿宋_GB2312" w:hAnsi="黑体" w:eastAsia="仿宋_GB2312"/>
          <w:sz w:val="32"/>
          <w:szCs w:val="32"/>
        </w:rPr>
        <w:t>加强项目目标研究和学习，提升绩效目标管理水平。在项目申报阶段，认真研究项目特点，设置科学、合理的绩效目标。</w:t>
      </w:r>
    </w:p>
    <w:p w14:paraId="56DC0F7A">
      <w:pPr>
        <w:spacing w:line="56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（二）加强项目过程管理</w:t>
      </w:r>
    </w:p>
    <w:p w14:paraId="20C4E4E2">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建议</w:t>
      </w:r>
      <w:r>
        <w:rPr>
          <w:rFonts w:hint="eastAsia" w:ascii="仿宋_GB2312" w:eastAsia="仿宋_GB2312"/>
          <w:sz w:val="32"/>
          <w:szCs w:val="32"/>
        </w:rPr>
        <w:t>塔城地区机关事务管理局</w:t>
      </w:r>
      <w:r>
        <w:rPr>
          <w:rFonts w:hint="eastAsia" w:ascii="仿宋_GB2312" w:hAnsi="黑体" w:eastAsia="仿宋_GB2312"/>
          <w:sz w:val="32"/>
          <w:szCs w:val="32"/>
        </w:rPr>
        <w:t>加</w:t>
      </w:r>
      <w:r>
        <w:rPr>
          <w:rFonts w:ascii="仿宋_GB2312" w:hAnsi="黑体" w:eastAsia="仿宋_GB2312"/>
          <w:sz w:val="32"/>
          <w:szCs w:val="32"/>
        </w:rPr>
        <w:t>强</w:t>
      </w:r>
      <w:r>
        <w:rPr>
          <w:rFonts w:hint="eastAsia" w:ascii="仿宋_GB2312" w:hAnsi="黑体" w:eastAsia="仿宋_GB2312"/>
          <w:sz w:val="32"/>
          <w:szCs w:val="32"/>
        </w:rPr>
        <w:t>项目</w:t>
      </w:r>
      <w:r>
        <w:rPr>
          <w:rFonts w:ascii="仿宋_GB2312" w:hAnsi="黑体" w:eastAsia="仿宋_GB2312"/>
          <w:sz w:val="32"/>
          <w:szCs w:val="32"/>
        </w:rPr>
        <w:t>过程管理，在</w:t>
      </w:r>
      <w:r>
        <w:rPr>
          <w:rFonts w:hint="eastAsia" w:ascii="仿宋_GB2312" w:hAnsi="黑体" w:eastAsia="仿宋_GB2312"/>
          <w:sz w:val="32"/>
          <w:szCs w:val="32"/>
        </w:rPr>
        <w:t>项目</w:t>
      </w:r>
      <w:r>
        <w:rPr>
          <w:rFonts w:ascii="仿宋_GB2312" w:hAnsi="黑体" w:eastAsia="仿宋_GB2312"/>
          <w:sz w:val="32"/>
          <w:szCs w:val="32"/>
        </w:rPr>
        <w:t>实施过程中严格执行单位制定的各项规章制度</w:t>
      </w:r>
      <w:r>
        <w:rPr>
          <w:rFonts w:hint="eastAsia" w:ascii="仿宋_GB2312" w:hAnsi="黑体" w:eastAsia="仿宋_GB2312"/>
          <w:sz w:val="32"/>
          <w:szCs w:val="32"/>
        </w:rPr>
        <w:t>。加</w:t>
      </w:r>
      <w:r>
        <w:rPr>
          <w:rFonts w:ascii="仿宋_GB2312" w:hAnsi="黑体" w:eastAsia="仿宋_GB2312"/>
          <w:sz w:val="32"/>
          <w:szCs w:val="32"/>
        </w:rPr>
        <w:t>强监管力度，</w:t>
      </w:r>
      <w:r>
        <w:rPr>
          <w:rFonts w:hint="eastAsia" w:ascii="仿宋_GB2312" w:hAnsi="黑体" w:eastAsia="仿宋_GB2312"/>
          <w:sz w:val="32"/>
          <w:szCs w:val="32"/>
        </w:rPr>
        <w:t>持续</w:t>
      </w:r>
      <w:r>
        <w:rPr>
          <w:rFonts w:ascii="仿宋_GB2312" w:hAnsi="黑体" w:eastAsia="仿宋_GB2312"/>
          <w:sz w:val="32"/>
          <w:szCs w:val="32"/>
        </w:rPr>
        <w:t>监管好</w:t>
      </w:r>
      <w:r>
        <w:rPr>
          <w:rFonts w:hint="eastAsia" w:ascii="仿宋_GB2312" w:hAnsi="黑体" w:eastAsia="仿宋_GB2312"/>
          <w:sz w:val="32"/>
          <w:szCs w:val="32"/>
        </w:rPr>
        <w:t>项目</w:t>
      </w:r>
      <w:r>
        <w:rPr>
          <w:rFonts w:ascii="仿宋_GB2312" w:hAnsi="黑体" w:eastAsia="仿宋_GB2312"/>
          <w:sz w:val="32"/>
          <w:szCs w:val="32"/>
        </w:rPr>
        <w:t>实施的各个环节。</w:t>
      </w:r>
    </w:p>
    <w:p w14:paraId="44173556">
      <w:pPr>
        <w:spacing w:line="56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（三）强</w:t>
      </w:r>
      <w:r>
        <w:rPr>
          <w:rFonts w:ascii="楷体_GB2312" w:hAnsi="黑体" w:eastAsia="楷体_GB2312"/>
          <w:b/>
          <w:sz w:val="32"/>
          <w:szCs w:val="32"/>
        </w:rPr>
        <w:t>化</w:t>
      </w:r>
      <w:r>
        <w:rPr>
          <w:rFonts w:hint="eastAsia" w:ascii="楷体_GB2312" w:hAnsi="黑体" w:eastAsia="楷体_GB2312"/>
          <w:b/>
          <w:sz w:val="32"/>
          <w:szCs w:val="32"/>
        </w:rPr>
        <w:t>绩</w:t>
      </w:r>
      <w:r>
        <w:rPr>
          <w:rFonts w:ascii="楷体_GB2312" w:hAnsi="黑体" w:eastAsia="楷体_GB2312"/>
          <w:b/>
          <w:sz w:val="32"/>
          <w:szCs w:val="32"/>
        </w:rPr>
        <w:t>效管理责任意识，提高预算绩效管理能力</w:t>
      </w:r>
    </w:p>
    <w:p w14:paraId="5F9157B1">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牢固</w:t>
      </w:r>
      <w:r>
        <w:rPr>
          <w:rFonts w:ascii="仿宋_GB2312" w:hAnsi="黑体" w:eastAsia="仿宋_GB2312"/>
          <w:sz w:val="32"/>
          <w:szCs w:val="32"/>
        </w:rPr>
        <w:t>树立绩效管理理念，</w:t>
      </w:r>
      <w:r>
        <w:rPr>
          <w:rFonts w:hint="eastAsia" w:ascii="仿宋_GB2312" w:hAnsi="黑体" w:eastAsia="仿宋_GB2312"/>
          <w:sz w:val="32"/>
          <w:szCs w:val="32"/>
        </w:rPr>
        <w:t>按照</w:t>
      </w:r>
      <w:r>
        <w:rPr>
          <w:rFonts w:ascii="仿宋_GB2312" w:hAnsi="黑体" w:eastAsia="仿宋_GB2312"/>
          <w:sz w:val="32"/>
          <w:szCs w:val="32"/>
        </w:rPr>
        <w:t>“</w:t>
      </w:r>
      <w:r>
        <w:rPr>
          <w:rFonts w:hint="eastAsia" w:ascii="仿宋_GB2312" w:hAnsi="黑体" w:eastAsia="仿宋_GB2312"/>
          <w:sz w:val="32"/>
          <w:szCs w:val="32"/>
        </w:rPr>
        <w:t>谁</w:t>
      </w:r>
      <w:r>
        <w:rPr>
          <w:rFonts w:ascii="仿宋_GB2312" w:hAnsi="黑体" w:eastAsia="仿宋_GB2312"/>
          <w:sz w:val="32"/>
          <w:szCs w:val="32"/>
        </w:rPr>
        <w:t>主管、谁使用、谁负责”</w:t>
      </w:r>
      <w:r>
        <w:rPr>
          <w:rFonts w:hint="eastAsia" w:ascii="仿宋_GB2312" w:hAnsi="黑体" w:eastAsia="仿宋_GB2312"/>
          <w:sz w:val="32"/>
          <w:szCs w:val="32"/>
        </w:rPr>
        <w:t>的</w:t>
      </w:r>
      <w:r>
        <w:rPr>
          <w:rFonts w:ascii="仿宋_GB2312" w:hAnsi="黑体" w:eastAsia="仿宋_GB2312"/>
          <w:sz w:val="32"/>
          <w:szCs w:val="32"/>
        </w:rPr>
        <w:t>原则，</w:t>
      </w:r>
      <w:r>
        <w:rPr>
          <w:rFonts w:hint="eastAsia" w:ascii="仿宋_GB2312" w:hAnsi="黑体" w:eastAsia="仿宋_GB2312"/>
          <w:sz w:val="32"/>
          <w:szCs w:val="32"/>
        </w:rPr>
        <w:t>加</w:t>
      </w:r>
      <w:r>
        <w:rPr>
          <w:rFonts w:ascii="仿宋_GB2312" w:hAnsi="黑体" w:eastAsia="仿宋_GB2312"/>
          <w:sz w:val="32"/>
          <w:szCs w:val="32"/>
        </w:rPr>
        <w:t>大绩效管理知识的培训力度，提升各单位对绩效理念的认知，</w:t>
      </w:r>
      <w:r>
        <w:rPr>
          <w:rFonts w:hint="eastAsia" w:ascii="仿宋_GB2312" w:hAnsi="黑体" w:eastAsia="仿宋_GB2312"/>
          <w:sz w:val="32"/>
          <w:szCs w:val="32"/>
        </w:rPr>
        <w:t>进</w:t>
      </w:r>
      <w:r>
        <w:rPr>
          <w:rFonts w:ascii="仿宋_GB2312" w:hAnsi="黑体" w:eastAsia="仿宋_GB2312"/>
          <w:sz w:val="32"/>
          <w:szCs w:val="32"/>
        </w:rPr>
        <w:t>一步提高绩效工作方式、方法，</w:t>
      </w:r>
      <w:r>
        <w:rPr>
          <w:rFonts w:hint="eastAsia" w:ascii="仿宋_GB2312" w:hAnsi="黑体" w:eastAsia="仿宋_GB2312"/>
          <w:sz w:val="32"/>
          <w:szCs w:val="32"/>
        </w:rPr>
        <w:t>将</w:t>
      </w:r>
      <w:r>
        <w:rPr>
          <w:rFonts w:ascii="仿宋_GB2312" w:hAnsi="黑体" w:eastAsia="仿宋_GB2312"/>
          <w:sz w:val="32"/>
          <w:szCs w:val="32"/>
        </w:rPr>
        <w:t>已完成的所有工</w:t>
      </w:r>
      <w:r>
        <w:rPr>
          <w:rFonts w:hint="eastAsia" w:ascii="仿宋_GB2312" w:hAnsi="黑体" w:eastAsia="仿宋_GB2312"/>
          <w:sz w:val="32"/>
          <w:szCs w:val="32"/>
        </w:rPr>
        <w:t>作</w:t>
      </w:r>
      <w:r>
        <w:rPr>
          <w:rFonts w:ascii="仿宋_GB2312" w:hAnsi="黑体" w:eastAsia="仿宋_GB2312"/>
          <w:sz w:val="32"/>
          <w:szCs w:val="32"/>
        </w:rPr>
        <w:t>绩效成果充分体现，持续监</w:t>
      </w:r>
      <w:r>
        <w:rPr>
          <w:rFonts w:hint="eastAsia" w:ascii="仿宋_GB2312" w:hAnsi="黑体" w:eastAsia="仿宋_GB2312"/>
          <w:sz w:val="32"/>
          <w:szCs w:val="32"/>
        </w:rPr>
        <w:t>管</w:t>
      </w:r>
      <w:r>
        <w:rPr>
          <w:rFonts w:ascii="仿宋_GB2312" w:hAnsi="黑体" w:eastAsia="仿宋_GB2312"/>
          <w:sz w:val="32"/>
          <w:szCs w:val="32"/>
        </w:rPr>
        <w:t>好各个环节的正常开展，保障自评结果真实</w:t>
      </w:r>
      <w:r>
        <w:rPr>
          <w:rFonts w:hint="eastAsia" w:ascii="仿宋_GB2312" w:hAnsi="黑体" w:eastAsia="仿宋_GB2312"/>
          <w:sz w:val="32"/>
          <w:szCs w:val="32"/>
        </w:rPr>
        <w:t>有</w:t>
      </w:r>
      <w:r>
        <w:rPr>
          <w:rFonts w:ascii="仿宋_GB2312" w:hAnsi="黑体" w:eastAsia="仿宋_GB2312"/>
          <w:sz w:val="32"/>
          <w:szCs w:val="32"/>
        </w:rPr>
        <w:t>效。</w:t>
      </w:r>
    </w:p>
    <w:p w14:paraId="34FCED5E">
      <w:pPr>
        <w:spacing w:line="560" w:lineRule="exact"/>
        <w:ind w:firstLine="640" w:firstLineChars="200"/>
        <w:rPr>
          <w:rFonts w:ascii="黑体" w:hAnsi="黑体" w:eastAsia="黑体"/>
          <w:sz w:val="32"/>
          <w:szCs w:val="32"/>
        </w:rPr>
      </w:pPr>
      <w:r>
        <w:rPr>
          <w:rFonts w:hint="eastAsia" w:ascii="黑体" w:hAnsi="黑体" w:eastAsia="黑体"/>
          <w:sz w:val="32"/>
          <w:szCs w:val="32"/>
        </w:rPr>
        <w:t>七</w:t>
      </w:r>
      <w:r>
        <w:rPr>
          <w:rFonts w:ascii="黑体" w:hAnsi="黑体" w:eastAsia="黑体"/>
          <w:sz w:val="32"/>
          <w:szCs w:val="32"/>
        </w:rPr>
        <w:t>、其他需要说明的问题</w:t>
      </w:r>
    </w:p>
    <w:p w14:paraId="1CA7729B">
      <w:pPr>
        <w:spacing w:line="560" w:lineRule="exact"/>
        <w:ind w:firstLine="640" w:firstLineChars="200"/>
        <w:rPr>
          <w:rFonts w:ascii="仿宋_GB2312" w:eastAsia="仿宋_GB2312"/>
          <w:sz w:val="32"/>
          <w:szCs w:val="32"/>
        </w:rPr>
      </w:pPr>
      <w:r>
        <w:rPr>
          <w:rFonts w:hint="eastAsia" w:ascii="仿宋_GB2312" w:eastAsia="仿宋_GB2312"/>
          <w:sz w:val="32"/>
          <w:szCs w:val="32"/>
        </w:rPr>
        <w:t>本</w:t>
      </w:r>
      <w:r>
        <w:rPr>
          <w:rFonts w:ascii="仿宋_GB2312" w:eastAsia="仿宋_GB2312"/>
          <w:sz w:val="32"/>
          <w:szCs w:val="32"/>
        </w:rPr>
        <w:t>次评价涉</w:t>
      </w:r>
      <w:r>
        <w:rPr>
          <w:rFonts w:hint="eastAsia" w:ascii="仿宋_GB2312" w:eastAsia="仿宋_GB2312"/>
          <w:sz w:val="32"/>
          <w:szCs w:val="32"/>
        </w:rPr>
        <w:t>及</w:t>
      </w:r>
      <w:r>
        <w:rPr>
          <w:rFonts w:ascii="仿宋_GB2312" w:eastAsia="仿宋_GB2312"/>
          <w:sz w:val="32"/>
          <w:szCs w:val="32"/>
        </w:rPr>
        <w:t>的相关数据由</w:t>
      </w:r>
      <w:r>
        <w:rPr>
          <w:rFonts w:hint="eastAsia" w:ascii="仿宋_GB2312" w:eastAsia="仿宋_GB2312"/>
          <w:sz w:val="32"/>
          <w:szCs w:val="32"/>
        </w:rPr>
        <w:t>塔城地区机关事务管理局</w:t>
      </w:r>
      <w:r>
        <w:rPr>
          <w:rFonts w:ascii="仿宋_GB2312" w:eastAsia="仿宋_GB2312"/>
          <w:sz w:val="32"/>
          <w:szCs w:val="32"/>
        </w:rPr>
        <w:t>提供的资料中提取。评价组在对本次评价中发现的问题存在局限性，可能影响本次评价结果。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66F7B2-8851-4C68-99D8-8C7E42EB03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26869974-7F3D-4382-B253-AA8A08A31027}"/>
  </w:font>
  <w:font w:name="仿宋_GB2312">
    <w:altName w:val="仿宋"/>
    <w:panose1 w:val="02010609030101010101"/>
    <w:charset w:val="86"/>
    <w:family w:val="modern"/>
    <w:pitch w:val="default"/>
    <w:sig w:usb0="00000000" w:usb1="00000000" w:usb2="00000000" w:usb3="00000000" w:csb0="00040000" w:csb1="00000000"/>
    <w:embedRegular r:id="rId3" w:fontKey="{614924D5-F5FD-42F6-B2E2-5109BD14707B}"/>
  </w:font>
  <w:font w:name="等线 Light">
    <w:panose1 w:val="02010600030101010101"/>
    <w:charset w:val="86"/>
    <w:family w:val="roman"/>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方正小标宋简体">
    <w:panose1 w:val="02000000000000000000"/>
    <w:charset w:val="86"/>
    <w:family w:val="script"/>
    <w:pitch w:val="default"/>
    <w:sig w:usb0="00000001" w:usb1="08000000" w:usb2="00000000" w:usb3="00000000" w:csb0="00040000" w:csb1="00000000"/>
    <w:embedRegular r:id="rId4" w:fontKey="{9B1770D4-5F27-4C84-B1DE-BB77FE44A3CA}"/>
  </w:font>
  <w:font w:name="楷体_GB2312">
    <w:altName w:val="楷体"/>
    <w:panose1 w:val="02010609030101010101"/>
    <w:charset w:val="86"/>
    <w:family w:val="modern"/>
    <w:pitch w:val="default"/>
    <w:sig w:usb0="00000000" w:usb1="00000000" w:usb2="00000000" w:usb3="00000000" w:csb0="00040000" w:csb1="00000000"/>
    <w:embedRegular r:id="rId5" w:fontKey="{210D2256-A1A2-44BE-83DD-071079F01084}"/>
  </w:font>
  <w:font w:name="微软雅黑">
    <w:panose1 w:val="020B0503020204020204"/>
    <w:charset w:val="86"/>
    <w:family w:val="swiss"/>
    <w:pitch w:val="default"/>
    <w:sig w:usb0="80000287" w:usb1="2ACF3C50" w:usb2="00000016" w:usb3="00000000" w:csb0="0004001F" w:csb1="00000000"/>
    <w:embedRegular r:id="rId6" w:fontKey="{7F166C7B-9462-495D-8B2E-5A6812C8CE86}"/>
  </w:font>
  <w:font w:name="楷体">
    <w:panose1 w:val="02010609060101010101"/>
    <w:charset w:val="86"/>
    <w:family w:val="auto"/>
    <w:pitch w:val="default"/>
    <w:sig w:usb0="800002BF" w:usb1="38CF7CFA" w:usb2="00000016" w:usb3="00000000" w:csb0="00040001" w:csb1="00000000"/>
    <w:embedRegular r:id="rId7" w:fontKey="{3EACF90E-1891-466B-B486-3FD80E7ECD37}"/>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FC3"/>
    <w:rsid w:val="000744E5"/>
    <w:rsid w:val="00077CB3"/>
    <w:rsid w:val="000C6E5F"/>
    <w:rsid w:val="000E467F"/>
    <w:rsid w:val="001530F5"/>
    <w:rsid w:val="00154824"/>
    <w:rsid w:val="00197DC7"/>
    <w:rsid w:val="001A6FC3"/>
    <w:rsid w:val="001C7B15"/>
    <w:rsid w:val="001F5411"/>
    <w:rsid w:val="0030631D"/>
    <w:rsid w:val="003A6384"/>
    <w:rsid w:val="003C47AD"/>
    <w:rsid w:val="003D7DBD"/>
    <w:rsid w:val="004035CF"/>
    <w:rsid w:val="00487D99"/>
    <w:rsid w:val="00496316"/>
    <w:rsid w:val="004B29F8"/>
    <w:rsid w:val="004B67D1"/>
    <w:rsid w:val="004E352D"/>
    <w:rsid w:val="00564B70"/>
    <w:rsid w:val="005A74FD"/>
    <w:rsid w:val="005B4302"/>
    <w:rsid w:val="005C7AF6"/>
    <w:rsid w:val="006B2E8B"/>
    <w:rsid w:val="00715840"/>
    <w:rsid w:val="00733542"/>
    <w:rsid w:val="00787341"/>
    <w:rsid w:val="007C6CA2"/>
    <w:rsid w:val="008A2114"/>
    <w:rsid w:val="008D3027"/>
    <w:rsid w:val="00911890"/>
    <w:rsid w:val="00985561"/>
    <w:rsid w:val="009B2768"/>
    <w:rsid w:val="009F5C6B"/>
    <w:rsid w:val="00A0783C"/>
    <w:rsid w:val="00A11C4B"/>
    <w:rsid w:val="00A321FB"/>
    <w:rsid w:val="00AC14F5"/>
    <w:rsid w:val="00BC1EE4"/>
    <w:rsid w:val="00BD1624"/>
    <w:rsid w:val="00C00648"/>
    <w:rsid w:val="00C324C8"/>
    <w:rsid w:val="00C46B12"/>
    <w:rsid w:val="00C826D4"/>
    <w:rsid w:val="00CE50FB"/>
    <w:rsid w:val="00D17CD4"/>
    <w:rsid w:val="00D271BF"/>
    <w:rsid w:val="00D710D7"/>
    <w:rsid w:val="00D97BF6"/>
    <w:rsid w:val="00E94B6C"/>
    <w:rsid w:val="00FB1EFF"/>
    <w:rsid w:val="00FC3D28"/>
    <w:rsid w:val="5F8C3489"/>
    <w:rsid w:val="7C492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napToGrid w:val="0"/>
      <w:spacing w:before="340" w:after="330" w:line="578" w:lineRule="atLeast"/>
      <w:ind w:firstLine="883" w:firstLineChars="200"/>
      <w:outlineLvl w:val="0"/>
    </w:pPr>
    <w:rPr>
      <w:rFonts w:ascii="仿宋_GB2312" w:hAnsi="仿宋_GB2312" w:eastAsia="仿宋_GB2312" w:cs="Times New Roman"/>
      <w:b/>
      <w:bCs/>
      <w:kern w:val="44"/>
      <w:sz w:val="44"/>
      <w:szCs w:val="44"/>
    </w:rPr>
  </w:style>
  <w:style w:type="paragraph" w:styleId="3">
    <w:name w:val="heading 2"/>
    <w:basedOn w:val="1"/>
    <w:next w:val="1"/>
    <w:link w:val="8"/>
    <w:semiHidden/>
    <w:unhideWhenUsed/>
    <w:qFormat/>
    <w:uiPriority w:val="9"/>
    <w:pPr>
      <w:keepNext/>
      <w:keepLines/>
      <w:snapToGrid w:val="0"/>
      <w:spacing w:before="260" w:after="260" w:line="416" w:lineRule="atLeast"/>
      <w:ind w:firstLine="883" w:firstLineChars="200"/>
      <w:outlineLvl w:val="1"/>
    </w:pPr>
    <w:rPr>
      <w:rFonts w:asciiTheme="majorHAnsi" w:hAnsiTheme="majorHAnsi" w:eastAsiaTheme="majorEastAsia" w:cstheme="majorBidi"/>
      <w:b/>
      <w:bCs/>
      <w:sz w:val="32"/>
      <w:szCs w:val="32"/>
    </w:rPr>
  </w:style>
  <w:style w:type="paragraph" w:styleId="4">
    <w:name w:val="heading 3"/>
    <w:basedOn w:val="1"/>
    <w:next w:val="1"/>
    <w:link w:val="7"/>
    <w:unhideWhenUsed/>
    <w:qFormat/>
    <w:uiPriority w:val="9"/>
    <w:pPr>
      <w:keepNext/>
      <w:keepLines/>
      <w:snapToGrid w:val="0"/>
      <w:spacing w:before="260" w:after="260" w:line="416" w:lineRule="atLeast"/>
      <w:ind w:firstLine="883" w:firstLineChars="200"/>
      <w:outlineLvl w:val="2"/>
    </w:pPr>
    <w:rPr>
      <w:rFonts w:ascii="仿宋_GB2312" w:hAnsi="仿宋_GB2312" w:eastAsia="仿宋_GB2312" w:cs="Times New Roman"/>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customStyle="1" w:styleId="7">
    <w:name w:val="标题 3 字符"/>
    <w:basedOn w:val="6"/>
    <w:link w:val="4"/>
    <w:qFormat/>
    <w:uiPriority w:val="9"/>
    <w:rPr>
      <w:rFonts w:ascii="仿宋_GB2312" w:hAnsi="仿宋_GB2312" w:eastAsia="仿宋_GB2312" w:cs="Times New Roman"/>
      <w:b/>
      <w:bCs/>
      <w:sz w:val="32"/>
      <w:szCs w:val="32"/>
    </w:rPr>
  </w:style>
  <w:style w:type="character" w:customStyle="1" w:styleId="8">
    <w:name w:val="标题 2 字符"/>
    <w:basedOn w:val="6"/>
    <w:link w:val="3"/>
    <w:semiHidden/>
    <w:qFormat/>
    <w:uiPriority w:val="9"/>
    <w:rPr>
      <w:rFonts w:asciiTheme="majorHAnsi" w:hAnsiTheme="majorHAnsi" w:eastAsiaTheme="majorEastAsia" w:cstheme="majorBidi"/>
      <w:b/>
      <w:bCs/>
      <w:sz w:val="32"/>
      <w:szCs w:val="32"/>
    </w:rPr>
  </w:style>
  <w:style w:type="character" w:customStyle="1" w:styleId="9">
    <w:name w:val="标题 1 字符"/>
    <w:basedOn w:val="6"/>
    <w:link w:val="2"/>
    <w:qFormat/>
    <w:uiPriority w:val="9"/>
    <w:rPr>
      <w:rFonts w:ascii="仿宋_GB2312" w:hAnsi="仿宋_GB2312" w:eastAsia="仿宋_GB2312" w:cs="Times New Roman"/>
      <w:b/>
      <w:bCs/>
      <w:kern w:val="44"/>
      <w:sz w:val="44"/>
      <w:szCs w:val="44"/>
    </w:rPr>
  </w:style>
  <w:style w:type="paragraph" w:customStyle="1" w:styleId="10">
    <w:name w:val="正文 A"/>
    <w:qFormat/>
    <w:uiPriority w:val="99"/>
    <w:pPr>
      <w:widowControl w:val="0"/>
      <w:spacing w:before="50" w:after="50" w:line="360" w:lineRule="auto"/>
    </w:pPr>
    <w:rPr>
      <w:rFonts w:ascii="Times New Roman" w:hAnsi="Arial Unicode MS" w:eastAsia="Times New Roman" w:cs="Arial Unicode MS"/>
      <w:color w:val="000000"/>
      <w:kern w:val="2"/>
      <w:sz w:val="28"/>
      <w:szCs w:val="28"/>
      <w:u w:color="000000"/>
      <w:lang w:val="en-US" w:eastAsia="zh-CN" w:bidi="ar-SA"/>
    </w:rPr>
  </w:style>
  <w:style w:type="table" w:customStyle="1" w:styleId="11">
    <w:name w:val="Table Normal"/>
    <w:semiHidden/>
    <w:qFormat/>
    <w:uiPriority w:val="0"/>
    <w:tblPr>
      <w:tblCellMar>
        <w:top w:w="0" w:type="dxa"/>
        <w:left w:w="108" w:type="dxa"/>
        <w:bottom w:w="0" w:type="dxa"/>
        <w:right w:w="0" w:type="dxa"/>
      </w:tblCellMar>
    </w:tblPr>
  </w:style>
  <w:style w:type="paragraph" w:customStyle="1" w:styleId="12">
    <w:name w:val="无列表1"/>
    <w:semiHidden/>
    <w:qFormat/>
    <w:uiPriority w:val="0"/>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FF14426-FAF6-402F-A636-7792AE2889E1}">
  <ds:schemaRefs/>
</ds:datastoreItem>
</file>

<file path=docProps/app.xml><?xml version="1.0" encoding="utf-8"?>
<Properties xmlns="http://schemas.openxmlformats.org/officeDocument/2006/extended-properties" xmlns:vt="http://schemas.openxmlformats.org/officeDocument/2006/docPropsVTypes">
  <Template>Normal</Template>
  <Pages>20</Pages>
  <Words>9215</Words>
  <Characters>9821</Characters>
  <Lines>72</Lines>
  <Paragraphs>20</Paragraphs>
  <TotalTime>493</TotalTime>
  <ScaleCrop>false</ScaleCrop>
  <LinksUpToDate>false</LinksUpToDate>
  <CharactersWithSpaces>9842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2023-06-23T05:07:00Z</dcterms:created>
  <dc:creator>Administrator</dc:creator>
  <cp:lastModifiedBy>周而</cp:lastModifiedBy>
  <dcterms:modified xsi:type="dcterms:W3CDTF">2025-09-03T06:04:25Z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eyJoZGlkIjoiN2VjMGM4YTNmZTY1NDFjMWFjNmVmZmU0NDA2ZTk0ZmMiLCJ1c2VySWQiOiI4NjI1NDMxNDkifQ==</vt:lpwstr>
  </property>
  <property fmtid="{D5CDD505-2E9C-101B-9397-08002B2CF9AE}" pid="4" name="ICV">
    <vt:lpwstr>0B3DFFBA322F4819B0D62D80E0F85E52_12</vt:lpwstr>
  </property>
</Properties>
</file>