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D5E2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DCD7A6">
      <w:pPr>
        <w:spacing w:line="540" w:lineRule="exact"/>
        <w:jc w:val="center"/>
        <w:rPr>
          <w:rFonts w:ascii="华文中宋" w:hAnsi="华文中宋" w:eastAsia="华文中宋" w:cs="宋体"/>
          <w:b/>
          <w:kern w:val="0"/>
          <w:sz w:val="52"/>
          <w:szCs w:val="52"/>
        </w:rPr>
      </w:pPr>
    </w:p>
    <w:p w14:paraId="4247DD56">
      <w:pPr>
        <w:spacing w:line="540" w:lineRule="exact"/>
        <w:jc w:val="center"/>
        <w:rPr>
          <w:rFonts w:ascii="华文中宋" w:hAnsi="华文中宋" w:eastAsia="华文中宋" w:cs="宋体"/>
          <w:b/>
          <w:kern w:val="0"/>
          <w:sz w:val="52"/>
          <w:szCs w:val="52"/>
        </w:rPr>
      </w:pPr>
    </w:p>
    <w:p w14:paraId="62690499">
      <w:pPr>
        <w:spacing w:line="540" w:lineRule="exact"/>
        <w:jc w:val="center"/>
        <w:rPr>
          <w:rFonts w:ascii="华文中宋" w:hAnsi="华文中宋" w:eastAsia="华文中宋" w:cs="宋体"/>
          <w:b/>
          <w:kern w:val="0"/>
          <w:sz w:val="52"/>
          <w:szCs w:val="52"/>
        </w:rPr>
      </w:pPr>
    </w:p>
    <w:p w14:paraId="6E8D1955">
      <w:pPr>
        <w:spacing w:line="540" w:lineRule="exact"/>
        <w:jc w:val="center"/>
        <w:rPr>
          <w:rFonts w:ascii="华文中宋" w:hAnsi="华文中宋" w:eastAsia="华文中宋" w:cs="宋体"/>
          <w:b/>
          <w:kern w:val="0"/>
          <w:sz w:val="52"/>
          <w:szCs w:val="52"/>
        </w:rPr>
      </w:pPr>
    </w:p>
    <w:p w14:paraId="74917164">
      <w:pPr>
        <w:spacing w:line="540" w:lineRule="exact"/>
        <w:jc w:val="center"/>
        <w:rPr>
          <w:rFonts w:ascii="华文中宋" w:hAnsi="华文中宋" w:eastAsia="华文中宋" w:cs="宋体"/>
          <w:b/>
          <w:kern w:val="0"/>
          <w:sz w:val="52"/>
          <w:szCs w:val="52"/>
        </w:rPr>
      </w:pPr>
    </w:p>
    <w:p w14:paraId="5ACBE0CA">
      <w:pPr>
        <w:spacing w:line="540" w:lineRule="exact"/>
        <w:jc w:val="center"/>
        <w:rPr>
          <w:rFonts w:ascii="华文中宋" w:hAnsi="华文中宋" w:eastAsia="华文中宋" w:cs="宋体"/>
          <w:b/>
          <w:kern w:val="0"/>
          <w:sz w:val="52"/>
          <w:szCs w:val="52"/>
        </w:rPr>
      </w:pPr>
    </w:p>
    <w:p w14:paraId="2B73454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0BAE10">
      <w:pPr>
        <w:spacing w:line="540" w:lineRule="exact"/>
        <w:jc w:val="center"/>
        <w:rPr>
          <w:rFonts w:ascii="华文中宋" w:hAnsi="华文中宋" w:eastAsia="华文中宋" w:cs="宋体"/>
          <w:b/>
          <w:kern w:val="0"/>
          <w:sz w:val="52"/>
          <w:szCs w:val="52"/>
        </w:rPr>
      </w:pPr>
    </w:p>
    <w:p w14:paraId="2026142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00F8AD18">
      <w:pPr>
        <w:spacing w:line="540" w:lineRule="exact"/>
        <w:jc w:val="center"/>
        <w:rPr>
          <w:rFonts w:hAnsi="宋体" w:eastAsia="仿宋_GB2312" w:cs="宋体"/>
          <w:kern w:val="0"/>
          <w:sz w:val="30"/>
          <w:szCs w:val="30"/>
        </w:rPr>
      </w:pPr>
    </w:p>
    <w:p w14:paraId="09EE842D">
      <w:pPr>
        <w:spacing w:line="540" w:lineRule="exact"/>
        <w:jc w:val="center"/>
        <w:rPr>
          <w:rFonts w:hAnsi="宋体" w:eastAsia="仿宋_GB2312" w:cs="宋体"/>
          <w:kern w:val="0"/>
          <w:sz w:val="30"/>
          <w:szCs w:val="30"/>
        </w:rPr>
      </w:pPr>
    </w:p>
    <w:p w14:paraId="33BFD9DA">
      <w:pPr>
        <w:spacing w:line="540" w:lineRule="exact"/>
        <w:jc w:val="center"/>
        <w:rPr>
          <w:rFonts w:hAnsi="宋体" w:eastAsia="仿宋_GB2312" w:cs="宋体"/>
          <w:kern w:val="0"/>
          <w:sz w:val="30"/>
          <w:szCs w:val="30"/>
        </w:rPr>
      </w:pPr>
    </w:p>
    <w:p w14:paraId="18C1DE48">
      <w:pPr>
        <w:spacing w:line="540" w:lineRule="exact"/>
        <w:jc w:val="center"/>
        <w:rPr>
          <w:rFonts w:hAnsi="宋体" w:eastAsia="仿宋_GB2312" w:cs="宋体"/>
          <w:kern w:val="0"/>
          <w:sz w:val="30"/>
          <w:szCs w:val="30"/>
        </w:rPr>
      </w:pPr>
    </w:p>
    <w:p w14:paraId="047A5D04">
      <w:pPr>
        <w:spacing w:line="540" w:lineRule="exact"/>
        <w:jc w:val="center"/>
        <w:rPr>
          <w:rFonts w:hAnsi="宋体" w:eastAsia="仿宋_GB2312" w:cs="宋体"/>
          <w:kern w:val="0"/>
          <w:sz w:val="30"/>
          <w:szCs w:val="30"/>
        </w:rPr>
      </w:pPr>
    </w:p>
    <w:p w14:paraId="2345DCDC">
      <w:pPr>
        <w:spacing w:line="540" w:lineRule="exact"/>
        <w:jc w:val="center"/>
        <w:rPr>
          <w:rFonts w:hAnsi="宋体" w:eastAsia="仿宋_GB2312" w:cs="宋体"/>
          <w:kern w:val="0"/>
          <w:sz w:val="30"/>
          <w:szCs w:val="30"/>
        </w:rPr>
      </w:pPr>
    </w:p>
    <w:p w14:paraId="337DFE88">
      <w:pPr>
        <w:spacing w:line="540" w:lineRule="exact"/>
        <w:rPr>
          <w:rFonts w:hAnsi="宋体" w:eastAsia="仿宋_GB2312" w:cs="宋体"/>
          <w:kern w:val="0"/>
          <w:sz w:val="30"/>
          <w:szCs w:val="30"/>
        </w:rPr>
      </w:pPr>
    </w:p>
    <w:p w14:paraId="36DB250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79FF3E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外事工作经费</w:t>
      </w:r>
    </w:p>
    <w:p w14:paraId="5F2BF73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伊犁哈萨克自治州塔城地区行署外事办公室</w:t>
      </w:r>
    </w:p>
    <w:p w14:paraId="06A4194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伊犁哈萨克自治州塔城地区行署外事办公室</w:t>
      </w:r>
    </w:p>
    <w:p w14:paraId="77A54AC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颜志新</w:t>
      </w:r>
    </w:p>
    <w:p w14:paraId="79EBFD2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14:paraId="5DC30C0D">
      <w:pPr>
        <w:spacing w:line="700" w:lineRule="exact"/>
        <w:ind w:firstLine="708" w:firstLineChars="236"/>
        <w:jc w:val="left"/>
        <w:rPr>
          <w:rFonts w:hAnsi="宋体" w:eastAsia="仿宋_GB2312" w:cs="宋体"/>
          <w:kern w:val="0"/>
          <w:sz w:val="30"/>
          <w:szCs w:val="30"/>
        </w:rPr>
      </w:pPr>
    </w:p>
    <w:p w14:paraId="5FD4DDB6">
      <w:pPr>
        <w:spacing w:line="540" w:lineRule="exact"/>
        <w:rPr>
          <w:rStyle w:val="18"/>
          <w:rFonts w:ascii="黑体" w:hAnsi="黑体" w:eastAsia="黑体"/>
          <w:b w:val="0"/>
          <w:spacing w:val="-4"/>
          <w:sz w:val="32"/>
          <w:szCs w:val="32"/>
        </w:rPr>
      </w:pPr>
    </w:p>
    <w:p w14:paraId="7EEB1516">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AFBA67B">
      <w:pPr>
        <w:spacing w:line="540" w:lineRule="exact"/>
        <w:ind w:firstLine="313" w:firstLineChars="100"/>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41BA403A">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1、项目背景</w:t>
      </w:r>
    </w:p>
    <w:p w14:paraId="0140B92D">
      <w:pPr>
        <w:spacing w:line="540" w:lineRule="exact"/>
        <w:ind w:firstLine="624" w:firstLineChars="200"/>
        <w:jc w:val="both"/>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依据：根据自治区党委办公厅、自治区人民政府办公厅《关于印发&lt;塔城地区机构改革方案&gt;的通知》和中共塔城地委办公室、塔城地区行署办公室印发的《关于&lt;塔城地区机构改革方案&gt;的实施意见》：加强塔城地区外办运行费用的投入，进一步加大外事工作力度，确保社会稳定和长治久安具有重要的意义。进一步改善了地区外办办公条件。</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（2）项目实施的历史概况：随着地区“一带一路”经济建设的推进，地区外办积极与自治区外办、中国驻外使领馆，以及哈萨克斯坦东哈州</w:t>
      </w:r>
      <w:r>
        <w:rPr>
          <w:rStyle w:val="18"/>
          <w:rFonts w:hint="eastAsia" w:ascii="楷体" w:hAnsi="楷体" w:eastAsia="楷体"/>
          <w:b w:val="0"/>
          <w:bCs w:val="0"/>
          <w:spacing w:val="-4"/>
          <w:sz w:val="32"/>
          <w:szCs w:val="32"/>
        </w:rPr>
        <w:t>旅游对外联络局联系沟通，促进地区对经贸、文化、旅游、体育、科技、医疗合作。为了保障地区外事工作顺利完成，地区财政安排外事专项经费5万元。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(1)</w:t>
      </w:r>
      <w:r>
        <w:rPr>
          <w:rStyle w:val="18"/>
          <w:rFonts w:hint="eastAsia" w:ascii="楷体" w:hAnsi="楷体" w:eastAsia="楷体"/>
          <w:b w:val="0"/>
          <w:bCs w:val="0"/>
          <w:spacing w:val="-4"/>
          <w:sz w:val="32"/>
          <w:szCs w:val="32"/>
        </w:rPr>
        <w:t>根据地委、行署安排，塔城地区2022年下半年因公出国（境）申报1批次，已于自治区党委外事工作委员会办公室沟通。</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根据自治区外办通知，地区外事办领导下半年参加自治区外办召开的主任办公会议。</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塔城地区外事专办员赴自治区外事办办理领导出国（境）审批手续。</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参加外交部、自治区外事办举办的外事培训班。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资金5万元，实际总投5万元，该项目资金已全部落实到位,资金来源为财政拨款资金。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情况：该项目年初预算数5万元，全年预算数5万元，全年执行数3.6649万元，预算执行率为73.32%，用于对2022年1、根据地委、行署安排，塔城地区2021年下半年因公出国（境）申报3批次，已于自治区党委外事工作委员会办公室沟通。 2、根据自治区外办通知，地区外事办领导下半年参加自治区外办召开的主任办公会议。3、塔城地区外事专办员赴自治区外事办办理领导出国（境）审批手续。4、参加外交部、自治区外事办举办的外事培训班。</w:t>
      </w:r>
    </w:p>
    <w:p w14:paraId="6824A8FE">
      <w:pPr>
        <w:spacing w:line="540" w:lineRule="exact"/>
        <w:ind w:left="319" w:leftChars="152" w:firstLine="313" w:firstLineChars="100"/>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5F4F8551">
      <w:pPr>
        <w:spacing w:line="540" w:lineRule="exact"/>
        <w:ind w:firstLine="624" w:firstLineChars="200"/>
        <w:jc w:val="both"/>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1、总体目标：全力以赴做好和完成国家、自治区外办，地委下达的各项外事工作。保障和促进地区经济和社会健康发展有所提高。</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2、阶段性目标：2022年1月起至2022年12月全年对1、按照自治区、地区“外防输入、内防反弹”的工作安排部署，外办及时抽调专人负责地区成立的境外入境人员外事工作组具体工作。根据外交部、移民管理局要求，及时向境外塔城户籍人员进行政策宣传、通报情况，做好地区境外入境人员的协调指导服务管理工作，让他们理解和支持塔城防控工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3.为海关和驻口岸工作</w:t>
      </w:r>
      <w:bookmarkStart w:id="0" w:name="_GoBack"/>
      <w:bookmarkEnd w:id="0"/>
      <w:r>
        <w:rPr>
          <w:rStyle w:val="18"/>
          <w:rFonts w:hint="eastAsia" w:ascii="楷体" w:hAnsi="楷体" w:eastAsia="楷体"/>
          <w:b w:val="0"/>
          <w:bCs w:val="0"/>
          <w:spacing w:val="-4"/>
          <w:sz w:val="32"/>
          <w:szCs w:val="32"/>
        </w:rPr>
        <w:t xml:space="preserve">组协调相关外事工作。为境外人员帮助和化解困难。自治区口岸防控工作专家组来塔，对我区“外防输入”工作给予了充分肯定。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4、补助办公经费不足.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5、组织实施中哈边界联检工作。</w:t>
      </w:r>
    </w:p>
    <w:p w14:paraId="241C5C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0B53C2D">
      <w:pPr>
        <w:spacing w:line="540" w:lineRule="exact"/>
        <w:ind w:left="319" w:leftChars="152" w:firstLine="251" w:firstLineChars="80"/>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B7AC6E6">
      <w:pPr>
        <w:spacing w:line="540" w:lineRule="exact"/>
        <w:ind w:left="319" w:leftChars="152" w:firstLine="312" w:firstLineChars="1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1.评价目的</w:t>
      </w:r>
    </w:p>
    <w:p w14:paraId="0347A7D1">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本项工作旨在落实《中共中央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2、绩效评价对象：外事工作业务经费项目。</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3、绩效评价范围</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本次评价从项目决策（包括绩效目标、决策过程）、项目管理（包括项目资金、项目实施）、项目产出（包括项目产出数量、产出质量、产出时效和产出成本）项目效益四个维度进行卫生监督检查项目评价，评价核心为专项资金的支出完成情况和效果。</w:t>
      </w:r>
    </w:p>
    <w:p w14:paraId="039F0799">
      <w:pPr>
        <w:spacing w:line="540" w:lineRule="exact"/>
        <w:ind w:firstLine="312" w:firstLineChars="1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（二）绩效评价原则、评价指标体系、评价方法、评价标准</w:t>
      </w:r>
    </w:p>
    <w:p w14:paraId="756E60FB">
      <w:pPr>
        <w:spacing w:line="540" w:lineRule="exact"/>
        <w:ind w:left="638" w:leftChars="304" w:firstLine="0" w:firstLineChars="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1.评价原则</w:t>
      </w:r>
    </w:p>
    <w:p w14:paraId="0167242F">
      <w:pPr>
        <w:spacing w:line="540" w:lineRule="exact"/>
        <w:ind w:left="631" w:leftChars="152" w:hanging="312" w:hangingChars="1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（2）公正公开原则：绩效评价应当符合真实、客观、公正的要求，依法公开并接受监督。</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（3）分级分类原则：根据评价对象特点分类组织实施。</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2.评价指标体系</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本次绩效评价指标体系是根据《项目支出绩效评价管理办法》对于指标体系的要求和规范，结合项目特有属性和实际情况，考虑实用性、可操作性和可实现性，从决策、过程、产出、效益四个维度进行指标细化和分值设定。外事工作经费项目支出绩效评价指标体系(详见附件3)：</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3.评价方法</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4.评价标准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绩效评价标准主要包括计划标准、行业标准、历史标准等，用于对绩效指标完成情况进行比较。</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（1）计划标准。指以预先制定的目标、计划、预算、定额等作为评价标准。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（2）行业标准。指参照国家公布的行业指标数据制定的评价标准。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在上述评价标准的基础上，本次评价依据以下文件为重要指导和准绳：</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·《中共中央国务院关于全面实施预算绩效管理的意见》；</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·《项目支出绩效评价管理办法》；</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·《自治区党委自治区人民政府关于全面实施预算绩效管理的实施意见》；</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·《2023年度推进塔城地区全面实施预算绩效管理工作规划》。</w:t>
      </w:r>
    </w:p>
    <w:p w14:paraId="718D3A45">
      <w:pPr>
        <w:spacing w:line="540" w:lineRule="exact"/>
        <w:ind w:firstLine="313" w:firstLineChars="100"/>
        <w:jc w:val="both"/>
        <w:rPr>
          <w:rStyle w:val="18"/>
          <w:rFonts w:hint="eastAsia" w:ascii="楷体" w:hAnsi="楷体" w:eastAsia="楷体"/>
          <w:b/>
          <w:bCs/>
          <w:spacing w:val="-4"/>
          <w:sz w:val="32"/>
          <w:szCs w:val="32"/>
          <w:lang w:val="en-US" w:eastAsia="zh-CN"/>
        </w:rPr>
      </w:pPr>
      <w:r>
        <w:rPr>
          <w:rStyle w:val="18"/>
          <w:rFonts w:hint="eastAsia" w:ascii="楷体" w:hAnsi="楷体" w:eastAsia="楷体"/>
          <w:b/>
          <w:bCs/>
          <w:spacing w:val="-4"/>
          <w:sz w:val="32"/>
          <w:szCs w:val="32"/>
          <w:lang w:val="en-US" w:eastAsia="zh-CN"/>
        </w:rPr>
        <w:t>（三）绩效评价工作过程</w:t>
      </w:r>
    </w:p>
    <w:p w14:paraId="189F1A27">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65ACDB80">
      <w:pPr>
        <w:spacing w:line="540" w:lineRule="exact"/>
        <w:ind w:left="638" w:leftChars="304" w:firstLine="0" w:firstLineChars="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三、综合评价情况及评价结论</w:t>
      </w:r>
    </w:p>
    <w:p w14:paraId="7E26F6D3">
      <w:pPr>
        <w:spacing w:line="540" w:lineRule="exact"/>
        <w:ind w:firstLine="312" w:firstLineChars="1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（一）评价结论</w:t>
      </w:r>
    </w:p>
    <w:p w14:paraId="67B7F786">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结合项目特点，制定符合项目实际的绩效评价指标体系及评分标准，通过数据采集、问卷调查及访谈等形式，对2022年卫生监督检查项目进行客观评价。</w:t>
      </w:r>
    </w:p>
    <w:p w14:paraId="5C62ED75">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 xml:space="preserve">四、绩效评价指标分析 </w:t>
      </w:r>
    </w:p>
    <w:p w14:paraId="37196116">
      <w:pPr>
        <w:spacing w:line="540" w:lineRule="exact"/>
        <w:ind w:firstLine="312" w:firstLineChars="1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（一）项目决策情况</w:t>
      </w:r>
    </w:p>
    <w:p w14:paraId="7237816D">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6.资金分配合理性:预算资金分配依据充分,资金分配额度合理，与项目单位或地方实际相适应，得4分。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该指标分值20分，依据评分标准，此项指标不扣分，得20分。</w:t>
      </w:r>
      <w:r>
        <w:rPr>
          <w:rStyle w:val="18"/>
          <w:rFonts w:hint="eastAsia" w:ascii="楷体" w:hAnsi="楷体" w:eastAsia="楷体"/>
          <w:b w:val="0"/>
          <w:bCs w:val="0"/>
          <w:spacing w:val="-4"/>
          <w:sz w:val="32"/>
          <w:szCs w:val="32"/>
          <w:lang w:val="en-US" w:eastAsia="zh-CN"/>
        </w:rPr>
        <w:tab/>
      </w:r>
    </w:p>
    <w:p w14:paraId="7AC5918F">
      <w:pPr>
        <w:spacing w:line="540" w:lineRule="exact"/>
        <w:ind w:firstLine="567" w:firstLineChars="181"/>
        <w:rPr>
          <w:rStyle w:val="18"/>
          <w:rFonts w:hint="eastAsia" w:ascii="楷体" w:hAnsi="楷体" w:eastAsia="楷体"/>
          <w:b w:val="0"/>
          <w:bCs w:val="0"/>
          <w:spacing w:val="-4"/>
          <w:sz w:val="32"/>
          <w:szCs w:val="32"/>
          <w:lang w:val="en-US" w:eastAsia="zh-CN"/>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7428EDEB">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1.资金到位率：实际到位资金5万元，预算资金5万元，资金到位率100%，得3分。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2.预算执行率：年初预算数5万元，全年预算数5万元，全年执行数3.6649万元，预算执行率为73.32%，得7.33分。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该指标分值20分，依据评分标准，此项指标扣2.67分，得17.33分。</w:t>
      </w:r>
    </w:p>
    <w:p w14:paraId="4B04D498">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（三）项目产出情况</w:t>
      </w:r>
    </w:p>
    <w:p w14:paraId="40852F53">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1.产出数量</w:t>
      </w:r>
    </w:p>
    <w:p w14:paraId="67FEDE79">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数量指标：指标1：完成边界踏查次数，指标值：1件，实际完成值1件，指标完成率100%，无偏差。</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指标2：参加外事培训，指标值：1次，实际完成值1此</w:t>
      </w:r>
      <w:r>
        <w:rPr>
          <w:rStyle w:val="18"/>
          <w:rFonts w:hint="eastAsia" w:ascii="楷体" w:hAnsi="楷体" w:eastAsia="楷体"/>
          <w:b w:val="0"/>
          <w:bCs w:val="0"/>
          <w:spacing w:val="-4"/>
          <w:sz w:val="32"/>
          <w:szCs w:val="32"/>
        </w:rPr>
        <w:t>次，指标完成率100%，无偏差。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指标3：出国手续通过合格率，指标值：≥95%，实际完成值100%，指标完成率100%，无偏差，综上，得10分。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2.产出质量</w:t>
      </w:r>
    </w:p>
    <w:p w14:paraId="40A00168">
      <w:pPr>
        <w:spacing w:line="540" w:lineRule="exact"/>
        <w:ind w:firstLine="624" w:firstLineChars="200"/>
        <w:jc w:val="both"/>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lang w:val="en-US" w:eastAsia="zh-CN"/>
        </w:rPr>
        <w:t>质量指标：指标：出货通关率，指标值：100%，实际完成值100%，指标完成率100%，无偏差，得10分。</w:t>
      </w:r>
      <w:r>
        <w:rPr>
          <w:rStyle w:val="18"/>
          <w:rFonts w:hint="eastAsia" w:ascii="楷体" w:hAnsi="楷体" w:eastAsia="楷体"/>
          <w:b w:val="0"/>
          <w:bCs w:val="0"/>
          <w:spacing w:val="-4"/>
          <w:sz w:val="32"/>
          <w:szCs w:val="32"/>
          <w:lang w:val="en-US" w:eastAsia="zh-CN"/>
        </w:rPr>
        <w:br w:type="textWrapping"/>
      </w:r>
      <w:r>
        <w:rPr>
          <w:rStyle w:val="18"/>
          <w:rFonts w:hint="eastAsia" w:ascii="楷体" w:hAnsi="楷体" w:eastAsia="楷体"/>
          <w:b w:val="0"/>
          <w:bCs w:val="0"/>
          <w:spacing w:val="-4"/>
          <w:sz w:val="32"/>
          <w:szCs w:val="32"/>
          <w:lang w:val="en-US" w:eastAsia="zh-CN"/>
        </w:rPr>
        <w:t xml:space="preserve">    3.产出时效</w:t>
      </w:r>
    </w:p>
    <w:p w14:paraId="45B94F69">
      <w:pPr>
        <w:spacing w:line="540" w:lineRule="exact"/>
        <w:ind w:firstLine="624" w:firstLineChars="200"/>
        <w:jc w:val="both"/>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时效指标：指标1：任务完成时间，指标值：2022年12月20日前，实际完成值2022年12月20日前，指标完成率100%，无偏差，得10分。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p>
    <w:p w14:paraId="6321A776">
      <w:pPr>
        <w:spacing w:line="540" w:lineRule="exact"/>
        <w:ind w:firstLine="624" w:firstLineChars="200"/>
        <w:jc w:val="both"/>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成本指标：指标1：外事工作经费，指标值：5万元，实际完成值3.6649万无，指标完成率73.2%，偏差原因：本项目为延续项目，因下半年</w:t>
      </w:r>
      <w:r>
        <w:rPr>
          <w:rStyle w:val="18"/>
          <w:rFonts w:hint="eastAsia" w:ascii="楷体" w:hAnsi="楷体" w:eastAsia="楷体"/>
          <w:b w:val="0"/>
          <w:bCs w:val="0"/>
          <w:spacing w:val="-4"/>
          <w:sz w:val="32"/>
          <w:szCs w:val="32"/>
          <w:lang w:val="en-US" w:eastAsia="zh-CN"/>
        </w:rPr>
        <w:t>相关工作影响</w:t>
      </w:r>
      <w:r>
        <w:rPr>
          <w:rStyle w:val="18"/>
          <w:rFonts w:hint="eastAsia" w:ascii="楷体" w:hAnsi="楷体" w:eastAsia="楷体"/>
          <w:b w:val="0"/>
          <w:bCs w:val="0"/>
          <w:spacing w:val="-4"/>
          <w:sz w:val="32"/>
          <w:szCs w:val="32"/>
        </w:rPr>
        <w:t>，任务暂停，延续下年进行。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效益指标：指标2：有效加强与领国睦邻友好沟通，指标值：逐渐加强，实际完成值达成年度目标，指标完成率100%，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可持续影响指标：指标3：明显促进贸易交易量的提升，明显促进，达成年度目标，指标完成率100%，综上，得4.52分。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该指标分值40分，依据评分标准，此项指标扣5.48分，得34.52分。</w:t>
      </w:r>
    </w:p>
    <w:p w14:paraId="03C364C5">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7E090AE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p>
    <w:p w14:paraId="79BD62AE">
      <w:pPr>
        <w:spacing w:line="540" w:lineRule="exact"/>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改善与临国环境，保障人民外事健康发展”，指标值：有所提高，实际完成值：有所提高达成年度指标。通过监督检查，督促医疗机构提高医疗条件，从而提升百姓就医环境，健康指数有所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可持续影响指标：评价指标“群众对外事工作的满意度”，指标值：≥95%：实际完成达成100%。通过监督检查，促使外事工作，能严格按照要求工作人员做好服务工作。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该指标分值10分，依据评分标准，此项指标不扣分，得8.5分。</w:t>
      </w:r>
    </w:p>
    <w:p w14:paraId="614FFA5E">
      <w:pPr>
        <w:numPr>
          <w:ilvl w:val="0"/>
          <w:numId w:val="1"/>
        </w:num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服务对象满意度指标：评价指标“培训人员满意度”，指标值：≥95%，实际完成值：≥95%。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2CE6C909">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2B876AD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本项目预算执行率为73.2%，指标总体完成率为73.2%，二者之间的偏差值为26.8%。因下半年</w:t>
      </w:r>
      <w:r>
        <w:rPr>
          <w:rStyle w:val="18"/>
          <w:rFonts w:hint="eastAsia" w:ascii="楷体" w:hAnsi="楷体" w:eastAsia="楷体"/>
          <w:b w:val="0"/>
          <w:bCs w:val="0"/>
          <w:spacing w:val="-4"/>
          <w:sz w:val="32"/>
          <w:szCs w:val="32"/>
          <w:lang w:val="en-US" w:eastAsia="zh-CN"/>
        </w:rPr>
        <w:t>相关工作影响</w:t>
      </w:r>
      <w:r>
        <w:rPr>
          <w:rStyle w:val="18"/>
          <w:rFonts w:hint="eastAsia" w:ascii="楷体" w:hAnsi="楷体" w:eastAsia="楷体"/>
          <w:b w:val="0"/>
          <w:bCs w:val="0"/>
          <w:spacing w:val="-4"/>
          <w:sz w:val="32"/>
          <w:szCs w:val="32"/>
        </w:rPr>
        <w:t>，外事工作任务暂停，导致我单位无法无法开展部分正常工作，部分外事工作无法开展无法正常进行，导致预算执行率有差异。且本项目为延续项目，故此项目延续下年进行。</w:t>
      </w:r>
    </w:p>
    <w:p w14:paraId="1F3086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2DA78C95">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14:paraId="3121DC0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79BD90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1、存在的问题：项目绩效管理缺乏经验，有待强化。在项目具体执行过程往往只重视预算执行情况，忽视产出和效果，项目实施过程中需提供行之有效的绩效管理办法和评价机制。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2、原因分析：单位存在分工不明确，具体项目执行部门不够重视项目绩效工作，相关财务制度不完善。</w:t>
      </w:r>
    </w:p>
    <w:p w14:paraId="2AB0F2B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285AF2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 xml:space="preserve">1.建议取消工作经费绩效评价。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 2.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6A432E6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28DF3E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p>
    <w:p w14:paraId="05A7195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2.项目安排准确，未发现背离项目立项初衷的情况；</w:t>
      </w:r>
    </w:p>
    <w:p w14:paraId="6C0CD62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3.项目的申报、审核机制完善；</w:t>
      </w:r>
    </w:p>
    <w:p w14:paraId="05CC818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4.未发现虚假行为和骗取财政资金的问题。</w:t>
      </w:r>
    </w:p>
    <w:p w14:paraId="1FD59BC1">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4700E70">
        <w:pPr>
          <w:pStyle w:val="12"/>
          <w:jc w:val="center"/>
        </w:pPr>
        <w:r>
          <w:fldChar w:fldCharType="begin"/>
        </w:r>
        <w:r>
          <w:instrText xml:space="preserve">PAGE   \* MERGEFORMAT</w:instrText>
        </w:r>
        <w:r>
          <w:fldChar w:fldCharType="separate"/>
        </w:r>
        <w:r>
          <w:rPr>
            <w:lang w:val="zh-CN"/>
          </w:rPr>
          <w:t>1</w:t>
        </w:r>
        <w:r>
          <w:fldChar w:fldCharType="end"/>
        </w:r>
      </w:p>
    </w:sdtContent>
  </w:sdt>
  <w:p w14:paraId="7D61211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468436"/>
    <w:multiLevelType w:val="singleLevel"/>
    <w:tmpl w:val="2B46843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A04955"/>
    <w:rsid w:val="041838EB"/>
    <w:rsid w:val="07261865"/>
    <w:rsid w:val="0856517C"/>
    <w:rsid w:val="0BFB189F"/>
    <w:rsid w:val="0FAE1BAB"/>
    <w:rsid w:val="11BD75F7"/>
    <w:rsid w:val="13BE561A"/>
    <w:rsid w:val="15194B44"/>
    <w:rsid w:val="15392994"/>
    <w:rsid w:val="174D31CB"/>
    <w:rsid w:val="18FE139B"/>
    <w:rsid w:val="21FC6E36"/>
    <w:rsid w:val="24562B70"/>
    <w:rsid w:val="2A891760"/>
    <w:rsid w:val="3029612C"/>
    <w:rsid w:val="32A221C5"/>
    <w:rsid w:val="32B077D4"/>
    <w:rsid w:val="33F20F2A"/>
    <w:rsid w:val="34C44675"/>
    <w:rsid w:val="3B5B5607"/>
    <w:rsid w:val="3C4D4F50"/>
    <w:rsid w:val="3CE21B3C"/>
    <w:rsid w:val="4AC05A5A"/>
    <w:rsid w:val="4D2606A1"/>
    <w:rsid w:val="51830480"/>
    <w:rsid w:val="53A616BE"/>
    <w:rsid w:val="54662BFB"/>
    <w:rsid w:val="58313520"/>
    <w:rsid w:val="5FF31C02"/>
    <w:rsid w:val="62051CA5"/>
    <w:rsid w:val="668E0AF3"/>
    <w:rsid w:val="6C3A69EF"/>
    <w:rsid w:val="6DCB3D03"/>
    <w:rsid w:val="6E363C86"/>
    <w:rsid w:val="7DB12889"/>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5249</Words>
  <Characters>5443</Characters>
  <Lines>5</Lines>
  <Paragraphs>1</Paragraphs>
  <TotalTime>45</TotalTime>
  <ScaleCrop>false</ScaleCrop>
  <LinksUpToDate>false</LinksUpToDate>
  <CharactersWithSpaces>5655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2026-03-30T10:45:57Z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