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w:t>
      </w:r>
      <w:r>
        <w:rPr>
          <w:rStyle w:val="18"/>
          <w:rFonts w:hint="eastAsia" w:ascii="仿宋_GB2312" w:hAnsi="仿宋_GB2312" w:eastAsia="仿宋_GB2312" w:cs="仿宋_GB2312"/>
          <w:spacing w:val="-4"/>
          <w:sz w:val="32"/>
          <w:szCs w:val="32"/>
        </w:rPr>
        <w:t>行署办公室专项业务费</w:t>
      </w:r>
    </w:p>
    <w:p>
      <w:pPr>
        <w:spacing w:line="540" w:lineRule="exact"/>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2"/>
          <w:szCs w:val="32"/>
        </w:rPr>
        <w:t>实施单位（公章）：</w:t>
      </w:r>
      <w:r>
        <w:rPr>
          <w:rStyle w:val="18"/>
          <w:rFonts w:hint="eastAsia" w:ascii="仿宋_GB2312" w:hAnsi="仿宋_GB2312" w:eastAsia="仿宋_GB2312" w:cs="仿宋_GB2312"/>
          <w:spacing w:val="-4"/>
          <w:sz w:val="32"/>
          <w:szCs w:val="32"/>
        </w:rPr>
        <w:t>伊犁哈萨克自治州塔城地区行署办公室</w:t>
      </w:r>
    </w:p>
    <w:p>
      <w:pPr>
        <w:spacing w:line="540" w:lineRule="exact"/>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2"/>
          <w:szCs w:val="32"/>
        </w:rPr>
        <w:t>主管部门（公章）：</w:t>
      </w:r>
      <w:r>
        <w:rPr>
          <w:rStyle w:val="18"/>
          <w:rFonts w:hint="eastAsia" w:ascii="仿宋_GB2312" w:hAnsi="仿宋_GB2312" w:eastAsia="仿宋_GB2312" w:cs="仿宋_GB2312"/>
          <w:spacing w:val="-4"/>
          <w:sz w:val="32"/>
          <w:szCs w:val="32"/>
        </w:rPr>
        <w:t>伊犁哈萨克自治州塔城地区行署办公室</w:t>
      </w:r>
    </w:p>
    <w:p>
      <w:pPr>
        <w:spacing w:line="540" w:lineRule="exact"/>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2"/>
          <w:szCs w:val="32"/>
        </w:rPr>
        <w:t>项目负责人（签章）：</w:t>
      </w:r>
      <w:r>
        <w:rPr>
          <w:rStyle w:val="18"/>
          <w:rFonts w:hint="eastAsia" w:ascii="仿宋_GB2312" w:hAnsi="仿宋_GB2312" w:eastAsia="仿宋_GB2312" w:cs="仿宋_GB2312"/>
          <w:spacing w:val="-4"/>
          <w:sz w:val="32"/>
          <w:szCs w:val="32"/>
        </w:rPr>
        <w:t>于定超</w:t>
      </w:r>
    </w:p>
    <w:p>
      <w:pPr>
        <w:spacing w:line="540" w:lineRule="exact"/>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填报时间：</w:t>
      </w:r>
      <w:r>
        <w:rPr>
          <w:rStyle w:val="18"/>
          <w:rFonts w:hint="eastAsia" w:ascii="仿宋_GB2312" w:hAnsi="仿宋_GB2312" w:eastAsia="仿宋_GB2312" w:cs="仿宋_GB2312"/>
          <w:spacing w:val="-4"/>
          <w:sz w:val="32"/>
          <w:szCs w:val="32"/>
        </w:rPr>
        <w:t>2023年02月27日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1、项目背景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塔城地区行政公署办公室是塔城地区行政公署工作部门，为正处级单位。行政公署办公室据塔地党办字[2019]64号相关文件的职责, 申请行署办公室专项业务费主要用于弥补我单位日常公用经费不足及服务领导、服务部门、服务基层、上下衔接、综合协调等工作所发生的各项费用，保障行署办公室工作正常运转。</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2、主要内容及实施情况</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项目主要内容：项目经费来源主要是财政拨款，主要用于弥补我单位日常公用经费不足及服务领导、服务部门、服务基层、上下衔接、综合协调等工作所发生的各项费用，保障行署办公室工作正常运转，单位开展相关工作业务在资金范围内申请使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项目实施情况：项目目前已经完成实际设立的目标，项目在实施过程中严格按照目标设立的各阶段任务进行开展工作，在前期立项过程中严格把关，建立审核机制，保证项目实施顺利进行。</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3、资金投入和使用情况</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资金投入情况：该项目年初预算数340.4万元，全年预算数340.4万元，实际总投入340.4万元，该项目资金已全部落实到位,资金来源为财政拨款资金。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资金使用情况：该项目年初预算数340.4万元，全年预算数340.4万元，全年执行数220.1万元，预算执行率为64.66%，主要用于服务领导、服务部门、服务基层、上下衔接、综合协调所发生的各项费用。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1、总体目标：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行署办公室的主要职能是：1.负责行署会务工作；2.负责行署日常文件（电报）处理和日常事务工作；3.研究地区各部门和各县（市）人民政府请示行署事项，提出审校意见，报行署领导审定。4.检查督促行署公文、会议决定事项及行署领导批示的费彻执行情况，及时向行署领导报告。5.负责人大代表建议意见和政协委员提案的督办工作。6.负责行署办公室的政务值班和日常对外联络、协调及政务活动工作；7.负责指导监督地区政务公开和协调推进“放管服”改革工作，承担地区政务公开领导小组日常工作，承担地区推进政府职能转变和 “放管服”改革领导小组办公室日常工作。8.根据行署工作部署和行署领导指示，组织开展有关调查研究，收集信息，反映情况，提出建议。9.负责行署及办公室制发的规范性文件、决策决定规范性审查工作；10.完成地委、行署交办的其他任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2、阶段性目标：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行署办公室专项业务费项目为年初预算安排，项目计划开展时间为2022年1月，结束时间为2022年12月31日，项目资金投入340.4万元，实际到位资金340.4万元，资金来源为财政拨款，主要用于弥补公用经费使用不足。行署办公室专项业务费主要用于服务领导、服务部门、服务基层、上下衔接、综合协调所发生的各项费用，办公费、邮电费、聘用人员劳务费等开支，主要用于服务部门、上下衔接以保障单位正常运转；差旅费、公务用车运行维护费等开支，主要用于服务基层督办督查中所发生差旅费、交通费，为达到聚焦群众利益督实事提供保障；设备购置主要用于购买安可设备及人才公寓楼的家具、家电等费用，保障了单位办公设备保密性及单位干部职工学习生活环境质量；其他大额支出还包括维修费主要用于会议室维修及办公楼老化维修；委托业务费主要用于行署办公室法律顾问费用。行署办公室专项业务费项目的支出极大的保障了我单位开展工作的效率性和完成性，使我单位2022年度在保障政府高效运转取得了阶段性成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1.评价目的</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2、绩效评价对象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行署办公室专项业务费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3、绩效评价范围</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行署办公室专项业务费项目评价，评价核心为专项资金的支出完成情况和效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1.评价原则</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（1）科学规范原则：绩效评价应当严格执行规定的程序，按照科学可行的要求，采用定量与定性分析相结合的方法。</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（2）公正公开原则：绩效评价应当符合真实、客观、公正的要求，依法公开并接受监督。</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（3）分级分类原则：根据评价对象特点分类组织实施。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（4）绩效相关原则：绩效评价应当针对具体支出及其产出绩效进行，评价结果应当清晰反映支出和产出绩效之间的紧密对应关系。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2.评价指标体系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行署办公室专项业务费项目支出绩效评价指标体系(详见附件3)：</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3.评价方法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4.评价标准</w:t>
      </w:r>
      <w:bookmarkStart w:id="0" w:name="_GoBack"/>
      <w:bookmarkEnd w:id="0"/>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绩效评价标准主要包括计划标准、行业标准、历史标准等，用于对绩效指标完成情况进行比较。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（1）计划标准。指以预先制定的目标、计划、预算、定额等作为评价标准。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（2）行业标准。指参照国家公布的行业指标数据制定的评价标准。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（3）历史标准。指参照历史数据制定的评价标准，为体现绩效改进的原则，在可实现的条件下应当确定相对较高的评价标准。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在上述评价标准的基础上，本次评价依据以下文件为重要指导和准绳：</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·《中共中央国务院关于全面实施预算绩效管理的意见》（中发〔2018〕34号）；</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·《项目支出绩效评价管理办法》（财预〔2020〕10号）；</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·《自治区党委自治区人民政府关于全面实施预算绩效管理的实施意见》（新党发〔2018〕30号）；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《2023年度推进塔城地区全面实施预算绩效管理工作规划》。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结合项目特点，制定符合项目实际的绩效评价指标体系及评分标准，通过数据采集、问卷调查及访谈等形式，对2022年行署办公室专项业务费进行客观评价。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2.立项程序规范性:项目按照规定的程序申请设立,审批文件、材料符合相关要求,事前已经过必要的可行性研究、专家论证、风险评估、绩效评估、集体决策，得4分。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3.绩效目标合理性:项目有绩效目标,项目绩效目标与实际工作内容具有相关性,项目预期产出效益和效果符合正常的业绩水平,与预算确定的项目投资额或资金量相匹配，得2分。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4.绩效指标明确性:将项目绩效目标细化分解为具体的绩效指标,通过清晰、可衡量的指标值予以体现,与项目目标任务数或计划数相对应，得3分。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5.预算编制科学性:预算编制经过科学论证,预算内容与项目内容匹配,预算额度测算依据充分，按照标准编制,预算确定的项目投资额或资金量与工作任务相匹配，得3分。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6.资金分配合理性:预算资金分配依据充分,资金分配额度合理，与项目单位或地方实际相适应，得4分。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该指标分值20分，依据评分标准，此项指标不扣分，得20分。</w:t>
      </w:r>
      <w:r>
        <w:rPr>
          <w:rFonts w:hint="eastAsia" w:ascii="仿宋_GB2312" w:hAnsi="仿宋_GB2312" w:eastAsia="仿宋_GB2312" w:cs="仿宋_GB2312"/>
          <w:sz w:val="32"/>
          <w:szCs w:val="32"/>
          <w:lang w:eastAsia="zh-CN"/>
        </w:rPr>
        <w:tab/>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）项目过程情况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1.资金到位率： 实际到位资金340.4万元，预算资金340.4万元，资金到位率100%,得3分。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2.预算执行率：年初预算数340.4万元，全年预算数340.4万元，全年执行数220.1万元，预算执行率为65%，得6.5分。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4.管理制度健全性：项目支出手续完备，财会核算准确规范，项目调整手续完备，项目实施的人员条件、场地设备、信息支撑等落实到位，合同书、验收报告等资料齐全，得2分。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该指标分值20分，依据评分标准，此项指标扣3.5分，得16.5分。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）项目产出情况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1.产出数量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数量指标：指标1：完成编报政务信息数，指标值：&gt;=1500条 ，实际完成值1538条，指标完成率 100 %；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数量指标：指标2：完成督导检查事项数，指标值：&gt;=135件，实际完成值160件，指标完成率 100 %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数量指标：指标3：完成政府网站信息发布数，指标值：&gt;=5000条，实际完成值5266条，指标完成率100%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数量指标：指标4：完成撰写汇报材料数，指标值：&gt;=800篇，实际完成值1000篇，指标完成率 100 %；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数量指标：指标5：完成保障督导检查正常开展人数，指标值：&gt;=77人，实际完成值77人，指标完成率 100 %，综上，得10分。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2.产出质量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质量指标：指标1：信息采用率，指标值：&gt;=5% ，实际完成值7.9% ，指标完成率 100 %；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质量指标：指标2：领导信箱信件办结率，指标值：=100% ，实际完成值100% ，指标完成率 100 %；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质量指标：指标3：督办事项办结率，指标值：=100% ，实际完成值100% ，指标完成率 100 %，综上，得10分。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3.产出时效</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时效指标：指标1：政务事项处理及时率，指标值：=100% ，实际完成值=100% ，指标完成率100 %；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时效指标：指标2：项目完成时间，指标值：2022年12月底前 ，实际完成值2022年12月底前 ，指标完成率100 %，综上，得10分。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4.产出成本</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成本指标：指标1：督导检查差旅费报销标准 ，指标值：&lt;=120元/人/天，实际完成值120元/人/ 天 ，指标完成率100 %，综上，得10分。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该指标分值40分，依据评分标准，此项指标不扣分，得40分。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）项目效益情况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（1）实施效益</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社会效益指标：评价指标“提高以文辅政水平”，指标值：有所提高，实际完成值：达成年度指标。提高公文处理是行政管理工作的重要组成部分，公文起草的质量和效率，反应着单位工作的质量和管理水平，通过从公文主题，发文意图，行文内容，文种选择，文字表达等方面规范单位公文起草工作，以此达到提高文辅政水平。</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可持续影响指标：评价指标1“不断提升行政效率和服务水平”，指标值：不断提升，实际完成值：达成年度指标。通过对办事时限、服务方式、服务流程、服务监督等内容提出具体要求达到显著提升行政效率和服务水平。</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可持续影响指标：评价指标2“提升政府系统执行力”，指标值：不断提升，实际完成值：达成年度指标。通过真抓实干，强化政府部门工作人员宗旨意识、发展意识，达到提升规范政府工作流程、实现管理高效化、运行规范化和服务标准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该指标分值10分，依据评分标准，此项指标不扣分，得10分。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对象满意度指标：评价指标“办公室人员对服务的满意度”，指标值：&gt;=95%，实际完成值：≥95%。通过设置问卷调查的方式进行考评评价，共计调查样本总量为1个样本，有效调查问卷6份。其中，统计“单位职工满意度”的平均值为95%。</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该指标分值10分，依据评分标准，此项指标不扣分，得10分。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预算执行率为64.66%，指标总体完成率为100%，二者之间的偏差值为33.47%。造成偏差的原因是：年初预算下达340,4万元中包含塔办项目经费115万元，实际全年行署办公室专项业务费为225.4万元，年中塔办财务分离未及时调整预算数造成偏差，下一步改进措施：下年合理设定年初预算，精准预算，根据实际情况，及时合理调整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六、主要经验及做法、存在的问题及原因分析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（一）主要经验及做法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（二）存在的问题及原因分析</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1、存在问题：项目绩效管理缺乏经验，绩效系统性整体性较弱化，有待强化。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2、原因分析：在项目具体执行过程往往只重视预算执行情况，忽视产出和效果，项目实施过程中需提供行之有效的绩效管理办法和评价机制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1.项目支出政策和路径设计科学，符合实际需要；</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2.项目安排准确，未发现背离项目立项初衷的情况；</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3.项目的申报、审核机制完善；</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4.未发现虚假行为和骗取财政资金的问题。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、其他需要说明的问题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应该按照《预算法》的要求，全面贯彻全口径预算，逐步规范预算编制、执行、调整、决算的审查和批准，运用预算联网审查监督系统，加大对预算执行审查力度。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190D16"/>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0597BAC"/>
    <w:rsid w:val="62051CA5"/>
    <w:rsid w:val="66102518"/>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14</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2024-05-17T05:40:37Z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