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AC34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C1FD8CC">
      <w:pPr>
        <w:spacing w:line="540" w:lineRule="exact"/>
        <w:jc w:val="center"/>
        <w:rPr>
          <w:rFonts w:ascii="华文中宋" w:hAnsi="华文中宋" w:eastAsia="华文中宋" w:cs="宋体"/>
          <w:b/>
          <w:kern w:val="0"/>
          <w:sz w:val="52"/>
          <w:szCs w:val="52"/>
        </w:rPr>
      </w:pPr>
    </w:p>
    <w:p w14:paraId="0132992C">
      <w:pPr>
        <w:spacing w:line="540" w:lineRule="exact"/>
        <w:jc w:val="center"/>
        <w:rPr>
          <w:rFonts w:ascii="华文中宋" w:hAnsi="华文中宋" w:eastAsia="华文中宋" w:cs="宋体"/>
          <w:b/>
          <w:kern w:val="0"/>
          <w:sz w:val="52"/>
          <w:szCs w:val="52"/>
        </w:rPr>
      </w:pPr>
    </w:p>
    <w:p w14:paraId="218C3F0A">
      <w:pPr>
        <w:spacing w:line="540" w:lineRule="exact"/>
        <w:jc w:val="center"/>
        <w:rPr>
          <w:rFonts w:ascii="华文中宋" w:hAnsi="华文中宋" w:eastAsia="华文中宋" w:cs="宋体"/>
          <w:b/>
          <w:kern w:val="0"/>
          <w:sz w:val="52"/>
          <w:szCs w:val="52"/>
        </w:rPr>
      </w:pPr>
    </w:p>
    <w:p w14:paraId="7D97F365">
      <w:pPr>
        <w:spacing w:line="540" w:lineRule="exact"/>
        <w:jc w:val="center"/>
        <w:rPr>
          <w:rFonts w:ascii="华文中宋" w:hAnsi="华文中宋" w:eastAsia="华文中宋" w:cs="宋体"/>
          <w:b/>
          <w:kern w:val="0"/>
          <w:sz w:val="52"/>
          <w:szCs w:val="52"/>
        </w:rPr>
      </w:pPr>
    </w:p>
    <w:p w14:paraId="08016BC1">
      <w:pPr>
        <w:spacing w:line="540" w:lineRule="exact"/>
        <w:jc w:val="center"/>
        <w:rPr>
          <w:rFonts w:ascii="华文中宋" w:hAnsi="华文中宋" w:eastAsia="华文中宋" w:cs="宋体"/>
          <w:b/>
          <w:kern w:val="0"/>
          <w:sz w:val="52"/>
          <w:szCs w:val="52"/>
        </w:rPr>
      </w:pPr>
    </w:p>
    <w:p w14:paraId="54382F67">
      <w:pPr>
        <w:spacing w:line="540" w:lineRule="exact"/>
        <w:jc w:val="center"/>
        <w:rPr>
          <w:rFonts w:ascii="华文中宋" w:hAnsi="华文中宋" w:eastAsia="华文中宋" w:cs="宋体"/>
          <w:b/>
          <w:kern w:val="0"/>
          <w:sz w:val="52"/>
          <w:szCs w:val="52"/>
        </w:rPr>
      </w:pPr>
    </w:p>
    <w:p w14:paraId="7DC771C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EEC3D4B">
      <w:pPr>
        <w:spacing w:line="540" w:lineRule="exact"/>
        <w:jc w:val="center"/>
        <w:rPr>
          <w:rFonts w:ascii="华文中宋" w:hAnsi="华文中宋" w:eastAsia="华文中宋" w:cs="宋体"/>
          <w:b/>
          <w:kern w:val="0"/>
          <w:sz w:val="52"/>
          <w:szCs w:val="52"/>
        </w:rPr>
      </w:pPr>
    </w:p>
    <w:p w14:paraId="2FF6BC9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2"/>
          <w:rFonts w:hint="eastAsia" w:ascii="楷体" w:hAnsi="楷体" w:eastAsia="楷体"/>
          <w:spacing w:val="-4"/>
          <w:sz w:val="32"/>
          <w:szCs w:val="32"/>
        </w:rPr>
        <w:t>2022</w:t>
      </w:r>
      <w:r>
        <w:rPr>
          <w:rFonts w:hint="eastAsia" w:hAnsi="宋体" w:eastAsia="仿宋_GB2312" w:cs="宋体"/>
          <w:kern w:val="0"/>
          <w:sz w:val="36"/>
          <w:szCs w:val="36"/>
        </w:rPr>
        <w:t xml:space="preserve">  年度）</w:t>
      </w:r>
    </w:p>
    <w:p w14:paraId="18D32AC9">
      <w:pPr>
        <w:spacing w:line="540" w:lineRule="exact"/>
        <w:jc w:val="center"/>
        <w:rPr>
          <w:rFonts w:hAnsi="宋体" w:eastAsia="仿宋_GB2312" w:cs="宋体"/>
          <w:kern w:val="0"/>
          <w:sz w:val="30"/>
          <w:szCs w:val="30"/>
        </w:rPr>
      </w:pPr>
    </w:p>
    <w:p w14:paraId="781C3F05">
      <w:pPr>
        <w:spacing w:line="540" w:lineRule="exact"/>
        <w:jc w:val="center"/>
        <w:rPr>
          <w:rFonts w:hAnsi="宋体" w:eastAsia="仿宋_GB2312" w:cs="宋体"/>
          <w:kern w:val="0"/>
          <w:sz w:val="30"/>
          <w:szCs w:val="30"/>
        </w:rPr>
      </w:pPr>
    </w:p>
    <w:p w14:paraId="01461595">
      <w:pPr>
        <w:spacing w:line="540" w:lineRule="exact"/>
        <w:jc w:val="center"/>
        <w:rPr>
          <w:rFonts w:hAnsi="宋体" w:eastAsia="仿宋_GB2312" w:cs="宋体"/>
          <w:kern w:val="0"/>
          <w:sz w:val="30"/>
          <w:szCs w:val="30"/>
        </w:rPr>
      </w:pPr>
    </w:p>
    <w:p w14:paraId="0E3E4A82">
      <w:pPr>
        <w:spacing w:line="540" w:lineRule="exact"/>
        <w:jc w:val="center"/>
        <w:rPr>
          <w:rFonts w:hAnsi="宋体" w:eastAsia="仿宋_GB2312" w:cs="宋体"/>
          <w:kern w:val="0"/>
          <w:sz w:val="30"/>
          <w:szCs w:val="30"/>
        </w:rPr>
      </w:pPr>
    </w:p>
    <w:p w14:paraId="6D2A1AA6">
      <w:pPr>
        <w:spacing w:line="540" w:lineRule="exact"/>
        <w:jc w:val="center"/>
        <w:rPr>
          <w:rFonts w:hAnsi="宋体" w:eastAsia="仿宋_GB2312" w:cs="宋体"/>
          <w:kern w:val="0"/>
          <w:sz w:val="30"/>
          <w:szCs w:val="30"/>
        </w:rPr>
      </w:pPr>
    </w:p>
    <w:p w14:paraId="4C6285DB">
      <w:pPr>
        <w:spacing w:line="540" w:lineRule="exact"/>
        <w:jc w:val="center"/>
        <w:rPr>
          <w:rFonts w:hAnsi="宋体" w:eastAsia="仿宋_GB2312" w:cs="宋体"/>
          <w:kern w:val="0"/>
          <w:sz w:val="30"/>
          <w:szCs w:val="30"/>
        </w:rPr>
      </w:pPr>
    </w:p>
    <w:p w14:paraId="0A31113E">
      <w:pPr>
        <w:spacing w:line="540" w:lineRule="exact"/>
        <w:rPr>
          <w:rFonts w:hAnsi="宋体" w:eastAsia="仿宋_GB2312" w:cs="宋体"/>
          <w:kern w:val="0"/>
          <w:sz w:val="30"/>
          <w:szCs w:val="30"/>
        </w:rPr>
      </w:pPr>
    </w:p>
    <w:p w14:paraId="33B39C77">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66EE39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2"/>
          <w:rFonts w:hint="eastAsia" w:ascii="楷体" w:hAnsi="楷体" w:eastAsia="楷体"/>
          <w:spacing w:val="-4"/>
          <w:sz w:val="32"/>
          <w:szCs w:val="32"/>
        </w:rPr>
        <w:t>12345政务服务便民热线平台购买服务一体化在线政务服务深化开发维修维护及电话网络费用</w:t>
      </w:r>
    </w:p>
    <w:p w14:paraId="641B869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2"/>
          <w:rFonts w:hint="eastAsia" w:ascii="楷体" w:hAnsi="楷体" w:eastAsia="楷体"/>
          <w:spacing w:val="-4"/>
          <w:sz w:val="28"/>
          <w:szCs w:val="28"/>
        </w:rPr>
        <w:t>伊犁哈萨克自治州塔城地区政务服务与公共资源交易中心</w:t>
      </w:r>
    </w:p>
    <w:p w14:paraId="5414A92F">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2"/>
          <w:rFonts w:hint="eastAsia" w:ascii="楷体" w:hAnsi="楷体" w:eastAsia="楷体"/>
          <w:spacing w:val="-4"/>
          <w:sz w:val="28"/>
          <w:szCs w:val="28"/>
        </w:rPr>
        <w:t>伊犁哈萨克自治州塔城地区政务服务与公共资源交易中心</w:t>
      </w:r>
    </w:p>
    <w:p w14:paraId="39D8447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2"/>
          <w:rFonts w:hint="eastAsia" w:ascii="楷体" w:hAnsi="楷体" w:eastAsia="楷体"/>
          <w:spacing w:val="-4"/>
          <w:sz w:val="32"/>
          <w:szCs w:val="32"/>
        </w:rPr>
        <w:t>唐江</w:t>
      </w:r>
    </w:p>
    <w:p w14:paraId="5A5C7B3D">
      <w:pPr>
        <w:spacing w:line="540" w:lineRule="exact"/>
        <w:ind w:left="273" w:firstLine="567"/>
        <w:rPr>
          <w:rStyle w:val="22"/>
          <w:rFonts w:ascii="楷体" w:hAnsi="楷体" w:eastAsia="楷体"/>
          <w:spacing w:val="-4"/>
          <w:sz w:val="32"/>
          <w:szCs w:val="32"/>
        </w:rPr>
      </w:pPr>
      <w:r>
        <w:rPr>
          <w:rFonts w:hint="eastAsia" w:hAnsi="宋体" w:eastAsia="仿宋_GB2312" w:cs="宋体"/>
          <w:kern w:val="0"/>
          <w:sz w:val="36"/>
          <w:szCs w:val="36"/>
        </w:rPr>
        <w:t>填报时间：</w:t>
      </w:r>
      <w:r>
        <w:rPr>
          <w:rStyle w:val="22"/>
          <w:rFonts w:hint="eastAsia" w:ascii="楷体" w:hAnsi="楷体" w:eastAsia="楷体"/>
          <w:spacing w:val="-4"/>
          <w:sz w:val="32"/>
          <w:szCs w:val="32"/>
        </w:rPr>
        <w:t>2023年02月24日</w:t>
      </w:r>
    </w:p>
    <w:p w14:paraId="26313362">
      <w:pPr>
        <w:spacing w:line="700" w:lineRule="exact"/>
        <w:ind w:firstLine="708" w:firstLineChars="236"/>
        <w:jc w:val="left"/>
        <w:rPr>
          <w:rFonts w:hAnsi="宋体" w:eastAsia="仿宋_GB2312" w:cs="宋体"/>
          <w:kern w:val="0"/>
          <w:sz w:val="30"/>
          <w:szCs w:val="30"/>
        </w:rPr>
      </w:pPr>
    </w:p>
    <w:p w14:paraId="3EE528F7">
      <w:pPr>
        <w:spacing w:line="540" w:lineRule="exact"/>
        <w:rPr>
          <w:rStyle w:val="22"/>
          <w:rFonts w:ascii="黑体" w:hAnsi="黑体" w:eastAsia="黑体"/>
          <w:b w:val="0"/>
          <w:spacing w:val="-4"/>
          <w:sz w:val="32"/>
          <w:szCs w:val="32"/>
        </w:rPr>
      </w:pPr>
    </w:p>
    <w:p w14:paraId="3BCAB15A">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一、基本情况</w:t>
      </w:r>
    </w:p>
    <w:p w14:paraId="6CF26C87">
      <w:pPr>
        <w:spacing w:line="540" w:lineRule="exact"/>
        <w:ind w:firstLine="567"/>
        <w:rPr>
          <w:rStyle w:val="22"/>
          <w:rFonts w:ascii="楷体" w:hAnsi="楷体" w:eastAsia="楷体"/>
          <w:spacing w:val="-4"/>
          <w:sz w:val="32"/>
          <w:szCs w:val="32"/>
        </w:rPr>
      </w:pPr>
      <w:r>
        <w:rPr>
          <w:rStyle w:val="22"/>
          <w:rFonts w:hint="eastAsia" w:ascii="楷体" w:hAnsi="楷体" w:eastAsia="楷体"/>
          <w:spacing w:val="-4"/>
          <w:sz w:val="32"/>
          <w:szCs w:val="32"/>
        </w:rPr>
        <w:t>（一）项目概况</w:t>
      </w:r>
    </w:p>
    <w:p w14:paraId="4B88A54E">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jc w:val="left"/>
        <w:textAlignment w:val="auto"/>
        <w:rPr>
          <w:rStyle w:val="22"/>
          <w:rFonts w:hint="eastAsia" w:ascii="楷体" w:hAnsi="楷体" w:eastAsia="楷体" w:cs="Times New Roman"/>
          <w:b w:val="0"/>
          <w:bCs w:val="0"/>
          <w:spacing w:val="-4"/>
          <w:sz w:val="32"/>
          <w:szCs w:val="32"/>
        </w:rPr>
      </w:pPr>
      <w:r>
        <w:rPr>
          <w:rStyle w:val="22"/>
          <w:rFonts w:hint="eastAsia" w:ascii="楷体" w:hAnsi="楷体" w:eastAsia="楷体"/>
          <w:b w:val="0"/>
          <w:bCs w:val="0"/>
          <w:spacing w:val="-4"/>
          <w:sz w:val="32"/>
          <w:szCs w:val="32"/>
        </w:rPr>
        <w:t>1、项目背景</w:t>
      </w:r>
      <w:r>
        <w:rPr>
          <w:rStyle w:val="22"/>
          <w:rFonts w:hint="eastAsia" w:ascii="楷体" w:hAnsi="楷体" w:eastAsia="楷体"/>
          <w:b w:val="0"/>
          <w:bCs w:val="0"/>
          <w:spacing w:val="-4"/>
          <w:sz w:val="32"/>
          <w:szCs w:val="32"/>
        </w:rPr>
        <w:br w:type="textWrapping"/>
      </w:r>
      <w:r>
        <w:rPr>
          <w:rStyle w:val="22"/>
          <w:rFonts w:hint="eastAsia" w:ascii="楷体" w:hAnsi="楷体" w:eastAsia="楷体" w:cs="Times New Roman"/>
          <w:b w:val="0"/>
          <w:bCs w:val="0"/>
          <w:spacing w:val="-4"/>
          <w:sz w:val="32"/>
          <w:szCs w:val="32"/>
          <w:lang w:val="en-US" w:eastAsia="zh-CN"/>
        </w:rPr>
        <w:t>简化行政审批程序，规范行政行为，为人民群众提供高效、便捷服务。负责对地区各行政管理部门，服务机构进行工作协调、为公民、法人和其他社会组织提供行政许可、费行政许可、行政收费、便民等“一站式”服务，</w:t>
      </w:r>
      <w:r>
        <w:rPr>
          <w:rStyle w:val="22"/>
          <w:rFonts w:hint="eastAsia" w:ascii="楷体" w:hAnsi="楷体" w:eastAsia="楷体" w:cs="Times New Roman"/>
          <w:b w:val="0"/>
          <w:bCs w:val="0"/>
          <w:spacing w:val="-4"/>
          <w:sz w:val="32"/>
          <w:szCs w:val="32"/>
        </w:rPr>
        <w:t>特设立12345政务服务便民热线平台购买服务一体化在线政务服务深化开发维修维护及电话网络费用</w:t>
      </w:r>
      <w:r>
        <w:rPr>
          <w:rStyle w:val="22"/>
          <w:rFonts w:hint="eastAsia" w:ascii="楷体" w:hAnsi="楷体" w:eastAsia="楷体" w:cs="Times New Roman"/>
          <w:b w:val="0"/>
          <w:bCs w:val="0"/>
          <w:spacing w:val="-4"/>
          <w:sz w:val="32"/>
          <w:szCs w:val="32"/>
          <w:lang w:eastAsia="zh-CN"/>
        </w:rPr>
        <w:t>项目</w:t>
      </w:r>
      <w:r>
        <w:rPr>
          <w:rStyle w:val="22"/>
          <w:rFonts w:hint="eastAsia" w:ascii="楷体" w:hAnsi="楷体" w:eastAsia="楷体" w:cs="Times New Roman"/>
          <w:b w:val="0"/>
          <w:bCs w:val="0"/>
          <w:spacing w:val="-4"/>
          <w:sz w:val="32"/>
          <w:szCs w:val="32"/>
        </w:rPr>
        <w:t>。</w:t>
      </w:r>
    </w:p>
    <w:p w14:paraId="0BE9A1E2">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jc w:val="left"/>
        <w:textAlignment w:val="auto"/>
        <w:rPr>
          <w:rStyle w:val="22"/>
          <w:rFonts w:hint="eastAsia" w:ascii="楷体" w:hAnsi="楷体" w:eastAsia="楷体" w:cs="Times New Roman"/>
          <w:b w:val="0"/>
          <w:bCs w:val="0"/>
          <w:spacing w:val="-4"/>
          <w:sz w:val="32"/>
          <w:szCs w:val="32"/>
          <w:lang w:val="en-US" w:eastAsia="zh-CN"/>
        </w:rPr>
      </w:pPr>
      <w:r>
        <w:rPr>
          <w:rStyle w:val="22"/>
          <w:rFonts w:hint="eastAsia" w:ascii="楷体" w:hAnsi="楷体" w:eastAsia="楷体"/>
          <w:b w:val="0"/>
          <w:bCs w:val="0"/>
          <w:spacing w:val="-4"/>
          <w:sz w:val="32"/>
          <w:szCs w:val="32"/>
        </w:rPr>
        <w:t>2、项目主要内容及实施情况</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项目主要内容：</w:t>
      </w:r>
      <w:r>
        <w:rPr>
          <w:rStyle w:val="22"/>
          <w:rFonts w:hint="eastAsia" w:ascii="楷体" w:hAnsi="楷体" w:eastAsia="楷体"/>
          <w:b w:val="0"/>
          <w:bCs w:val="0"/>
          <w:spacing w:val="-4"/>
          <w:sz w:val="32"/>
          <w:szCs w:val="32"/>
        </w:rPr>
        <w:br w:type="textWrapping"/>
      </w:r>
      <w:r>
        <w:rPr>
          <w:rStyle w:val="22"/>
          <w:rFonts w:hint="eastAsia" w:ascii="楷体" w:hAnsi="楷体" w:eastAsia="楷体" w:cs="Times New Roman"/>
          <w:b w:val="0"/>
          <w:bCs w:val="0"/>
          <w:spacing w:val="-4"/>
          <w:sz w:val="32"/>
          <w:szCs w:val="32"/>
          <w:lang w:val="en-US" w:eastAsia="zh-CN"/>
        </w:rPr>
        <w:t>2022年，12345政务服务便民热线平台购买服务一体化在线政务服务深化开发维修维护及电话网络费用主要用12345政务服务便民热线平台费用、中心办公室工作电话及网络，网络机房（含消防控制室）运行维护、保障及办公大楼整体安全保卫视频监控设备设施维护维修、更换等费用、中心办公楼1—5层电梯、供暖、供排水、供电及其他附属设施维护维修费用。</w:t>
      </w:r>
    </w:p>
    <w:p w14:paraId="682BA386">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jc w:val="left"/>
        <w:textAlignment w:val="auto"/>
        <w:rPr>
          <w:rStyle w:val="22"/>
          <w:rFonts w:hint="eastAsia" w:ascii="楷体" w:hAnsi="楷体" w:eastAsia="楷体" w:cs="Times New Roman"/>
          <w:b w:val="0"/>
          <w:bCs w:val="0"/>
          <w:spacing w:val="-4"/>
          <w:sz w:val="32"/>
          <w:szCs w:val="32"/>
          <w:lang w:val="en-US" w:eastAsia="zh-CN"/>
        </w:rPr>
      </w:pPr>
      <w:r>
        <w:rPr>
          <w:rStyle w:val="22"/>
          <w:rFonts w:hint="eastAsia" w:ascii="楷体" w:hAnsi="楷体" w:eastAsia="楷体" w:cs="Times New Roman"/>
          <w:b w:val="0"/>
          <w:bCs w:val="0"/>
          <w:spacing w:val="-4"/>
          <w:sz w:val="32"/>
          <w:szCs w:val="32"/>
          <w:lang w:val="en-US" w:eastAsia="zh-CN"/>
        </w:rPr>
        <w:t>（1）</w:t>
      </w:r>
      <w:r>
        <w:rPr>
          <w:rStyle w:val="22"/>
          <w:rFonts w:hint="default" w:ascii="楷体" w:hAnsi="楷体" w:eastAsia="楷体" w:cs="Times New Roman"/>
          <w:b w:val="0"/>
          <w:bCs w:val="0"/>
          <w:spacing w:val="-4"/>
          <w:sz w:val="32"/>
          <w:szCs w:val="32"/>
          <w:lang w:val="en-US" w:eastAsia="zh-CN"/>
        </w:rPr>
        <w:t>聚焦企业和群众反映突出的办事难、办事慢，多头跑、来回跑等问题，深入推进</w:t>
      </w:r>
      <w:r>
        <w:rPr>
          <w:rStyle w:val="22"/>
          <w:rFonts w:hint="eastAsia" w:ascii="楷体" w:hAnsi="楷体" w:eastAsia="楷体" w:cs="Times New Roman"/>
          <w:b w:val="0"/>
          <w:bCs w:val="0"/>
          <w:spacing w:val="-4"/>
          <w:sz w:val="32"/>
          <w:szCs w:val="32"/>
          <w:lang w:val="en-US" w:eastAsia="zh-CN"/>
        </w:rPr>
        <w:t>“一网一门一次”</w:t>
      </w:r>
      <w:r>
        <w:rPr>
          <w:rStyle w:val="22"/>
          <w:rFonts w:hint="default" w:ascii="楷体" w:hAnsi="楷体" w:eastAsia="楷体" w:cs="Times New Roman"/>
          <w:b w:val="0"/>
          <w:bCs w:val="0"/>
          <w:spacing w:val="-4"/>
          <w:sz w:val="32"/>
          <w:szCs w:val="32"/>
          <w:lang w:val="en-US" w:eastAsia="zh-CN"/>
        </w:rPr>
        <w:t>改革，打通营商环境“最后一公里”。</w:t>
      </w:r>
      <w:r>
        <w:rPr>
          <w:rStyle w:val="22"/>
          <w:rFonts w:hint="eastAsia" w:ascii="楷体" w:hAnsi="楷体" w:eastAsia="楷体" w:cs="Times New Roman"/>
          <w:b w:val="0"/>
          <w:bCs w:val="0"/>
          <w:spacing w:val="-4"/>
          <w:sz w:val="32"/>
          <w:szCs w:val="32"/>
          <w:lang w:val="en-US" w:eastAsia="zh-CN"/>
        </w:rPr>
        <w:t>通过组织召开座谈会、征求地直各部门意见建议、借鉴广州深圳等内地省市先进经验等方式，制定《塔城地区优化营商环境实施意见》，涉及企业开办、工程建设审批、获得水电气、不动产登记、纳税、跨境贸易、人才服务保障、获得信贷、市场主体退出9个方面50条内容。明确各部门职责任务、细化工作举措</w:t>
      </w:r>
      <w:r>
        <w:rPr>
          <w:rStyle w:val="22"/>
          <w:rFonts w:hint="default" w:ascii="楷体" w:hAnsi="楷体" w:eastAsia="楷体" w:cs="Times New Roman"/>
          <w:b w:val="0"/>
          <w:bCs w:val="0"/>
          <w:spacing w:val="-4"/>
          <w:sz w:val="32"/>
          <w:szCs w:val="32"/>
          <w:lang w:val="en-US" w:eastAsia="zh-CN"/>
        </w:rPr>
        <w:t>成立地区优化营商环境领导小组，建立联动推进机制。建立了由30个</w:t>
      </w:r>
      <w:r>
        <w:rPr>
          <w:rStyle w:val="22"/>
          <w:rFonts w:hint="eastAsia" w:ascii="楷体" w:hAnsi="楷体" w:eastAsia="楷体" w:cs="Times New Roman"/>
          <w:b w:val="0"/>
          <w:bCs w:val="0"/>
          <w:spacing w:val="-4"/>
          <w:sz w:val="32"/>
          <w:szCs w:val="32"/>
          <w:lang w:val="en-US" w:eastAsia="zh-CN"/>
        </w:rPr>
        <w:t>地直部门（</w:t>
      </w:r>
      <w:r>
        <w:rPr>
          <w:rStyle w:val="22"/>
          <w:rFonts w:hint="default" w:ascii="楷体" w:hAnsi="楷体" w:eastAsia="楷体" w:cs="Times New Roman"/>
          <w:b w:val="0"/>
          <w:bCs w:val="0"/>
          <w:spacing w:val="-4"/>
          <w:sz w:val="32"/>
          <w:szCs w:val="32"/>
          <w:lang w:val="en-US" w:eastAsia="zh-CN"/>
        </w:rPr>
        <w:t>单位</w:t>
      </w:r>
      <w:r>
        <w:rPr>
          <w:rStyle w:val="22"/>
          <w:rFonts w:hint="eastAsia" w:ascii="楷体" w:hAnsi="楷体" w:eastAsia="楷体" w:cs="Times New Roman"/>
          <w:b w:val="0"/>
          <w:bCs w:val="0"/>
          <w:spacing w:val="-4"/>
          <w:sz w:val="32"/>
          <w:szCs w:val="32"/>
          <w:lang w:val="en-US" w:eastAsia="zh-CN"/>
        </w:rPr>
        <w:t>）</w:t>
      </w:r>
      <w:r>
        <w:rPr>
          <w:rStyle w:val="22"/>
          <w:rFonts w:hint="default" w:ascii="楷体" w:hAnsi="楷体" w:eastAsia="楷体" w:cs="Times New Roman"/>
          <w:b w:val="0"/>
          <w:bCs w:val="0"/>
          <w:spacing w:val="-4"/>
          <w:sz w:val="32"/>
          <w:szCs w:val="32"/>
          <w:lang w:val="en-US" w:eastAsia="zh-CN"/>
        </w:rPr>
        <w:t>组成的</w:t>
      </w:r>
      <w:r>
        <w:rPr>
          <w:rStyle w:val="22"/>
          <w:rFonts w:hint="eastAsia" w:ascii="楷体" w:hAnsi="楷体" w:eastAsia="楷体" w:cs="Times New Roman"/>
          <w:b w:val="0"/>
          <w:bCs w:val="0"/>
          <w:spacing w:val="-4"/>
          <w:sz w:val="32"/>
          <w:szCs w:val="32"/>
          <w:lang w:val="en-US" w:eastAsia="zh-CN"/>
        </w:rPr>
        <w:t>地区</w:t>
      </w:r>
      <w:r>
        <w:rPr>
          <w:rStyle w:val="22"/>
          <w:rFonts w:hint="default" w:ascii="楷体" w:hAnsi="楷体" w:eastAsia="楷体" w:cs="Times New Roman"/>
          <w:b w:val="0"/>
          <w:bCs w:val="0"/>
          <w:spacing w:val="-4"/>
          <w:sz w:val="32"/>
          <w:szCs w:val="32"/>
          <w:lang w:val="en-US" w:eastAsia="zh-CN"/>
        </w:rPr>
        <w:t>优化营商环境联席会议制度，</w:t>
      </w:r>
      <w:r>
        <w:rPr>
          <w:rStyle w:val="22"/>
          <w:rFonts w:hint="eastAsia" w:ascii="楷体" w:hAnsi="楷体" w:eastAsia="楷体" w:cs="Times New Roman"/>
          <w:b w:val="0"/>
          <w:bCs w:val="0"/>
          <w:spacing w:val="-4"/>
          <w:sz w:val="32"/>
          <w:szCs w:val="32"/>
          <w:lang w:val="en-US" w:eastAsia="zh-CN"/>
        </w:rPr>
        <w:t>切实</w:t>
      </w:r>
      <w:r>
        <w:rPr>
          <w:rStyle w:val="22"/>
          <w:rFonts w:hint="default" w:ascii="楷体" w:hAnsi="楷体" w:eastAsia="楷体" w:cs="Times New Roman"/>
          <w:b w:val="0"/>
          <w:bCs w:val="0"/>
          <w:spacing w:val="-4"/>
          <w:sz w:val="32"/>
          <w:szCs w:val="32"/>
          <w:lang w:val="en-US" w:eastAsia="zh-CN"/>
        </w:rPr>
        <w:t>加强</w:t>
      </w:r>
      <w:r>
        <w:rPr>
          <w:rStyle w:val="22"/>
          <w:rFonts w:hint="eastAsia" w:ascii="楷体" w:hAnsi="楷体" w:eastAsia="楷体" w:cs="Times New Roman"/>
          <w:b w:val="0"/>
          <w:bCs w:val="0"/>
          <w:spacing w:val="-4"/>
          <w:sz w:val="32"/>
          <w:szCs w:val="32"/>
          <w:lang w:val="en-US" w:eastAsia="zh-CN"/>
        </w:rPr>
        <w:t>对</w:t>
      </w:r>
      <w:r>
        <w:rPr>
          <w:rStyle w:val="22"/>
          <w:rFonts w:hint="default" w:ascii="楷体" w:hAnsi="楷体" w:eastAsia="楷体" w:cs="Times New Roman"/>
          <w:b w:val="0"/>
          <w:bCs w:val="0"/>
          <w:spacing w:val="-4"/>
          <w:sz w:val="32"/>
          <w:szCs w:val="32"/>
          <w:lang w:val="en-US" w:eastAsia="zh-CN"/>
        </w:rPr>
        <w:t>地区营商环境建设监督工作的组织领导，努力构建</w:t>
      </w:r>
      <w:r>
        <w:rPr>
          <w:rStyle w:val="22"/>
          <w:rFonts w:hint="eastAsia" w:ascii="楷体" w:hAnsi="楷体" w:eastAsia="楷体" w:cs="Times New Roman"/>
          <w:b w:val="0"/>
          <w:bCs w:val="0"/>
          <w:spacing w:val="-4"/>
          <w:sz w:val="32"/>
          <w:szCs w:val="32"/>
          <w:lang w:val="en-US" w:eastAsia="zh-CN"/>
        </w:rPr>
        <w:t>“</w:t>
      </w:r>
      <w:r>
        <w:rPr>
          <w:rStyle w:val="22"/>
          <w:rFonts w:hint="default" w:ascii="楷体" w:hAnsi="楷体" w:eastAsia="楷体" w:cs="Times New Roman"/>
          <w:b w:val="0"/>
          <w:bCs w:val="0"/>
          <w:spacing w:val="-4"/>
          <w:sz w:val="32"/>
          <w:szCs w:val="32"/>
          <w:lang w:val="en-US" w:eastAsia="zh-CN"/>
        </w:rPr>
        <w:t>党委领导、政府主责、部门联动、上下互动、社会参与</w:t>
      </w:r>
      <w:r>
        <w:rPr>
          <w:rStyle w:val="22"/>
          <w:rFonts w:hint="eastAsia" w:ascii="楷体" w:hAnsi="楷体" w:eastAsia="楷体" w:cs="Times New Roman"/>
          <w:b w:val="0"/>
          <w:bCs w:val="0"/>
          <w:spacing w:val="-4"/>
          <w:sz w:val="32"/>
          <w:szCs w:val="32"/>
          <w:lang w:val="en-US" w:eastAsia="zh-CN"/>
        </w:rPr>
        <w:t>”</w:t>
      </w:r>
      <w:r>
        <w:rPr>
          <w:rStyle w:val="22"/>
          <w:rFonts w:hint="default" w:ascii="楷体" w:hAnsi="楷体" w:eastAsia="楷体" w:cs="Times New Roman"/>
          <w:b w:val="0"/>
          <w:bCs w:val="0"/>
          <w:spacing w:val="-4"/>
          <w:sz w:val="32"/>
          <w:szCs w:val="32"/>
          <w:lang w:val="en-US" w:eastAsia="zh-CN"/>
        </w:rPr>
        <w:t>的优化营商环境大工作格局，形成工作合力。</w:t>
      </w:r>
      <w:r>
        <w:rPr>
          <w:rStyle w:val="22"/>
          <w:rFonts w:hint="eastAsia" w:ascii="楷体" w:hAnsi="楷体" w:eastAsia="楷体" w:cs="Times New Roman"/>
          <w:b w:val="0"/>
          <w:bCs w:val="0"/>
          <w:spacing w:val="-4"/>
          <w:sz w:val="32"/>
          <w:szCs w:val="32"/>
          <w:lang w:val="en-US" w:eastAsia="zh-CN"/>
        </w:rPr>
        <w:t>继续优化企业开办流程，简化相关手续，企业开办时间压缩至</w:t>
      </w:r>
      <w:r>
        <w:rPr>
          <w:rStyle w:val="22"/>
          <w:rFonts w:hint="default" w:ascii="楷体" w:hAnsi="楷体" w:eastAsia="楷体" w:cs="Times New Roman"/>
          <w:b w:val="0"/>
          <w:bCs w:val="0"/>
          <w:spacing w:val="-4"/>
          <w:sz w:val="32"/>
          <w:szCs w:val="32"/>
          <w:lang w:val="en-US" w:eastAsia="zh-CN"/>
        </w:rPr>
        <w:t>1</w:t>
      </w:r>
      <w:r>
        <w:rPr>
          <w:rStyle w:val="22"/>
          <w:rFonts w:hint="eastAsia" w:ascii="楷体" w:hAnsi="楷体" w:eastAsia="楷体" w:cs="Times New Roman"/>
          <w:b w:val="0"/>
          <w:bCs w:val="0"/>
          <w:spacing w:val="-4"/>
          <w:sz w:val="32"/>
          <w:szCs w:val="32"/>
          <w:lang w:val="en-US" w:eastAsia="zh-CN"/>
        </w:rPr>
        <w:t>个工作日以内。全面推行企业、个体工商户、农民专业合作社网上在线自主申报，节省各类市场主体办事时间与人力成本。整合市场监管、公安、税务、银行等多部门力量，配备专职人员为企业开办提供“保姆式”服务，确保企业开办四个环节</w:t>
      </w:r>
      <w:r>
        <w:rPr>
          <w:rStyle w:val="22"/>
          <w:rFonts w:hint="default"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val="en-US" w:eastAsia="zh-CN"/>
        </w:rPr>
        <w:t>一日办结</w:t>
      </w:r>
      <w:r>
        <w:rPr>
          <w:rStyle w:val="22"/>
          <w:rFonts w:hint="default"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val="en-US" w:eastAsia="zh-CN"/>
        </w:rPr>
        <w:t>。在全疆率先推行“塔礼包”，为新开办企业免费刻制公司章、税务章、财务章、法人章，实现企业开办费用</w:t>
      </w:r>
      <w:r>
        <w:rPr>
          <w:rStyle w:val="22"/>
          <w:rFonts w:hint="default"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val="en-US" w:eastAsia="zh-CN"/>
        </w:rPr>
        <w:t>零成本</w:t>
      </w:r>
      <w:r>
        <w:rPr>
          <w:rStyle w:val="22"/>
          <w:rFonts w:hint="default"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val="en-US" w:eastAsia="zh-CN"/>
        </w:rPr>
        <w:t>，为推动塔城重点开发开放试验区建设和地区高质量发展提供强有力保障。截至目前，全地区为新开办企业发放“塔礼包”</w:t>
      </w:r>
      <w:r>
        <w:rPr>
          <w:rStyle w:val="22"/>
          <w:rFonts w:hint="default" w:ascii="楷体" w:hAnsi="楷体" w:eastAsia="楷体" w:cs="Times New Roman"/>
          <w:b w:val="0"/>
          <w:bCs w:val="0"/>
          <w:spacing w:val="-4"/>
          <w:sz w:val="32"/>
          <w:szCs w:val="32"/>
          <w:lang w:val="en-US" w:eastAsia="zh-CN"/>
        </w:rPr>
        <w:t>共23个。</w:t>
      </w:r>
      <w:r>
        <w:rPr>
          <w:rStyle w:val="22"/>
          <w:rFonts w:hint="eastAsia" w:ascii="楷体" w:hAnsi="楷体" w:eastAsia="楷体" w:cs="Times New Roman"/>
          <w:b w:val="0"/>
          <w:bCs w:val="0"/>
          <w:spacing w:val="-4"/>
          <w:sz w:val="32"/>
          <w:szCs w:val="32"/>
          <w:lang w:val="en-US" w:eastAsia="zh-CN"/>
        </w:rPr>
        <w:t>此项工作得到了自治区政务服务和公共资源交易中心的肯定。优化审批服务流程，在地、县（市）两级政务服务大厅全面推行</w:t>
      </w:r>
      <w:r>
        <w:rPr>
          <w:rStyle w:val="22"/>
          <w:rFonts w:hint="default" w:ascii="楷体" w:hAnsi="楷体" w:eastAsia="楷体" w:cs="Times New Roman"/>
          <w:b w:val="0"/>
          <w:bCs w:val="0"/>
          <w:spacing w:val="-4"/>
          <w:sz w:val="32"/>
          <w:szCs w:val="32"/>
          <w:lang w:val="en-US" w:eastAsia="zh-CN"/>
        </w:rPr>
        <w:t>《一次性告知制》《限时办结制》《服务承诺制》等工作制度</w:t>
      </w:r>
      <w:r>
        <w:rPr>
          <w:rStyle w:val="22"/>
          <w:rFonts w:hint="eastAsia" w:ascii="楷体" w:hAnsi="楷体" w:eastAsia="楷体" w:cs="Times New Roman"/>
          <w:b w:val="0"/>
          <w:bCs w:val="0"/>
          <w:spacing w:val="-4"/>
          <w:sz w:val="32"/>
          <w:szCs w:val="32"/>
          <w:lang w:val="en-US" w:eastAsia="zh-CN"/>
        </w:rPr>
        <w:t>，窗口人员责任意识、服务水平得到进一步强化，全地区行政许可事项承诺办理时限均在法定办理时限的基础上压减了70%以上，极大地方便了企业和群众。</w:t>
      </w:r>
    </w:p>
    <w:p w14:paraId="780D3CAC">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jc w:val="left"/>
        <w:textAlignment w:val="auto"/>
        <w:rPr>
          <w:rStyle w:val="22"/>
          <w:rFonts w:hint="eastAsia" w:ascii="楷体" w:hAnsi="楷体" w:eastAsia="楷体" w:cs="Times New Roman"/>
          <w:b w:val="0"/>
          <w:bCs w:val="0"/>
          <w:spacing w:val="-4"/>
          <w:sz w:val="32"/>
          <w:szCs w:val="32"/>
          <w:lang w:val="en-US" w:eastAsia="zh-CN"/>
        </w:rPr>
      </w:pPr>
      <w:r>
        <w:rPr>
          <w:rStyle w:val="22"/>
          <w:rFonts w:hint="eastAsia" w:ascii="楷体" w:hAnsi="楷体" w:eastAsia="楷体" w:cs="Times New Roman"/>
          <w:b w:val="0"/>
          <w:bCs w:val="0"/>
          <w:spacing w:val="-4"/>
          <w:sz w:val="32"/>
          <w:szCs w:val="32"/>
          <w:lang w:val="en-US" w:eastAsia="zh-CN"/>
        </w:rPr>
        <w:t>（2）加快推进政务服务标杆大厅创建工作。通过优化调整窗口布局，合理划分企业注册、工程建设项目审批、住房公积金、办税业务及云办税、便民服务、休息等候专区等服务功能区域，着力实现各功能专区之间相互衔接、沟通顺畅工作目标，为办事企业和群众提供更加便捷优质服务。进一步完善服务满意度评价机制。充分运用窗口评价器、“二维码”、书面评价、意见箱、新疆政务服务“好差评”系统等评价渠道，对窗口办事服务和线上办理环节进行评价。不断优化政务服务办事环境。持续完善中心内外导向标识、安全标识、消防标识、无障碍标识，应急、服务标语等，为办事企业和群众提供精准引导。为办事群众配备休息座椅、填表台，并设置母婴室（女职工休息哺乳室）、免费茶吧，开通免费WIFI网络，打造便民图书角</w:t>
      </w:r>
      <w:r>
        <w:rPr>
          <w:rStyle w:val="22"/>
          <w:rFonts w:hint="default"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val="en-US" w:eastAsia="zh-CN"/>
        </w:rPr>
        <w:t>增设</w:t>
      </w:r>
      <w:r>
        <w:rPr>
          <w:rStyle w:val="22"/>
          <w:rFonts w:hint="default" w:ascii="楷体" w:hAnsi="楷体" w:eastAsia="楷体" w:cs="Times New Roman"/>
          <w:b w:val="0"/>
          <w:bCs w:val="0"/>
          <w:spacing w:val="-4"/>
          <w:sz w:val="32"/>
          <w:szCs w:val="32"/>
          <w:lang w:val="en-US" w:eastAsia="zh-CN"/>
        </w:rPr>
        <w:t>自助充电</w:t>
      </w:r>
      <w:r>
        <w:rPr>
          <w:rStyle w:val="22"/>
          <w:rFonts w:hint="eastAsia" w:ascii="楷体" w:hAnsi="楷体" w:eastAsia="楷体" w:cs="Times New Roman"/>
          <w:b w:val="0"/>
          <w:bCs w:val="0"/>
          <w:spacing w:val="-4"/>
          <w:sz w:val="32"/>
          <w:szCs w:val="32"/>
          <w:lang w:val="en-US" w:eastAsia="zh-CN"/>
        </w:rPr>
        <w:t>桩</w:t>
      </w:r>
      <w:r>
        <w:rPr>
          <w:rStyle w:val="22"/>
          <w:rFonts w:hint="default"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val="en-US" w:eastAsia="zh-CN"/>
        </w:rPr>
        <w:t>便民</w:t>
      </w:r>
      <w:r>
        <w:rPr>
          <w:rStyle w:val="22"/>
          <w:rFonts w:hint="default" w:ascii="楷体" w:hAnsi="楷体" w:eastAsia="楷体" w:cs="Times New Roman"/>
          <w:b w:val="0"/>
          <w:bCs w:val="0"/>
          <w:spacing w:val="-4"/>
          <w:sz w:val="32"/>
          <w:szCs w:val="32"/>
          <w:lang w:val="en-US" w:eastAsia="zh-CN"/>
        </w:rPr>
        <w:t>雨具</w:t>
      </w:r>
      <w:r>
        <w:rPr>
          <w:rStyle w:val="22"/>
          <w:rFonts w:hint="eastAsia" w:ascii="楷体" w:hAnsi="楷体" w:eastAsia="楷体" w:cs="Times New Roman"/>
          <w:b w:val="0"/>
          <w:bCs w:val="0"/>
          <w:spacing w:val="-4"/>
          <w:sz w:val="32"/>
          <w:szCs w:val="32"/>
          <w:lang w:val="en-US" w:eastAsia="zh-CN"/>
        </w:rPr>
        <w:t>，在每个办事窗口免费为群众提供手消液、</w:t>
      </w:r>
      <w:r>
        <w:rPr>
          <w:rStyle w:val="22"/>
          <w:rFonts w:hint="default" w:ascii="楷体" w:hAnsi="楷体" w:eastAsia="楷体" w:cs="Times New Roman"/>
          <w:b w:val="0"/>
          <w:bCs w:val="0"/>
          <w:spacing w:val="-4"/>
          <w:sz w:val="32"/>
          <w:szCs w:val="32"/>
          <w:lang w:val="en-US" w:eastAsia="zh-CN"/>
        </w:rPr>
        <w:t>老花镜、</w:t>
      </w:r>
      <w:r>
        <w:rPr>
          <w:rStyle w:val="22"/>
          <w:rFonts w:hint="eastAsia" w:ascii="楷体" w:hAnsi="楷体" w:eastAsia="楷体" w:cs="Times New Roman"/>
          <w:b w:val="0"/>
          <w:bCs w:val="0"/>
          <w:spacing w:val="-4"/>
          <w:sz w:val="32"/>
          <w:szCs w:val="32"/>
          <w:lang w:val="en-US" w:eastAsia="zh-CN"/>
        </w:rPr>
        <w:t>签字</w:t>
      </w:r>
      <w:r>
        <w:rPr>
          <w:rStyle w:val="22"/>
          <w:rFonts w:hint="default" w:ascii="楷体" w:hAnsi="楷体" w:eastAsia="楷体" w:cs="Times New Roman"/>
          <w:b w:val="0"/>
          <w:bCs w:val="0"/>
          <w:spacing w:val="-4"/>
          <w:sz w:val="32"/>
          <w:szCs w:val="32"/>
          <w:lang w:val="en-US" w:eastAsia="zh-CN"/>
        </w:rPr>
        <w:t>笔、</w:t>
      </w:r>
      <w:r>
        <w:rPr>
          <w:rStyle w:val="22"/>
          <w:rFonts w:hint="eastAsia" w:ascii="楷体" w:hAnsi="楷体" w:eastAsia="楷体" w:cs="Times New Roman"/>
          <w:b w:val="0"/>
          <w:bCs w:val="0"/>
          <w:spacing w:val="-4"/>
          <w:sz w:val="32"/>
          <w:szCs w:val="32"/>
          <w:lang w:val="en-US" w:eastAsia="zh-CN"/>
        </w:rPr>
        <w:t>胶棒、针线、尺子</w:t>
      </w:r>
      <w:r>
        <w:rPr>
          <w:rStyle w:val="22"/>
          <w:rFonts w:hint="default" w:ascii="楷体" w:hAnsi="楷体" w:eastAsia="楷体" w:cs="Times New Roman"/>
          <w:b w:val="0"/>
          <w:bCs w:val="0"/>
          <w:spacing w:val="-4"/>
          <w:sz w:val="32"/>
          <w:szCs w:val="32"/>
          <w:lang w:val="en-US" w:eastAsia="zh-CN"/>
        </w:rPr>
        <w:t>等</w:t>
      </w:r>
      <w:r>
        <w:rPr>
          <w:rStyle w:val="22"/>
          <w:rFonts w:hint="eastAsia" w:ascii="楷体" w:hAnsi="楷体" w:eastAsia="楷体" w:cs="Times New Roman"/>
          <w:b w:val="0"/>
          <w:bCs w:val="0"/>
          <w:spacing w:val="-4"/>
          <w:sz w:val="32"/>
          <w:szCs w:val="32"/>
          <w:lang w:val="en-US" w:eastAsia="zh-CN"/>
        </w:rPr>
        <w:t>便民</w:t>
      </w:r>
      <w:r>
        <w:rPr>
          <w:rStyle w:val="22"/>
          <w:rFonts w:hint="default" w:ascii="楷体" w:hAnsi="楷体" w:eastAsia="楷体" w:cs="Times New Roman"/>
          <w:b w:val="0"/>
          <w:bCs w:val="0"/>
          <w:spacing w:val="-4"/>
          <w:sz w:val="32"/>
          <w:szCs w:val="32"/>
          <w:lang w:val="en-US" w:eastAsia="zh-CN"/>
        </w:rPr>
        <w:t>设施设备</w:t>
      </w:r>
      <w:r>
        <w:rPr>
          <w:rStyle w:val="22"/>
          <w:rFonts w:hint="eastAsia" w:ascii="楷体" w:hAnsi="楷体" w:eastAsia="楷体" w:cs="Times New Roman"/>
          <w:b w:val="0"/>
          <w:bCs w:val="0"/>
          <w:spacing w:val="-4"/>
          <w:sz w:val="32"/>
          <w:szCs w:val="32"/>
          <w:lang w:val="en-US" w:eastAsia="zh-CN"/>
        </w:rPr>
        <w:t>，方便办事</w:t>
      </w:r>
      <w:r>
        <w:rPr>
          <w:rStyle w:val="22"/>
          <w:rFonts w:hint="default" w:ascii="楷体" w:hAnsi="楷体" w:eastAsia="楷体" w:cs="Times New Roman"/>
          <w:b w:val="0"/>
          <w:bCs w:val="0"/>
          <w:spacing w:val="-4"/>
          <w:sz w:val="32"/>
          <w:szCs w:val="32"/>
          <w:lang w:val="en-US" w:eastAsia="zh-CN"/>
        </w:rPr>
        <w:t>群众使用。</w:t>
      </w:r>
      <w:r>
        <w:rPr>
          <w:rStyle w:val="22"/>
          <w:rFonts w:hint="eastAsia" w:ascii="楷体" w:hAnsi="楷体" w:eastAsia="楷体" w:cs="Times New Roman"/>
          <w:b w:val="0"/>
          <w:bCs w:val="0"/>
          <w:spacing w:val="-4"/>
          <w:sz w:val="32"/>
          <w:szCs w:val="32"/>
          <w:lang w:val="en-US" w:eastAsia="zh-CN"/>
        </w:rPr>
        <w:t>拓宽政务服务监督渠道，延伸政务服务监督触角。为进一步提升政务服务监督实效和社会监督质效，制定出台特邀监督员选聘办法和相应工作制度，从具有广泛代表性、较强社会责任感、关心营商环境工作的党代表、人大代表、政协委员、社会组织、市场主体等社会各界人士中通过公开聘请和定向特聘相结合的方式聘请了11名政务服务特邀监督员，对地区各级政务服务场所进驻窗口单位和窗口工作人员政策落实、服务态度、服务效率等情况开展监督评议。设立24小时自助服务大厅。将社保、医保、公安、市场监督、水电气等功能进行全面整合，让群众享受到24小时“不打烊”的政务服务，切实增强企业和群众幸福感和获得感。</w:t>
      </w:r>
    </w:p>
    <w:p w14:paraId="22E2DED0">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jc w:val="left"/>
        <w:textAlignment w:val="auto"/>
        <w:rPr>
          <w:rStyle w:val="22"/>
          <w:rFonts w:hint="eastAsia" w:ascii="楷体" w:hAnsi="楷体" w:eastAsia="楷体" w:cs="Times New Roman"/>
          <w:b w:val="0"/>
          <w:bCs w:val="0"/>
          <w:spacing w:val="-4"/>
          <w:sz w:val="32"/>
          <w:szCs w:val="32"/>
          <w:lang w:val="en-US" w:eastAsia="zh-CN"/>
        </w:rPr>
      </w:pPr>
      <w:r>
        <w:rPr>
          <w:rStyle w:val="22"/>
          <w:rFonts w:hint="eastAsia" w:ascii="楷体" w:hAnsi="楷体" w:eastAsia="楷体" w:cs="Times New Roman"/>
          <w:b w:val="0"/>
          <w:bCs w:val="0"/>
          <w:spacing w:val="-4"/>
          <w:sz w:val="32"/>
          <w:szCs w:val="32"/>
          <w:lang w:val="en-US" w:eastAsia="zh-CN"/>
        </w:rPr>
        <w:t>（3）由地区政资中心牵头组织地直各部门（单位）和各县（市）政务服务中心编制地区、县（市）政务服务事项清单。目前已完成地区本级行政权力事项583项、公共服务事项183项梳理建档工作，县（市）行政权力事项4256项，公共服务事项1582项的梳理工作已基本结束。</w:t>
      </w:r>
    </w:p>
    <w:p w14:paraId="49059D8F">
      <w:pPr>
        <w:keepNext w:val="0"/>
        <w:keepLines w:val="0"/>
        <w:pageBreakBefore w:val="0"/>
        <w:widowControl w:val="0"/>
        <w:kinsoku/>
        <w:wordWrap/>
        <w:overflowPunct/>
        <w:topLinePunct w:val="0"/>
        <w:autoSpaceDE/>
        <w:autoSpaceDN/>
        <w:bidi w:val="0"/>
        <w:adjustRightInd/>
        <w:snapToGrid/>
        <w:spacing w:line="520" w:lineRule="exact"/>
        <w:ind w:left="319" w:leftChars="152" w:firstLine="624" w:firstLineChars="200"/>
        <w:jc w:val="left"/>
        <w:textAlignment w:val="auto"/>
        <w:rPr>
          <w:rStyle w:val="22"/>
          <w:rFonts w:hint="eastAsia" w:ascii="楷体" w:hAnsi="楷体" w:eastAsia="楷体" w:cs="Times New Roman"/>
          <w:b w:val="0"/>
          <w:bCs w:val="0"/>
          <w:spacing w:val="-4"/>
          <w:sz w:val="32"/>
          <w:szCs w:val="32"/>
          <w:lang w:val="en-US" w:eastAsia="zh-CN"/>
        </w:rPr>
      </w:pPr>
      <w:r>
        <w:rPr>
          <w:rStyle w:val="22"/>
          <w:rFonts w:hint="eastAsia" w:ascii="楷体" w:hAnsi="楷体" w:eastAsia="楷体" w:cs="Times New Roman"/>
          <w:b w:val="0"/>
          <w:bCs w:val="0"/>
          <w:spacing w:val="-4"/>
          <w:sz w:val="32"/>
          <w:szCs w:val="32"/>
          <w:lang w:val="en-US" w:eastAsia="zh-CN"/>
        </w:rPr>
        <w:t>（4）梳理发布涉及人社、医保、市场监督、公安等部门“跨省通办”事项地区本级98项，各县（市）130项，办理“跨省通办”事项6万件次，认领各类电子证照630个、电子印章237枚，建立与疆内其他地（州）市和地区内各县（市）互通协作机制，推动更多高频政务服务事项实现“跨省通办”。将“一件事一次办”所涉及事项进行优化整合，在前期工作基础上，对地区和各县（市）“我要开餐厅”“我要办残疾证”等共计15个高频事项的“一件事一次办”主题集成服务进行再优化、再完善。积极推行政务服务事项网上办理模式。全地区在一体化平台上共发布依申请行政审批和公共服务事项4616个，可网办事项比例达97.6%，即办事项比例47.27%，网上办件38.1万件（次），累计上传历史证照33万件，平台个人和法人注册用户达74万个。按需规范对接政务数据，努力实现政务数据资源按需共享、统一流转、随时调用。申请政务数据资源接口31类，实际调用28类，完成5457个政务服务事项的3.7万条数据目录信息项编制上工作，实现目录资源等数据在地区与自治区平台之间共享交换。</w:t>
      </w:r>
    </w:p>
    <w:p w14:paraId="5D92769F">
      <w:pPr>
        <w:spacing w:line="560" w:lineRule="exact"/>
        <w:ind w:firstLine="64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3、资金投入和使用情况</w:t>
      </w:r>
    </w:p>
    <w:p w14:paraId="71E15FB5">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firstLine="640" w:firstLineChars="200"/>
        <w:jc w:val="both"/>
        <w:textAlignment w:val="auto"/>
        <w:rPr>
          <w:rFonts w:ascii="Times New Roman" w:hAnsi="Times New Roman" w:eastAsia="仿宋_GB2312"/>
          <w:b w:val="0"/>
          <w:i w:val="0"/>
          <w:caps w:val="0"/>
          <w:spacing w:val="0"/>
          <w:w w:val="100"/>
          <w:kern w:val="2"/>
          <w:sz w:val="32"/>
          <w:szCs w:val="32"/>
        </w:rPr>
      </w:pPr>
      <w:r>
        <w:rPr>
          <w:rFonts w:hint="eastAsia" w:ascii="Times New Roman" w:hAnsi="Times New Roman" w:eastAsia="仿宋_GB2312"/>
          <w:b w:val="0"/>
          <w:i w:val="0"/>
          <w:caps w:val="0"/>
          <w:spacing w:val="0"/>
          <w:w w:val="100"/>
          <w:kern w:val="2"/>
          <w:sz w:val="32"/>
          <w:szCs w:val="32"/>
        </w:rPr>
        <w:t>资金投入情况：</w:t>
      </w:r>
      <w:r>
        <w:rPr>
          <w:rStyle w:val="22"/>
          <w:rFonts w:hint="eastAsia" w:ascii="楷体" w:hAnsi="楷体" w:eastAsia="楷体" w:cs="Times New Roman"/>
          <w:b w:val="0"/>
          <w:bCs w:val="0"/>
          <w:spacing w:val="-4"/>
          <w:sz w:val="32"/>
          <w:szCs w:val="32"/>
        </w:rPr>
        <w:t>12345政务服务便民热线平台购买服务一体化在线政务服务深化开发维修维护及电话网络费用</w:t>
      </w:r>
      <w:r>
        <w:rPr>
          <w:rStyle w:val="22"/>
          <w:rFonts w:hint="eastAsia" w:ascii="楷体" w:hAnsi="楷体" w:eastAsia="楷体" w:cs="Times New Roman"/>
          <w:b w:val="0"/>
          <w:bCs w:val="0"/>
          <w:spacing w:val="-4"/>
          <w:sz w:val="32"/>
          <w:szCs w:val="32"/>
          <w:lang w:val="en-US" w:eastAsia="zh-CN"/>
        </w:rPr>
        <w:t>项目</w:t>
      </w:r>
      <w:r>
        <w:rPr>
          <w:rFonts w:hint="eastAsia" w:ascii="Times New Roman" w:hAnsi="Times New Roman" w:eastAsia="仿宋_GB2312"/>
          <w:b w:val="0"/>
          <w:i w:val="0"/>
          <w:caps w:val="0"/>
          <w:spacing w:val="0"/>
          <w:w w:val="100"/>
          <w:kern w:val="2"/>
          <w:sz w:val="32"/>
          <w:szCs w:val="32"/>
        </w:rPr>
        <w:t>资金投入情况：该项目年初预算数</w:t>
      </w:r>
      <w:r>
        <w:rPr>
          <w:rFonts w:hint="eastAsia" w:ascii="Times New Roman" w:hAnsi="Times New Roman" w:eastAsia="仿宋_GB2312"/>
          <w:b w:val="0"/>
          <w:i w:val="0"/>
          <w:caps w:val="0"/>
          <w:spacing w:val="0"/>
          <w:w w:val="100"/>
          <w:kern w:val="2"/>
          <w:sz w:val="32"/>
          <w:szCs w:val="32"/>
          <w:lang w:val="en-US" w:eastAsia="zh-CN"/>
        </w:rPr>
        <w:t>25.57</w:t>
      </w:r>
      <w:r>
        <w:rPr>
          <w:rFonts w:hint="eastAsia" w:ascii="Times New Roman" w:hAnsi="Times New Roman" w:eastAsia="仿宋_GB2312"/>
          <w:b w:val="0"/>
          <w:i w:val="0"/>
          <w:caps w:val="0"/>
          <w:spacing w:val="0"/>
          <w:w w:val="100"/>
          <w:kern w:val="2"/>
          <w:sz w:val="32"/>
          <w:szCs w:val="32"/>
        </w:rPr>
        <w:t>万元，全年预算数</w:t>
      </w:r>
      <w:r>
        <w:rPr>
          <w:rFonts w:hint="eastAsia" w:ascii="Times New Roman" w:hAnsi="Times New Roman" w:eastAsia="仿宋_GB2312"/>
          <w:b w:val="0"/>
          <w:i w:val="0"/>
          <w:caps w:val="0"/>
          <w:spacing w:val="0"/>
          <w:w w:val="100"/>
          <w:kern w:val="2"/>
          <w:sz w:val="32"/>
          <w:szCs w:val="32"/>
          <w:lang w:val="en-US" w:eastAsia="zh-CN"/>
        </w:rPr>
        <w:t>25.57</w:t>
      </w:r>
      <w:r>
        <w:rPr>
          <w:rFonts w:hint="eastAsia" w:ascii="Times New Roman" w:hAnsi="Times New Roman" w:eastAsia="仿宋_GB2312"/>
          <w:b w:val="0"/>
          <w:i w:val="0"/>
          <w:caps w:val="0"/>
          <w:spacing w:val="0"/>
          <w:w w:val="100"/>
          <w:kern w:val="2"/>
          <w:sz w:val="32"/>
          <w:szCs w:val="32"/>
        </w:rPr>
        <w:t>万元，实际总投入</w:t>
      </w:r>
      <w:r>
        <w:rPr>
          <w:rFonts w:hint="eastAsia" w:eastAsia="仿宋_GB2312"/>
          <w:b w:val="0"/>
          <w:i w:val="0"/>
          <w:caps w:val="0"/>
          <w:spacing w:val="0"/>
          <w:w w:val="100"/>
          <w:kern w:val="2"/>
          <w:sz w:val="32"/>
          <w:szCs w:val="32"/>
          <w:lang w:val="en-US" w:eastAsia="zh-CN"/>
        </w:rPr>
        <w:t>25.57</w:t>
      </w:r>
      <w:r>
        <w:rPr>
          <w:rFonts w:hint="eastAsia" w:ascii="Times New Roman" w:hAnsi="Times New Roman" w:eastAsia="仿宋_GB2312"/>
          <w:b w:val="0"/>
          <w:i w:val="0"/>
          <w:caps w:val="0"/>
          <w:spacing w:val="0"/>
          <w:w w:val="100"/>
          <w:kern w:val="2"/>
          <w:sz w:val="32"/>
          <w:szCs w:val="32"/>
        </w:rPr>
        <w:t>万元，该项目资金已全部落实到位,资金来源为财政拨款资金。</w:t>
      </w:r>
    </w:p>
    <w:p w14:paraId="2F5901D5">
      <w:pPr>
        <w:pStyle w:val="2"/>
        <w:ind w:firstLine="624" w:firstLineChars="200"/>
        <w:rPr>
          <w:rStyle w:val="22"/>
          <w:rFonts w:hint="eastAsia" w:ascii="楷体" w:hAnsi="楷体" w:eastAsia="楷体" w:cs="Times New Roman"/>
          <w:b w:val="0"/>
          <w:bCs w:val="0"/>
          <w:spacing w:val="-4"/>
          <w:sz w:val="32"/>
          <w:szCs w:val="32"/>
        </w:rPr>
      </w:pPr>
      <w:r>
        <w:rPr>
          <w:rStyle w:val="22"/>
          <w:rFonts w:hint="eastAsia" w:ascii="楷体" w:hAnsi="楷体" w:eastAsia="楷体" w:cs="Times New Roman"/>
          <w:b w:val="0"/>
          <w:bCs w:val="0"/>
          <w:spacing w:val="-4"/>
          <w:sz w:val="32"/>
          <w:szCs w:val="32"/>
        </w:rPr>
        <w:t>资金使用情况：该项目年初预算数</w:t>
      </w:r>
      <w:r>
        <w:rPr>
          <w:rStyle w:val="22"/>
          <w:rFonts w:hint="eastAsia" w:ascii="楷体" w:hAnsi="楷体" w:eastAsia="楷体" w:cs="Times New Roman"/>
          <w:b w:val="0"/>
          <w:bCs w:val="0"/>
          <w:spacing w:val="-4"/>
          <w:sz w:val="32"/>
          <w:szCs w:val="32"/>
          <w:lang w:val="en-US" w:eastAsia="zh-CN"/>
        </w:rPr>
        <w:t>25.57</w:t>
      </w:r>
      <w:r>
        <w:rPr>
          <w:rStyle w:val="22"/>
          <w:rFonts w:hint="eastAsia" w:ascii="楷体" w:hAnsi="楷体" w:eastAsia="楷体" w:cs="Times New Roman"/>
          <w:b w:val="0"/>
          <w:bCs w:val="0"/>
          <w:spacing w:val="-4"/>
          <w:sz w:val="32"/>
          <w:szCs w:val="32"/>
        </w:rPr>
        <w:t>万元，全年预算数</w:t>
      </w:r>
      <w:r>
        <w:rPr>
          <w:rStyle w:val="22"/>
          <w:rFonts w:hint="eastAsia" w:ascii="楷体" w:hAnsi="楷体" w:eastAsia="楷体" w:cs="Times New Roman"/>
          <w:b w:val="0"/>
          <w:bCs w:val="0"/>
          <w:spacing w:val="-4"/>
          <w:sz w:val="32"/>
          <w:szCs w:val="32"/>
          <w:lang w:val="en-US" w:eastAsia="zh-CN"/>
        </w:rPr>
        <w:t>25.57</w:t>
      </w:r>
      <w:r>
        <w:rPr>
          <w:rStyle w:val="22"/>
          <w:rFonts w:hint="eastAsia" w:ascii="楷体" w:hAnsi="楷体" w:eastAsia="楷体" w:cs="Times New Roman"/>
          <w:b w:val="0"/>
          <w:bCs w:val="0"/>
          <w:spacing w:val="-4"/>
          <w:sz w:val="32"/>
          <w:szCs w:val="32"/>
        </w:rPr>
        <w:t>万元，全年执行数</w:t>
      </w:r>
      <w:r>
        <w:rPr>
          <w:rStyle w:val="22"/>
          <w:rFonts w:hint="eastAsia" w:ascii="楷体" w:hAnsi="楷体" w:eastAsia="楷体" w:cs="Times New Roman"/>
          <w:b w:val="0"/>
          <w:bCs w:val="0"/>
          <w:spacing w:val="-4"/>
          <w:sz w:val="32"/>
          <w:szCs w:val="32"/>
          <w:lang w:val="en-US" w:eastAsia="zh-CN"/>
        </w:rPr>
        <w:t>21.69</w:t>
      </w:r>
      <w:r>
        <w:rPr>
          <w:rStyle w:val="22"/>
          <w:rFonts w:hint="eastAsia" w:ascii="楷体" w:hAnsi="楷体" w:eastAsia="楷体" w:cs="Times New Roman"/>
          <w:b w:val="0"/>
          <w:bCs w:val="0"/>
          <w:spacing w:val="-4"/>
          <w:sz w:val="32"/>
          <w:szCs w:val="32"/>
        </w:rPr>
        <w:t>万元，预算执行率为</w:t>
      </w:r>
      <w:r>
        <w:rPr>
          <w:rStyle w:val="22"/>
          <w:rFonts w:hint="eastAsia" w:ascii="楷体" w:hAnsi="楷体" w:eastAsia="楷体" w:cs="Times New Roman"/>
          <w:b w:val="0"/>
          <w:bCs w:val="0"/>
          <w:spacing w:val="-4"/>
          <w:sz w:val="32"/>
          <w:szCs w:val="32"/>
          <w:lang w:val="en-US" w:eastAsia="zh-CN"/>
        </w:rPr>
        <w:t>78.67</w:t>
      </w:r>
      <w:r>
        <w:rPr>
          <w:rStyle w:val="22"/>
          <w:rFonts w:hint="eastAsia" w:ascii="楷体" w:hAnsi="楷体" w:eastAsia="楷体" w:cs="Times New Roman"/>
          <w:b w:val="0"/>
          <w:bCs w:val="0"/>
          <w:spacing w:val="-4"/>
          <w:sz w:val="32"/>
          <w:szCs w:val="32"/>
        </w:rPr>
        <w:t>%，主要用于12345政务服务便民热线平台购买服务</w:t>
      </w:r>
      <w:r>
        <w:rPr>
          <w:rStyle w:val="22"/>
          <w:rFonts w:hint="eastAsia" w:ascii="楷体" w:hAnsi="楷体" w:eastAsia="楷体" w:cs="Times New Roman"/>
          <w:b w:val="0"/>
          <w:bCs w:val="0"/>
          <w:spacing w:val="-4"/>
          <w:sz w:val="32"/>
          <w:szCs w:val="32"/>
          <w:lang w:eastAsia="zh-CN"/>
        </w:rPr>
        <w:t>、</w:t>
      </w:r>
      <w:r>
        <w:rPr>
          <w:rStyle w:val="22"/>
          <w:rFonts w:hint="eastAsia" w:ascii="楷体" w:hAnsi="楷体" w:eastAsia="楷体" w:cs="Times New Roman"/>
          <w:b w:val="0"/>
          <w:bCs w:val="0"/>
          <w:spacing w:val="-4"/>
          <w:sz w:val="32"/>
          <w:szCs w:val="32"/>
        </w:rPr>
        <w:t>维修维护及电话网络费用。</w:t>
      </w:r>
    </w:p>
    <w:p w14:paraId="5B14A5E9">
      <w:pPr>
        <w:numPr>
          <w:ilvl w:val="0"/>
          <w:numId w:val="1"/>
        </w:numPr>
        <w:spacing w:line="540" w:lineRule="exact"/>
        <w:ind w:firstLine="567"/>
        <w:rPr>
          <w:rStyle w:val="22"/>
          <w:rFonts w:hint="eastAsia" w:ascii="楷体" w:hAnsi="楷体" w:eastAsia="楷体"/>
          <w:spacing w:val="-4"/>
          <w:sz w:val="32"/>
          <w:szCs w:val="32"/>
        </w:rPr>
      </w:pPr>
      <w:r>
        <w:rPr>
          <w:rStyle w:val="22"/>
          <w:rFonts w:hint="eastAsia" w:ascii="楷体" w:hAnsi="楷体" w:eastAsia="楷体"/>
          <w:spacing w:val="-4"/>
          <w:sz w:val="32"/>
          <w:szCs w:val="32"/>
        </w:rPr>
        <w:t>项目绩效目标</w:t>
      </w:r>
    </w:p>
    <w:p w14:paraId="460AE0B2">
      <w:pPr>
        <w:numPr>
          <w:ilvl w:val="0"/>
          <w:numId w:val="2"/>
        </w:numPr>
        <w:spacing w:line="360" w:lineRule="auto"/>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总体目标</w:t>
      </w:r>
    </w:p>
    <w:p w14:paraId="4FA68DFC">
      <w:pPr>
        <w:keepNext w:val="0"/>
        <w:keepLines w:val="0"/>
        <w:pageBreakBefore w:val="0"/>
        <w:widowControl w:val="0"/>
        <w:kinsoku/>
        <w:wordWrap/>
        <w:overflowPunct/>
        <w:topLinePunct w:val="0"/>
        <w:bidi w:val="0"/>
        <w:snapToGrid w:val="0"/>
        <w:spacing w:line="520" w:lineRule="exact"/>
        <w:ind w:firstLine="640" w:firstLineChars="20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简化行政审批程序，规范行政行为，为人民群众提供高效、便捷服务。负责对地区各行政管理部门，服务机构进行工作协调、为公民、法人和其他社会组织提供行政许可、费行政许可、行政收费、便民等“一站式”服务。</w:t>
      </w:r>
    </w:p>
    <w:p w14:paraId="7F03FC24">
      <w:pPr>
        <w:pStyle w:val="2"/>
        <w:rPr>
          <w:rFonts w:hint="default"/>
          <w:lang w:val="en-US" w:eastAsia="zh-CN"/>
        </w:rPr>
      </w:pPr>
    </w:p>
    <w:p w14:paraId="23BD12D6">
      <w:pPr>
        <w:numPr>
          <w:ilvl w:val="0"/>
          <w:numId w:val="2"/>
        </w:numPr>
        <w:spacing w:line="360" w:lineRule="auto"/>
        <w:ind w:firstLine="640" w:firstLineChars="200"/>
        <w:rPr>
          <w:rFonts w:hint="eastAsia"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sz w:val="32"/>
          <w:szCs w:val="32"/>
          <w:lang w:val="en-US" w:eastAsia="zh-CN"/>
        </w:rPr>
        <w:t>阶段性目标</w:t>
      </w:r>
    </w:p>
    <w:p w14:paraId="3E2E659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lang w:val="en-US" w:eastAsia="zh-CN"/>
        </w:rPr>
      </w:pPr>
      <w:r>
        <w:rPr>
          <w:rStyle w:val="22"/>
          <w:rFonts w:hint="eastAsia" w:ascii="楷体" w:hAnsi="楷体" w:eastAsia="楷体" w:cs="Times New Roman"/>
          <w:b w:val="0"/>
          <w:bCs w:val="0"/>
          <w:spacing w:val="-4"/>
          <w:sz w:val="32"/>
          <w:szCs w:val="32"/>
          <w:lang w:val="en-US" w:eastAsia="zh-CN"/>
        </w:rPr>
        <w:t>有效运用地区12345政务服务便民热线，规范“接诉即办”流程，为群众提供</w:t>
      </w:r>
      <w:r>
        <w:rPr>
          <w:rStyle w:val="22"/>
          <w:rFonts w:hint="default" w:ascii="楷体" w:hAnsi="楷体" w:eastAsia="楷体" w:cs="Times New Roman"/>
          <w:b w:val="0"/>
          <w:bCs w:val="0"/>
          <w:spacing w:val="-4"/>
          <w:sz w:val="32"/>
          <w:szCs w:val="32"/>
          <w:lang w:val="en-US" w:eastAsia="zh-CN"/>
        </w:rPr>
        <w:t>7×24</w:t>
      </w:r>
      <w:r>
        <w:rPr>
          <w:rStyle w:val="22"/>
          <w:rFonts w:hint="eastAsia" w:ascii="楷体" w:hAnsi="楷体" w:eastAsia="楷体" w:cs="Times New Roman"/>
          <w:b w:val="0"/>
          <w:bCs w:val="0"/>
          <w:spacing w:val="-4"/>
          <w:sz w:val="32"/>
          <w:szCs w:val="32"/>
          <w:lang w:val="en-US" w:eastAsia="zh-CN"/>
        </w:rPr>
        <w:t>小时全天候服务，及时回应群众求助事宜，全力当好疫情防控“总客服”。针对群众关心的问题，切实提高疫情防控等各类工单转派准确率和答复率。各承办部门（单位）快速接单、签收、办理和答复，全员快速运转，做到接诉即办。及时更新补充热线知识库，推送热点问题答复统一口径，实时更新。针对咨询类问题，耐心细致解答；针对求助及投诉类问题，接到办理回复后立即电话回访，确保处理结果落实到位，群众满意。针对疫情防控要求，编制地区12345政务服务热线每日疫情专报118期，为地委、行署科学决策提供参考依据，切实解决好企业群众的“急难愁盼”。全年共接听企业和群众来电9.62万通，接听率97.6%，办结率99.9%，回访满意率96.7%。其中自本轮疫情爆发以来，接听群众对来塔返塔防疫政策咨询、交通出行、核酸检测、医疗救助、物资保障等涉疫诉求共计31440件，办结31422件，办结率达99.94%，回访满意率达94.8%。</w:t>
      </w:r>
    </w:p>
    <w:p w14:paraId="730785AC">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二、绩效评价工作开展情况</w:t>
      </w:r>
    </w:p>
    <w:p w14:paraId="11FFA956">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（一）绩效评价目的、对象和范围</w:t>
      </w:r>
    </w:p>
    <w:p w14:paraId="11AD52B5">
      <w:pPr>
        <w:spacing w:line="540" w:lineRule="exact"/>
        <w:ind w:firstLine="567"/>
        <w:rPr>
          <w:rStyle w:val="22"/>
          <w:rFonts w:hint="eastAsia" w:ascii="楷体" w:hAnsi="楷体" w:eastAsia="楷体" w:cs="Times New Roman"/>
          <w:b w:val="0"/>
          <w:bCs w:val="0"/>
          <w:spacing w:val="-4"/>
          <w:sz w:val="32"/>
          <w:szCs w:val="32"/>
        </w:rPr>
      </w:pPr>
      <w:r>
        <w:rPr>
          <w:rStyle w:val="22"/>
          <w:rFonts w:hint="eastAsia" w:ascii="楷体" w:hAnsi="楷体" w:eastAsia="楷体"/>
          <w:b w:val="0"/>
          <w:bCs w:val="0"/>
          <w:spacing w:val="-4"/>
          <w:sz w:val="32"/>
          <w:szCs w:val="32"/>
        </w:rPr>
        <w:t>1.评价目的</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2.评价对象和范围</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 xml:space="preserve">（1）绩效评价的对象： </w:t>
      </w:r>
      <w:r>
        <w:rPr>
          <w:rStyle w:val="22"/>
          <w:rFonts w:hint="eastAsia" w:ascii="楷体" w:hAnsi="楷体" w:eastAsia="楷体" w:cs="Times New Roman"/>
          <w:b w:val="0"/>
          <w:bCs w:val="0"/>
          <w:spacing w:val="-4"/>
          <w:sz w:val="32"/>
          <w:szCs w:val="32"/>
        </w:rPr>
        <w:t>12345政务服务便民热线平台购买服务一体化在线政务服务深化开发维修维护及电话网络费用</w:t>
      </w:r>
    </w:p>
    <w:p w14:paraId="504F8456">
      <w:pPr>
        <w:spacing w:line="540" w:lineRule="exact"/>
        <w:rPr>
          <w:rStyle w:val="22"/>
          <w:rFonts w:ascii="楷体" w:hAnsi="楷体" w:eastAsia="楷体"/>
          <w:b w:val="0"/>
          <w:bCs w:val="0"/>
          <w:spacing w:val="-4"/>
          <w:sz w:val="32"/>
          <w:szCs w:val="32"/>
        </w:rPr>
      </w:pPr>
      <w:r>
        <w:rPr>
          <w:rStyle w:val="22"/>
          <w:rFonts w:hint="eastAsia" w:ascii="楷体" w:hAnsi="楷体" w:eastAsia="楷体"/>
          <w:b w:val="0"/>
          <w:bCs w:val="0"/>
          <w:spacing w:val="-4"/>
          <w:sz w:val="32"/>
          <w:szCs w:val="32"/>
        </w:rPr>
        <w:t>（2）绩效评价范围：</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1.项目范围：</w:t>
      </w:r>
      <w:r>
        <w:rPr>
          <w:rStyle w:val="22"/>
          <w:rFonts w:hint="eastAsia" w:ascii="楷体" w:hAnsi="楷体" w:eastAsia="楷体" w:cs="Times New Roman"/>
          <w:b w:val="0"/>
          <w:bCs w:val="0"/>
          <w:spacing w:val="-4"/>
          <w:sz w:val="32"/>
          <w:szCs w:val="32"/>
        </w:rPr>
        <w:t>12345政务服务便民热线平台购买服务一体化在线政务服务深化开发维修维护及电话网络费用</w:t>
      </w:r>
      <w:r>
        <w:rPr>
          <w:rStyle w:val="22"/>
          <w:rFonts w:hint="eastAsia" w:ascii="楷体" w:hAnsi="楷体" w:eastAsia="楷体"/>
          <w:b w:val="0"/>
          <w:bCs w:val="0"/>
          <w:spacing w:val="-4"/>
          <w:sz w:val="32"/>
          <w:szCs w:val="32"/>
          <w:lang w:val="en-US" w:eastAsia="zh-CN"/>
        </w:rPr>
        <w:t>已</w:t>
      </w:r>
      <w:r>
        <w:rPr>
          <w:rStyle w:val="22"/>
          <w:rFonts w:hint="eastAsia" w:ascii="楷体" w:hAnsi="楷体" w:eastAsia="楷体"/>
          <w:b w:val="0"/>
          <w:bCs w:val="0"/>
          <w:spacing w:val="-4"/>
          <w:sz w:val="32"/>
          <w:szCs w:val="32"/>
        </w:rPr>
        <w:t>完成</w:t>
      </w:r>
      <w:r>
        <w:rPr>
          <w:rStyle w:val="22"/>
          <w:rFonts w:hint="eastAsia" w:ascii="楷体" w:hAnsi="楷体" w:eastAsia="楷体"/>
          <w:b w:val="0"/>
          <w:bCs w:val="0"/>
          <w:spacing w:val="-4"/>
          <w:sz w:val="32"/>
          <w:szCs w:val="32"/>
          <w:lang w:eastAsia="zh-CN"/>
        </w:rPr>
        <w:t>，</w:t>
      </w:r>
      <w:r>
        <w:rPr>
          <w:rStyle w:val="22"/>
          <w:rFonts w:hint="eastAsia" w:ascii="楷体" w:hAnsi="楷体" w:eastAsia="楷体"/>
          <w:b w:val="0"/>
          <w:bCs w:val="0"/>
          <w:spacing w:val="-4"/>
          <w:sz w:val="32"/>
          <w:szCs w:val="32"/>
        </w:rPr>
        <w:t>资金投入</w:t>
      </w:r>
      <w:r>
        <w:rPr>
          <w:rStyle w:val="22"/>
          <w:rFonts w:hint="eastAsia" w:ascii="楷体" w:hAnsi="楷体" w:eastAsia="楷体"/>
          <w:b w:val="0"/>
          <w:bCs w:val="0"/>
          <w:spacing w:val="-4"/>
          <w:sz w:val="32"/>
          <w:szCs w:val="32"/>
          <w:lang w:val="en-US" w:eastAsia="zh-CN"/>
        </w:rPr>
        <w:t>25.57万元，</w:t>
      </w:r>
      <w:r>
        <w:rPr>
          <w:rStyle w:val="22"/>
          <w:rFonts w:hint="eastAsia" w:ascii="楷体" w:hAnsi="楷体" w:eastAsia="楷体" w:cs="Times New Roman"/>
          <w:b w:val="0"/>
          <w:bCs w:val="0"/>
          <w:spacing w:val="-4"/>
          <w:sz w:val="32"/>
          <w:szCs w:val="32"/>
          <w:lang w:val="en-US" w:eastAsia="zh-CN"/>
        </w:rPr>
        <w:t>全年共接听企业和群众来电9.62万通，接听率97.6%，办结率99.9%，回访满意率96.7%。其中自本轮疫情爆发以来，接听群众对来塔返塔防疫政策咨询、交通出行、核酸检测、医疗救助、物资保障等涉疫诉求共计31440件，办结31422件，办结率达99.94%，回访满意率达94.8%。</w:t>
      </w:r>
      <w:r>
        <w:rPr>
          <w:rStyle w:val="22"/>
          <w:rFonts w:hint="eastAsia" w:ascii="楷体" w:hAnsi="楷体" w:eastAsia="楷体"/>
          <w:b w:val="0"/>
          <w:bCs w:val="0"/>
          <w:spacing w:val="-4"/>
          <w:sz w:val="32"/>
          <w:szCs w:val="32"/>
        </w:rPr>
        <w:t>。</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2.时间范围：202</w:t>
      </w:r>
      <w:r>
        <w:rPr>
          <w:rStyle w:val="22"/>
          <w:rFonts w:hint="eastAsia" w:ascii="楷体" w:hAnsi="楷体" w:eastAsia="楷体"/>
          <w:b w:val="0"/>
          <w:bCs w:val="0"/>
          <w:spacing w:val="-4"/>
          <w:sz w:val="32"/>
          <w:szCs w:val="32"/>
          <w:lang w:val="en-US" w:eastAsia="zh-CN"/>
        </w:rPr>
        <w:t>2</w:t>
      </w:r>
      <w:r>
        <w:rPr>
          <w:rStyle w:val="22"/>
          <w:rFonts w:hint="eastAsia" w:ascii="楷体" w:hAnsi="楷体" w:eastAsia="楷体"/>
          <w:b w:val="0"/>
          <w:bCs w:val="0"/>
          <w:spacing w:val="-4"/>
          <w:sz w:val="32"/>
          <w:szCs w:val="32"/>
        </w:rPr>
        <w:t>年1月1日至202</w:t>
      </w:r>
      <w:r>
        <w:rPr>
          <w:rStyle w:val="22"/>
          <w:rFonts w:hint="eastAsia" w:ascii="楷体" w:hAnsi="楷体" w:eastAsia="楷体"/>
          <w:b w:val="0"/>
          <w:bCs w:val="0"/>
          <w:spacing w:val="-4"/>
          <w:sz w:val="32"/>
          <w:szCs w:val="32"/>
          <w:lang w:val="en-US" w:eastAsia="zh-CN"/>
        </w:rPr>
        <w:t>2</w:t>
      </w:r>
      <w:r>
        <w:rPr>
          <w:rStyle w:val="22"/>
          <w:rFonts w:hint="eastAsia" w:ascii="楷体" w:hAnsi="楷体" w:eastAsia="楷体"/>
          <w:b w:val="0"/>
          <w:bCs w:val="0"/>
          <w:spacing w:val="-4"/>
          <w:sz w:val="32"/>
          <w:szCs w:val="32"/>
        </w:rPr>
        <w:t>年12月31日。</w:t>
      </w:r>
    </w:p>
    <w:p w14:paraId="65C69C1C">
      <w:pPr>
        <w:spacing w:line="540" w:lineRule="exact"/>
        <w:ind w:firstLine="567"/>
        <w:rPr>
          <w:rStyle w:val="22"/>
          <w:rFonts w:ascii="楷体" w:hAnsi="楷体" w:eastAsia="楷体"/>
          <w:spacing w:val="-4"/>
          <w:sz w:val="32"/>
          <w:szCs w:val="32"/>
        </w:rPr>
      </w:pPr>
      <w:r>
        <w:rPr>
          <w:rStyle w:val="22"/>
          <w:rFonts w:hint="eastAsia" w:ascii="楷体" w:hAnsi="楷体" w:eastAsia="楷体"/>
          <w:spacing w:val="-4"/>
          <w:sz w:val="32"/>
          <w:szCs w:val="32"/>
        </w:rPr>
        <w:t>（二）绩效评价原则、评价指标体系、评价方法、评价标准</w:t>
      </w:r>
    </w:p>
    <w:p w14:paraId="63D8BFD8">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b w:val="0"/>
          <w:bCs w:val="0"/>
          <w:spacing w:val="-4"/>
          <w:sz w:val="32"/>
          <w:szCs w:val="32"/>
        </w:rPr>
        <w:t>1.评价原则</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（2）公正公开原则：绩效评价应当符合真实、客观、公正的要求，依法公开并接受监督。</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（3）分级分类原则：根据评价对象特点分类组织实施。</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根据以上原则，绩效评价应遵循如下要求：</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（1）在数据收集时，采取客观数据，并结合问卷调查结果，以保证各项指标的真实性。</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（2）保证评价结果的真实性、公正性，提高评价报告的公信力。</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2.评价指标体系</w:t>
      </w:r>
      <w:r>
        <w:rPr>
          <w:rStyle w:val="22"/>
          <w:rFonts w:hint="eastAsia" w:ascii="楷体" w:hAnsi="楷体" w:eastAsia="楷体"/>
          <w:b w:val="0"/>
          <w:bCs w:val="0"/>
          <w:spacing w:val="-4"/>
          <w:sz w:val="32"/>
          <w:szCs w:val="32"/>
        </w:rPr>
        <w:br w:type="textWrapping"/>
      </w:r>
      <w:r>
        <w:rPr>
          <w:rStyle w:val="22"/>
          <w:rFonts w:hint="eastAsia" w:ascii="楷体" w:hAnsi="楷体" w:eastAsia="楷体" w:cs="Times New Roman"/>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12345政务服务便民热线平台购买服务一体化在线政务服务深化开发维修维护及电话网络费用</w:t>
      </w:r>
      <w:r>
        <w:rPr>
          <w:rStyle w:val="22"/>
          <w:rFonts w:hint="eastAsia" w:ascii="楷体" w:hAnsi="楷体" w:eastAsia="楷体" w:cs="Times New Roman"/>
          <w:b w:val="0"/>
          <w:bCs w:val="0"/>
          <w:spacing w:val="-4"/>
          <w:sz w:val="32"/>
          <w:szCs w:val="32"/>
          <w:lang w:val="en-US" w:eastAsia="zh-CN"/>
        </w:rPr>
        <w:t>项目支</w:t>
      </w:r>
      <w:r>
        <w:rPr>
          <w:rStyle w:val="22"/>
          <w:rFonts w:hint="eastAsia" w:ascii="楷体" w:hAnsi="楷体" w:eastAsia="楷体" w:cs="Times New Roman"/>
          <w:b w:val="0"/>
          <w:bCs w:val="0"/>
          <w:spacing w:val="-4"/>
          <w:sz w:val="32"/>
          <w:szCs w:val="32"/>
        </w:rPr>
        <w:t>出绩效评价指标体系(详见附件3)</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3.评价方法</w:t>
      </w:r>
      <w:r>
        <w:rPr>
          <w:rStyle w:val="22"/>
          <w:rFonts w:hint="eastAsia" w:ascii="楷体" w:hAnsi="楷体" w:eastAsia="楷体"/>
          <w:b w:val="0"/>
          <w:bCs w:val="0"/>
          <w:spacing w:val="-4"/>
          <w:sz w:val="32"/>
          <w:szCs w:val="32"/>
        </w:rPr>
        <w:br w:type="textWrapping"/>
      </w:r>
      <w:r>
        <w:rPr>
          <w:rStyle w:val="22"/>
          <w:rFonts w:hint="eastAsia" w:ascii="楷体" w:hAnsi="楷体" w:eastAsia="楷体" w:cs="Times New Roman"/>
          <w:b w:val="0"/>
          <w:bCs w:val="0"/>
          <w:spacing w:val="-4"/>
          <w:sz w:val="32"/>
          <w:szCs w:val="32"/>
          <w:lang w:val="en-US"/>
        </w:rPr>
        <w:t>按照《项目支出绩效评价管理办法》的具体评价方法和流程，评价小组运用定量和定性分析相结合的方法，综合运用比较法、因素分析法、成本效益法、公众评判等方法进行项目实施的绩效评价。</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4.评价标准</w:t>
      </w:r>
      <w:r>
        <w:rPr>
          <w:rStyle w:val="22"/>
          <w:rFonts w:hint="eastAsia" w:ascii="楷体" w:hAnsi="楷体" w:eastAsia="楷体"/>
          <w:b w:val="0"/>
          <w:bCs w:val="0"/>
          <w:spacing w:val="-4"/>
          <w:sz w:val="32"/>
          <w:szCs w:val="32"/>
        </w:rPr>
        <w:br w:type="textWrapping"/>
      </w:r>
      <w:r>
        <w:rPr>
          <w:rStyle w:val="22"/>
          <w:rFonts w:hint="eastAsia" w:ascii="楷体" w:hAnsi="楷体" w:eastAsia="楷体" w:cs="Times New Roman"/>
          <w:b w:val="0"/>
          <w:bCs w:val="0"/>
          <w:spacing w:val="-4"/>
          <w:sz w:val="32"/>
          <w:szCs w:val="32"/>
          <w:lang w:val="en-US"/>
        </w:rPr>
        <w:t>绩效评价标准主要包括计划标准、行业标准、历史标准等，用于对绩效指标完成情况进行比较。</w:t>
      </w:r>
    </w:p>
    <w:p w14:paraId="32B10DAE">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（1）计划标准。指以预先制定的目标、计划、预算、定额等作为评价标准。</w:t>
      </w:r>
    </w:p>
    <w:p w14:paraId="0662D581">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（2）行业标准。指参照国家公布的行业指标数据制定的评价标准。</w:t>
      </w:r>
    </w:p>
    <w:p w14:paraId="7F7368D8">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（3）历史标准。指参照历史数据制定的评价标准，为体现绩效改进的原则，在可实现的条件下应当确定相对较高的评价标准。</w:t>
      </w:r>
    </w:p>
    <w:p w14:paraId="4EC362F3">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在上述评价标准的基础上，本次评价依据以下文件为重要指导和准绳：</w:t>
      </w:r>
    </w:p>
    <w:p w14:paraId="448EDD2D">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·《中共中央国务院关于全面实施预算绩效管理的意见》；</w:t>
      </w:r>
    </w:p>
    <w:p w14:paraId="31864F69">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·《项目支出绩效评价管理办法》；</w:t>
      </w:r>
    </w:p>
    <w:p w14:paraId="4560D9B3">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·《自治区党委自治区人民政府关于全面实施预算绩效管理的实施意见》；</w:t>
      </w:r>
    </w:p>
    <w:p w14:paraId="155F937E">
      <w:pPr>
        <w:spacing w:line="360" w:lineRule="auto"/>
        <w:ind w:firstLine="560"/>
        <w:rPr>
          <w:rStyle w:val="22"/>
          <w:rFonts w:hint="eastAsia" w:ascii="楷体" w:hAnsi="楷体" w:eastAsia="楷体" w:cs="Times New Roman"/>
          <w:b w:val="0"/>
          <w:bCs w:val="0"/>
          <w:spacing w:val="-4"/>
          <w:sz w:val="32"/>
          <w:szCs w:val="32"/>
          <w:lang w:val="en-US"/>
        </w:rPr>
      </w:pPr>
      <w:r>
        <w:rPr>
          <w:rStyle w:val="22"/>
          <w:rFonts w:hint="eastAsia" w:ascii="楷体" w:hAnsi="楷体" w:eastAsia="楷体" w:cs="Times New Roman"/>
          <w:b w:val="0"/>
          <w:bCs w:val="0"/>
          <w:spacing w:val="-4"/>
          <w:sz w:val="32"/>
          <w:szCs w:val="32"/>
          <w:lang w:val="en-US"/>
        </w:rPr>
        <w:t>·《2023年度推进塔城地区全面实施预算绩效管理工作规划》。</w:t>
      </w:r>
    </w:p>
    <w:p w14:paraId="6B23230E">
      <w:pPr>
        <w:spacing w:line="540" w:lineRule="exact"/>
        <w:ind w:firstLine="567" w:firstLineChars="181"/>
        <w:rPr>
          <w:rStyle w:val="22"/>
          <w:rFonts w:hint="eastAsia" w:ascii="楷体" w:hAnsi="楷体" w:eastAsia="楷体"/>
          <w:spacing w:val="-4"/>
          <w:sz w:val="32"/>
          <w:szCs w:val="32"/>
        </w:rPr>
      </w:pPr>
      <w:r>
        <w:rPr>
          <w:rStyle w:val="22"/>
          <w:rFonts w:hint="eastAsia" w:ascii="楷体" w:hAnsi="楷体" w:eastAsia="楷体"/>
          <w:spacing w:val="-4"/>
          <w:sz w:val="32"/>
          <w:szCs w:val="32"/>
        </w:rPr>
        <w:t>（三）绩效评价工作过程</w:t>
      </w:r>
    </w:p>
    <w:p w14:paraId="7DA9E451">
      <w:pPr>
        <w:spacing w:line="540" w:lineRule="exact"/>
        <w:ind w:firstLine="567"/>
        <w:rPr>
          <w:rStyle w:val="22"/>
          <w:rFonts w:ascii="楷体" w:hAnsi="楷体" w:eastAsia="楷体"/>
          <w:b w:val="0"/>
          <w:bCs w:val="0"/>
          <w:spacing w:val="-4"/>
          <w:sz w:val="32"/>
          <w:szCs w:val="32"/>
        </w:rPr>
      </w:pPr>
      <w:r>
        <w:rPr>
          <w:rStyle w:val="22"/>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w:t>
      </w:r>
      <w:bookmarkStart w:id="0" w:name="_GoBack"/>
      <w:bookmarkEnd w:id="0"/>
      <w:r>
        <w:rPr>
          <w:rStyle w:val="22"/>
          <w:rFonts w:hint="eastAsia" w:ascii="楷体" w:hAnsi="楷体" w:eastAsia="楷体"/>
          <w:b w:val="0"/>
          <w:bCs w:val="0"/>
          <w:spacing w:val="-4"/>
          <w:sz w:val="32"/>
          <w:szCs w:val="32"/>
        </w:rPr>
        <w:t>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14:paraId="1384B798">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三、综合评价情况及评价结论</w:t>
      </w:r>
    </w:p>
    <w:p w14:paraId="56FABF10">
      <w:pPr>
        <w:spacing w:line="540" w:lineRule="exact"/>
        <w:ind w:firstLine="567"/>
        <w:rPr>
          <w:rStyle w:val="22"/>
          <w:rFonts w:ascii="楷体" w:hAnsi="楷体" w:eastAsia="楷体"/>
          <w:b w:val="0"/>
          <w:bCs w:val="0"/>
          <w:spacing w:val="-4"/>
          <w:sz w:val="32"/>
          <w:szCs w:val="32"/>
        </w:rPr>
      </w:pPr>
      <w:r>
        <w:rPr>
          <w:rStyle w:val="22"/>
          <w:rFonts w:hint="eastAsia" w:ascii="楷体" w:hAnsi="楷体" w:eastAsia="楷体"/>
          <w:b w:val="0"/>
          <w:bCs w:val="0"/>
          <w:spacing w:val="-4"/>
          <w:sz w:val="32"/>
          <w:szCs w:val="32"/>
        </w:rPr>
        <w:t>（一）评价结论</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结合项目特点，制定符合项目实际的绩效评价指标体系及评分标准，通过数据采集、问卷调查及访谈等形式，对202</w:t>
      </w:r>
      <w:r>
        <w:rPr>
          <w:rStyle w:val="22"/>
          <w:rFonts w:hint="eastAsia" w:ascii="楷体" w:hAnsi="楷体" w:eastAsia="楷体"/>
          <w:b w:val="0"/>
          <w:bCs w:val="0"/>
          <w:spacing w:val="-4"/>
          <w:sz w:val="32"/>
          <w:szCs w:val="32"/>
          <w:lang w:val="en-US" w:eastAsia="zh-CN"/>
        </w:rPr>
        <w:t>2</w:t>
      </w:r>
      <w:r>
        <w:rPr>
          <w:rStyle w:val="22"/>
          <w:rFonts w:hint="eastAsia" w:ascii="楷体" w:hAnsi="楷体" w:eastAsia="楷体"/>
          <w:b w:val="0"/>
          <w:bCs w:val="0"/>
          <w:spacing w:val="-4"/>
          <w:sz w:val="32"/>
          <w:szCs w:val="32"/>
        </w:rPr>
        <w:t>年</w:t>
      </w:r>
      <w:r>
        <w:rPr>
          <w:rStyle w:val="22"/>
          <w:rFonts w:hint="eastAsia" w:ascii="楷体" w:hAnsi="楷体" w:eastAsia="楷体" w:cs="Times New Roman"/>
          <w:b w:val="0"/>
          <w:bCs w:val="0"/>
          <w:spacing w:val="-4"/>
          <w:sz w:val="32"/>
          <w:szCs w:val="32"/>
        </w:rPr>
        <w:t>12345政务服务便民热线平台购买服务一体化在线政务服务深化开发维修维护及电话网络费用</w:t>
      </w:r>
      <w:r>
        <w:rPr>
          <w:rStyle w:val="22"/>
          <w:rFonts w:hint="eastAsia" w:ascii="楷体" w:hAnsi="楷体" w:eastAsia="楷体"/>
          <w:b w:val="0"/>
          <w:bCs w:val="0"/>
          <w:spacing w:val="-4"/>
          <w:sz w:val="32"/>
          <w:szCs w:val="32"/>
        </w:rPr>
        <w:t>进行客观评价，最终评分结果为：总分为</w:t>
      </w:r>
      <w:r>
        <w:rPr>
          <w:rStyle w:val="22"/>
          <w:rFonts w:hint="eastAsia" w:ascii="楷体" w:hAnsi="楷体" w:eastAsia="楷体"/>
          <w:b w:val="0"/>
          <w:bCs w:val="0"/>
          <w:spacing w:val="-4"/>
          <w:sz w:val="32"/>
          <w:szCs w:val="32"/>
          <w:lang w:val="en-US" w:eastAsia="zh-CN"/>
        </w:rPr>
        <w:t>86.12</w:t>
      </w:r>
      <w:r>
        <w:rPr>
          <w:rStyle w:val="22"/>
          <w:rFonts w:hint="eastAsia" w:ascii="楷体" w:hAnsi="楷体" w:eastAsia="楷体"/>
          <w:b w:val="0"/>
          <w:bCs w:val="0"/>
          <w:spacing w:val="-4"/>
          <w:sz w:val="32"/>
          <w:szCs w:val="32"/>
        </w:rPr>
        <w:t>分，绩效评级为“</w:t>
      </w:r>
      <w:r>
        <w:rPr>
          <w:rStyle w:val="22"/>
          <w:rFonts w:hint="eastAsia" w:ascii="楷体" w:hAnsi="楷体" w:eastAsia="楷体"/>
          <w:b w:val="0"/>
          <w:bCs w:val="0"/>
          <w:spacing w:val="-4"/>
          <w:sz w:val="32"/>
          <w:szCs w:val="32"/>
          <w:lang w:eastAsia="zh-CN"/>
        </w:rPr>
        <w:t>良好</w:t>
      </w:r>
      <w:r>
        <w:rPr>
          <w:rStyle w:val="22"/>
          <w:rFonts w:hint="eastAsia" w:ascii="楷体" w:hAnsi="楷体" w:eastAsia="楷体"/>
          <w:b w:val="0"/>
          <w:bCs w:val="0"/>
          <w:spacing w:val="-4"/>
          <w:sz w:val="32"/>
          <w:szCs w:val="32"/>
        </w:rPr>
        <w:t>”。</w:t>
      </w:r>
    </w:p>
    <w:p w14:paraId="56E9BCA8">
      <w:pPr>
        <w:spacing w:line="540" w:lineRule="exact"/>
        <w:ind w:firstLine="640"/>
        <w:rPr>
          <w:rStyle w:val="22"/>
          <w:rFonts w:ascii="黑体" w:hAnsi="黑体" w:eastAsia="黑体"/>
        </w:rPr>
      </w:pPr>
      <w:r>
        <w:rPr>
          <w:rStyle w:val="22"/>
          <w:rFonts w:hint="eastAsia" w:ascii="黑体" w:hAnsi="黑体" w:eastAsia="黑体"/>
          <w:b w:val="0"/>
          <w:spacing w:val="-4"/>
          <w:sz w:val="32"/>
          <w:szCs w:val="32"/>
        </w:rPr>
        <w:t>四、绩效评价指标分析</w:t>
      </w:r>
      <w:r>
        <w:rPr>
          <w:rStyle w:val="22"/>
          <w:rFonts w:hint="eastAsia" w:ascii="黑体" w:hAnsi="黑体" w:eastAsia="黑体"/>
        </w:rPr>
        <w:t xml:space="preserve"> </w:t>
      </w:r>
    </w:p>
    <w:p w14:paraId="4B66B33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22"/>
          <w:rFonts w:hint="eastAsia" w:ascii="楷体" w:hAnsi="楷体" w:eastAsia="楷体"/>
          <w:spacing w:val="-4"/>
          <w:sz w:val="32"/>
          <w:szCs w:val="32"/>
        </w:rPr>
        <w:t>项目决策情况</w:t>
      </w:r>
    </w:p>
    <w:p w14:paraId="09BC3904">
      <w:pPr>
        <w:tabs>
          <w:tab w:val="center" w:pos="4295"/>
        </w:tabs>
        <w:spacing w:line="540" w:lineRule="exact"/>
        <w:ind w:firstLine="567"/>
        <w:rPr>
          <w:rStyle w:val="22"/>
          <w:rFonts w:hint="eastAsia" w:ascii="楷体" w:hAnsi="楷体" w:eastAsia="楷体"/>
          <w:b w:val="0"/>
          <w:bCs w:val="0"/>
          <w:spacing w:val="-4"/>
          <w:sz w:val="32"/>
          <w:szCs w:val="32"/>
          <w:lang w:eastAsia="zh-CN"/>
        </w:rPr>
      </w:pPr>
      <w:r>
        <w:rPr>
          <w:rStyle w:val="22"/>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3.绩效目标合理性：项目有绩效目标，项目绩效目标与实际工作内容具有相关性，项目预期产出效益和效果是否符合正常的业绩水平，与预算确定的项目投资额或资金量相匹配。</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6.资金分配合理性：预算资金分配依据充分，资金分配额度合理，与项目单位或地方实际相适应。</w:t>
      </w:r>
      <w:r>
        <w:rPr>
          <w:rStyle w:val="22"/>
          <w:rFonts w:hint="eastAsia" w:ascii="楷体" w:hAnsi="楷体" w:eastAsia="楷体"/>
          <w:b w:val="0"/>
          <w:bCs w:val="0"/>
          <w:spacing w:val="-4"/>
          <w:sz w:val="32"/>
          <w:szCs w:val="32"/>
        </w:rPr>
        <w:tab/>
      </w:r>
      <w:r>
        <w:rPr>
          <w:rStyle w:val="22"/>
          <w:rFonts w:hint="eastAsia" w:ascii="楷体" w:hAnsi="楷体" w:eastAsia="楷体"/>
          <w:b w:val="0"/>
          <w:bCs w:val="0"/>
          <w:spacing w:val="-4"/>
          <w:sz w:val="32"/>
          <w:szCs w:val="32"/>
          <w:lang w:eastAsia="zh-CN"/>
        </w:rPr>
        <w:tab/>
      </w:r>
      <w:r>
        <w:rPr>
          <w:rStyle w:val="22"/>
          <w:rFonts w:hint="eastAsia" w:ascii="楷体" w:hAnsi="楷体" w:eastAsia="楷体"/>
          <w:b w:val="0"/>
          <w:bCs w:val="0"/>
          <w:spacing w:val="-4"/>
          <w:sz w:val="32"/>
          <w:szCs w:val="32"/>
          <w:lang w:eastAsia="zh-CN"/>
        </w:rPr>
        <w:tab/>
      </w:r>
      <w:r>
        <w:rPr>
          <w:rStyle w:val="22"/>
          <w:rFonts w:hint="eastAsia" w:ascii="楷体" w:hAnsi="楷体" w:eastAsia="楷体"/>
          <w:b w:val="0"/>
          <w:bCs w:val="0"/>
          <w:spacing w:val="-4"/>
          <w:sz w:val="32"/>
          <w:szCs w:val="32"/>
          <w:lang w:eastAsia="zh-CN"/>
        </w:rPr>
        <w:tab/>
      </w:r>
    </w:p>
    <w:p w14:paraId="5D958EFB">
      <w:pPr>
        <w:spacing w:line="540" w:lineRule="exact"/>
        <w:ind w:firstLine="567" w:firstLineChars="181"/>
        <w:rPr>
          <w:rStyle w:val="22"/>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22"/>
          <w:rFonts w:hint="eastAsia" w:ascii="楷体" w:hAnsi="楷体" w:eastAsia="楷体"/>
          <w:spacing w:val="-4"/>
          <w:sz w:val="32"/>
          <w:szCs w:val="32"/>
        </w:rPr>
        <w:t>项目过程情况</w:t>
      </w:r>
    </w:p>
    <w:p w14:paraId="6B1B5C42">
      <w:pPr>
        <w:spacing w:line="540" w:lineRule="exact"/>
        <w:ind w:firstLine="567"/>
        <w:rPr>
          <w:rStyle w:val="22"/>
          <w:rFonts w:hint="eastAsia" w:ascii="楷体" w:hAnsi="楷体" w:eastAsia="楷体"/>
          <w:b w:val="0"/>
          <w:bCs w:val="0"/>
          <w:spacing w:val="-4"/>
          <w:sz w:val="32"/>
          <w:szCs w:val="32"/>
        </w:rPr>
      </w:pPr>
      <w:r>
        <w:rPr>
          <w:rStyle w:val="22"/>
          <w:rFonts w:hint="eastAsia" w:ascii="楷体" w:hAnsi="楷体" w:eastAsia="楷体"/>
          <w:b w:val="0"/>
          <w:bCs w:val="0"/>
          <w:spacing w:val="-4"/>
          <w:sz w:val="32"/>
          <w:szCs w:val="32"/>
        </w:rPr>
        <w:t>1.资金到位率： 实际到位资金</w:t>
      </w:r>
      <w:r>
        <w:rPr>
          <w:rStyle w:val="22"/>
          <w:rFonts w:hint="eastAsia" w:ascii="楷体" w:hAnsi="楷体" w:eastAsia="楷体"/>
          <w:b w:val="0"/>
          <w:bCs w:val="0"/>
          <w:spacing w:val="-4"/>
          <w:sz w:val="32"/>
          <w:szCs w:val="32"/>
          <w:lang w:val="en-US" w:eastAsia="zh-CN"/>
        </w:rPr>
        <w:t>25.57</w:t>
      </w:r>
      <w:r>
        <w:rPr>
          <w:rStyle w:val="22"/>
          <w:rFonts w:hint="eastAsia" w:ascii="楷体" w:hAnsi="楷体" w:eastAsia="楷体"/>
          <w:b w:val="0"/>
          <w:bCs w:val="0"/>
          <w:spacing w:val="-4"/>
          <w:sz w:val="32"/>
          <w:szCs w:val="32"/>
        </w:rPr>
        <w:t>万元，预算资金</w:t>
      </w:r>
      <w:r>
        <w:rPr>
          <w:rStyle w:val="22"/>
          <w:rFonts w:hint="eastAsia" w:ascii="楷体" w:hAnsi="楷体" w:eastAsia="楷体"/>
          <w:b w:val="0"/>
          <w:bCs w:val="0"/>
          <w:spacing w:val="-4"/>
          <w:sz w:val="32"/>
          <w:szCs w:val="32"/>
          <w:lang w:val="en-US" w:eastAsia="zh-CN"/>
        </w:rPr>
        <w:t>25.57</w:t>
      </w:r>
      <w:r>
        <w:rPr>
          <w:rStyle w:val="22"/>
          <w:rFonts w:hint="eastAsia" w:ascii="楷体" w:hAnsi="楷体" w:eastAsia="楷体"/>
          <w:b w:val="0"/>
          <w:bCs w:val="0"/>
          <w:spacing w:val="-4"/>
          <w:sz w:val="32"/>
          <w:szCs w:val="32"/>
        </w:rPr>
        <w:t>元，资金到位率100%。</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lang w:val="en-US" w:eastAsia="zh-CN"/>
        </w:rPr>
        <w:t xml:space="preserve">    </w:t>
      </w:r>
      <w:r>
        <w:rPr>
          <w:rStyle w:val="22"/>
          <w:rFonts w:hint="eastAsia" w:ascii="楷体" w:hAnsi="楷体" w:eastAsia="楷体"/>
          <w:b w:val="0"/>
          <w:bCs w:val="0"/>
          <w:spacing w:val="-4"/>
          <w:sz w:val="32"/>
          <w:szCs w:val="32"/>
        </w:rPr>
        <w:t>2.预算执行率：</w:t>
      </w:r>
      <w:r>
        <w:rPr>
          <w:rStyle w:val="22"/>
          <w:rFonts w:hint="eastAsia" w:ascii="楷体" w:hAnsi="楷体" w:eastAsia="楷体"/>
          <w:b w:val="0"/>
          <w:bCs w:val="0"/>
          <w:spacing w:val="-4"/>
          <w:sz w:val="32"/>
          <w:szCs w:val="32"/>
          <w:lang w:val="en-US" w:eastAsia="zh-CN"/>
        </w:rPr>
        <w:t>78.67</w:t>
      </w:r>
      <w:r>
        <w:rPr>
          <w:rStyle w:val="22"/>
          <w:rFonts w:hint="eastAsia" w:ascii="楷体" w:hAnsi="楷体" w:eastAsia="楷体"/>
          <w:b w:val="0"/>
          <w:bCs w:val="0"/>
          <w:spacing w:val="-4"/>
          <w:sz w:val="32"/>
          <w:szCs w:val="32"/>
        </w:rPr>
        <w:t>%，年初预算数</w:t>
      </w:r>
      <w:r>
        <w:rPr>
          <w:rStyle w:val="22"/>
          <w:rFonts w:hint="eastAsia" w:ascii="楷体" w:hAnsi="楷体" w:eastAsia="楷体"/>
          <w:b w:val="0"/>
          <w:bCs w:val="0"/>
          <w:spacing w:val="-4"/>
          <w:sz w:val="32"/>
          <w:szCs w:val="32"/>
          <w:lang w:val="en-US" w:eastAsia="zh-CN"/>
        </w:rPr>
        <w:t>25.57</w:t>
      </w:r>
      <w:r>
        <w:rPr>
          <w:rStyle w:val="22"/>
          <w:rFonts w:hint="eastAsia" w:ascii="楷体" w:hAnsi="楷体" w:eastAsia="楷体"/>
          <w:b w:val="0"/>
          <w:bCs w:val="0"/>
          <w:spacing w:val="-4"/>
          <w:sz w:val="32"/>
          <w:szCs w:val="32"/>
        </w:rPr>
        <w:t>万元，全年预算数</w:t>
      </w:r>
      <w:r>
        <w:rPr>
          <w:rStyle w:val="22"/>
          <w:rFonts w:hint="eastAsia" w:ascii="楷体" w:hAnsi="楷体" w:eastAsia="楷体"/>
          <w:b w:val="0"/>
          <w:bCs w:val="0"/>
          <w:spacing w:val="-4"/>
          <w:sz w:val="32"/>
          <w:szCs w:val="32"/>
          <w:lang w:val="en-US" w:eastAsia="zh-CN"/>
        </w:rPr>
        <w:t>25.57</w:t>
      </w:r>
      <w:r>
        <w:rPr>
          <w:rStyle w:val="22"/>
          <w:rFonts w:hint="eastAsia" w:ascii="楷体" w:hAnsi="楷体" w:eastAsia="楷体"/>
          <w:b w:val="0"/>
          <w:bCs w:val="0"/>
          <w:spacing w:val="-4"/>
          <w:sz w:val="32"/>
          <w:szCs w:val="32"/>
        </w:rPr>
        <w:t>万元，全年执行数</w:t>
      </w:r>
      <w:r>
        <w:rPr>
          <w:rStyle w:val="22"/>
          <w:rFonts w:hint="eastAsia" w:ascii="楷体" w:hAnsi="楷体" w:eastAsia="楷体"/>
          <w:b w:val="0"/>
          <w:bCs w:val="0"/>
          <w:spacing w:val="-4"/>
          <w:sz w:val="32"/>
          <w:szCs w:val="32"/>
          <w:lang w:val="en-US" w:eastAsia="zh-CN"/>
        </w:rPr>
        <w:t>21.69</w:t>
      </w:r>
      <w:r>
        <w:rPr>
          <w:rStyle w:val="22"/>
          <w:rFonts w:hint="eastAsia" w:ascii="楷体" w:hAnsi="楷体" w:eastAsia="楷体"/>
          <w:b w:val="0"/>
          <w:bCs w:val="0"/>
          <w:spacing w:val="-4"/>
          <w:sz w:val="32"/>
          <w:szCs w:val="32"/>
        </w:rPr>
        <w:t>万元，预算执行率为</w:t>
      </w:r>
      <w:r>
        <w:rPr>
          <w:rStyle w:val="22"/>
          <w:rFonts w:hint="eastAsia" w:ascii="楷体" w:hAnsi="楷体" w:eastAsia="楷体"/>
          <w:b w:val="0"/>
          <w:bCs w:val="0"/>
          <w:spacing w:val="-4"/>
          <w:sz w:val="32"/>
          <w:szCs w:val="32"/>
          <w:lang w:val="en-US" w:eastAsia="zh-CN"/>
        </w:rPr>
        <w:t>78.67</w:t>
      </w:r>
      <w:r>
        <w:rPr>
          <w:rStyle w:val="22"/>
          <w:rFonts w:hint="eastAsia" w:ascii="楷体" w:hAnsi="楷体" w:eastAsia="楷体"/>
          <w:b w:val="0"/>
          <w:bCs w:val="0"/>
          <w:spacing w:val="-4"/>
          <w:sz w:val="32"/>
          <w:szCs w:val="32"/>
        </w:rPr>
        <w:t>%。</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lang w:val="en-US" w:eastAsia="zh-CN"/>
        </w:rPr>
        <w:t xml:space="preserve">    </w:t>
      </w:r>
      <w:r>
        <w:rPr>
          <w:rStyle w:val="22"/>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lang w:val="en-US" w:eastAsia="zh-CN"/>
        </w:rPr>
        <w:t xml:space="preserve">     </w:t>
      </w:r>
      <w:r>
        <w:rPr>
          <w:rStyle w:val="22"/>
          <w:rFonts w:hint="eastAsia" w:ascii="楷体" w:hAnsi="楷体" w:eastAsia="楷体"/>
          <w:b w:val="0"/>
          <w:bCs w:val="0"/>
          <w:spacing w:val="-4"/>
          <w:sz w:val="32"/>
          <w:szCs w:val="32"/>
        </w:rPr>
        <w:t>4.管理制度健全性：塔城地区</w:t>
      </w:r>
      <w:r>
        <w:rPr>
          <w:rStyle w:val="22"/>
          <w:rFonts w:hint="eastAsia" w:ascii="楷体" w:hAnsi="楷体" w:eastAsia="楷体"/>
          <w:b w:val="0"/>
          <w:bCs w:val="0"/>
          <w:spacing w:val="-4"/>
          <w:sz w:val="32"/>
          <w:szCs w:val="32"/>
          <w:lang w:eastAsia="zh-CN"/>
        </w:rPr>
        <w:t>政务服务与公共资源交易中心</w:t>
      </w:r>
      <w:r>
        <w:rPr>
          <w:rStyle w:val="22"/>
          <w:rFonts w:hint="eastAsia" w:ascii="楷体" w:hAnsi="楷体" w:eastAsia="楷体"/>
          <w:b w:val="0"/>
          <w:bCs w:val="0"/>
          <w:spacing w:val="-4"/>
          <w:sz w:val="32"/>
          <w:szCs w:val="32"/>
        </w:rPr>
        <w:t>已制定相应的财务和业务管理制度，且制度合法、合规、完整，为项目顺利实施提供重要保障。</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lang w:val="en-US" w:eastAsia="zh-CN"/>
        </w:rPr>
        <w:t xml:space="preserve">    </w:t>
      </w:r>
      <w:r>
        <w:rPr>
          <w:rStyle w:val="22"/>
          <w:rFonts w:hint="eastAsia" w:ascii="楷体" w:hAnsi="楷体" w:eastAsia="楷体"/>
          <w:b w:val="0"/>
          <w:bCs w:val="0"/>
          <w:spacing w:val="-4"/>
          <w:sz w:val="32"/>
          <w:szCs w:val="32"/>
        </w:rPr>
        <w:t>5.制度执行有效性：根据现场调研和资料抽查情况，塔城地区</w:t>
      </w:r>
      <w:r>
        <w:rPr>
          <w:rStyle w:val="22"/>
          <w:rFonts w:hint="eastAsia" w:ascii="楷体" w:hAnsi="楷体" w:eastAsia="楷体"/>
          <w:b w:val="0"/>
          <w:bCs w:val="0"/>
          <w:spacing w:val="-4"/>
          <w:sz w:val="32"/>
          <w:szCs w:val="32"/>
          <w:lang w:eastAsia="zh-CN"/>
        </w:rPr>
        <w:t>政务服务与公共资源交易中心</w:t>
      </w:r>
      <w:r>
        <w:rPr>
          <w:rStyle w:val="22"/>
          <w:rFonts w:hint="eastAsia" w:ascii="楷体" w:hAnsi="楷体" w:eastAsia="楷体"/>
          <w:b w:val="0"/>
          <w:bCs w:val="0"/>
          <w:spacing w:val="-4"/>
          <w:sz w:val="32"/>
          <w:szCs w:val="32"/>
        </w:rPr>
        <w:t>严格遵守相关法律法规和相关管理规定，项目调整及支出调整手续完备，整体管理合理有序，项目完成后，及时将会计凭证、等相关资料分类归档，制度执行有效。</w:t>
      </w:r>
    </w:p>
    <w:p w14:paraId="3B7EE96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22"/>
          <w:rFonts w:hint="eastAsia" w:ascii="楷体" w:hAnsi="楷体" w:eastAsia="楷体"/>
          <w:spacing w:val="-4"/>
          <w:sz w:val="32"/>
          <w:szCs w:val="32"/>
        </w:rPr>
        <w:t>项目产出情况</w:t>
      </w:r>
    </w:p>
    <w:p w14:paraId="5994BCA6">
      <w:pPr>
        <w:spacing w:line="540" w:lineRule="exact"/>
        <w:ind w:firstLine="567"/>
        <w:rPr>
          <w:rStyle w:val="22"/>
          <w:rFonts w:hint="default" w:ascii="楷体" w:hAnsi="楷体" w:eastAsia="楷体"/>
          <w:b w:val="0"/>
          <w:bCs w:val="0"/>
          <w:spacing w:val="-4"/>
          <w:sz w:val="32"/>
          <w:szCs w:val="32"/>
          <w:lang w:val="en-US" w:eastAsia="zh-CN"/>
        </w:rPr>
      </w:pPr>
      <w:r>
        <w:rPr>
          <w:rStyle w:val="22"/>
          <w:rFonts w:hint="eastAsia" w:ascii="楷体" w:hAnsi="楷体" w:eastAsia="楷体"/>
          <w:b w:val="0"/>
          <w:bCs w:val="0"/>
          <w:spacing w:val="-4"/>
          <w:sz w:val="32"/>
          <w:szCs w:val="32"/>
        </w:rPr>
        <w:t>1.产出数量</w:t>
      </w:r>
      <w:r>
        <w:rPr>
          <w:rStyle w:val="22"/>
          <w:rFonts w:hint="eastAsia" w:ascii="楷体" w:hAnsi="楷体" w:eastAsia="楷体" w:cs="Times New Roman"/>
          <w:b w:val="0"/>
          <w:bCs w:val="0"/>
          <w:spacing w:val="-4"/>
          <w:sz w:val="32"/>
          <w:szCs w:val="32"/>
        </w:rPr>
        <w:t>：数量指标：指标1：一体化政务服务在线平台</w:t>
      </w:r>
      <w:r>
        <w:rPr>
          <w:rStyle w:val="22"/>
          <w:rFonts w:hint="eastAsia" w:ascii="楷体" w:hAnsi="楷体" w:eastAsia="楷体" w:cs="Times New Roman"/>
          <w:b w:val="0"/>
          <w:bCs w:val="0"/>
          <w:spacing w:val="-4"/>
          <w:sz w:val="32"/>
          <w:szCs w:val="32"/>
          <w:lang w:eastAsia="zh-CN"/>
        </w:rPr>
        <w:t>，</w:t>
      </w:r>
      <w:r>
        <w:rPr>
          <w:rStyle w:val="22"/>
          <w:rFonts w:hint="eastAsia" w:ascii="楷体" w:hAnsi="楷体" w:eastAsia="楷体" w:cs="Times New Roman"/>
          <w:b w:val="0"/>
          <w:bCs w:val="0"/>
          <w:spacing w:val="-4"/>
          <w:sz w:val="32"/>
          <w:szCs w:val="32"/>
        </w:rPr>
        <w:t>指标值：≥</w:t>
      </w:r>
      <w:r>
        <w:rPr>
          <w:rStyle w:val="22"/>
          <w:rFonts w:hint="eastAsia" w:ascii="楷体" w:hAnsi="楷体" w:eastAsia="楷体" w:cs="Times New Roman"/>
          <w:b w:val="0"/>
          <w:bCs w:val="0"/>
          <w:spacing w:val="-4"/>
          <w:sz w:val="32"/>
          <w:szCs w:val="32"/>
          <w:lang w:val="en-US" w:eastAsia="zh-CN"/>
        </w:rPr>
        <w:t>1个</w:t>
      </w:r>
      <w:r>
        <w:rPr>
          <w:rStyle w:val="22"/>
          <w:rFonts w:hint="eastAsia" w:ascii="楷体" w:hAnsi="楷体" w:eastAsia="楷体" w:cs="Times New Roman"/>
          <w:b w:val="0"/>
          <w:bCs w:val="0"/>
          <w:spacing w:val="-4"/>
          <w:sz w:val="32"/>
          <w:szCs w:val="32"/>
        </w:rPr>
        <w:t>，实际完成值</w:t>
      </w:r>
      <w:r>
        <w:rPr>
          <w:rStyle w:val="22"/>
          <w:rFonts w:hint="eastAsia" w:ascii="楷体" w:hAnsi="楷体" w:eastAsia="楷体" w:cs="Times New Roman"/>
          <w:b w:val="0"/>
          <w:bCs w:val="0"/>
          <w:spacing w:val="-4"/>
          <w:sz w:val="32"/>
          <w:szCs w:val="32"/>
          <w:lang w:val="en-US" w:eastAsia="zh-CN"/>
        </w:rPr>
        <w:t>1个</w:t>
      </w:r>
      <w:r>
        <w:rPr>
          <w:rStyle w:val="22"/>
          <w:rFonts w:hint="eastAsia" w:ascii="楷体" w:hAnsi="楷体" w:eastAsia="楷体" w:cs="Times New Roman"/>
          <w:b w:val="0"/>
          <w:bCs w:val="0"/>
          <w:spacing w:val="-4"/>
          <w:sz w:val="32"/>
          <w:szCs w:val="32"/>
        </w:rPr>
        <w:t>，指标完成率100%；指标2：推进政府购买公共服务数，指标值：≥</w:t>
      </w:r>
      <w:r>
        <w:rPr>
          <w:rStyle w:val="22"/>
          <w:rFonts w:hint="eastAsia" w:ascii="楷体" w:hAnsi="楷体" w:eastAsia="楷体" w:cs="Times New Roman"/>
          <w:b w:val="0"/>
          <w:bCs w:val="0"/>
          <w:spacing w:val="-4"/>
          <w:sz w:val="32"/>
          <w:szCs w:val="32"/>
          <w:lang w:val="en-US" w:eastAsia="zh-CN"/>
        </w:rPr>
        <w:t>1个</w:t>
      </w:r>
      <w:r>
        <w:rPr>
          <w:rStyle w:val="22"/>
          <w:rFonts w:hint="eastAsia" w:ascii="楷体" w:hAnsi="楷体" w:eastAsia="楷体" w:cs="Times New Roman"/>
          <w:b w:val="0"/>
          <w:bCs w:val="0"/>
          <w:spacing w:val="-4"/>
          <w:sz w:val="32"/>
          <w:szCs w:val="32"/>
        </w:rPr>
        <w:t>，实际完成值</w:t>
      </w:r>
      <w:r>
        <w:rPr>
          <w:rStyle w:val="22"/>
          <w:rFonts w:hint="eastAsia" w:ascii="楷体" w:hAnsi="楷体" w:eastAsia="楷体" w:cs="Times New Roman"/>
          <w:b w:val="0"/>
          <w:bCs w:val="0"/>
          <w:spacing w:val="-4"/>
          <w:sz w:val="32"/>
          <w:szCs w:val="32"/>
          <w:lang w:val="en-US" w:eastAsia="zh-CN"/>
        </w:rPr>
        <w:t>1个</w:t>
      </w:r>
      <w:r>
        <w:rPr>
          <w:rStyle w:val="22"/>
          <w:rFonts w:hint="eastAsia" w:ascii="楷体" w:hAnsi="楷体" w:eastAsia="楷体" w:cs="Times New Roman"/>
          <w:b w:val="0"/>
          <w:bCs w:val="0"/>
          <w:spacing w:val="-4"/>
          <w:sz w:val="32"/>
          <w:szCs w:val="32"/>
        </w:rPr>
        <w:t>，指标完成率100%。</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2.产出质量：质量指</w:t>
      </w:r>
      <w:r>
        <w:rPr>
          <w:rStyle w:val="22"/>
          <w:rFonts w:hint="eastAsia" w:ascii="楷体" w:hAnsi="楷体" w:eastAsia="楷体" w:cs="Times New Roman"/>
          <w:b w:val="0"/>
          <w:bCs w:val="0"/>
          <w:spacing w:val="-4"/>
          <w:sz w:val="32"/>
          <w:szCs w:val="32"/>
        </w:rPr>
        <w:t>标：指标1：提高窗口服务质量，指标值：≥9</w:t>
      </w:r>
      <w:r>
        <w:rPr>
          <w:rStyle w:val="22"/>
          <w:rFonts w:hint="eastAsia" w:ascii="楷体" w:hAnsi="楷体" w:eastAsia="楷体" w:cs="Times New Roman"/>
          <w:b w:val="0"/>
          <w:bCs w:val="0"/>
          <w:spacing w:val="-4"/>
          <w:sz w:val="32"/>
          <w:szCs w:val="32"/>
          <w:lang w:val="en-US" w:eastAsia="zh-CN"/>
        </w:rPr>
        <w:t>0</w:t>
      </w:r>
      <w:r>
        <w:rPr>
          <w:rStyle w:val="22"/>
          <w:rFonts w:hint="eastAsia" w:ascii="楷体" w:hAnsi="楷体" w:eastAsia="楷体" w:cs="Times New Roman"/>
          <w:b w:val="0"/>
          <w:bCs w:val="0"/>
          <w:spacing w:val="-4"/>
          <w:sz w:val="32"/>
          <w:szCs w:val="32"/>
        </w:rPr>
        <w:t>%，实际完成值9</w:t>
      </w:r>
      <w:r>
        <w:rPr>
          <w:rStyle w:val="22"/>
          <w:rFonts w:hint="eastAsia" w:ascii="楷体" w:hAnsi="楷体" w:eastAsia="楷体" w:cs="Times New Roman"/>
          <w:b w:val="0"/>
          <w:bCs w:val="0"/>
          <w:spacing w:val="-4"/>
          <w:sz w:val="32"/>
          <w:szCs w:val="32"/>
          <w:lang w:val="en-US" w:eastAsia="zh-CN"/>
        </w:rPr>
        <w:t>0</w:t>
      </w:r>
      <w:r>
        <w:rPr>
          <w:rStyle w:val="22"/>
          <w:rFonts w:hint="eastAsia" w:ascii="楷体" w:hAnsi="楷体" w:eastAsia="楷体" w:cs="Times New Roman"/>
          <w:b w:val="0"/>
          <w:bCs w:val="0"/>
          <w:spacing w:val="-4"/>
          <w:sz w:val="32"/>
          <w:szCs w:val="32"/>
        </w:rPr>
        <w:t>%，指标完成率100%.</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3.产出时效：</w:t>
      </w:r>
      <w:r>
        <w:rPr>
          <w:rStyle w:val="22"/>
          <w:rFonts w:hint="eastAsia" w:ascii="楷体" w:hAnsi="楷体" w:eastAsia="楷体"/>
          <w:b w:val="0"/>
          <w:bCs w:val="0"/>
          <w:spacing w:val="-4"/>
          <w:sz w:val="32"/>
          <w:szCs w:val="32"/>
          <w:lang w:eastAsia="zh-CN"/>
        </w:rPr>
        <w:t>时效指标</w:t>
      </w:r>
      <w:r>
        <w:rPr>
          <w:rStyle w:val="22"/>
          <w:rFonts w:hint="eastAsia" w:ascii="楷体" w:hAnsi="楷体" w:eastAsia="楷体"/>
          <w:b w:val="0"/>
          <w:bCs w:val="0"/>
          <w:spacing w:val="-4"/>
          <w:sz w:val="32"/>
          <w:szCs w:val="32"/>
        </w:rPr>
        <w:t>：</w:t>
      </w:r>
      <w:r>
        <w:rPr>
          <w:rStyle w:val="22"/>
          <w:rFonts w:hint="eastAsia" w:ascii="楷体" w:hAnsi="楷体" w:eastAsia="楷体"/>
          <w:b w:val="0"/>
          <w:bCs w:val="0"/>
          <w:spacing w:val="-4"/>
          <w:sz w:val="32"/>
          <w:szCs w:val="32"/>
          <w:lang w:eastAsia="zh-CN"/>
        </w:rPr>
        <w:t>指标</w:t>
      </w:r>
      <w:r>
        <w:rPr>
          <w:rStyle w:val="22"/>
          <w:rFonts w:hint="eastAsia" w:ascii="楷体" w:hAnsi="楷体" w:eastAsia="楷体"/>
          <w:b w:val="0"/>
          <w:bCs w:val="0"/>
          <w:spacing w:val="-4"/>
          <w:sz w:val="32"/>
          <w:szCs w:val="32"/>
          <w:lang w:val="en-US" w:eastAsia="zh-CN"/>
        </w:rPr>
        <w:t>1：</w:t>
      </w:r>
      <w:r>
        <w:rPr>
          <w:rStyle w:val="22"/>
          <w:rFonts w:hint="eastAsia" w:ascii="楷体" w:hAnsi="楷体" w:eastAsia="楷体"/>
          <w:b w:val="0"/>
          <w:bCs w:val="0"/>
          <w:spacing w:val="-4"/>
          <w:sz w:val="32"/>
          <w:szCs w:val="32"/>
          <w:lang w:eastAsia="zh-CN"/>
        </w:rPr>
        <w:t>资金到位及时率，指标值：</w:t>
      </w:r>
      <w:r>
        <w:rPr>
          <w:rStyle w:val="22"/>
          <w:rFonts w:hint="eastAsia" w:ascii="楷体" w:hAnsi="楷体" w:eastAsia="楷体"/>
          <w:b w:val="0"/>
          <w:bCs w:val="0"/>
          <w:spacing w:val="-4"/>
          <w:sz w:val="32"/>
          <w:szCs w:val="32"/>
          <w:lang w:val="en-US" w:eastAsia="zh-CN"/>
        </w:rPr>
        <w:t>=100%，实际完成值100%，指标完成率100%。指标2</w:t>
      </w:r>
      <w:r>
        <w:rPr>
          <w:rStyle w:val="22"/>
          <w:rFonts w:hint="eastAsia" w:ascii="楷体" w:hAnsi="楷体" w:eastAsia="楷体" w:cs="Times New Roman"/>
          <w:b w:val="0"/>
          <w:bCs w:val="0"/>
          <w:spacing w:val="-4"/>
          <w:sz w:val="32"/>
          <w:szCs w:val="32"/>
          <w:lang w:val="en-US" w:eastAsia="zh-CN"/>
        </w:rPr>
        <w:t>：一体化政务平台使用时间，指标值：2022年1月，实际完成值2022年1月，指标完成率100%</w:t>
      </w:r>
      <w:r>
        <w:rPr>
          <w:rStyle w:val="22"/>
          <w:rFonts w:hint="eastAsia" w:ascii="楷体" w:hAnsi="楷体" w:eastAsia="楷体"/>
          <w:b w:val="0"/>
          <w:bCs w:val="0"/>
          <w:spacing w:val="-4"/>
          <w:sz w:val="32"/>
          <w:szCs w:val="32"/>
          <w:lang w:val="en-US" w:eastAsia="zh-CN"/>
        </w:rPr>
        <w:t>。</w:t>
      </w:r>
    </w:p>
    <w:p w14:paraId="48732B2B">
      <w:pPr>
        <w:spacing w:line="540" w:lineRule="exact"/>
        <w:ind w:firstLine="567"/>
        <w:rPr>
          <w:rStyle w:val="22"/>
          <w:rFonts w:hint="eastAsia" w:ascii="楷体" w:hAnsi="楷体" w:eastAsia="楷体"/>
          <w:b w:val="0"/>
          <w:bCs w:val="0"/>
          <w:spacing w:val="-4"/>
          <w:sz w:val="32"/>
          <w:szCs w:val="32"/>
          <w:lang w:val="en-US" w:eastAsia="zh-CN"/>
        </w:rPr>
      </w:pPr>
      <w:r>
        <w:rPr>
          <w:rStyle w:val="22"/>
          <w:rFonts w:hint="eastAsia" w:ascii="楷体" w:hAnsi="楷体" w:eastAsia="楷体"/>
          <w:b w:val="0"/>
          <w:bCs w:val="0"/>
          <w:spacing w:val="-4"/>
          <w:sz w:val="32"/>
          <w:szCs w:val="32"/>
        </w:rPr>
        <w:t>4.产出成本：成本</w:t>
      </w:r>
      <w:r>
        <w:rPr>
          <w:rStyle w:val="22"/>
          <w:rFonts w:hint="eastAsia" w:ascii="楷体" w:hAnsi="楷体" w:eastAsia="楷体"/>
          <w:b w:val="0"/>
          <w:bCs w:val="0"/>
          <w:spacing w:val="-4"/>
          <w:sz w:val="32"/>
          <w:szCs w:val="32"/>
          <w:lang w:eastAsia="zh-CN"/>
        </w:rPr>
        <w:t>指标</w:t>
      </w:r>
      <w:r>
        <w:rPr>
          <w:rStyle w:val="22"/>
          <w:rFonts w:hint="eastAsia" w:ascii="楷体" w:hAnsi="楷体" w:eastAsia="楷体"/>
          <w:b w:val="0"/>
          <w:bCs w:val="0"/>
          <w:spacing w:val="-4"/>
          <w:sz w:val="32"/>
          <w:szCs w:val="32"/>
        </w:rPr>
        <w:t>：</w:t>
      </w:r>
      <w:r>
        <w:rPr>
          <w:rStyle w:val="22"/>
          <w:rFonts w:hint="eastAsia" w:ascii="楷体" w:hAnsi="楷体" w:eastAsia="楷体"/>
          <w:b w:val="0"/>
          <w:bCs w:val="0"/>
          <w:spacing w:val="-4"/>
          <w:sz w:val="32"/>
          <w:szCs w:val="32"/>
          <w:lang w:eastAsia="zh-CN"/>
        </w:rPr>
        <w:t>指标</w:t>
      </w:r>
      <w:r>
        <w:rPr>
          <w:rStyle w:val="22"/>
          <w:rFonts w:hint="eastAsia" w:ascii="楷体" w:hAnsi="楷体" w:eastAsia="楷体" w:cs="Times New Roman"/>
          <w:b w:val="0"/>
          <w:bCs w:val="0"/>
          <w:spacing w:val="-4"/>
          <w:sz w:val="32"/>
          <w:szCs w:val="32"/>
          <w:lang w:val="en-US" w:eastAsia="zh-CN"/>
        </w:rPr>
        <w:t>1：</w:t>
      </w:r>
      <w:r>
        <w:rPr>
          <w:rStyle w:val="22"/>
          <w:rFonts w:hint="eastAsia" w:ascii="楷体" w:hAnsi="楷体" w:eastAsia="楷体" w:cs="Times New Roman"/>
          <w:b w:val="0"/>
          <w:bCs w:val="0"/>
          <w:spacing w:val="-4"/>
          <w:sz w:val="32"/>
          <w:szCs w:val="32"/>
          <w:lang w:eastAsia="zh-CN"/>
        </w:rPr>
        <w:t>维修（护）费，指标值：≤</w:t>
      </w:r>
      <w:r>
        <w:rPr>
          <w:rStyle w:val="22"/>
          <w:rFonts w:hint="eastAsia" w:ascii="楷体" w:hAnsi="楷体" w:eastAsia="楷体" w:cs="Times New Roman"/>
          <w:b w:val="0"/>
          <w:bCs w:val="0"/>
          <w:spacing w:val="-4"/>
          <w:sz w:val="32"/>
          <w:szCs w:val="32"/>
          <w:lang w:val="en-US" w:eastAsia="zh-CN"/>
        </w:rPr>
        <w:t>6万元，实际完成值2.12万元，指标完成率35.33%；指标2：</w:t>
      </w:r>
      <w:r>
        <w:rPr>
          <w:rStyle w:val="22"/>
          <w:rFonts w:hint="eastAsia" w:ascii="楷体" w:hAnsi="楷体" w:eastAsia="楷体" w:cs="Times New Roman"/>
          <w:b w:val="0"/>
          <w:bCs w:val="0"/>
          <w:spacing w:val="-4"/>
          <w:sz w:val="32"/>
          <w:szCs w:val="32"/>
          <w:lang w:eastAsia="zh-CN"/>
        </w:rPr>
        <w:t>邮电费</w:t>
      </w:r>
      <w:r>
        <w:rPr>
          <w:rStyle w:val="22"/>
          <w:rFonts w:hint="eastAsia" w:ascii="楷体" w:hAnsi="楷体" w:eastAsia="楷体" w:cs="Times New Roman"/>
          <w:b w:val="0"/>
          <w:bCs w:val="0"/>
          <w:spacing w:val="-4"/>
          <w:sz w:val="32"/>
          <w:szCs w:val="32"/>
          <w:lang w:val="en-US" w:eastAsia="zh-CN"/>
        </w:rPr>
        <w:t>，</w:t>
      </w:r>
      <w:r>
        <w:rPr>
          <w:rStyle w:val="22"/>
          <w:rFonts w:hint="eastAsia" w:ascii="楷体" w:hAnsi="楷体" w:eastAsia="楷体" w:cs="Times New Roman"/>
          <w:b w:val="0"/>
          <w:bCs w:val="0"/>
          <w:spacing w:val="-4"/>
          <w:sz w:val="32"/>
          <w:szCs w:val="32"/>
          <w:lang w:eastAsia="zh-CN"/>
        </w:rPr>
        <w:t>指标值：≤</w:t>
      </w:r>
      <w:r>
        <w:rPr>
          <w:rStyle w:val="22"/>
          <w:rFonts w:hint="eastAsia" w:ascii="楷体" w:hAnsi="楷体" w:eastAsia="楷体" w:cs="Times New Roman"/>
          <w:b w:val="0"/>
          <w:bCs w:val="0"/>
          <w:spacing w:val="-4"/>
          <w:sz w:val="32"/>
          <w:szCs w:val="32"/>
          <w:lang w:val="en-US" w:eastAsia="zh-CN"/>
        </w:rPr>
        <w:t>2万元，实际完成值2万元，指标完成率100%；指标3：</w:t>
      </w:r>
      <w:r>
        <w:rPr>
          <w:rStyle w:val="22"/>
          <w:rFonts w:hint="eastAsia" w:ascii="楷体" w:hAnsi="楷体" w:eastAsia="楷体" w:cs="Times New Roman"/>
          <w:b w:val="0"/>
          <w:bCs w:val="0"/>
          <w:spacing w:val="-4"/>
          <w:sz w:val="32"/>
          <w:szCs w:val="32"/>
          <w:lang w:eastAsia="zh-CN"/>
        </w:rPr>
        <w:t>委托业务费</w:t>
      </w:r>
      <w:r>
        <w:rPr>
          <w:rStyle w:val="22"/>
          <w:rFonts w:hint="eastAsia" w:ascii="楷体" w:hAnsi="楷体" w:eastAsia="楷体" w:cs="Times New Roman"/>
          <w:b w:val="0"/>
          <w:bCs w:val="0"/>
          <w:spacing w:val="-4"/>
          <w:sz w:val="32"/>
          <w:szCs w:val="32"/>
          <w:lang w:val="en-US" w:eastAsia="zh-CN"/>
        </w:rPr>
        <w:t>，</w:t>
      </w:r>
      <w:r>
        <w:rPr>
          <w:rStyle w:val="22"/>
          <w:rFonts w:hint="eastAsia" w:ascii="楷体" w:hAnsi="楷体" w:eastAsia="楷体"/>
          <w:b w:val="0"/>
          <w:bCs w:val="0"/>
          <w:spacing w:val="-4"/>
          <w:sz w:val="32"/>
          <w:szCs w:val="32"/>
          <w:lang w:eastAsia="zh-CN"/>
        </w:rPr>
        <w:t>指标值：≤</w:t>
      </w:r>
      <w:r>
        <w:rPr>
          <w:rStyle w:val="22"/>
          <w:rFonts w:hint="eastAsia" w:ascii="楷体" w:hAnsi="楷体" w:eastAsia="楷体"/>
          <w:b w:val="0"/>
          <w:bCs w:val="0"/>
          <w:spacing w:val="-4"/>
          <w:sz w:val="32"/>
          <w:szCs w:val="32"/>
          <w:lang w:val="en-US" w:eastAsia="zh-CN"/>
        </w:rPr>
        <w:t>17.57万元，实际完成值17.57万元，指标完成率100%。</w:t>
      </w:r>
    </w:p>
    <w:p w14:paraId="5C839017">
      <w:pPr>
        <w:spacing w:line="540" w:lineRule="exact"/>
        <w:ind w:firstLine="567" w:firstLineChars="181"/>
        <w:rPr>
          <w:rStyle w:val="22"/>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22"/>
          <w:rFonts w:hint="eastAsia" w:ascii="楷体" w:hAnsi="楷体" w:eastAsia="楷体"/>
          <w:spacing w:val="-4"/>
          <w:sz w:val="32"/>
          <w:szCs w:val="32"/>
        </w:rPr>
        <w:t>项目效益情况</w:t>
      </w:r>
    </w:p>
    <w:p w14:paraId="0AFFC0F6">
      <w:pPr>
        <w:spacing w:line="540" w:lineRule="exact"/>
        <w:ind w:firstLine="567"/>
        <w:rPr>
          <w:rStyle w:val="22"/>
          <w:rFonts w:hint="eastAsia" w:ascii="楷体" w:hAnsi="楷体" w:eastAsia="楷体"/>
          <w:spacing w:val="-4"/>
          <w:sz w:val="32"/>
          <w:szCs w:val="32"/>
        </w:rPr>
      </w:pPr>
      <w:r>
        <w:rPr>
          <w:rStyle w:val="22"/>
          <w:rFonts w:hint="eastAsia" w:ascii="楷体" w:hAnsi="楷体" w:eastAsia="楷体"/>
          <w:b w:val="0"/>
          <w:bCs w:val="0"/>
          <w:spacing w:val="-4"/>
          <w:sz w:val="32"/>
          <w:szCs w:val="32"/>
        </w:rPr>
        <w:t>（1）实施效益</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经济效益指标：无</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社会效益指标：评价</w:t>
      </w:r>
      <w:r>
        <w:rPr>
          <w:rStyle w:val="22"/>
          <w:rFonts w:hint="eastAsia" w:ascii="楷体" w:hAnsi="楷体" w:eastAsia="楷体" w:cs="Times New Roman"/>
          <w:b w:val="0"/>
          <w:bCs w:val="0"/>
          <w:spacing w:val="-4"/>
          <w:sz w:val="32"/>
          <w:szCs w:val="32"/>
        </w:rPr>
        <w:t>指标“有效提升服务水平”，指标值：有</w:t>
      </w:r>
      <w:r>
        <w:rPr>
          <w:rStyle w:val="22"/>
          <w:rFonts w:hint="eastAsia" w:ascii="楷体" w:hAnsi="楷体" w:eastAsia="楷体" w:cs="Times New Roman"/>
          <w:b w:val="0"/>
          <w:bCs w:val="0"/>
          <w:spacing w:val="-4"/>
          <w:sz w:val="32"/>
          <w:szCs w:val="32"/>
          <w:lang w:eastAsia="zh-CN"/>
        </w:rPr>
        <w:t>效</w:t>
      </w:r>
      <w:r>
        <w:rPr>
          <w:rStyle w:val="22"/>
          <w:rFonts w:hint="eastAsia" w:ascii="楷体" w:hAnsi="楷体" w:eastAsia="楷体" w:cs="Times New Roman"/>
          <w:b w:val="0"/>
          <w:bCs w:val="0"/>
          <w:spacing w:val="-4"/>
          <w:sz w:val="32"/>
          <w:szCs w:val="32"/>
        </w:rPr>
        <w:t>提升，实际完成值：达成年度指标。本项目的实施100%。</w:t>
      </w:r>
      <w:r>
        <w:rPr>
          <w:rStyle w:val="22"/>
          <w:rFonts w:hint="eastAsia" w:ascii="楷体" w:hAnsi="楷体" w:eastAsia="楷体" w:cs="Times New Roman"/>
          <w:b w:val="0"/>
          <w:bCs w:val="0"/>
          <w:spacing w:val="-4"/>
          <w:sz w:val="32"/>
          <w:szCs w:val="32"/>
        </w:rPr>
        <w:br w:type="textWrapping"/>
      </w:r>
      <w:r>
        <w:rPr>
          <w:rStyle w:val="22"/>
          <w:rFonts w:hint="eastAsia" w:ascii="楷体" w:hAnsi="楷体" w:eastAsia="楷体" w:cs="Times New Roman"/>
          <w:b w:val="0"/>
          <w:bCs w:val="0"/>
          <w:spacing w:val="-4"/>
          <w:sz w:val="32"/>
          <w:szCs w:val="32"/>
        </w:rPr>
        <w:t>评价指标“为妇女儿童创造良好的社会环境”，指标值：效果显著，实际完成值：达成年度指标。本项目的实施100%。生态效益指标：无</w:t>
      </w:r>
      <w:r>
        <w:rPr>
          <w:rStyle w:val="22"/>
          <w:rFonts w:hint="eastAsia" w:ascii="楷体" w:hAnsi="楷体" w:eastAsia="楷体" w:cs="Times New Roman"/>
          <w:b w:val="0"/>
          <w:bCs w:val="0"/>
          <w:spacing w:val="-4"/>
          <w:sz w:val="32"/>
          <w:szCs w:val="32"/>
        </w:rPr>
        <w:br w:type="textWrapping"/>
      </w:r>
      <w:r>
        <w:rPr>
          <w:rStyle w:val="22"/>
          <w:rFonts w:hint="eastAsia" w:ascii="楷体" w:hAnsi="楷体" w:eastAsia="楷体" w:cs="Times New Roman"/>
          <w:b w:val="0"/>
          <w:bCs w:val="0"/>
          <w:spacing w:val="-4"/>
          <w:sz w:val="32"/>
          <w:szCs w:val="32"/>
        </w:rPr>
        <w:t>可持续影响指标：评价指标“提升全区政务效能”，指标</w:t>
      </w:r>
      <w:r>
        <w:rPr>
          <w:rStyle w:val="22"/>
          <w:rFonts w:hint="eastAsia" w:ascii="楷体" w:hAnsi="楷体" w:eastAsia="楷体"/>
          <w:b w:val="0"/>
          <w:bCs w:val="0"/>
          <w:spacing w:val="-4"/>
          <w:sz w:val="32"/>
          <w:szCs w:val="32"/>
        </w:rPr>
        <w:t>值：有</w:t>
      </w:r>
      <w:r>
        <w:rPr>
          <w:rStyle w:val="22"/>
          <w:rFonts w:hint="eastAsia" w:ascii="楷体" w:hAnsi="楷体" w:eastAsia="楷体"/>
          <w:b w:val="0"/>
          <w:bCs w:val="0"/>
          <w:spacing w:val="-4"/>
          <w:sz w:val="32"/>
          <w:szCs w:val="32"/>
          <w:lang w:eastAsia="zh-CN"/>
        </w:rPr>
        <w:t>效</w:t>
      </w:r>
      <w:r>
        <w:rPr>
          <w:rStyle w:val="22"/>
          <w:rFonts w:hint="eastAsia" w:ascii="楷体" w:hAnsi="楷体" w:eastAsia="楷体"/>
          <w:b w:val="0"/>
          <w:bCs w:val="0"/>
          <w:spacing w:val="-4"/>
          <w:sz w:val="32"/>
          <w:szCs w:val="32"/>
        </w:rPr>
        <w:t>提升，实际完成值：达成年度指标。本项目的实施100%。</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（2）满意度</w:t>
      </w:r>
      <w:r>
        <w:rPr>
          <w:rStyle w:val="22"/>
          <w:rFonts w:hint="eastAsia" w:ascii="楷体" w:hAnsi="楷体" w:eastAsia="楷体"/>
          <w:b w:val="0"/>
          <w:bCs w:val="0"/>
          <w:spacing w:val="-4"/>
          <w:sz w:val="32"/>
          <w:szCs w:val="32"/>
        </w:rPr>
        <w:br w:type="textWrapping"/>
      </w:r>
      <w:r>
        <w:rPr>
          <w:rStyle w:val="22"/>
          <w:rFonts w:hint="eastAsia" w:ascii="楷体" w:hAnsi="楷体" w:eastAsia="楷体"/>
          <w:b w:val="0"/>
          <w:bCs w:val="0"/>
          <w:spacing w:val="-4"/>
          <w:sz w:val="32"/>
          <w:szCs w:val="32"/>
        </w:rPr>
        <w:t>服务对象满意度指标：评价指</w:t>
      </w:r>
      <w:r>
        <w:rPr>
          <w:rStyle w:val="22"/>
          <w:rFonts w:hint="eastAsia" w:ascii="楷体" w:hAnsi="楷体" w:eastAsia="楷体" w:cs="Times New Roman"/>
          <w:b w:val="0"/>
          <w:bCs w:val="0"/>
          <w:spacing w:val="-4"/>
          <w:sz w:val="32"/>
          <w:szCs w:val="32"/>
        </w:rPr>
        <w:t>标“</w:t>
      </w:r>
      <w:r>
        <w:rPr>
          <w:rStyle w:val="22"/>
          <w:rFonts w:hint="default" w:ascii="楷体" w:hAnsi="楷体" w:eastAsia="楷体" w:cs="Times New Roman"/>
          <w:b w:val="0"/>
          <w:bCs w:val="0"/>
          <w:spacing w:val="-4"/>
          <w:sz w:val="32"/>
          <w:szCs w:val="32"/>
          <w:lang w:val="en-US" w:eastAsia="zh-CN"/>
        </w:rPr>
        <w:t>群众对行政服务的满意度</w:t>
      </w:r>
      <w:r>
        <w:rPr>
          <w:rStyle w:val="22"/>
          <w:rFonts w:hint="eastAsia" w:ascii="楷体" w:hAnsi="楷体" w:eastAsia="楷体" w:cs="Times New Roman"/>
          <w:b w:val="0"/>
          <w:bCs w:val="0"/>
          <w:spacing w:val="-4"/>
          <w:sz w:val="32"/>
          <w:szCs w:val="32"/>
        </w:rPr>
        <w:t>”，</w:t>
      </w:r>
      <w:r>
        <w:rPr>
          <w:rStyle w:val="22"/>
          <w:rFonts w:hint="eastAsia" w:ascii="楷体" w:hAnsi="楷体" w:eastAsia="楷体"/>
          <w:b w:val="0"/>
          <w:bCs w:val="0"/>
          <w:spacing w:val="-4"/>
          <w:sz w:val="32"/>
          <w:szCs w:val="32"/>
        </w:rPr>
        <w:t>指标值：≥90%，实际完成值：达成年度指标。通过</w:t>
      </w:r>
      <w:r>
        <w:rPr>
          <w:rStyle w:val="22"/>
          <w:rFonts w:hint="eastAsia" w:ascii="楷体" w:hAnsi="楷体" w:eastAsia="楷体"/>
          <w:b w:val="0"/>
          <w:bCs w:val="0"/>
          <w:spacing w:val="-4"/>
          <w:sz w:val="32"/>
          <w:szCs w:val="32"/>
          <w:lang w:eastAsia="zh-CN"/>
        </w:rPr>
        <w:t>政务服务热线平台评价</w:t>
      </w:r>
      <w:r>
        <w:rPr>
          <w:rStyle w:val="22"/>
          <w:rFonts w:hint="eastAsia" w:ascii="楷体" w:hAnsi="楷体" w:eastAsia="楷体"/>
          <w:b w:val="0"/>
          <w:bCs w:val="0"/>
          <w:spacing w:val="-4"/>
          <w:sz w:val="32"/>
          <w:szCs w:val="32"/>
        </w:rPr>
        <w:t>方式进行考评评价，共计调查样本总量为</w:t>
      </w:r>
      <w:r>
        <w:rPr>
          <w:rFonts w:hint="eastAsia" w:ascii="Times New Roman" w:hAnsi="Times New Roman" w:eastAsia="仿宋_GB2312" w:cs="Times New Roman"/>
          <w:kern w:val="0"/>
          <w:sz w:val="32"/>
          <w:szCs w:val="32"/>
          <w:highlight w:val="none"/>
          <w:lang w:val="en-US" w:eastAsia="zh-CN"/>
        </w:rPr>
        <w:t>31440件</w:t>
      </w:r>
      <w:r>
        <w:rPr>
          <w:rStyle w:val="22"/>
          <w:rFonts w:hint="eastAsia" w:ascii="楷体" w:hAnsi="楷体" w:eastAsia="楷体"/>
          <w:b w:val="0"/>
          <w:bCs w:val="0"/>
          <w:spacing w:val="-4"/>
          <w:sz w:val="32"/>
          <w:szCs w:val="32"/>
        </w:rPr>
        <w:t>，有效调查</w:t>
      </w:r>
      <w:r>
        <w:rPr>
          <w:rFonts w:hint="eastAsia" w:ascii="Times New Roman" w:hAnsi="Times New Roman" w:eastAsia="仿宋_GB2312" w:cs="Times New Roman"/>
          <w:kern w:val="0"/>
          <w:sz w:val="32"/>
          <w:szCs w:val="32"/>
          <w:highlight w:val="none"/>
          <w:lang w:val="en-US" w:eastAsia="zh-CN"/>
        </w:rPr>
        <w:t>31440件，办结31422件</w:t>
      </w:r>
      <w:r>
        <w:rPr>
          <w:rStyle w:val="22"/>
          <w:rFonts w:hint="eastAsia" w:ascii="楷体" w:hAnsi="楷体" w:eastAsia="楷体"/>
          <w:b w:val="0"/>
          <w:bCs w:val="0"/>
          <w:spacing w:val="-4"/>
          <w:sz w:val="32"/>
          <w:szCs w:val="32"/>
        </w:rPr>
        <w:t>。其中，统计“满意”的平均值为</w:t>
      </w:r>
      <w:r>
        <w:rPr>
          <w:rStyle w:val="22"/>
          <w:rFonts w:hint="eastAsia" w:ascii="楷体" w:hAnsi="楷体" w:eastAsia="楷体"/>
          <w:b w:val="0"/>
          <w:bCs w:val="0"/>
          <w:spacing w:val="-4"/>
          <w:sz w:val="32"/>
          <w:szCs w:val="32"/>
          <w:lang w:val="en-US" w:eastAsia="zh-CN"/>
        </w:rPr>
        <w:t>94.8</w:t>
      </w:r>
      <w:r>
        <w:rPr>
          <w:rStyle w:val="22"/>
          <w:rFonts w:hint="eastAsia" w:ascii="楷体" w:hAnsi="楷体" w:eastAsia="楷体"/>
          <w:b w:val="0"/>
          <w:bCs w:val="0"/>
          <w:spacing w:val="-4"/>
          <w:sz w:val="32"/>
          <w:szCs w:val="32"/>
        </w:rPr>
        <w:t>%。</w:t>
      </w:r>
    </w:p>
    <w:p w14:paraId="371AB7D2">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五、预算执行进度与绩效指标偏差</w:t>
      </w:r>
    </w:p>
    <w:p w14:paraId="42991336">
      <w:pPr>
        <w:spacing w:line="540" w:lineRule="exact"/>
        <w:ind w:firstLine="567"/>
        <w:rPr>
          <w:rStyle w:val="22"/>
          <w:rFonts w:hint="eastAsia" w:ascii="楷体" w:hAnsi="楷体" w:eastAsia="楷体"/>
          <w:spacing w:val="-4"/>
          <w:sz w:val="32"/>
          <w:szCs w:val="32"/>
        </w:rPr>
      </w:pPr>
      <w:r>
        <w:rPr>
          <w:rStyle w:val="22"/>
          <w:rFonts w:hint="eastAsia" w:ascii="楷体" w:hAnsi="楷体" w:eastAsia="楷体"/>
          <w:b w:val="0"/>
          <w:bCs w:val="0"/>
          <w:spacing w:val="-4"/>
          <w:sz w:val="32"/>
          <w:szCs w:val="32"/>
        </w:rPr>
        <w:t>本项目预算执行率为</w:t>
      </w:r>
      <w:r>
        <w:rPr>
          <w:rStyle w:val="22"/>
          <w:rFonts w:hint="eastAsia" w:ascii="楷体" w:hAnsi="楷体" w:eastAsia="楷体"/>
          <w:b w:val="0"/>
          <w:bCs w:val="0"/>
          <w:spacing w:val="-4"/>
          <w:sz w:val="32"/>
          <w:szCs w:val="32"/>
          <w:lang w:val="en-US" w:eastAsia="zh-CN"/>
        </w:rPr>
        <w:t>78.67</w:t>
      </w:r>
      <w:r>
        <w:rPr>
          <w:rStyle w:val="22"/>
          <w:rFonts w:hint="eastAsia" w:ascii="楷体" w:hAnsi="楷体" w:eastAsia="楷体"/>
          <w:b w:val="0"/>
          <w:bCs w:val="0"/>
          <w:spacing w:val="-4"/>
          <w:sz w:val="32"/>
          <w:szCs w:val="32"/>
        </w:rPr>
        <w:t>%，指标总体完成率为</w:t>
      </w:r>
      <w:r>
        <w:rPr>
          <w:rStyle w:val="22"/>
          <w:rFonts w:hint="eastAsia" w:ascii="楷体" w:hAnsi="楷体" w:eastAsia="楷体"/>
          <w:b w:val="0"/>
          <w:bCs w:val="0"/>
          <w:spacing w:val="-4"/>
          <w:sz w:val="32"/>
          <w:szCs w:val="32"/>
          <w:lang w:val="en-US" w:eastAsia="zh-CN"/>
        </w:rPr>
        <w:t>94.12</w:t>
      </w:r>
      <w:r>
        <w:rPr>
          <w:rStyle w:val="22"/>
          <w:rFonts w:hint="eastAsia" w:ascii="楷体" w:hAnsi="楷体" w:eastAsia="楷体"/>
          <w:b w:val="0"/>
          <w:bCs w:val="0"/>
          <w:spacing w:val="-4"/>
          <w:sz w:val="32"/>
          <w:szCs w:val="32"/>
        </w:rPr>
        <w:t>%，二者之间的偏差值为</w:t>
      </w:r>
      <w:r>
        <w:rPr>
          <w:rStyle w:val="22"/>
          <w:rFonts w:hint="eastAsia" w:ascii="楷体" w:hAnsi="楷体" w:eastAsia="楷体"/>
          <w:b w:val="0"/>
          <w:bCs w:val="0"/>
          <w:spacing w:val="-4"/>
          <w:sz w:val="32"/>
          <w:szCs w:val="32"/>
          <w:lang w:val="en-US" w:eastAsia="zh-CN"/>
        </w:rPr>
        <w:t>15.45</w:t>
      </w:r>
      <w:r>
        <w:rPr>
          <w:rStyle w:val="22"/>
          <w:rFonts w:hint="eastAsia" w:ascii="楷体" w:hAnsi="楷体" w:eastAsia="楷体"/>
          <w:b w:val="0"/>
          <w:bCs w:val="0"/>
          <w:spacing w:val="-4"/>
          <w:sz w:val="32"/>
          <w:szCs w:val="32"/>
        </w:rPr>
        <w:t>%，小于</w:t>
      </w:r>
      <w:r>
        <w:rPr>
          <w:rStyle w:val="22"/>
          <w:rFonts w:hint="eastAsia" w:ascii="楷体" w:hAnsi="楷体" w:eastAsia="楷体"/>
          <w:b w:val="0"/>
          <w:bCs w:val="0"/>
          <w:spacing w:val="-4"/>
          <w:sz w:val="32"/>
          <w:szCs w:val="32"/>
          <w:lang w:val="en-US" w:eastAsia="zh-CN"/>
        </w:rPr>
        <w:t>20</w:t>
      </w:r>
      <w:r>
        <w:rPr>
          <w:rStyle w:val="22"/>
          <w:rFonts w:hint="eastAsia" w:ascii="楷体" w:hAnsi="楷体" w:eastAsia="楷体"/>
          <w:b w:val="0"/>
          <w:bCs w:val="0"/>
          <w:spacing w:val="-4"/>
          <w:sz w:val="32"/>
          <w:szCs w:val="32"/>
        </w:rPr>
        <w:t>%。因此，本项目较好地完成了年度总体目标，财政资金使用效益和效率较高。</w:t>
      </w:r>
    </w:p>
    <w:p w14:paraId="0F2C1525">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六、主要经验及做法、存在的问题及原因分析</w:t>
      </w:r>
    </w:p>
    <w:p w14:paraId="671B8E5E">
      <w:pPr>
        <w:spacing w:line="540" w:lineRule="exact"/>
        <w:ind w:firstLine="567"/>
        <w:rPr>
          <w:rStyle w:val="22"/>
          <w:rFonts w:hint="eastAsia" w:ascii="楷体" w:hAnsi="楷体" w:eastAsia="楷体" w:cs="Times New Roman"/>
          <w:b w:val="0"/>
          <w:bCs w:val="0"/>
          <w:spacing w:val="-4"/>
          <w:sz w:val="32"/>
          <w:szCs w:val="32"/>
        </w:rPr>
      </w:pPr>
      <w:r>
        <w:rPr>
          <w:rStyle w:val="22"/>
          <w:rFonts w:hint="eastAsia" w:ascii="楷体" w:hAnsi="楷体" w:eastAsia="楷体"/>
          <w:b w:val="0"/>
          <w:bCs w:val="0"/>
          <w:spacing w:val="-4"/>
          <w:sz w:val="32"/>
          <w:szCs w:val="32"/>
        </w:rPr>
        <w:t>（一）主要经验及做法</w:t>
      </w:r>
      <w:r>
        <w:rPr>
          <w:rStyle w:val="22"/>
          <w:rFonts w:hint="eastAsia" w:ascii="楷体" w:hAnsi="楷体" w:eastAsia="楷体"/>
          <w:b w:val="0"/>
          <w:bCs w:val="0"/>
          <w:spacing w:val="-4"/>
          <w:sz w:val="32"/>
          <w:szCs w:val="32"/>
        </w:rPr>
        <w:br w:type="textWrapping"/>
      </w:r>
      <w:r>
        <w:rPr>
          <w:rStyle w:val="22"/>
          <w:rFonts w:hint="eastAsia" w:ascii="楷体" w:hAnsi="楷体" w:eastAsia="楷体" w:cs="Times New Roman"/>
          <w:b w:val="0"/>
          <w:bCs w:val="0"/>
          <w:spacing w:val="-4"/>
          <w:sz w:val="32"/>
          <w:szCs w:val="32"/>
        </w:rPr>
        <w:t>为确保【12345政务服务便民热线平台购买服务一体化在线政务服务深化开发维修维护及电话网络费用】项目顺利进行，提前做好【12345政务服务便民热线平台购买服务一体化在线政务服务深化开发维修维护及电话网络费用】项目规划，将所列计划再三审核。在【12345政务服务便民热线平台购买服务一体化在线政务服务深化开发维修维护及电话网络费用】项目实施过程中做好定期监督检查，严格按照项目管理规范进行，在项目资金使用过程中，严格落实把关，按照项目资金使用范围做好审核工作，让项目资金落于实处。在项目完成后，做好受益群众民意调查及项目防范工作。严格坚持先做事、后验收、再拨付的原则，基本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r>
        <w:rPr>
          <w:rStyle w:val="22"/>
          <w:rFonts w:hint="eastAsia" w:ascii="楷体" w:hAnsi="楷体" w:eastAsia="楷体" w:cs="Times New Roman"/>
          <w:b w:val="0"/>
          <w:bCs w:val="0"/>
          <w:spacing w:val="-4"/>
          <w:sz w:val="32"/>
          <w:szCs w:val="32"/>
        </w:rPr>
        <w:br w:type="textWrapping"/>
      </w:r>
      <w:r>
        <w:rPr>
          <w:rStyle w:val="22"/>
          <w:rFonts w:hint="eastAsia" w:ascii="楷体" w:hAnsi="楷体" w:eastAsia="楷体" w:cs="Times New Roman"/>
          <w:b w:val="0"/>
          <w:bCs w:val="0"/>
          <w:spacing w:val="-4"/>
          <w:sz w:val="32"/>
          <w:szCs w:val="32"/>
        </w:rPr>
        <w:t>（二）存在的问题及原因分析</w:t>
      </w:r>
      <w:r>
        <w:rPr>
          <w:rStyle w:val="22"/>
          <w:rFonts w:hint="eastAsia" w:ascii="楷体" w:hAnsi="楷体" w:eastAsia="楷体" w:cs="Times New Roman"/>
          <w:b w:val="0"/>
          <w:bCs w:val="0"/>
          <w:spacing w:val="-4"/>
          <w:sz w:val="32"/>
          <w:szCs w:val="32"/>
        </w:rPr>
        <w:br w:type="textWrapping"/>
      </w:r>
      <w:r>
        <w:rPr>
          <w:rStyle w:val="22"/>
          <w:rFonts w:hint="eastAsia" w:ascii="楷体" w:hAnsi="楷体" w:eastAsia="楷体" w:cs="Times New Roman"/>
          <w:b w:val="0"/>
          <w:bCs w:val="0"/>
          <w:spacing w:val="-4"/>
          <w:sz w:val="32"/>
          <w:szCs w:val="32"/>
        </w:rPr>
        <w:t xml:space="preserve">存在的问题是项目前期工作不全面，没有深入细致科学规划地做好各项前期工作，项目实施前期已根据项目建设内容设置绩效目标，但项目绩效目标级绩效指标设置过于笼统，不够细化，在实际实施绩效监控和绩效评价时较为困难。绩效目标的设置应符合量化、细化的要求。 </w:t>
      </w:r>
    </w:p>
    <w:p w14:paraId="2CCCD4A9">
      <w:pPr>
        <w:spacing w:line="540" w:lineRule="exact"/>
        <w:ind w:firstLine="640"/>
        <w:rPr>
          <w:rStyle w:val="22"/>
          <w:rFonts w:hint="eastAsia" w:ascii="黑体" w:hAnsi="黑体" w:eastAsia="黑体"/>
          <w:b w:val="0"/>
          <w:spacing w:val="-4"/>
          <w:sz w:val="32"/>
          <w:szCs w:val="32"/>
        </w:rPr>
      </w:pPr>
      <w:r>
        <w:rPr>
          <w:rStyle w:val="22"/>
          <w:rFonts w:hint="eastAsia" w:ascii="黑体" w:hAnsi="黑体" w:eastAsia="黑体"/>
          <w:b w:val="0"/>
          <w:spacing w:val="-4"/>
          <w:sz w:val="32"/>
          <w:szCs w:val="32"/>
          <w:lang w:val="en-US" w:eastAsia="zh-CN"/>
        </w:rPr>
        <w:t>七</w:t>
      </w:r>
      <w:r>
        <w:rPr>
          <w:rStyle w:val="22"/>
          <w:rFonts w:hint="eastAsia" w:ascii="黑体" w:hAnsi="黑体" w:eastAsia="黑体"/>
          <w:b w:val="0"/>
          <w:spacing w:val="-4"/>
          <w:sz w:val="32"/>
          <w:szCs w:val="32"/>
        </w:rPr>
        <w:t>、有关建议</w:t>
      </w:r>
    </w:p>
    <w:p w14:paraId="6E901F42">
      <w:pPr>
        <w:spacing w:line="540" w:lineRule="exact"/>
        <w:ind w:firstLine="567"/>
        <w:rPr>
          <w:rStyle w:val="22"/>
          <w:rFonts w:hint="eastAsia" w:ascii="楷体" w:hAnsi="楷体" w:eastAsia="楷体" w:cs="Times New Roman"/>
          <w:b w:val="0"/>
          <w:bCs w:val="0"/>
          <w:spacing w:val="-4"/>
          <w:sz w:val="32"/>
          <w:szCs w:val="32"/>
        </w:rPr>
      </w:pPr>
      <w:r>
        <w:rPr>
          <w:rStyle w:val="22"/>
          <w:rFonts w:hint="eastAsia" w:ascii="楷体" w:hAnsi="楷体" w:eastAsia="楷体" w:cs="Times New Roman"/>
          <w:b w:val="0"/>
          <w:bCs w:val="0"/>
          <w:spacing w:val="-4"/>
          <w:sz w:val="32"/>
          <w:szCs w:val="32"/>
          <w:lang w:val="en-US" w:eastAsia="zh-CN"/>
        </w:rPr>
        <w:t>1、</w:t>
      </w:r>
      <w:r>
        <w:rPr>
          <w:rStyle w:val="22"/>
          <w:rFonts w:hint="eastAsia" w:ascii="楷体" w:hAnsi="楷体" w:eastAsia="楷体" w:cs="Times New Roman"/>
          <w:b w:val="0"/>
          <w:bCs w:val="0"/>
          <w:spacing w:val="-4"/>
          <w:sz w:val="32"/>
          <w:szCs w:val="32"/>
        </w:rPr>
        <w:t>建立项目资金管理领导责任制和会计核算制，并自觉接受财政、审计纪检和上级财务主管部门的监督检查，强化项目资金的管理和监督。按照事前审核、事中监控、事后检查的要求，建立健全项目资金跟踪检查制度和重大问题上的上报制度，定期不定期地开展项目资金专项检查，全程跟踪检查各项项目资金的拨付、使用情况，对发现的资金管理方面的重大问题及时上报。</w:t>
      </w:r>
    </w:p>
    <w:p w14:paraId="7734A0B2">
      <w:pPr>
        <w:spacing w:line="540" w:lineRule="exact"/>
        <w:ind w:firstLine="567"/>
        <w:rPr>
          <w:rStyle w:val="22"/>
          <w:rFonts w:hint="default" w:ascii="楷体" w:hAnsi="楷体" w:eastAsia="楷体"/>
          <w:spacing w:val="-4"/>
          <w:sz w:val="32"/>
          <w:szCs w:val="32"/>
          <w:lang w:val="en-US" w:eastAsia="zh-CN"/>
        </w:rPr>
      </w:pPr>
      <w:r>
        <w:rPr>
          <w:rStyle w:val="22"/>
          <w:rFonts w:hint="eastAsia" w:ascii="楷体" w:hAnsi="楷体" w:eastAsia="楷体" w:cs="Times New Roman"/>
          <w:b w:val="0"/>
          <w:bCs w:val="0"/>
          <w:spacing w:val="-4"/>
          <w:sz w:val="32"/>
          <w:szCs w:val="32"/>
          <w:lang w:val="en-US" w:eastAsia="zh-CN"/>
        </w:rPr>
        <w:t>2、</w:t>
      </w:r>
      <w:r>
        <w:rPr>
          <w:rStyle w:val="22"/>
          <w:rFonts w:hint="eastAsia" w:ascii="楷体" w:hAnsi="楷体" w:eastAsia="楷体" w:cs="Times New Roman"/>
          <w:b w:val="0"/>
          <w:bCs w:val="0"/>
          <w:spacing w:val="-4"/>
          <w:sz w:val="32"/>
          <w:szCs w:val="32"/>
        </w:rPr>
        <w:t>细化绩效目标编制工作，针对项目绩效设定的可量化的具体指标和预期产生的社会、经济效益，便于后期工作开展时清晰界定资金使用范围。加强项目后期管护，保障项目发挥最大效益。</w:t>
      </w:r>
    </w:p>
    <w:p w14:paraId="120EC0CC">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lang w:val="en-US" w:eastAsia="zh-CN"/>
        </w:rPr>
        <w:t>八</w:t>
      </w:r>
      <w:r>
        <w:rPr>
          <w:rStyle w:val="22"/>
          <w:rFonts w:hint="eastAsia" w:ascii="黑体" w:hAnsi="黑体" w:eastAsia="黑体"/>
          <w:b w:val="0"/>
          <w:spacing w:val="-4"/>
          <w:sz w:val="32"/>
          <w:szCs w:val="32"/>
        </w:rPr>
        <w:t>、其他需要说明的问题</w:t>
      </w:r>
    </w:p>
    <w:p w14:paraId="1B174A56">
      <w:pPr>
        <w:spacing w:line="540" w:lineRule="exact"/>
        <w:ind w:firstLine="567"/>
        <w:rPr>
          <w:rStyle w:val="22"/>
          <w:rFonts w:hint="eastAsia" w:ascii="楷体" w:hAnsi="楷体" w:eastAsia="楷体"/>
          <w:b w:val="0"/>
          <w:bCs w:val="0"/>
          <w:spacing w:val="-4"/>
          <w:sz w:val="32"/>
          <w:szCs w:val="32"/>
          <w:lang w:eastAsia="zh-CN"/>
        </w:rPr>
      </w:pPr>
      <w:r>
        <w:rPr>
          <w:rStyle w:val="22"/>
          <w:rFonts w:hint="eastAsia" w:ascii="楷体" w:hAnsi="楷体" w:eastAsia="楷体"/>
          <w:b w:val="0"/>
          <w:bCs w:val="0"/>
          <w:spacing w:val="-4"/>
          <w:sz w:val="32"/>
          <w:szCs w:val="32"/>
          <w:lang w:eastAsia="zh-CN"/>
        </w:rPr>
        <w:t>无</w:t>
      </w:r>
    </w:p>
    <w:p w14:paraId="30C08BB4">
      <w:pPr>
        <w:spacing w:line="540" w:lineRule="exact"/>
        <w:ind w:firstLine="567"/>
        <w:rPr>
          <w:rStyle w:val="22"/>
          <w:rFonts w:ascii="仿宋" w:hAnsi="仿宋" w:eastAsia="仿宋"/>
          <w:b w:val="0"/>
          <w:spacing w:val="-4"/>
          <w:sz w:val="32"/>
          <w:szCs w:val="32"/>
        </w:rPr>
      </w:pPr>
    </w:p>
    <w:p w14:paraId="50256F8B">
      <w:pPr>
        <w:spacing w:line="540" w:lineRule="exact"/>
        <w:ind w:firstLine="567"/>
        <w:rPr>
          <w:rStyle w:val="22"/>
          <w:rFonts w:ascii="仿宋" w:hAnsi="仿宋" w:eastAsia="仿宋"/>
          <w:b w:val="0"/>
          <w:spacing w:val="-4"/>
          <w:sz w:val="32"/>
          <w:szCs w:val="32"/>
        </w:rPr>
      </w:pPr>
    </w:p>
    <w:p w14:paraId="30EC4B59">
      <w:pPr>
        <w:spacing w:line="540" w:lineRule="exact"/>
        <w:ind w:firstLine="567"/>
        <w:rPr>
          <w:rStyle w:val="22"/>
          <w:rFonts w:ascii="仿宋" w:hAnsi="仿宋" w:eastAsia="仿宋"/>
          <w:b w:val="0"/>
          <w:spacing w:val="-4"/>
          <w:sz w:val="32"/>
          <w:szCs w:val="32"/>
        </w:rPr>
      </w:pPr>
    </w:p>
    <w:p w14:paraId="5A94D890">
      <w:pPr>
        <w:spacing w:line="540" w:lineRule="exact"/>
        <w:ind w:firstLine="567"/>
        <w:rPr>
          <w:rStyle w:val="22"/>
          <w:rFonts w:ascii="仿宋" w:hAnsi="仿宋" w:eastAsia="仿宋"/>
          <w:b w:val="0"/>
          <w:spacing w:val="-4"/>
          <w:sz w:val="32"/>
          <w:szCs w:val="32"/>
        </w:rPr>
      </w:pPr>
    </w:p>
    <w:p w14:paraId="46599622">
      <w:pPr>
        <w:spacing w:line="540" w:lineRule="exact"/>
        <w:ind w:firstLine="567"/>
        <w:rPr>
          <w:rStyle w:val="22"/>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9DEC92C">
        <w:pPr>
          <w:pStyle w:val="15"/>
          <w:jc w:val="center"/>
        </w:pPr>
        <w:r>
          <w:fldChar w:fldCharType="begin"/>
        </w:r>
        <w:r>
          <w:instrText xml:space="preserve">PAGE   \* MERGEFORMAT</w:instrText>
        </w:r>
        <w:r>
          <w:fldChar w:fldCharType="separate"/>
        </w:r>
        <w:r>
          <w:rPr>
            <w:lang w:val="zh-CN"/>
          </w:rPr>
          <w:t>1</w:t>
        </w:r>
        <w:r>
          <w:fldChar w:fldCharType="end"/>
        </w:r>
      </w:p>
    </w:sdtContent>
  </w:sdt>
  <w:p w14:paraId="1DFE10DD">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0562A4"/>
    <w:multiLevelType w:val="singleLevel"/>
    <w:tmpl w:val="600562A4"/>
    <w:lvl w:ilvl="0" w:tentative="0">
      <w:start w:val="2"/>
      <w:numFmt w:val="chineseCounting"/>
      <w:suff w:val="nothing"/>
      <w:lvlText w:val="（%1）"/>
      <w:lvlJc w:val="left"/>
      <w:rPr>
        <w:rFonts w:hint="eastAsia"/>
      </w:rPr>
    </w:lvl>
  </w:abstractNum>
  <w:abstractNum w:abstractNumId="1">
    <w:nsid w:val="6CD8899A"/>
    <w:multiLevelType w:val="singleLevel"/>
    <w:tmpl w:val="6CD8899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1NWI0YzNlZDEyNmYyYWUzNzk3NWU2Y2Q2NjdjMTk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76D7412"/>
    <w:rsid w:val="0856517C"/>
    <w:rsid w:val="0BE97ECD"/>
    <w:rsid w:val="0BFB189F"/>
    <w:rsid w:val="11BD75F7"/>
    <w:rsid w:val="13BE561A"/>
    <w:rsid w:val="15392994"/>
    <w:rsid w:val="18FE139B"/>
    <w:rsid w:val="193062DF"/>
    <w:rsid w:val="1EA15427"/>
    <w:rsid w:val="29BC5413"/>
    <w:rsid w:val="2A1B3EAF"/>
    <w:rsid w:val="2A891760"/>
    <w:rsid w:val="3029612C"/>
    <w:rsid w:val="32A221C5"/>
    <w:rsid w:val="33F20F2A"/>
    <w:rsid w:val="34C44675"/>
    <w:rsid w:val="3A30455A"/>
    <w:rsid w:val="3A934AA3"/>
    <w:rsid w:val="3B5B5607"/>
    <w:rsid w:val="3CE21B3C"/>
    <w:rsid w:val="499A554C"/>
    <w:rsid w:val="4D2606A1"/>
    <w:rsid w:val="4E796D55"/>
    <w:rsid w:val="50102255"/>
    <w:rsid w:val="51830480"/>
    <w:rsid w:val="53A616BE"/>
    <w:rsid w:val="54662BFB"/>
    <w:rsid w:val="62051CA5"/>
    <w:rsid w:val="673404ED"/>
    <w:rsid w:val="6C3A69EF"/>
    <w:rsid w:val="735B1691"/>
    <w:rsid w:val="78516F6A"/>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99"/>
    <w:pPr>
      <w:widowControl w:val="0"/>
      <w:autoSpaceDE w:val="0"/>
      <w:autoSpaceDN w:val="0"/>
      <w:adjustRightInd w:val="0"/>
    </w:pPr>
    <w:rPr>
      <w:rFonts w:ascii="隶书" w:hAnsi="Calibri" w:eastAsia="隶书" w:cs="隶书"/>
      <w:color w:val="000000"/>
      <w:sz w:val="24"/>
      <w:szCs w:val="24"/>
      <w:lang w:val="en-US" w:eastAsia="zh-CN" w:bidi="ar-SA"/>
    </w:rPr>
  </w:style>
  <w:style w:type="paragraph" w:styleId="12">
    <w:name w:val="annotation text"/>
    <w:basedOn w:val="1"/>
    <w:unhideWhenUsed/>
    <w:qFormat/>
    <w:uiPriority w:val="99"/>
    <w:pPr>
      <w:jc w:val="left"/>
    </w:pPr>
    <w:rPr>
      <w:rFonts w:cs="Times New Roman"/>
      <w:kern w:val="0"/>
      <w:szCs w:val="20"/>
    </w:rPr>
  </w:style>
  <w:style w:type="paragraph" w:styleId="13">
    <w:name w:val="Body Text"/>
    <w:basedOn w:val="1"/>
    <w:semiHidden/>
    <w:unhideWhenUsed/>
    <w:qFormat/>
    <w:uiPriority w:val="99"/>
    <w:pPr>
      <w:spacing w:after="120"/>
    </w:pPr>
    <w:rPr>
      <w:rFonts w:cs="Times New Roman"/>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w:basedOn w:val="13"/>
    <w:qFormat/>
    <w:uiPriority w:val="0"/>
    <w:pPr>
      <w:spacing w:after="0"/>
      <w:ind w:firstLine="420" w:firstLineChars="100"/>
    </w:pPr>
    <w:rPr>
      <w:rFonts w:ascii="宋体" w:hAnsi="宋体" w:cs="宋体"/>
      <w:sz w:val="21"/>
      <w:lang w:val="zh-CN" w:bidi="zh-CN"/>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18"/>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7427</Words>
  <Characters>7849</Characters>
  <Lines>5</Lines>
  <Paragraphs>1</Paragraphs>
  <TotalTime>6</TotalTime>
  <ScaleCrop>false</ScaleCrop>
  <LinksUpToDate>false</LinksUpToDate>
  <CharactersWithSpaces>7887</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周而</cp:lastModifiedBy>
  <cp:lastPrinted>2018-12-31T10:56:00Z</cp:lastPrinted>
  <dcterms:modified xsi:type="dcterms:W3CDTF">2025-09-03T07:23:14Z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1C8F32D657D1402D91F6C58D9C49B69F</vt:lpwstr>
  </property>
  <property fmtid="{D5CDD505-2E9C-101B-9397-08002B2CF9AE}" pid="4" name="KSOTemplateDocerSaveRecord">
    <vt:lpwstr>eyJoZGlkIjoiN2VjMGM4YTNmZTY1NDFjMWFjNmVmZmU0NDA2ZTk0ZmMiLCJ1c2VySWQiOiI4NjI1NDMxNDkifQ==</vt:lpwstr>
  </property>
</Properties>
</file>