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党对教育工作的全面领导</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中共塔城地区委员会教育工作委员会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中共塔城地区委员会教育工作委员会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哈勒恒别克·热布莱</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2023年02月27日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（一）项目概况：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1、项目背景</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为深入学习贯彻习近平新时代中国特色社会主义思想和党的二十大精神，深入学习贯彻全国教育大会精神，深入贯彻落实以习近平同志为核心的党中央治疆方略，切实加强党对教育工作的全面领导，着力强化地区中小学党的建设工作，充分发挥学校党组织战斗堡垒作用和党员先锋模范作用。根据中共教育部党组教党[2020]11号、自治区新党教2018-55号、自治区教育工作领导小组2020-1号等文件要求，确保全区教育系统加强党对教育工作的全面领导，需对辖区内的各教育单位开展抓好社会主义办学方向和立德树人的根本任务，为了满足工作需要申请下达项目资金。</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2、主要内容及实施情况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2021年项目为地区本级财政安排的党对教育事业全面领导专项</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业务费，用于弥补我单位公用经费不足，保障机关运行，用于支付办公费、劳务费支出、各县市学校党建工作指导差旅费及公务车运行及维护费支出等。</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本项目总投资20万元，其中：财政本级资金20万元，项目实际支出11.17万元，执行率为55.85%。</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3、资金投入和使用情况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投入情况：项目投资20万元，按照《本级专项业务费资金管理办法》及单位财务制度等相关规定，资金支出符合党对教育工作的全面领导专项资金费用范围，做到了专款专用。在项目资金拨付和使用过程中，为确保项目资金的安全性，提高项目资金使用率，严格遵循专项资金的拨付程序，认真审核项目实施各阶段的相关材料和手续，根据项目实施进展情况拨付资金。</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使用情况：2022年财政下达专项业务费20万元，全部为本级财政资金，该项目实际支付资金11.17万元，所有项目资金已支付完毕，剩余资金8万余元为差旅费等费用，由于疫情影响未能支付使用。此项目为地区本级财政安排的党对教育事业全面领导专项业务费，用于弥补我单位公用经费不足，保障机关运行，用于支付办公费、劳务费支出、各县市学校党建工作指导差旅费及公务车运行及维护费支出等项目。</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（二）项目绩效目标：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1、总体目标：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有利于落实全面从严治党要求，加强党对教育工作的全面领导，确保地区中小学全面贯彻党的教育方针、坚持社会主义办学方向、落实立德树人根本任务、办好人民满意教育。</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 xml:space="preserve">2、阶段性目标： </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前期准备：根据《教工委年度工作方案》，通过制定项目实施方案，进专项资金领导小组审核通过后，有序开展后续工作。</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组织实施：资金一到位，立即根据项目要求实施项目。项目责任人按照《工作方案》要求逐一进行项目部署安排，提高项目质量及效率性。</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2022年按月支付劳务工资及各项办公费的支出及差旅费支出，确保支付及时率以及项目开展及时有效。督导调研县市数量7个、印刷资料份数1000份、印刷成本费用1万元、支付差旅费、劳务费、公务用车运行维护费等保障机关运行。</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（一）绩效评价目的、对象和范围</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1.评价目的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2、党对教育工作的全面领导专项业务费。</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3、绩效评价范围</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党对教育工作的全面领导项目评价，评价核心为专项资金的支出完成情况和效果。</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（二）绩效评价原则、指标体系、方法及标准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1.评价原则</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（2）公正公开原则：绩效评价应当符合真实、客观、公正的要求，依法公开并接受监督。</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（3）分级分类原则：根据评价对象特点分类组织实施。</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2.评价指标体系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党对教育工作的全面领导专项业务费项目支出绩效评价指标体系(详见附件3)：</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3.评价方法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绩效评价标准主要包括计划标准、行业标准、历史标准等，用于对绩效指标完成情况进行比较。</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（1）计划标准。指以预先制定的目标、计划、预算、定额等作为评价标准。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（2）行业标准。指参照国家公布的行业指标数据制定的评价标准。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在上述评价标准的基础上，本次评价依据以下文件为重要指导和准绳：</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·《中共中央国务院关于全面实施预算绩效管理的意见》（中发〔2018〕34号）；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·《项目支出绩效评价管理办法》（财预〔2020〕10号）；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·《自治区党委自治区人民政府关于全面实施预算绩效管理的实施意见》（新党发〔2018〕30号）；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（三）绩效评价工作过程</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（一）评价结论</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结合项目特点，制定符合项目实际的绩效评价指标体系及评分标准，通过数据采集、问卷调查及访谈等形式，对2022年党对教育工作的全面领导专项业务费进行客观评价。</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（一）项目决策情况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该指标分值20分，依据评分标准，此项指标不扣分，得20分。</w:t>
      </w:r>
      <w:r>
        <w:rPr>
          <w:rStyle w:val="17"/>
          <w:rFonts w:hint="eastAsia" w:ascii="楷体" w:hAnsi="楷体" w:eastAsia="楷体"/>
          <w:b w:val="0"/>
          <w:bCs w:val="0"/>
          <w:spacing w:val="-4"/>
          <w:sz w:val="32"/>
          <w:szCs w:val="32"/>
          <w:lang w:eastAsia="zh-CN"/>
        </w:rPr>
        <w:tab/>
      </w:r>
    </w:p>
    <w:p>
      <w:pPr>
        <w:spacing w:line="540" w:lineRule="exact"/>
        <w:ind w:firstLine="567" w:firstLineChars="181"/>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（二）项目过程情况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1.资金到位率： 实际到位资金20万元，预算资金20万元，资金到位率100%，得3分。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2.预算执行率：年初预算数20万元，全年预算数20万元，全年执行数11.17万元，预算执行率为55.85%。得5.59分。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该指标分值20分，依据评分标准，此项指标扣5.51分，得15.59分。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（三）项目产出情况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1.产出数量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数量指标：指标1：调研指导县市数量，指标值：7个，实际完成值7个，指标完成率100%。指标2：党对教育工作全面领导印刷资料数量，指标值1000份，实际完成值350份，指标完成率35%，偏差原因：2022年由于疫情原因，在工作中减少了召开会议的次数，大多以视频会议的形式召开，所以印刷资料的数量也有所减少，综上，得6.75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2.产出质量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质量指标：指标1：调研督导达标率，指标值：≥100%，实际完成值100%，指标完成率100%。指标2：印刷验收合格率，指标值：≥100%，实际完成值100%，指标完成率100%，综上，得10分。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3.产出时效</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时效指标：指标1：任务完成时间，指标值：2022年12月20日前，实际完成值2022年12月19日，指标完成率100%，综上，得10分。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4.产出成本</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1：党对教育工作全面领导印刷资料印刷成本，指标值：≤1万元，实际完成值0.15万元，指标完成率15%，偏差原因：2022年由于疫情原因，在工作中减少了召开会议的次数，大多以视频会议的形式召开，所以印刷成本也有所减少。指标2：党对教育工作的全面领导公务运行成本，指标值：≤19万元，实际完成值11.02万元，指标完成率58%，偏差原因：2022年由于疫情原因，出差的次数减少，印刷资料的数量减少，公务用车燃油、维修等次数减少，所以差旅费、印刷费、公务用车维护费等相关费用都有所减少，综上，得3.65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该指标分值40分，依据评分标准，此项指标扣9.6分，得30.4分。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项目效益情况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1.项目效益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（1）实施效益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社会效益指标：评价指标“提高党对教育的全面领导”，指标值：有效提高，实际完成值：达成年度指标。有利于构建党对教育全面领导的大格局，不断健全“党委统一领导、党政齐抓共管、部门各负其责”的教育领导体制，促进教育系统党建管理水平显著提高。</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可持续影响指标：评价指标“党对教育工作的全面领导有效开展”，指标值：有效保障，实际完成值：达成年度指标。保障地区教育系统可持续发展工作，推动教育科学发展，进一步提高党对教育事业的领导及教育质量，使地区教育基本均衡向优质均衡迈进。</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该指标分值10分，依据评分标准，此项指标扣1.5分，得8.5分。</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（2）满意度</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服务对象满意度指标：评价指标“指导调研满意度”，指标值：≥95%，实际完成值：95%。</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五、预算执行进度与绩效指标偏差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本项目预算执行率为55.85%，指标总体完成率为77.8%，二者之间的偏差值为21.95%。因此，本项目较好地完成了年度总体目标，财政资金使用效益和效率较高。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7"/>
          <w:rFonts w:hint="eastAsia" w:ascii="楷体" w:hAnsi="楷体" w:eastAsia="楷体"/>
          <w:b w:val="0"/>
          <w:bCs w:val="0"/>
          <w:spacing w:val="-4"/>
          <w:sz w:val="32"/>
          <w:szCs w:val="32"/>
        </w:rPr>
        <w:t>（一）主要经验及做法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1.主要经验</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2.做法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严格坚持先做事、后验收、再拨付的原则，基本杜绝了资金被挤占和挪用现象的产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（二）存在的问题及原因分析</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1.存在的问题</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项目绩效目标及绩效指标设置过于笼统，不够细化，在实际实施</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绩效监控和绩效评价时较为困难。绩效目标的设置应符合量化、细化的要求。</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2.原因分析</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对绩效目标的设置不够合理，绩效目标设置缺乏科学性、客观性。</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1.项目支出政策和路径设计科学，符合实际需要；</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2.项目安排准确，未发现背离项目立项初衷的情况；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3.项目的申报、审核机制完善；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4.未发现虚假行为和骗取财政资金的问题。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八</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4756F9B"/>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2023-08-21T03:27:19Z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C734C92AAAF24344A0E4232D8EB3359B</vt:lpwstr>
  </property>
</Properties>
</file>