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陈列馆工程尾款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伊犁哈萨克自治州塔城地区自然资源局</w:t>
      </w:r>
    </w:p>
    <w:p>
      <w:pPr>
        <w:spacing w:line="540" w:lineRule="exact"/>
        <w:ind w:firstLine="720" w:firstLineChars="20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伊犁哈萨克自治州塔城地区自然资源局</w:t>
      </w:r>
    </w:p>
    <w:p>
      <w:pPr>
        <w:spacing w:line="540" w:lineRule="exact"/>
        <w:ind w:firstLine="720" w:firstLineChars="20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王志理</w:t>
      </w:r>
    </w:p>
    <w:p>
      <w:pPr>
        <w:spacing w:line="540" w:lineRule="exact"/>
        <w:ind w:firstLine="720" w:firstLineChars="200"/>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2023年03月02日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2010年，经自治区国土资源厅领导与地委、行署沟通，我局申请了新建集国土资源陈列馆、国土资源信息中心、国土资源交易中心、地质环境监测站、测绘档案馆及地区国土资源局、执法监察支队、测绘局业务办公等功能为一体的地区国土资源陈列馆（综合楼）项目，于2012年7月11日经塔城地区发改委批准立项，项目原选址位于塔尔巴哈台路体育馆南侧，建设规模17760平方米，立项投资3540万元。辽塔新区成立后，根据地委扩大会议精神，地区国土资源陈列馆项目被确定为地区和辽塔新区的重点建设项目，根据地委、行署新建辽塔新区的要求，已批准立项而未动工的财政投资项目均移至辽塔新区建设，按照辽塔新区管理委员会《关于地区国土资源陈列馆建设项目情况说明的函》的要求，2013年3月6日地区国土资源陈列馆项目变更、立项在辽塔新区核心区内，根据地委、行署关于辽塔新区核心区建设标准的要求，变更后建筑面积为19014平方米，初步预算投资约7000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塔城地区与伊犁、阿勒泰、博尔塔拉、克拉玛依等地相邻，交通方便，地理位置较好。我局在陈列馆项目设计、施工过程中，优先安排布置了教育培训场所，建设了集多媒体教室、学员宿舍、多功能食堂、活动室等于一体的教育培训场地。鉴于此，建议自治区国土资源厅协调设立自治区国土资源干部培训学校塔城分校，以充用利用我局陈列馆项目设施开展国土资源干部教育培训工作。完成项目尾款支付,完成竣工验收，并提交工程决算报告,在建工程转固,完成资产移交。</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阶段性目标：2017年3月30日完成项目后期工程建设的招投标工作；2017年4月15日全面复工，并于5月30日完成剩余楼顶防水、室内分隔、地面处理等土建工程，计划完成投资500万元；2017年6月进行外装饰及水、暖、电、通信网络的架设，于7月15日完成，计划投资600万元；2017年7月中旬进行内部装修工程及电梯安装工程，10月15日前完成，计划完成投资1000万元；2017年8月15日同时开始进行外部附属设施建设，11月1日前全部完成，计划完成投资700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936" w:firstLineChars="3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2、绩效评价对象陈列馆工程建设项目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陈列馆工程建设项目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2、绩效评价对象陈列馆工程建设项目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陈列馆工程建设项目项目评价，评价核心为专项资金的支出完成情况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（二）绩效评价原则、指标体系、方法及标准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陈列馆工程建设项目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w:t>
      </w:r>
      <w:bookmarkStart w:id="0" w:name="_GoBack"/>
      <w:bookmarkEnd w:id="0"/>
      <w:r>
        <w:rPr>
          <w:rStyle w:val="18"/>
          <w:rFonts w:hint="eastAsia" w:ascii="楷体" w:hAnsi="楷体" w:eastAsia="楷体"/>
          <w:b w:val="0"/>
          <w:bCs w:val="0"/>
          <w:spacing w:val="-4"/>
          <w:sz w:val="32"/>
          <w:szCs w:val="32"/>
        </w:rPr>
        <w:t>访谈等形式，对2022年陈列馆工程建设项目进行客观评价。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实际到位资金800万元，预算资金800万元，资金到位率100%,得3分。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2.预算执行率：年初预算数800万元，全年预算数800万元，全年执行数800万元，预算执行率为100%，得10分。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数量指标：指标1：配套设施工程数量 ，指标值：≥7个   ，实际完成值7个，指标完成率 100 %。指标2：资金拨付次数，指标值：≥2次 ，实际完成值2次，指标完成率 100 %，综上，得10分。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质量指标：指标1：竣工决算验收合格率，指标值：=100%    ，实际完成值 100%，指标完成率 100 %。指标2：资金到位率，指标值≥ 95%，实际完成值 100%，指标完成率 100 %，综上，得10分。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时效指标：指标1：资金拨付时间，指标值：2022年12月31日前，实际完成值 2022年12月20日前 ，指标完成率100 %，综上，得10分。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成本指标：指标1：项目主体建设资金，指标值：≤ 600万元   ，实际完成值 600万元，指标完成率 100%，指标2：项目附属资金额，指标值：≤ 200万元 ，实际完成值200万元，指标完成率 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社会效益指标：评价指标“改善基本公共服务设施”，指标值：有效提高，实际完成值：达成年度指标，推动基本公共服务均等化需要，以人民为中心的发展理念，让民生福祉越来越越丰厚。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可持续影响指标：评价指标“工程建设完成使用年限”，指标值：≥25年，实际完成值：达成年度指标。比租赁办公大楼要合算的，建设自己的办公大楼能够办公人员提供好的办公条件。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服务对象满意度指标：评价指标“群众满意度”，指标值：≥95%，实际完成值：100%。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1.严把项目前期工作，要根据报告和成果及相关规范标准要求编制织设计书；严把项目实施组织设计关。要严格按照审批通过的设计和组织设计，按照方案要求进行项目实施。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2.该项目的实施，让全县各族人民更能体会到党和政府的温暖，有利于宣传党的政策；有利于维护边疆稳定大局和民族大团结；有社主的建设和社会主义和谐社会的构建，能起到维护民族团结和地区稳定。</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（二）存在的问题及原因分析</w:t>
      </w:r>
    </w:p>
    <w:p>
      <w:pPr>
        <w:spacing w:line="540" w:lineRule="exact"/>
        <w:ind w:firstLine="624" w:firstLineChars="200"/>
        <w:rPr>
          <w:rFonts w:ascii="仿宋_GB2312" w:eastAsia="仿宋_GB2312"/>
          <w:spacing w:val="-4"/>
          <w:sz w:val="32"/>
          <w:szCs w:val="32"/>
        </w:rPr>
      </w:pPr>
      <w:r>
        <w:rPr>
          <w:rStyle w:val="18"/>
          <w:rFonts w:hint="eastAsia" w:ascii="楷体" w:hAnsi="楷体" w:eastAsia="楷体"/>
          <w:b w:val="0"/>
          <w:bCs w:val="0"/>
          <w:spacing w:val="-4"/>
          <w:sz w:val="32"/>
          <w:szCs w:val="32"/>
        </w:rPr>
        <w:t>1是建立预算绩效管理各个环节的管理制度及实施细则，加强评估结果运用。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2是建议对预算编制、执行全过程预算绩效管理一体化，提升预算绩效管理水平。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3是完善单位内部预算绩效管理协调合作制度，使项目负责人参与其中，更好的做好预算绩效管理工作。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left="638" w:leftChars="304" w:firstLine="0" w:firstLineChars="0"/>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5834A63"/>
    <w:rsid w:val="3B5B5607"/>
    <w:rsid w:val="3CE21B3C"/>
    <w:rsid w:val="4D2606A1"/>
    <w:rsid w:val="51830480"/>
    <w:rsid w:val="53A616BE"/>
    <w:rsid w:val="54662BFB"/>
    <w:rsid w:val="62051CA5"/>
    <w:rsid w:val="6C3A69EF"/>
    <w:rsid w:val="7DB12889"/>
    <w:rsid w:val="7E575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5</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2025-09-08T04:23:32Z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C918994E48C541BFBAFAD62C2524A58F</vt:lpwstr>
  </property>
</Properties>
</file>