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6F0E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14390A7">
      <w:pPr>
        <w:spacing w:line="540" w:lineRule="exact"/>
        <w:jc w:val="center"/>
        <w:rPr>
          <w:rFonts w:ascii="华文中宋" w:hAnsi="华文中宋" w:eastAsia="华文中宋" w:cs="宋体"/>
          <w:b/>
          <w:kern w:val="0"/>
          <w:sz w:val="52"/>
          <w:szCs w:val="52"/>
        </w:rPr>
      </w:pPr>
    </w:p>
    <w:p w14:paraId="1B6EC424">
      <w:pPr>
        <w:spacing w:line="540" w:lineRule="exact"/>
        <w:jc w:val="center"/>
        <w:rPr>
          <w:rFonts w:ascii="华文中宋" w:hAnsi="华文中宋" w:eastAsia="华文中宋" w:cs="宋体"/>
          <w:b/>
          <w:kern w:val="0"/>
          <w:sz w:val="52"/>
          <w:szCs w:val="52"/>
        </w:rPr>
      </w:pPr>
    </w:p>
    <w:p w14:paraId="402546F2">
      <w:pPr>
        <w:spacing w:line="540" w:lineRule="exact"/>
        <w:jc w:val="center"/>
        <w:rPr>
          <w:rFonts w:ascii="华文中宋" w:hAnsi="华文中宋" w:eastAsia="华文中宋" w:cs="宋体"/>
          <w:b/>
          <w:kern w:val="0"/>
          <w:sz w:val="52"/>
          <w:szCs w:val="52"/>
        </w:rPr>
      </w:pPr>
    </w:p>
    <w:p w14:paraId="7AA01D5B">
      <w:pPr>
        <w:spacing w:line="540" w:lineRule="exact"/>
        <w:jc w:val="center"/>
        <w:rPr>
          <w:rFonts w:ascii="华文中宋" w:hAnsi="华文中宋" w:eastAsia="华文中宋" w:cs="宋体"/>
          <w:b/>
          <w:kern w:val="0"/>
          <w:sz w:val="52"/>
          <w:szCs w:val="52"/>
        </w:rPr>
      </w:pPr>
    </w:p>
    <w:p w14:paraId="6E717E6E">
      <w:pPr>
        <w:spacing w:line="540" w:lineRule="exact"/>
        <w:jc w:val="center"/>
        <w:rPr>
          <w:rFonts w:ascii="华文中宋" w:hAnsi="华文中宋" w:eastAsia="华文中宋" w:cs="宋体"/>
          <w:b/>
          <w:kern w:val="0"/>
          <w:sz w:val="52"/>
          <w:szCs w:val="52"/>
        </w:rPr>
      </w:pPr>
    </w:p>
    <w:p w14:paraId="7E8D2A3F">
      <w:pPr>
        <w:spacing w:line="540" w:lineRule="exact"/>
        <w:jc w:val="center"/>
        <w:rPr>
          <w:rFonts w:ascii="华文中宋" w:hAnsi="华文中宋" w:eastAsia="华文中宋" w:cs="宋体"/>
          <w:b/>
          <w:kern w:val="0"/>
          <w:sz w:val="52"/>
          <w:szCs w:val="52"/>
        </w:rPr>
      </w:pPr>
    </w:p>
    <w:p w14:paraId="5828888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02CD41E">
      <w:pPr>
        <w:spacing w:line="540" w:lineRule="exact"/>
        <w:jc w:val="center"/>
        <w:rPr>
          <w:rFonts w:ascii="华文中宋" w:hAnsi="华文中宋" w:eastAsia="华文中宋" w:cs="宋体"/>
          <w:b/>
          <w:kern w:val="0"/>
          <w:sz w:val="52"/>
          <w:szCs w:val="52"/>
        </w:rPr>
      </w:pPr>
    </w:p>
    <w:p w14:paraId="689D4AF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1D3AB95B">
      <w:pPr>
        <w:spacing w:line="540" w:lineRule="exact"/>
        <w:jc w:val="center"/>
        <w:rPr>
          <w:rFonts w:hAnsi="宋体" w:eastAsia="仿宋_GB2312" w:cs="宋体"/>
          <w:kern w:val="0"/>
          <w:sz w:val="30"/>
          <w:szCs w:val="30"/>
        </w:rPr>
      </w:pPr>
    </w:p>
    <w:p w14:paraId="017C2FD3">
      <w:pPr>
        <w:spacing w:line="540" w:lineRule="exact"/>
        <w:jc w:val="center"/>
        <w:rPr>
          <w:rFonts w:hAnsi="宋体" w:eastAsia="仿宋_GB2312" w:cs="宋体"/>
          <w:kern w:val="0"/>
          <w:sz w:val="30"/>
          <w:szCs w:val="30"/>
        </w:rPr>
      </w:pPr>
    </w:p>
    <w:p w14:paraId="1FC959A1">
      <w:pPr>
        <w:spacing w:line="540" w:lineRule="exact"/>
        <w:jc w:val="center"/>
        <w:rPr>
          <w:rFonts w:hAnsi="宋体" w:eastAsia="仿宋_GB2312" w:cs="宋体"/>
          <w:kern w:val="0"/>
          <w:sz w:val="30"/>
          <w:szCs w:val="30"/>
        </w:rPr>
      </w:pPr>
    </w:p>
    <w:p w14:paraId="6981EEFC">
      <w:pPr>
        <w:spacing w:line="540" w:lineRule="exact"/>
        <w:jc w:val="center"/>
        <w:rPr>
          <w:rFonts w:hAnsi="宋体" w:eastAsia="仿宋_GB2312" w:cs="宋体"/>
          <w:kern w:val="0"/>
          <w:sz w:val="30"/>
          <w:szCs w:val="30"/>
        </w:rPr>
      </w:pPr>
    </w:p>
    <w:p w14:paraId="6B714F4F">
      <w:pPr>
        <w:spacing w:line="540" w:lineRule="exact"/>
        <w:jc w:val="center"/>
        <w:rPr>
          <w:rFonts w:hAnsi="宋体" w:eastAsia="仿宋_GB2312" w:cs="宋体"/>
          <w:kern w:val="0"/>
          <w:sz w:val="30"/>
          <w:szCs w:val="30"/>
        </w:rPr>
      </w:pPr>
    </w:p>
    <w:p w14:paraId="1EFCA1EA">
      <w:pPr>
        <w:spacing w:line="540" w:lineRule="exact"/>
        <w:jc w:val="center"/>
        <w:rPr>
          <w:rFonts w:hAnsi="宋体" w:eastAsia="仿宋_GB2312" w:cs="宋体"/>
          <w:kern w:val="0"/>
          <w:sz w:val="30"/>
          <w:szCs w:val="30"/>
        </w:rPr>
      </w:pPr>
    </w:p>
    <w:p w14:paraId="5B660635">
      <w:pPr>
        <w:spacing w:line="540" w:lineRule="exact"/>
        <w:rPr>
          <w:rFonts w:hAnsi="宋体" w:eastAsia="仿宋_GB2312" w:cs="宋体"/>
          <w:kern w:val="0"/>
          <w:sz w:val="30"/>
          <w:szCs w:val="30"/>
        </w:rPr>
      </w:pPr>
    </w:p>
    <w:p w14:paraId="36248C0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76BEAA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烈士陵园建设项目</w:t>
      </w:r>
    </w:p>
    <w:p w14:paraId="24E1107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塔城地区退役军人事务局</w:t>
      </w:r>
    </w:p>
    <w:p w14:paraId="62251EC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塔城地区退役军人事务局</w:t>
      </w:r>
    </w:p>
    <w:p w14:paraId="48E89E0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周润强</w:t>
      </w:r>
    </w:p>
    <w:p w14:paraId="5DE7EA9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14:paraId="4D2A46BB">
      <w:pPr>
        <w:spacing w:line="700" w:lineRule="exact"/>
        <w:ind w:firstLine="708" w:firstLineChars="236"/>
        <w:jc w:val="left"/>
        <w:rPr>
          <w:rFonts w:hAnsi="宋体" w:eastAsia="仿宋_GB2312" w:cs="宋体"/>
          <w:kern w:val="0"/>
          <w:sz w:val="30"/>
          <w:szCs w:val="30"/>
        </w:rPr>
      </w:pPr>
    </w:p>
    <w:p w14:paraId="7C2F3401">
      <w:pPr>
        <w:spacing w:line="540" w:lineRule="exact"/>
        <w:rPr>
          <w:rStyle w:val="18"/>
          <w:rFonts w:ascii="黑体" w:hAnsi="黑体" w:eastAsia="黑体"/>
          <w:b w:val="0"/>
          <w:spacing w:val="-4"/>
          <w:sz w:val="32"/>
          <w:szCs w:val="32"/>
        </w:rPr>
      </w:pPr>
    </w:p>
    <w:p w14:paraId="7FA084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C2522C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140740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塔城市革命烈士陵园始建于1969年，是为纪念1969年8月13日在苏军入侵裕民县铁列克提，我军被迫进行自卫反击战斗中牺牲的革命烈士和因公牺牲的革命烈士而修建的纪念烈士的建筑物。为褒扬革命烈士的非凡业绩，塔城市委、</w:t>
      </w:r>
      <w:r>
        <w:rPr>
          <w:rStyle w:val="18"/>
          <w:rFonts w:hint="eastAsia" w:ascii="楷体" w:hAnsi="楷体" w:eastAsia="楷体"/>
          <w:b w:val="0"/>
          <w:bCs w:val="0"/>
          <w:spacing w:val="-4"/>
          <w:sz w:val="32"/>
          <w:szCs w:val="32"/>
          <w:lang w:val="en-US" w:eastAsia="zh-CN"/>
        </w:rPr>
        <w:t>市</w:t>
      </w:r>
      <w:r>
        <w:rPr>
          <w:rStyle w:val="18"/>
          <w:rFonts w:hint="eastAsia" w:ascii="楷体" w:hAnsi="楷体" w:eastAsia="楷体"/>
          <w:b w:val="0"/>
          <w:bCs w:val="0"/>
          <w:spacing w:val="-4"/>
          <w:sz w:val="32"/>
          <w:szCs w:val="32"/>
        </w:rPr>
        <w:t>政府于1973年底修建了塔城市革命烈士公墓，2000年被自治区民政厅命名为自治区级革命烈士建筑保护单位，并改名塔城市烈士陵园。现占地面积8000平方米，安葬革命烈士15名，其中：军官7名，战士7名及为保护国家财产牺牲的工作人员1名。2000年，塔城市烈士陵园被新疆维吾尔自治区民政厅确定为自治区级革命烈士建筑物保护单位。2001被命名为塔城市爱国主义教育基地。2012年被塔城地委宣传部命名为地区级国防教育基地。2、主要内容及实施情况塔城市委、</w:t>
      </w:r>
      <w:r>
        <w:rPr>
          <w:rStyle w:val="18"/>
          <w:rFonts w:hint="eastAsia" w:ascii="楷体" w:hAnsi="楷体" w:eastAsia="楷体"/>
          <w:b w:val="0"/>
          <w:bCs w:val="0"/>
          <w:spacing w:val="-4"/>
          <w:sz w:val="32"/>
          <w:szCs w:val="32"/>
          <w:lang w:val="en-US" w:eastAsia="zh-CN"/>
        </w:rPr>
        <w:t>市</w:t>
      </w:r>
      <w:r>
        <w:rPr>
          <w:rStyle w:val="18"/>
          <w:rFonts w:hint="eastAsia" w:ascii="楷体" w:hAnsi="楷体" w:eastAsia="楷体"/>
          <w:b w:val="0"/>
          <w:bCs w:val="0"/>
          <w:spacing w:val="-4"/>
          <w:sz w:val="32"/>
          <w:szCs w:val="32"/>
        </w:rPr>
        <w:t>政府于1973年底修建了塔城市革命烈士公墓，2000年被自治区民政厅命名为自治区级革命烈士建筑保护单位，并改名塔城市烈士陵园，由塔城市殡葬所代管。机构改革后，2021年塔城地区成立塔城市烈士陵园服务中心。现占地面积8000平方米，安葬革命烈士15名，其中：军官7名，战士7名及为保护国家财产牺牲的工作人员1名。 烈士陵园内现有烈士墓地15座，烈士事迹陈列馆一座，纪念牌1个，纪念广场一处，现有园区占地面积8000㎡，由塔城市退役军人事务局下属单位塔城市烈士陵园服务中心负责管理，属自治区级爱国主义教育基地，为文物保护单位。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资金投入情况：该项目年初预算数281万元，全年预算数281万元，实际总投入281万元，该项目资金已全部落实到位,资金来源为财政拨款资金。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281万元，全年预算数281万元，全年执行数200万元，预算执行率为71.17%，用于烈士纪念广场地面大理石批设、烈士墓修缮，塔祠修建、雕塑的新建，外围铁艺栏杆的安装，英名墙的新建。新建纪念亭。</w:t>
      </w:r>
    </w:p>
    <w:p w14:paraId="2EB148A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5A2751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紧紧围绕党中央关于构建社会主义核心价值体系建设、加强烈士纪念工作的部署，聚集社会稳定和长治久安总目标，将弘扬英烈精神工作纳入国民教育、精神文明创建、党的建设三大体系之中，充分彰显烈士陵园褒扬纪念功能，拓展弘扬英烈精神工作的深度和广度，让英烈精神与理念符号融入并深植社会生活，在全地区形成崇尚英雄、学习英雄、捍卫英雄、关爱英雄的浓厚氛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项目总投资约为1000万元，其中：第一部分工程费用839.29万元；第二部分工程建设其他费用为86.99万元；预备费是按第一部分工程费与第二部分工程费之和的8%计算，为73.72万元。</w:t>
      </w:r>
    </w:p>
    <w:p w14:paraId="5FB0EE9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bookmarkStart w:id="0" w:name="_GoBack"/>
      <w:bookmarkEnd w:id="0"/>
    </w:p>
    <w:p w14:paraId="5D2D886E">
      <w:pPr>
        <w:spacing w:line="540" w:lineRule="exact"/>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p>
    <w:p w14:paraId="6A526513">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14:paraId="30303157">
      <w:pPr>
        <w:spacing w:line="540" w:lineRule="exact"/>
        <w:ind w:left="638" w:leftChars="0" w:firstLine="530" w:firstLineChars="17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52C79D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1B37DB2">
      <w:pPr>
        <w:spacing w:line="540" w:lineRule="exact"/>
        <w:ind w:firstLine="1872" w:firstLineChars="6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烈士陵园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14:paraId="7296CC06">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71694B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6AE63C3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A4DA24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结合项目特点，制定符合项目实际的绩效评价指标体系及评分标准，通过数据采集、问卷调查及访谈等形式，对2022年烈士陵园项目进行客观评价。</w:t>
      </w:r>
    </w:p>
    <w:p w14:paraId="323B7E4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6DCE9F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1F98D6A">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6.资金分配合理性:预算资金分配依据充分,资金分配额度合理，与项目单位或地方实际相适应。</w:t>
      </w:r>
      <w:r>
        <w:rPr>
          <w:rStyle w:val="18"/>
          <w:rFonts w:hint="eastAsia" w:ascii="楷体" w:hAnsi="楷体" w:eastAsia="楷体"/>
          <w:b w:val="0"/>
          <w:bCs w:val="0"/>
          <w:spacing w:val="-4"/>
          <w:sz w:val="32"/>
          <w:szCs w:val="32"/>
          <w:lang w:eastAsia="zh-CN"/>
        </w:rPr>
        <w:tab/>
      </w:r>
    </w:p>
    <w:p w14:paraId="6C425C6B">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2E89CD6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实际到位资金281元，预算资金281万元，资金到位率100%。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2.预算执行率：年初预算数281万元，全年预算数281万元，全年执行数281万元，于2022年5月支付工程款200万元，预算执行率为71.17%。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4.管理制度健全性：已制定或具有相应的财务和业务管理制度，财务和业务管理制度合法、合规、完整。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5.管理制度健全性：地区退役军人事务局制定相应的财务和业务管理制度，且制度合法、合规、完整，为项目顺利实施提供重要保障。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制度执行有效性：根据现场调研和资料抽查情况，塔城地区公共图书馆免费开放专项已制严格遵守相关法律法规和相关管理规定，项目调整及支出调整手续完备，整体管理合理有序，项目完成后，及时将会计凭证相关资料归档，制度执行有效。</w:t>
      </w:r>
    </w:p>
    <w:p w14:paraId="1C70D54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55E015F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成本指标：指标1：烈士纪念广场建设成本 ，指标值：100万元 ，实际完成值:71万元，指标完成率71 %，偏差原因：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指标2：烈士纪念停车场建设成本 ，指标值：100万元 ，实际完成值72.3万元，指标完成率72.3%，偏差原因：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指标3：烈士纪念公共服务设施建设 ，指标值：81万元 ，实际完成值，指标完成率70 %，偏差原因：    </w:t>
      </w:r>
    </w:p>
    <w:p w14:paraId="11E651C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31AC0E69">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p>
    <w:p w14:paraId="0F9C5A65">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p>
    <w:p w14:paraId="5C383C08">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社会效益指标：评价指标“充分彰显烈士陵园褒扬纪念作用”，指标值：不断提升，实际完成值：不断提升，达成年度指标。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生态效益指标：评价指标“保障环境无污染发生”，指标值：有所保障，实际完成值有所保障：不产生，达成年度指标。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可持续影响指标：评价指标“烈士纪念项目使用年限”，指标值：10年，实际完成值：10年达成年度指标。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（2）烈士家属满意度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服务对象满意度指标：评价指标“96%”，指标值：≥100%，实际完成值：≥100%。</w:t>
      </w:r>
    </w:p>
    <w:p w14:paraId="2C849A1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服务对象满意度指标：评价指标“96%”，指标值：≥100%，实际完成值：≥100%。</w:t>
      </w:r>
    </w:p>
    <w:p w14:paraId="417D963E">
      <w:pPr>
        <w:spacing w:line="540" w:lineRule="exact"/>
        <w:ind w:firstLine="567"/>
        <w:rPr>
          <w:rStyle w:val="18"/>
          <w:rFonts w:hint="eastAsia" w:ascii="楷体" w:hAnsi="楷体" w:eastAsia="楷体"/>
          <w:spacing w:val="-4"/>
          <w:sz w:val="32"/>
          <w:szCs w:val="32"/>
        </w:rPr>
      </w:pPr>
    </w:p>
    <w:p w14:paraId="5B874B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10CE069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本项目预算执行率为71.17%，指标总体完成率为86.66%，二者之间的偏差值为15.49%。因此，本项目较好地完成了年度总体目标，财政资金使用效益和效率较高。</w:t>
      </w:r>
    </w:p>
    <w:p w14:paraId="7D14C5F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35A2A89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1.营造崇尚英雄的浓厚氛围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市大力宣扬1969年8月13日在原中苏边境铁列克提自卫反击战斗中步兵营一连连长范进忠率队在无名高地抗击侵略者英勇牺牲的事迹，走访烈士亲属，收集整理烈士生前事迹。邀请老革命在烈士陵园对中小学生进行传统教育，帮助青少年树立正确的人生观。运用现代信息技术，开辟网上烈士褒扬、学习烈士英雄事迹平台，将烈士纪念活动与现代传媒相结合，极大地提升了褒扬烈士精神的社会传承效果。为更好地发挥烈士纪念馆社会教育功能，丰富中小学生的假期学习生活，培育和践行社会主义核心价值观，塔城市团委和教育部门专门组织中小学生开展教育和引导弘扬烈士精神活动，每个假期都有1200名中小学生通过小喇叭、校园广播、演讲比赛等形式参加传承革命文化教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2.充分彰显烈士陵园褒扬纪念功能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塔城地区始终将烈士纪念设施建设管理保护工作作为作为一项功在当代、惠泽后人的德政工程，将烈士陵园作为重点建设项目，摆上重要的位置。坚持高规格、高标准、高质量，精心制定烈士纪念设施的规划，综合历史、习俗、地域等诸多要素，按照园林生态、庄重高雅，富有人文意蕴的总体要求，聘请规划、园林设计师，参与陵园建设，着力抓好基地建设。</w:t>
      </w:r>
    </w:p>
    <w:p w14:paraId="3B6E753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C18E4D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4.未发现虚假行为和骗取财政资金的问题。</w:t>
      </w:r>
    </w:p>
    <w:p w14:paraId="0DC08A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D857F8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2AD8B8AC">
      <w:pPr>
        <w:spacing w:line="540" w:lineRule="exact"/>
        <w:ind w:firstLine="567"/>
        <w:rPr>
          <w:rStyle w:val="18"/>
          <w:rFonts w:ascii="仿宋" w:hAnsi="仿宋" w:eastAsia="仿宋"/>
          <w:b w:val="0"/>
          <w:spacing w:val="-4"/>
          <w:sz w:val="32"/>
          <w:szCs w:val="32"/>
        </w:rPr>
      </w:pPr>
    </w:p>
    <w:p w14:paraId="1EAF9301">
      <w:pPr>
        <w:spacing w:line="540" w:lineRule="exact"/>
        <w:ind w:firstLine="567"/>
        <w:rPr>
          <w:rStyle w:val="18"/>
          <w:rFonts w:ascii="仿宋" w:hAnsi="仿宋" w:eastAsia="仿宋"/>
          <w:b w:val="0"/>
          <w:spacing w:val="-4"/>
          <w:sz w:val="32"/>
          <w:szCs w:val="32"/>
        </w:rPr>
      </w:pPr>
    </w:p>
    <w:p w14:paraId="524B34FF">
      <w:pPr>
        <w:spacing w:line="540" w:lineRule="exact"/>
        <w:ind w:firstLine="567"/>
        <w:rPr>
          <w:rStyle w:val="18"/>
          <w:rFonts w:ascii="仿宋" w:hAnsi="仿宋" w:eastAsia="仿宋"/>
          <w:b w:val="0"/>
          <w:spacing w:val="-4"/>
          <w:sz w:val="32"/>
          <w:szCs w:val="32"/>
        </w:rPr>
      </w:pPr>
    </w:p>
    <w:p w14:paraId="436650C6">
      <w:pPr>
        <w:spacing w:line="540" w:lineRule="exact"/>
        <w:ind w:firstLine="567"/>
        <w:rPr>
          <w:rStyle w:val="18"/>
          <w:rFonts w:ascii="仿宋" w:hAnsi="仿宋" w:eastAsia="仿宋"/>
          <w:b w:val="0"/>
          <w:spacing w:val="-4"/>
          <w:sz w:val="32"/>
          <w:szCs w:val="32"/>
        </w:rPr>
      </w:pPr>
    </w:p>
    <w:p w14:paraId="1171681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C3A1F2A">
        <w:pPr>
          <w:pStyle w:val="12"/>
          <w:jc w:val="center"/>
        </w:pPr>
        <w:r>
          <w:fldChar w:fldCharType="begin"/>
        </w:r>
        <w:r>
          <w:instrText xml:space="preserve">PAGE   \* MERGEFORMAT</w:instrText>
        </w:r>
        <w:r>
          <w:fldChar w:fldCharType="separate"/>
        </w:r>
        <w:r>
          <w:rPr>
            <w:lang w:val="zh-CN"/>
          </w:rPr>
          <w:t>1</w:t>
        </w:r>
        <w:r>
          <w:fldChar w:fldCharType="end"/>
        </w:r>
      </w:p>
    </w:sdtContent>
  </w:sdt>
  <w:p w14:paraId="304053D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7F4648C"/>
    <w:rsid w:val="18FE139B"/>
    <w:rsid w:val="2A891760"/>
    <w:rsid w:val="3029612C"/>
    <w:rsid w:val="32A221C5"/>
    <w:rsid w:val="33F20F2A"/>
    <w:rsid w:val="34C44675"/>
    <w:rsid w:val="3B5B5607"/>
    <w:rsid w:val="3CE21B3C"/>
    <w:rsid w:val="479717A4"/>
    <w:rsid w:val="49B81CF4"/>
    <w:rsid w:val="4D2606A1"/>
    <w:rsid w:val="51271DF9"/>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4481</Words>
  <Characters>4701</Characters>
  <Lines>5</Lines>
  <Paragraphs>1</Paragraphs>
  <TotalTime>3</TotalTime>
  <ScaleCrop>false</ScaleCrop>
  <LinksUpToDate>false</LinksUpToDate>
  <CharactersWithSpaces>4823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2025-09-03T07:33:48Z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