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540" w:lineRule="auto"/>
        <w:ind w:left="0" w:right="0" w:firstLine="0"/>
        <w:jc w:val="left"/>
        <w:rPr>
          <w:rFonts w:ascii="仿宋" w:hAnsi="仿宋" w:eastAsia="仿宋" w:cs="仿宋"/>
          <w:color w:val="auto"/>
          <w:spacing w:val="0"/>
          <w:position w:val="0"/>
          <w:sz w:val="32"/>
          <w:shd w:val="clear" w:fill="auto"/>
        </w:rPr>
      </w:pPr>
      <w:r>
        <w:rPr>
          <w:rFonts w:ascii="仿宋" w:hAnsi="仿宋" w:eastAsia="仿宋" w:cs="仿宋"/>
          <w:color w:val="auto"/>
          <w:spacing w:val="0"/>
          <w:position w:val="0"/>
          <w:sz w:val="32"/>
          <w:shd w:val="clear" w:fill="auto"/>
        </w:rPr>
        <w:t>附件2：</w:t>
      </w:r>
    </w:p>
    <w:p>
      <w:pPr>
        <w:spacing w:before="0" w:after="0" w:line="540" w:lineRule="auto"/>
        <w:ind w:left="0" w:right="0" w:firstLine="0"/>
        <w:jc w:val="both"/>
        <w:rPr>
          <w:rFonts w:ascii="华文中宋" w:hAnsi="华文中宋" w:eastAsia="华文中宋" w:cs="华文中宋"/>
          <w:b/>
          <w:color w:val="auto"/>
          <w:spacing w:val="0"/>
          <w:position w:val="0"/>
          <w:sz w:val="52"/>
          <w:shd w:val="clear" w:fill="auto"/>
        </w:rPr>
      </w:pPr>
    </w:p>
    <w:p>
      <w:pPr>
        <w:spacing w:before="0" w:after="0" w:line="540" w:lineRule="auto"/>
        <w:ind w:left="0" w:right="0" w:firstLine="0"/>
        <w:jc w:val="center"/>
        <w:rPr>
          <w:rFonts w:ascii="方正小标宋_GBK" w:hAnsi="方正小标宋_GBK" w:eastAsia="方正小标宋_GBK" w:cs="方正小标宋_GBK"/>
          <w:b/>
          <w:color w:val="auto"/>
          <w:spacing w:val="0"/>
          <w:position w:val="0"/>
          <w:sz w:val="48"/>
          <w:shd w:val="clear" w:fill="auto"/>
        </w:rPr>
      </w:pPr>
      <w:r>
        <w:rPr>
          <w:rFonts w:ascii="宋体" w:hAnsi="宋体" w:eastAsia="宋体" w:cs="宋体"/>
          <w:b/>
          <w:color w:val="auto"/>
          <w:spacing w:val="0"/>
          <w:position w:val="0"/>
          <w:sz w:val="48"/>
          <w:shd w:val="clear" w:fill="auto"/>
        </w:rPr>
        <w:t>项目支出绩效自评报告</w:t>
      </w:r>
    </w:p>
    <w:p>
      <w:pPr>
        <w:spacing w:before="0" w:after="0" w:line="540" w:lineRule="auto"/>
        <w:ind w:left="0" w:right="0" w:firstLine="0"/>
        <w:jc w:val="center"/>
        <w:rPr>
          <w:rFonts w:ascii="华文中宋" w:hAnsi="华文中宋" w:eastAsia="华文中宋" w:cs="华文中宋"/>
          <w:b/>
          <w:color w:val="auto"/>
          <w:spacing w:val="0"/>
          <w:position w:val="0"/>
          <w:sz w:val="52"/>
          <w:shd w:val="clear" w:fill="auto"/>
        </w:rPr>
      </w:pPr>
    </w:p>
    <w:p>
      <w:pPr>
        <w:spacing w:before="0" w:after="0" w:line="540" w:lineRule="auto"/>
        <w:ind w:left="0" w:right="0" w:firstLine="0"/>
        <w:jc w:val="center"/>
        <w:rPr>
          <w:rFonts w:ascii="Times New Roman" w:hAnsi="Times New Roman" w:eastAsia="Times New Roman" w:cs="Times New Roman"/>
          <w:color w:val="auto"/>
          <w:spacing w:val="0"/>
          <w:position w:val="0"/>
          <w:sz w:val="36"/>
          <w:shd w:val="clear" w:fill="auto"/>
        </w:rPr>
      </w:pPr>
      <w:r>
        <w:rPr>
          <w:rFonts w:ascii="宋体" w:hAnsi="宋体" w:eastAsia="宋体" w:cs="宋体"/>
          <w:color w:val="auto"/>
          <w:spacing w:val="0"/>
          <w:position w:val="0"/>
          <w:sz w:val="36"/>
          <w:shd w:val="clear" w:fill="auto"/>
        </w:rPr>
        <w:t>（</w:t>
      </w:r>
      <w:r>
        <w:rPr>
          <w:rFonts w:ascii="Times New Roman" w:hAnsi="Times New Roman" w:eastAsia="Times New Roman" w:cs="Times New Roman"/>
          <w:color w:val="auto"/>
          <w:spacing w:val="0"/>
          <w:position w:val="0"/>
          <w:sz w:val="36"/>
          <w:shd w:val="clear" w:fill="auto"/>
        </w:rPr>
        <w:t xml:space="preserve">   </w:t>
      </w:r>
      <w:r>
        <w:rPr>
          <w:rFonts w:ascii="楷体" w:hAnsi="楷体" w:eastAsia="楷体" w:cs="楷体"/>
          <w:b/>
          <w:color w:val="auto"/>
          <w:spacing w:val="-4"/>
          <w:position w:val="0"/>
          <w:sz w:val="32"/>
          <w:shd w:val="clear" w:fill="auto"/>
        </w:rPr>
        <w:t>2022</w:t>
      </w:r>
      <w:r>
        <w:rPr>
          <w:rFonts w:ascii="Times New Roman" w:hAnsi="Times New Roman" w:eastAsia="Times New Roman" w:cs="Times New Roman"/>
          <w:color w:val="auto"/>
          <w:spacing w:val="0"/>
          <w:position w:val="0"/>
          <w:sz w:val="36"/>
          <w:shd w:val="clear" w:fill="auto"/>
        </w:rPr>
        <w:t xml:space="preserve">  </w:t>
      </w:r>
      <w:r>
        <w:rPr>
          <w:rFonts w:ascii="楷体" w:hAnsi="楷体" w:eastAsia="楷体" w:cs="楷体"/>
          <w:color w:val="auto"/>
          <w:spacing w:val="0"/>
          <w:position w:val="0"/>
          <w:sz w:val="36"/>
          <w:shd w:val="clear" w:fill="auto"/>
        </w:rPr>
        <w:t>年度）</w:t>
      </w:r>
    </w:p>
    <w:p>
      <w:pPr>
        <w:spacing w:before="0" w:after="0" w:line="540" w:lineRule="auto"/>
        <w:ind w:left="0" w:right="0" w:firstLine="0"/>
        <w:jc w:val="center"/>
        <w:rPr>
          <w:rFonts w:ascii="Times New Roman" w:hAnsi="Times New Roman" w:eastAsia="Times New Roman" w:cs="Times New Roman"/>
          <w:color w:val="auto"/>
          <w:spacing w:val="0"/>
          <w:position w:val="0"/>
          <w:sz w:val="30"/>
          <w:shd w:val="clear" w:fill="auto"/>
        </w:rPr>
      </w:pPr>
    </w:p>
    <w:p>
      <w:pPr>
        <w:spacing w:before="0" w:after="0" w:line="540" w:lineRule="auto"/>
        <w:ind w:left="0" w:right="0" w:firstLine="0"/>
        <w:jc w:val="center"/>
        <w:rPr>
          <w:rFonts w:ascii="Times New Roman" w:hAnsi="Times New Roman" w:eastAsia="Times New Roman" w:cs="Times New Roman"/>
          <w:color w:val="auto"/>
          <w:spacing w:val="0"/>
          <w:position w:val="0"/>
          <w:sz w:val="30"/>
          <w:shd w:val="clear" w:fill="auto"/>
        </w:rPr>
      </w:pPr>
    </w:p>
    <w:p>
      <w:pPr>
        <w:spacing w:before="0" w:after="0" w:line="540" w:lineRule="auto"/>
        <w:ind w:left="0" w:right="0" w:firstLine="0"/>
        <w:jc w:val="center"/>
        <w:rPr>
          <w:rFonts w:ascii="Times New Roman" w:hAnsi="Times New Roman" w:eastAsia="Times New Roman" w:cs="Times New Roman"/>
          <w:color w:val="auto"/>
          <w:spacing w:val="0"/>
          <w:position w:val="0"/>
          <w:sz w:val="30"/>
          <w:shd w:val="clear" w:fill="auto"/>
        </w:rPr>
      </w:pPr>
    </w:p>
    <w:p>
      <w:pPr>
        <w:spacing w:before="0" w:after="0" w:line="540" w:lineRule="auto"/>
        <w:ind w:left="0" w:right="0" w:firstLine="0"/>
        <w:jc w:val="center"/>
        <w:rPr>
          <w:rFonts w:ascii="Times New Roman" w:hAnsi="Times New Roman" w:eastAsia="Times New Roman" w:cs="Times New Roman"/>
          <w:color w:val="auto"/>
          <w:spacing w:val="0"/>
          <w:position w:val="0"/>
          <w:sz w:val="30"/>
          <w:shd w:val="clear" w:fill="auto"/>
        </w:rPr>
      </w:pPr>
    </w:p>
    <w:p>
      <w:pPr>
        <w:spacing w:before="0" w:after="0" w:line="540" w:lineRule="auto"/>
        <w:ind w:left="0" w:right="0" w:firstLine="0"/>
        <w:jc w:val="center"/>
        <w:rPr>
          <w:rFonts w:ascii="Times New Roman" w:hAnsi="Times New Roman" w:eastAsia="Times New Roman" w:cs="Times New Roman"/>
          <w:color w:val="auto"/>
          <w:spacing w:val="0"/>
          <w:position w:val="0"/>
          <w:sz w:val="30"/>
          <w:shd w:val="clear" w:fill="auto"/>
        </w:rPr>
      </w:pPr>
    </w:p>
    <w:p>
      <w:pPr>
        <w:spacing w:before="0" w:after="0" w:line="540" w:lineRule="auto"/>
        <w:ind w:left="0" w:right="0" w:firstLine="0"/>
        <w:jc w:val="center"/>
        <w:rPr>
          <w:rFonts w:ascii="Times New Roman" w:hAnsi="Times New Roman" w:eastAsia="Times New Roman" w:cs="Times New Roman"/>
          <w:color w:val="auto"/>
          <w:spacing w:val="0"/>
          <w:position w:val="0"/>
          <w:sz w:val="30"/>
          <w:shd w:val="clear" w:fill="auto"/>
        </w:rPr>
      </w:pPr>
    </w:p>
    <w:p>
      <w:pPr>
        <w:spacing w:before="0" w:after="0" w:line="540" w:lineRule="auto"/>
        <w:ind w:left="0" w:right="0" w:firstLine="0"/>
        <w:jc w:val="both"/>
        <w:rPr>
          <w:rFonts w:ascii="Times New Roman" w:hAnsi="Times New Roman" w:eastAsia="Times New Roman" w:cs="Times New Roman"/>
          <w:color w:val="auto"/>
          <w:spacing w:val="0"/>
          <w:position w:val="0"/>
          <w:sz w:val="30"/>
          <w:shd w:val="clear" w:fill="auto"/>
        </w:rPr>
      </w:pPr>
    </w:p>
    <w:p>
      <w:pPr>
        <w:spacing w:before="0" w:after="0" w:line="700" w:lineRule="auto"/>
        <w:ind w:left="0" w:right="0" w:firstLine="0"/>
        <w:jc w:val="left"/>
        <w:rPr>
          <w:rFonts w:ascii="Times New Roman" w:hAnsi="Times New Roman" w:eastAsia="Times New Roman" w:cs="Times New Roman"/>
          <w:color w:val="auto"/>
          <w:spacing w:val="0"/>
          <w:position w:val="0"/>
          <w:sz w:val="36"/>
          <w:shd w:val="clear" w:fill="auto"/>
        </w:rPr>
      </w:pPr>
      <w:r>
        <w:rPr>
          <w:rFonts w:ascii="Times New Roman" w:hAnsi="Times New Roman" w:eastAsia="Times New Roman" w:cs="Times New Roman"/>
          <w:color w:val="auto"/>
          <w:spacing w:val="0"/>
          <w:position w:val="0"/>
          <w:sz w:val="36"/>
          <w:shd w:val="clear" w:fill="auto"/>
        </w:rPr>
        <w:t xml:space="preserve">     </w:t>
      </w:r>
    </w:p>
    <w:p>
      <w:pPr>
        <w:spacing w:before="0" w:after="0" w:line="700" w:lineRule="auto"/>
        <w:ind w:left="0" w:right="0" w:firstLine="900"/>
        <w:jc w:val="left"/>
        <w:rPr>
          <w:rFonts w:ascii="Times New Roman" w:hAnsi="Times New Roman" w:eastAsia="Times New Roman" w:cs="Times New Roman"/>
          <w:color w:val="auto"/>
          <w:spacing w:val="0"/>
          <w:position w:val="0"/>
          <w:sz w:val="36"/>
          <w:shd w:val="clear" w:fill="auto"/>
        </w:rPr>
      </w:pPr>
      <w:r>
        <w:rPr>
          <w:rFonts w:ascii="宋体" w:hAnsi="宋体" w:eastAsia="宋体" w:cs="宋体"/>
          <w:color w:val="auto"/>
          <w:spacing w:val="0"/>
          <w:position w:val="0"/>
          <w:sz w:val="36"/>
          <w:shd w:val="clear" w:fill="auto"/>
        </w:rPr>
        <w:t>项目名称：</w:t>
      </w:r>
      <w:r>
        <w:rPr>
          <w:rFonts w:ascii="楷体" w:hAnsi="楷体" w:eastAsia="楷体" w:cs="楷体"/>
          <w:b/>
          <w:color w:val="auto"/>
          <w:spacing w:val="-4"/>
          <w:position w:val="0"/>
          <w:sz w:val="32"/>
          <w:shd w:val="clear" w:fill="auto"/>
        </w:rPr>
        <w:t>2022年困难群众救助补助</w:t>
      </w:r>
    </w:p>
    <w:p>
      <w:pPr>
        <w:spacing w:before="0" w:after="0" w:line="540" w:lineRule="auto"/>
        <w:ind w:left="0" w:right="0" w:firstLine="567"/>
        <w:jc w:val="both"/>
        <w:rPr>
          <w:rFonts w:ascii="楷体" w:hAnsi="楷体" w:eastAsia="楷体" w:cs="楷体"/>
          <w:b/>
          <w:color w:val="auto"/>
          <w:spacing w:val="-4"/>
          <w:position w:val="0"/>
          <w:sz w:val="32"/>
          <w:shd w:val="clear" w:fill="auto"/>
        </w:rPr>
      </w:pP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实施单位（公章）：</w:t>
      </w:r>
      <w:r>
        <w:rPr>
          <w:rFonts w:ascii="楷体" w:hAnsi="楷体" w:eastAsia="楷体" w:cs="楷体"/>
          <w:b/>
          <w:color w:val="auto"/>
          <w:spacing w:val="-4"/>
          <w:position w:val="0"/>
          <w:sz w:val="28"/>
          <w:shd w:val="clear" w:fill="auto"/>
        </w:rPr>
        <w:t>塔城地区儿童福利院</w:t>
      </w:r>
    </w:p>
    <w:p>
      <w:pPr>
        <w:spacing w:before="0" w:after="0" w:line="540" w:lineRule="auto"/>
        <w:ind w:left="0" w:right="0" w:firstLine="900"/>
        <w:jc w:val="both"/>
        <w:rPr>
          <w:rFonts w:ascii="楷体" w:hAnsi="楷体" w:eastAsia="楷体" w:cs="楷体"/>
          <w:b/>
          <w:color w:val="auto"/>
          <w:spacing w:val="-4"/>
          <w:position w:val="0"/>
          <w:sz w:val="28"/>
          <w:shd w:val="clear" w:fill="auto"/>
        </w:rPr>
      </w:pPr>
      <w:r>
        <w:rPr>
          <w:rFonts w:ascii="宋体" w:hAnsi="宋体" w:eastAsia="宋体" w:cs="宋体"/>
          <w:color w:val="auto"/>
          <w:spacing w:val="0"/>
          <w:position w:val="0"/>
          <w:sz w:val="36"/>
          <w:shd w:val="clear" w:fill="auto"/>
        </w:rPr>
        <w:t>主管部门（公章）：</w:t>
      </w:r>
      <w:r>
        <w:rPr>
          <w:rFonts w:ascii="楷体" w:hAnsi="楷体" w:eastAsia="楷体" w:cs="楷体"/>
          <w:b/>
          <w:color w:val="auto"/>
          <w:spacing w:val="-4"/>
          <w:position w:val="0"/>
          <w:sz w:val="28"/>
          <w:shd w:val="clear" w:fill="auto"/>
        </w:rPr>
        <w:t>塔城地区儿童福利院</w:t>
      </w:r>
    </w:p>
    <w:p>
      <w:pPr>
        <w:spacing w:before="0" w:after="0" w:line="540" w:lineRule="auto"/>
        <w:ind w:left="0" w:right="0" w:firstLine="900"/>
        <w:jc w:val="both"/>
        <w:rPr>
          <w:rFonts w:ascii="楷体" w:hAnsi="楷体" w:eastAsia="楷体" w:cs="楷体"/>
          <w:b/>
          <w:color w:val="auto"/>
          <w:spacing w:val="-4"/>
          <w:position w:val="0"/>
          <w:sz w:val="32"/>
          <w:shd w:val="clear" w:fill="auto"/>
        </w:rPr>
      </w:pPr>
      <w:r>
        <w:rPr>
          <w:rFonts w:ascii="宋体" w:hAnsi="宋体" w:eastAsia="宋体" w:cs="宋体"/>
          <w:color w:val="auto"/>
          <w:spacing w:val="0"/>
          <w:position w:val="0"/>
          <w:sz w:val="36"/>
          <w:shd w:val="clear" w:fill="auto"/>
        </w:rPr>
        <w:t>项目负责人（签章）：</w:t>
      </w:r>
      <w:r>
        <w:rPr>
          <w:rFonts w:ascii="楷体" w:hAnsi="楷体" w:eastAsia="楷体" w:cs="楷体"/>
          <w:b/>
          <w:color w:val="auto"/>
          <w:spacing w:val="-4"/>
          <w:position w:val="0"/>
          <w:sz w:val="32"/>
          <w:shd w:val="clear" w:fill="auto"/>
        </w:rPr>
        <w:t>李莉</w:t>
      </w:r>
    </w:p>
    <w:p>
      <w:pPr>
        <w:spacing w:before="0" w:after="0" w:line="540" w:lineRule="auto"/>
        <w:ind w:left="273" w:right="0" w:firstLine="567"/>
        <w:jc w:val="both"/>
        <w:rPr>
          <w:rFonts w:ascii="黑体" w:hAnsi="黑体" w:eastAsia="黑体" w:cs="黑体"/>
          <w:color w:val="auto"/>
          <w:spacing w:val="-4"/>
          <w:position w:val="0"/>
          <w:sz w:val="32"/>
          <w:shd w:val="clear" w:fill="auto"/>
        </w:rPr>
      </w:pPr>
      <w:r>
        <w:rPr>
          <w:rFonts w:ascii="宋体" w:hAnsi="宋体" w:eastAsia="宋体" w:cs="宋体"/>
          <w:color w:val="auto"/>
          <w:spacing w:val="0"/>
          <w:position w:val="0"/>
          <w:sz w:val="36"/>
          <w:shd w:val="clear" w:fill="auto"/>
        </w:rPr>
        <w:t>填报时间：</w:t>
      </w:r>
      <w:r>
        <w:rPr>
          <w:rFonts w:ascii="楷体" w:hAnsi="楷体" w:eastAsia="楷体" w:cs="楷体"/>
          <w:b/>
          <w:color w:val="auto"/>
          <w:spacing w:val="-4"/>
          <w:position w:val="0"/>
          <w:sz w:val="32"/>
          <w:shd w:val="clear" w:fill="auto"/>
        </w:rPr>
        <w:t>2023年02月23日</w:t>
      </w:r>
    </w:p>
    <w:p>
      <w:pPr>
        <w:spacing w:before="0" w:after="0" w:line="540" w:lineRule="auto"/>
        <w:ind w:left="0" w:right="0" w:firstLine="640"/>
        <w:jc w:val="both"/>
        <w:rPr>
          <w:rFonts w:ascii="黑体" w:hAnsi="黑体" w:eastAsia="黑体" w:cs="黑体"/>
          <w:color w:val="auto"/>
          <w:spacing w:val="-4"/>
          <w:position w:val="0"/>
          <w:sz w:val="32"/>
          <w:shd w:val="clear" w:fill="auto"/>
        </w:rPr>
      </w:pPr>
      <w:r>
        <w:rPr>
          <w:rFonts w:ascii="黑体" w:hAnsi="黑体" w:eastAsia="黑体" w:cs="黑体"/>
          <w:color w:val="auto"/>
          <w:spacing w:val="-4"/>
          <w:position w:val="0"/>
          <w:sz w:val="32"/>
          <w:shd w:val="clear" w:fill="auto"/>
        </w:rPr>
        <w:t>一、基本情况</w:t>
      </w:r>
    </w:p>
    <w:p>
      <w:pPr>
        <w:spacing w:before="0" w:after="0" w:line="540" w:lineRule="auto"/>
        <w:ind w:left="0" w:right="0" w:firstLine="567"/>
        <w:jc w:val="both"/>
        <w:rPr>
          <w:rFonts w:ascii="楷体" w:hAnsi="楷体" w:eastAsia="楷体" w:cs="楷体"/>
          <w:b/>
          <w:color w:val="auto"/>
          <w:spacing w:val="-4"/>
          <w:position w:val="0"/>
          <w:sz w:val="32"/>
          <w:shd w:val="clear" w:fill="auto"/>
        </w:rPr>
      </w:pPr>
      <w:r>
        <w:rPr>
          <w:rFonts w:ascii="楷体" w:hAnsi="楷体" w:eastAsia="楷体" w:cs="楷体"/>
          <w:b/>
          <w:color w:val="auto"/>
          <w:spacing w:val="-4"/>
          <w:position w:val="0"/>
          <w:sz w:val="32"/>
          <w:shd w:val="clear" w:fill="auto"/>
        </w:rPr>
        <w:t>（一）项目概况</w:t>
      </w:r>
    </w:p>
    <w:p>
      <w:pPr>
        <w:spacing w:before="0" w:after="0" w:line="540" w:lineRule="auto"/>
        <w:ind w:left="0" w:right="0" w:firstLine="567"/>
        <w:jc w:val="both"/>
        <w:rPr>
          <w:rFonts w:ascii="楷体" w:hAnsi="楷体" w:eastAsia="楷体" w:cs="楷体"/>
          <w:color w:val="auto"/>
          <w:spacing w:val="-4"/>
          <w:position w:val="0"/>
          <w:sz w:val="32"/>
          <w:shd w:val="clear" w:fill="auto"/>
        </w:rPr>
      </w:pPr>
      <w:r>
        <w:rPr>
          <w:rFonts w:ascii="楷体" w:hAnsi="楷体" w:eastAsia="楷体" w:cs="楷体"/>
          <w:color w:val="auto"/>
          <w:spacing w:val="-4"/>
          <w:position w:val="0"/>
          <w:sz w:val="32"/>
          <w:shd w:val="clear" w:fill="auto"/>
        </w:rPr>
        <w:t>做好困难群众救助工作，关爱社会弱势群体，资助县市、乡镇两级儿童福利院（儿童保护中心）新建、改扩建或维修等设施建设，加强必要的设施设备配置；提升儿童福利机构内儿童养治教康项目，儿童和儿童开展关爱保护、保障工作。资金投入和使用情况</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资金投入情况：该项目年初预算数50.18万元，全年预算数50.18万元，实际总投入50.18万元，该项目资金已全部落实到位,资金来源为财政拨款资金。</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资金使用情况：该项目年初预算数50.18万元，全年预算数50.18万元，全年执行数47.95万元，预算执行率为95.56%，用于提升儿童福利机构内儿童养治教康项目，试点农村留守儿童和困境儿童开展关爱保护、保障工作。塔城地区儿童福利院儿童福利支出主要用于儿童院孤残儿童的最低生活保障，最低生活标准1610元/月。主管单位是塔城地区民政局，儿童院为综合服务、教育、医疗、康复、和寄养，为全地区52个孤残儿童服务，保障基本生活。</w:t>
      </w:r>
    </w:p>
    <w:p>
      <w:pPr>
        <w:spacing w:before="0" w:after="0" w:line="540" w:lineRule="auto"/>
        <w:ind w:left="0" w:right="0" w:firstLine="567"/>
        <w:jc w:val="both"/>
        <w:rPr>
          <w:rFonts w:ascii="楷体" w:hAnsi="楷体" w:eastAsia="楷体" w:cs="楷体"/>
          <w:b/>
          <w:color w:val="auto"/>
          <w:spacing w:val="-4"/>
          <w:position w:val="0"/>
          <w:sz w:val="32"/>
          <w:shd w:val="clear" w:fill="auto"/>
        </w:rPr>
      </w:pPr>
      <w:r>
        <w:rPr>
          <w:rFonts w:ascii="楷体" w:hAnsi="楷体" w:eastAsia="楷体" w:cs="楷体"/>
          <w:b/>
          <w:color w:val="auto"/>
          <w:spacing w:val="-4"/>
          <w:position w:val="0"/>
          <w:sz w:val="32"/>
          <w:shd w:val="clear" w:fill="auto"/>
        </w:rPr>
        <w:t>（二）项目绩效目标</w:t>
      </w:r>
    </w:p>
    <w:p>
      <w:pPr>
        <w:spacing w:before="0" w:after="0" w:line="540" w:lineRule="auto"/>
        <w:ind w:left="0" w:right="0" w:firstLine="567"/>
        <w:jc w:val="both"/>
        <w:rPr>
          <w:rFonts w:ascii="楷体" w:hAnsi="楷体" w:eastAsia="楷体" w:cs="楷体"/>
          <w:color w:val="auto"/>
          <w:spacing w:val="-4"/>
          <w:position w:val="0"/>
          <w:sz w:val="32"/>
          <w:shd w:val="clear" w:fill="auto"/>
        </w:rPr>
      </w:pPr>
      <w:r>
        <w:rPr>
          <w:rFonts w:ascii="楷体" w:hAnsi="楷体" w:eastAsia="楷体" w:cs="楷体"/>
          <w:color w:val="auto"/>
          <w:spacing w:val="-4"/>
          <w:position w:val="0"/>
          <w:sz w:val="32"/>
          <w:shd w:val="clear" w:fill="auto"/>
        </w:rPr>
        <w:t>用于资助县市、乡镇两级儿童福利院（儿童保护中心）新建、改扩建或维修等设施建设，加强必要的设施设备配置；提升儿童福利机构内儿童养治教康项目，试点农村留守儿童和儿童开展关爱保护、保障工作。资金投入和使用情况</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资金投入情况：该项目年初预算数50.18万元，全年预算数50.18万元，实际总投入50.18万元，该项目资金已全部落实到位,资金来源为财政拨款资金。</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资金使用情况：该项目年初预算数50.18万元，全年预算数50.18万元，全年执行数47.95万元，预算执行率为95.56%，用于提升儿童福利机构内儿童养治教康项目，儿童和困境儿童开展关爱保护、保障工作。塔城地区儿童福利院儿童福利支出主要用于儿童院儿童的最低生活保障，最低生活标准1610元/月，儿童院为综合服务、教育、医疗、康复、和寄养，为全地区52个孤残儿童服务，保障基本生活。</w:t>
      </w:r>
    </w:p>
    <w:p>
      <w:pPr>
        <w:spacing w:before="0" w:after="0" w:line="540" w:lineRule="auto"/>
        <w:ind w:left="0" w:right="0" w:firstLine="640"/>
        <w:jc w:val="both"/>
        <w:rPr>
          <w:rFonts w:ascii="黑体" w:hAnsi="黑体" w:eastAsia="黑体" w:cs="黑体"/>
          <w:color w:val="auto"/>
          <w:spacing w:val="-4"/>
          <w:position w:val="0"/>
          <w:sz w:val="32"/>
          <w:shd w:val="clear" w:fill="auto"/>
        </w:rPr>
      </w:pPr>
      <w:r>
        <w:rPr>
          <w:rFonts w:ascii="黑体" w:hAnsi="黑体" w:eastAsia="黑体" w:cs="黑体"/>
          <w:color w:val="auto"/>
          <w:spacing w:val="-4"/>
          <w:position w:val="0"/>
          <w:sz w:val="32"/>
          <w:shd w:val="clear" w:fill="auto"/>
        </w:rPr>
        <w:t>二、绩效评价工作开展情况</w:t>
      </w:r>
    </w:p>
    <w:p>
      <w:pPr>
        <w:spacing w:before="0" w:after="0" w:line="540" w:lineRule="auto"/>
        <w:ind w:left="0" w:right="0" w:firstLine="567"/>
        <w:jc w:val="both"/>
        <w:rPr>
          <w:rFonts w:ascii="楷体" w:hAnsi="楷体" w:eastAsia="楷体" w:cs="楷体"/>
          <w:b/>
          <w:color w:val="auto"/>
          <w:spacing w:val="-4"/>
          <w:position w:val="0"/>
          <w:sz w:val="32"/>
          <w:shd w:val="clear" w:fill="auto"/>
        </w:rPr>
      </w:pPr>
      <w:r>
        <w:rPr>
          <w:rFonts w:ascii="楷体" w:hAnsi="楷体" w:eastAsia="楷体" w:cs="楷体"/>
          <w:b/>
          <w:color w:val="auto"/>
          <w:spacing w:val="-4"/>
          <w:position w:val="0"/>
          <w:sz w:val="32"/>
          <w:shd w:val="clear" w:fill="auto"/>
        </w:rPr>
        <w:t>（一）绩效评价目的、对象和范围</w:t>
      </w:r>
    </w:p>
    <w:p>
      <w:pPr>
        <w:spacing w:before="0" w:after="0" w:line="540" w:lineRule="auto"/>
        <w:ind w:left="0" w:right="0" w:firstLine="567"/>
        <w:jc w:val="both"/>
        <w:rPr>
          <w:rFonts w:ascii="楷体" w:hAnsi="楷体" w:eastAsia="楷体" w:cs="楷体"/>
          <w:color w:val="auto"/>
          <w:spacing w:val="-4"/>
          <w:position w:val="0"/>
          <w:sz w:val="32"/>
          <w:shd w:val="clear" w:fill="auto"/>
        </w:rPr>
      </w:pPr>
      <w:r>
        <w:rPr>
          <w:rFonts w:ascii="楷体" w:hAnsi="楷体" w:eastAsia="楷体" w:cs="楷体"/>
          <w:color w:val="auto"/>
          <w:spacing w:val="-4"/>
          <w:position w:val="0"/>
          <w:sz w:val="32"/>
          <w:shd w:val="clear" w:fill="auto"/>
        </w:rPr>
        <w:t>本次评价从项目决策（包括绩效目标、决策过程）、项目管理（包括项目资金、项目实施）、项目产出（包括项目产出数量、产出质量、产出时效和产出成本）项目效益四个</w:t>
      </w:r>
      <w:bookmarkStart w:id="0" w:name="_GoBack"/>
      <w:bookmarkEnd w:id="0"/>
      <w:r>
        <w:rPr>
          <w:rFonts w:ascii="楷体" w:hAnsi="楷体" w:eastAsia="楷体" w:cs="楷体"/>
          <w:color w:val="auto"/>
          <w:spacing w:val="-4"/>
          <w:position w:val="0"/>
          <w:sz w:val="32"/>
          <w:shd w:val="clear" w:fill="auto"/>
        </w:rPr>
        <w:t>评价核心为专项资金的支出完成情况和效果。</w:t>
      </w:r>
    </w:p>
    <w:p>
      <w:pPr>
        <w:spacing w:before="0" w:after="0" w:line="540" w:lineRule="auto"/>
        <w:ind w:left="0" w:right="0" w:firstLine="567"/>
        <w:jc w:val="both"/>
        <w:rPr>
          <w:rFonts w:ascii="楷体" w:hAnsi="楷体" w:eastAsia="楷体" w:cs="楷体"/>
          <w:b/>
          <w:color w:val="auto"/>
          <w:spacing w:val="-4"/>
          <w:position w:val="0"/>
          <w:sz w:val="32"/>
          <w:shd w:val="clear" w:fill="auto"/>
        </w:rPr>
      </w:pPr>
      <w:r>
        <w:rPr>
          <w:rFonts w:ascii="楷体" w:hAnsi="楷体" w:eastAsia="楷体" w:cs="楷体"/>
          <w:b/>
          <w:color w:val="auto"/>
          <w:spacing w:val="-4"/>
          <w:position w:val="0"/>
          <w:sz w:val="32"/>
          <w:shd w:val="clear" w:fill="auto"/>
        </w:rPr>
        <w:t>（二）绩效评价原则、评价指标体系、评价方法、评价标准</w:t>
      </w:r>
    </w:p>
    <w:p>
      <w:pPr>
        <w:spacing w:before="0" w:after="0" w:line="540" w:lineRule="auto"/>
        <w:ind w:left="0" w:right="0" w:firstLine="567"/>
        <w:jc w:val="both"/>
        <w:rPr>
          <w:rFonts w:ascii="楷体" w:hAnsi="楷体" w:eastAsia="楷体" w:cs="楷体"/>
          <w:color w:val="auto"/>
          <w:spacing w:val="-4"/>
          <w:position w:val="0"/>
          <w:sz w:val="32"/>
          <w:shd w:val="clear" w:fill="auto"/>
        </w:rPr>
      </w:pPr>
      <w:r>
        <w:rPr>
          <w:rFonts w:ascii="楷体" w:hAnsi="楷体" w:eastAsia="楷体" w:cs="楷体"/>
          <w:color w:val="auto"/>
          <w:spacing w:val="-4"/>
          <w:position w:val="0"/>
          <w:sz w:val="32"/>
          <w:shd w:val="clear" w:fill="auto"/>
        </w:rPr>
        <w:t>（1）科学规范原则：绩效评价应当严格执行规定的程序，按照科学可行的要求，采用定量与定性分析相结合的方法。</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（2）公正公开原则：绩效评价应当符合真实、客观、公正的要求，依法公开并接受监督。</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（3）分级分类原则：根据评价对象特点分类组织实施。</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（4）绩效相关原则：绩效评价应当针对具体支出及其产出绩效进行，评价结果应当清晰反映支出和产出绩效之间的紧密对应关系。</w:t>
      </w:r>
    </w:p>
    <w:p>
      <w:pPr>
        <w:spacing w:before="0" w:after="0" w:line="540" w:lineRule="auto"/>
        <w:ind w:left="0" w:right="0" w:firstLine="567"/>
        <w:jc w:val="both"/>
        <w:rPr>
          <w:rFonts w:ascii="楷体" w:hAnsi="楷体" w:eastAsia="楷体" w:cs="楷体"/>
          <w:b/>
          <w:color w:val="auto"/>
          <w:spacing w:val="-4"/>
          <w:position w:val="0"/>
          <w:sz w:val="32"/>
          <w:shd w:val="clear" w:fill="auto"/>
        </w:rPr>
      </w:pPr>
      <w:r>
        <w:rPr>
          <w:rFonts w:ascii="楷体" w:hAnsi="楷体" w:eastAsia="楷体" w:cs="楷体"/>
          <w:b/>
          <w:color w:val="auto"/>
          <w:spacing w:val="-4"/>
          <w:position w:val="0"/>
          <w:sz w:val="32"/>
          <w:shd w:val="clear" w:fill="auto"/>
        </w:rPr>
        <w:t>（三）绩效评价工作过程</w:t>
      </w:r>
    </w:p>
    <w:p>
      <w:pPr>
        <w:spacing w:before="0" w:after="0" w:line="540" w:lineRule="auto"/>
        <w:ind w:left="0" w:right="0" w:firstLine="567"/>
        <w:jc w:val="both"/>
        <w:rPr>
          <w:rFonts w:ascii="楷体" w:hAnsi="楷体" w:eastAsia="楷体" w:cs="楷体"/>
          <w:color w:val="auto"/>
          <w:spacing w:val="-4"/>
          <w:position w:val="0"/>
          <w:sz w:val="32"/>
          <w:shd w:val="clear" w:fill="auto"/>
        </w:rPr>
      </w:pPr>
      <w:r>
        <w:rPr>
          <w:rFonts w:ascii="楷体" w:hAnsi="楷体" w:eastAsia="楷体" w:cs="楷体"/>
          <w:color w:val="auto"/>
          <w:spacing w:val="-4"/>
          <w:position w:val="0"/>
          <w:sz w:val="32"/>
          <w:shd w:val="clear" w:fill="auto"/>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before="0" w:after="0" w:line="540" w:lineRule="auto"/>
        <w:ind w:left="0" w:right="0" w:firstLine="640"/>
        <w:jc w:val="both"/>
        <w:rPr>
          <w:rFonts w:ascii="黑体" w:hAnsi="黑体" w:eastAsia="黑体" w:cs="黑体"/>
          <w:color w:val="auto"/>
          <w:spacing w:val="-4"/>
          <w:position w:val="0"/>
          <w:sz w:val="32"/>
          <w:shd w:val="clear" w:fill="auto"/>
        </w:rPr>
      </w:pPr>
      <w:r>
        <w:rPr>
          <w:rFonts w:ascii="黑体" w:hAnsi="黑体" w:eastAsia="黑体" w:cs="黑体"/>
          <w:color w:val="auto"/>
          <w:spacing w:val="-4"/>
          <w:position w:val="0"/>
          <w:sz w:val="32"/>
          <w:shd w:val="clear" w:fill="auto"/>
        </w:rPr>
        <w:t>三、综合评价情况及评价结论</w:t>
      </w:r>
    </w:p>
    <w:p>
      <w:pPr>
        <w:spacing w:before="0" w:after="0" w:line="540" w:lineRule="auto"/>
        <w:ind w:left="0" w:right="0" w:firstLine="567"/>
        <w:jc w:val="both"/>
        <w:rPr>
          <w:rFonts w:ascii="楷体" w:hAnsi="楷体" w:eastAsia="楷体" w:cs="楷体"/>
          <w:color w:val="auto"/>
          <w:spacing w:val="-4"/>
          <w:position w:val="0"/>
          <w:sz w:val="32"/>
          <w:shd w:val="clear" w:fill="auto"/>
        </w:rPr>
      </w:pPr>
      <w:r>
        <w:rPr>
          <w:rFonts w:ascii="楷体" w:hAnsi="楷体" w:eastAsia="楷体" w:cs="楷体"/>
          <w:color w:val="auto"/>
          <w:spacing w:val="-4"/>
          <w:position w:val="0"/>
          <w:sz w:val="32"/>
          <w:shd w:val="clear" w:fill="auto"/>
        </w:rPr>
        <w:t>结合项目特点，制定符合项目实际的绩效评价指标体系及评分标准，通过数据采集、问卷调查及访谈等形式，对2022年2022年困难群众救助补助进行客观评价。</w:t>
      </w:r>
    </w:p>
    <w:p>
      <w:pPr>
        <w:spacing w:before="0" w:after="0" w:line="540" w:lineRule="auto"/>
        <w:ind w:left="0" w:right="0" w:firstLine="640"/>
        <w:jc w:val="both"/>
        <w:rPr>
          <w:rFonts w:ascii="黑体" w:hAnsi="黑体" w:eastAsia="黑体" w:cs="黑体"/>
          <w:b/>
          <w:color w:val="auto"/>
          <w:spacing w:val="0"/>
          <w:position w:val="0"/>
          <w:sz w:val="21"/>
          <w:shd w:val="clear" w:fill="auto"/>
        </w:rPr>
      </w:pPr>
      <w:r>
        <w:rPr>
          <w:rFonts w:ascii="黑体" w:hAnsi="黑体" w:eastAsia="黑体" w:cs="黑体"/>
          <w:color w:val="auto"/>
          <w:spacing w:val="-4"/>
          <w:position w:val="0"/>
          <w:sz w:val="32"/>
          <w:shd w:val="clear" w:fill="auto"/>
        </w:rPr>
        <w:t>四、绩效评价指标分析</w:t>
      </w:r>
      <w:r>
        <w:rPr>
          <w:rFonts w:ascii="黑体" w:hAnsi="黑体" w:eastAsia="黑体" w:cs="黑体"/>
          <w:b/>
          <w:color w:val="auto"/>
          <w:spacing w:val="0"/>
          <w:position w:val="0"/>
          <w:sz w:val="21"/>
          <w:shd w:val="clear" w:fill="auto"/>
        </w:rPr>
        <w:t xml:space="preserve"> </w:t>
      </w:r>
    </w:p>
    <w:p>
      <w:pPr>
        <w:spacing w:before="0" w:after="0" w:line="540" w:lineRule="auto"/>
        <w:ind w:left="0" w:right="0" w:firstLine="567"/>
        <w:jc w:val="both"/>
        <w:rPr>
          <w:rFonts w:ascii="楷体" w:hAnsi="楷体" w:eastAsia="楷体" w:cs="楷体"/>
          <w:b/>
          <w:color w:val="auto"/>
          <w:spacing w:val="-4"/>
          <w:position w:val="0"/>
          <w:sz w:val="32"/>
          <w:shd w:val="clear" w:fill="auto"/>
        </w:rPr>
      </w:pPr>
      <w:r>
        <w:rPr>
          <w:rFonts w:ascii="楷体" w:hAnsi="楷体" w:eastAsia="楷体" w:cs="楷体"/>
          <w:b/>
          <w:color w:val="auto"/>
          <w:spacing w:val="-4"/>
          <w:position w:val="0"/>
          <w:sz w:val="32"/>
          <w:shd w:val="clear" w:fill="auto"/>
        </w:rPr>
        <w:t>（一）项目决策情况</w:t>
      </w:r>
    </w:p>
    <w:p>
      <w:pPr>
        <w:tabs>
          <w:tab w:val="center" w:pos="4295"/>
        </w:tabs>
        <w:spacing w:before="0" w:after="0" w:line="540" w:lineRule="auto"/>
        <w:ind w:left="0" w:right="0" w:firstLine="567"/>
        <w:jc w:val="both"/>
        <w:rPr>
          <w:rFonts w:ascii="楷体" w:hAnsi="楷体" w:eastAsia="楷体" w:cs="楷体"/>
          <w:color w:val="auto"/>
          <w:spacing w:val="-4"/>
          <w:position w:val="0"/>
          <w:sz w:val="32"/>
          <w:shd w:val="clear" w:fill="auto"/>
        </w:rPr>
      </w:pPr>
      <w:r>
        <w:rPr>
          <w:rFonts w:ascii="楷体" w:hAnsi="楷体" w:eastAsia="楷体" w:cs="楷体"/>
          <w:color w:val="auto"/>
          <w:spacing w:val="-4"/>
          <w:position w:val="0"/>
          <w:sz w:val="32"/>
          <w:shd w:val="clear" w:fill="auto"/>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2.立项程序规范性:项目按照规定的程序申请设立,审批文件、材料符合相关要求,事前已经过必要的可行性研究、专家论证、风险评估、绩效评估、集体决策，得4分。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3.绩效目标合理性:项目有绩效目标,项目绩效目标与实际工作内容具有相关性,项目预期产出效益和效果符合正常的业绩水平,与预算确定的项目投资额或资金量相匹配，得2分。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4.绩效指标明确性:将项目绩效目标细化分解为具体的绩效指标,通过清晰、可衡量的指标值予以体现,与项目目标任务数或计划数相对应，得3分。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5.预算编制科学性:预算编制经过科学论证,预算内容与项目内容匹配,预算额度测算依据充分，按照标准编制,预算确定的项目投资额或资金量与工作任务相匹配，得3分。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6.资金分配合理性:预算资金分配依据充分,资金分配额度合理，与项目单位或地方实际相适应，得4分。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该指标分值20分，依据评分标准，此项指标不扣分，得20分。</w:t>
      </w:r>
      <w:r>
        <w:rPr>
          <w:rFonts w:ascii="楷体" w:hAnsi="楷体" w:eastAsia="楷体" w:cs="楷体"/>
          <w:color w:val="auto"/>
          <w:spacing w:val="-4"/>
          <w:position w:val="0"/>
          <w:sz w:val="32"/>
          <w:shd w:val="clear" w:fill="auto"/>
        </w:rPr>
        <w:tab/>
      </w:r>
    </w:p>
    <w:p>
      <w:pPr>
        <w:spacing w:before="0" w:after="0" w:line="540" w:lineRule="auto"/>
        <w:ind w:left="0" w:right="0" w:firstLine="567"/>
        <w:jc w:val="both"/>
        <w:rPr>
          <w:rFonts w:ascii="楷体" w:hAnsi="楷体" w:eastAsia="楷体" w:cs="楷体"/>
          <w:b/>
          <w:color w:val="auto"/>
          <w:spacing w:val="-4"/>
          <w:position w:val="0"/>
          <w:sz w:val="32"/>
          <w:shd w:val="clear" w:fill="auto"/>
        </w:rPr>
      </w:pPr>
      <w:r>
        <w:rPr>
          <w:rFonts w:ascii="楷体" w:hAnsi="楷体" w:eastAsia="楷体" w:cs="楷体"/>
          <w:b/>
          <w:color w:val="auto"/>
          <w:spacing w:val="-4"/>
          <w:position w:val="0"/>
          <w:sz w:val="32"/>
          <w:shd w:val="clear" w:fill="auto"/>
        </w:rPr>
        <w:t>（二）项目过程情况</w:t>
      </w:r>
    </w:p>
    <w:p>
      <w:pPr>
        <w:spacing w:before="0" w:after="0" w:line="540" w:lineRule="auto"/>
        <w:ind w:left="0" w:right="0" w:firstLine="567"/>
        <w:jc w:val="both"/>
        <w:rPr>
          <w:rFonts w:ascii="楷体" w:hAnsi="楷体" w:eastAsia="楷体" w:cs="楷体"/>
          <w:color w:val="auto"/>
          <w:spacing w:val="-4"/>
          <w:position w:val="0"/>
          <w:sz w:val="32"/>
          <w:shd w:val="clear" w:fill="auto"/>
        </w:rPr>
      </w:pPr>
      <w:r>
        <w:rPr>
          <w:rFonts w:ascii="楷体" w:hAnsi="楷体" w:eastAsia="楷体" w:cs="楷体"/>
          <w:color w:val="auto"/>
          <w:spacing w:val="-4"/>
          <w:position w:val="0"/>
          <w:sz w:val="32"/>
          <w:shd w:val="clear" w:fill="auto"/>
        </w:rPr>
        <w:t>1.资金到位率： 实际到位资金50.18万元，预算资金50.18万元，资金到位率100%，得3分。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2.预算执行率：年初预算数50.18万元，全年预算数50.18万元，全年执行数47.95万元，预算执行率为95.56%，得9.56分。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4.管理制度健全性：项目支出手续完备，财会核算准确规范，项目调整手续完备，项目实施的人员条件、场地设备、信息支撑等落实到位，合同书、验收报告等资料齐全，得2分。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该指标分值20分，依据评分标准，此项指标扣0.44分，得19.56分。</w:t>
      </w:r>
    </w:p>
    <w:p>
      <w:pPr>
        <w:spacing w:before="0" w:after="0" w:line="540" w:lineRule="auto"/>
        <w:ind w:left="0" w:right="0" w:firstLine="567"/>
        <w:jc w:val="both"/>
        <w:rPr>
          <w:rFonts w:ascii="楷体" w:hAnsi="楷体" w:eastAsia="楷体" w:cs="楷体"/>
          <w:b/>
          <w:color w:val="auto"/>
          <w:spacing w:val="-4"/>
          <w:position w:val="0"/>
          <w:sz w:val="32"/>
          <w:shd w:val="clear" w:fill="auto"/>
        </w:rPr>
      </w:pPr>
      <w:r>
        <w:rPr>
          <w:rFonts w:ascii="楷体" w:hAnsi="楷体" w:eastAsia="楷体" w:cs="楷体"/>
          <w:b/>
          <w:color w:val="auto"/>
          <w:spacing w:val="-4"/>
          <w:position w:val="0"/>
          <w:sz w:val="32"/>
          <w:shd w:val="clear" w:fill="auto"/>
        </w:rPr>
        <w:t>（三）项目产出情况</w:t>
      </w:r>
    </w:p>
    <w:p>
      <w:pPr>
        <w:spacing w:before="0" w:after="0" w:line="540" w:lineRule="auto"/>
        <w:ind w:left="0" w:right="0" w:firstLine="567"/>
        <w:jc w:val="both"/>
        <w:rPr>
          <w:rFonts w:ascii="楷体" w:hAnsi="楷体" w:eastAsia="楷体" w:cs="楷体"/>
          <w:color w:val="auto"/>
          <w:spacing w:val="-4"/>
          <w:position w:val="0"/>
          <w:sz w:val="32"/>
          <w:shd w:val="clear" w:fill="auto"/>
        </w:rPr>
      </w:pPr>
      <w:r>
        <w:rPr>
          <w:rFonts w:ascii="楷体" w:hAnsi="楷体" w:eastAsia="楷体" w:cs="楷体"/>
          <w:color w:val="auto"/>
          <w:spacing w:val="-4"/>
          <w:position w:val="0"/>
          <w:sz w:val="32"/>
          <w:shd w:val="clear" w:fill="auto"/>
        </w:rPr>
        <w:t>1.产出数量</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数量指标：指标1：集中供养孤儿的覆盖面，指标值：大于等于35人，实际完成值35人，指标完成率100 %，偏差原因：无 。</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数量指标：指标2：集中照料护理人数，指标值：大于等于2人，实际完成值2人，指标完成率100 %，偏差原因：无 。</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数量指标：指标3：集中供养孤儿基本生活费按时发放次数，指标值：大于等于12次，实际完成值12次，指标完成率100 %，偏差原因：无 ，综上，得10分。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2.产出质量</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 xml:space="preserve">质量指标：指标1：孤残儿童生活费发放率，指标值：等于100% ，实际完成值100% ，指标完成率100%，偏差原因：无。   </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 xml:space="preserve">质量指标：指标2：孤儿基本生活费发放及时率，指标值：等于100% ，实际完成值100% ，指标完成率100%，偏差原因：无，综上，得10分。   </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3.产出时效</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 xml:space="preserve">时效指标：指标1：孤残儿童生活费发放完成时间，指标值： 2022年12月20日前，实际完成值2022年12月20日前，指标完成率100%，偏差原因：无，综上，得10分。    </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4.产出成本</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成本指标：指标1：每个孤儿生活费标准，指标值：&lt;=1610元/人/月，实际完成值&lt;=1610元/人/月，指标完成率100%，偏差原因：无，综上，得10分。</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该指标分值40分，依据评分标准，此项指标不扣分，得40分。</w:t>
      </w:r>
    </w:p>
    <w:p>
      <w:pPr>
        <w:spacing w:before="0" w:after="0" w:line="540" w:lineRule="auto"/>
        <w:ind w:left="0" w:right="0" w:firstLine="567"/>
        <w:jc w:val="both"/>
        <w:rPr>
          <w:rFonts w:ascii="楷体" w:hAnsi="楷体" w:eastAsia="楷体" w:cs="楷体"/>
          <w:b/>
          <w:color w:val="auto"/>
          <w:spacing w:val="-4"/>
          <w:position w:val="0"/>
          <w:sz w:val="32"/>
          <w:shd w:val="clear" w:fill="auto"/>
        </w:rPr>
      </w:pPr>
      <w:r>
        <w:rPr>
          <w:rFonts w:ascii="楷体" w:hAnsi="楷体" w:eastAsia="楷体" w:cs="楷体"/>
          <w:b/>
          <w:color w:val="auto"/>
          <w:spacing w:val="-4"/>
          <w:position w:val="0"/>
          <w:sz w:val="32"/>
          <w:shd w:val="clear" w:fill="auto"/>
        </w:rPr>
        <w:t>（四）项目效益情况</w:t>
      </w:r>
    </w:p>
    <w:p>
      <w:pPr>
        <w:spacing w:before="0" w:after="0" w:line="540" w:lineRule="auto"/>
        <w:ind w:left="0" w:right="0" w:firstLine="567"/>
        <w:jc w:val="both"/>
        <w:rPr>
          <w:rFonts w:ascii="楷体" w:hAnsi="楷体" w:eastAsia="楷体" w:cs="楷体"/>
          <w:color w:val="auto"/>
          <w:spacing w:val="-4"/>
          <w:position w:val="0"/>
          <w:sz w:val="32"/>
          <w:shd w:val="clear" w:fill="auto"/>
        </w:rPr>
      </w:pPr>
      <w:r>
        <w:rPr>
          <w:rFonts w:ascii="楷体" w:hAnsi="楷体" w:eastAsia="楷体" w:cs="楷体"/>
          <w:color w:val="auto"/>
          <w:spacing w:val="-4"/>
          <w:position w:val="0"/>
          <w:sz w:val="32"/>
          <w:shd w:val="clear" w:fill="auto"/>
        </w:rPr>
        <w:t>1.项目效益</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（1）实施效益</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社会效益指标：评价指标“确保社会救助制度公平、公正”，指标值：有所保障，实际完成值：达成年度指标。评价指标“集中供养孤儿生活保障作用”，指标值：有所保障，实际完成值：达成年度指标。资助县市、乡镇两级儿童福利院（困境儿童保护中心）新建、改扩建或维修等设施建设，加强必要的设施设备配置；提升儿童福利机构内儿童养治教康项目，试点农村留守儿童和困境儿童开展关爱保护、保障工作。</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可持续影响指标：评价指标“保障孤残儿童健康成长”，指标值：持续保障，实际完成值：达成年度指标。保障我院儿童健康快乐发展，德智体美劳全面稳定提高，全院服务水平显著提升，为孩子提供良好的成长环境。</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该指标分值10分，依据评分标准，此项指标不扣分，得10分。</w:t>
      </w:r>
    </w:p>
    <w:p>
      <w:pPr>
        <w:spacing w:before="0" w:after="0" w:line="540" w:lineRule="auto"/>
        <w:ind w:left="0" w:right="0" w:firstLine="567"/>
        <w:jc w:val="both"/>
        <w:rPr>
          <w:rFonts w:ascii="楷体" w:hAnsi="楷体" w:eastAsia="楷体" w:cs="楷体"/>
          <w:color w:val="auto"/>
          <w:spacing w:val="-4"/>
          <w:position w:val="0"/>
          <w:sz w:val="32"/>
          <w:shd w:val="clear" w:fill="auto"/>
        </w:rPr>
      </w:pPr>
      <w:r>
        <w:rPr>
          <w:rFonts w:ascii="楷体" w:hAnsi="楷体" w:eastAsia="楷体" w:cs="楷体"/>
          <w:color w:val="auto"/>
          <w:spacing w:val="-4"/>
          <w:position w:val="0"/>
          <w:sz w:val="32"/>
          <w:shd w:val="clear" w:fill="auto"/>
        </w:rPr>
        <w:t>满意度</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服务对象满意度指标：评价指标“集中供养孤残儿童满意度”，指标值：≥95%，实际完成值：≥100%。</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该指标分值10分，依据评分标准，此项指标不扣分，得10分。</w:t>
      </w:r>
    </w:p>
    <w:p>
      <w:pPr>
        <w:spacing w:before="0" w:after="0" w:line="540" w:lineRule="auto"/>
        <w:ind w:left="0" w:right="0" w:firstLine="567"/>
        <w:jc w:val="both"/>
        <w:rPr>
          <w:rFonts w:ascii="楷体" w:hAnsi="楷体" w:eastAsia="楷体" w:cs="楷体"/>
          <w:b/>
          <w:color w:val="auto"/>
          <w:spacing w:val="-4"/>
          <w:position w:val="0"/>
          <w:sz w:val="32"/>
          <w:shd w:val="clear" w:fill="auto"/>
        </w:rPr>
      </w:pPr>
    </w:p>
    <w:p>
      <w:pPr>
        <w:spacing w:before="0" w:after="0" w:line="540" w:lineRule="auto"/>
        <w:ind w:left="0" w:right="0" w:firstLine="640"/>
        <w:jc w:val="both"/>
        <w:rPr>
          <w:rFonts w:ascii="黑体" w:hAnsi="黑体" w:eastAsia="黑体" w:cs="黑体"/>
          <w:color w:val="auto"/>
          <w:spacing w:val="-4"/>
          <w:position w:val="0"/>
          <w:sz w:val="32"/>
          <w:shd w:val="clear" w:fill="auto"/>
        </w:rPr>
      </w:pPr>
      <w:r>
        <w:rPr>
          <w:rFonts w:ascii="黑体" w:hAnsi="黑体" w:eastAsia="黑体" w:cs="黑体"/>
          <w:color w:val="auto"/>
          <w:spacing w:val="-4"/>
          <w:position w:val="0"/>
          <w:sz w:val="32"/>
          <w:shd w:val="clear" w:fill="auto"/>
        </w:rPr>
        <w:t>五、预算执行进度与绩效指标偏差</w:t>
      </w:r>
    </w:p>
    <w:p>
      <w:pPr>
        <w:spacing w:before="0" w:after="0" w:line="540" w:lineRule="auto"/>
        <w:ind w:left="0" w:right="0" w:firstLine="567"/>
        <w:jc w:val="both"/>
        <w:rPr>
          <w:rFonts w:ascii="楷体" w:hAnsi="楷体" w:eastAsia="楷体" w:cs="楷体"/>
          <w:b/>
          <w:color w:val="auto"/>
          <w:spacing w:val="-4"/>
          <w:position w:val="0"/>
          <w:sz w:val="32"/>
          <w:shd w:val="clear" w:fill="auto"/>
        </w:rPr>
      </w:pPr>
      <w:r>
        <w:rPr>
          <w:rFonts w:ascii="楷体" w:hAnsi="楷体" w:eastAsia="楷体" w:cs="楷体"/>
          <w:color w:val="auto"/>
          <w:spacing w:val="-4"/>
          <w:position w:val="0"/>
          <w:sz w:val="32"/>
          <w:shd w:val="clear" w:fill="auto"/>
        </w:rPr>
        <w:t>预算执行进度与绩效指标偏差</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本项目预算执行率为95.56%，指标总体完成率为100%，二者之间的偏差值为4.44%。因此，本项目较好地完成了年度总体目标，财政资金使用效益和效率较高。</w:t>
      </w:r>
    </w:p>
    <w:p>
      <w:pPr>
        <w:spacing w:before="0" w:after="0" w:line="540" w:lineRule="auto"/>
        <w:ind w:left="0" w:right="0" w:firstLine="640"/>
        <w:jc w:val="both"/>
        <w:rPr>
          <w:rFonts w:ascii="黑体" w:hAnsi="黑体" w:eastAsia="黑体" w:cs="黑体"/>
          <w:color w:val="auto"/>
          <w:spacing w:val="-4"/>
          <w:position w:val="0"/>
          <w:sz w:val="32"/>
          <w:shd w:val="clear" w:fill="auto"/>
        </w:rPr>
      </w:pPr>
      <w:r>
        <w:rPr>
          <w:rFonts w:ascii="黑体" w:hAnsi="黑体" w:eastAsia="黑体" w:cs="黑体"/>
          <w:color w:val="auto"/>
          <w:spacing w:val="-4"/>
          <w:position w:val="0"/>
          <w:sz w:val="32"/>
          <w:shd w:val="clear" w:fill="auto"/>
        </w:rPr>
        <w:t>六、主要经验及做法、存在的问题及原因分析</w:t>
      </w:r>
    </w:p>
    <w:p>
      <w:pPr>
        <w:spacing w:before="0" w:after="0" w:line="540" w:lineRule="auto"/>
        <w:ind w:left="0" w:right="0" w:firstLine="567"/>
        <w:jc w:val="both"/>
        <w:rPr>
          <w:rFonts w:ascii="仿宋_GB2312" w:hAnsi="仿宋_GB2312" w:eastAsia="仿宋_GB2312" w:cs="仿宋_GB2312"/>
          <w:color w:val="auto"/>
          <w:spacing w:val="-4"/>
          <w:position w:val="0"/>
          <w:sz w:val="32"/>
          <w:shd w:val="clear" w:fill="auto"/>
        </w:rPr>
      </w:pPr>
      <w:r>
        <w:rPr>
          <w:rFonts w:ascii="楷体" w:hAnsi="楷体" w:eastAsia="楷体" w:cs="楷体"/>
          <w:color w:val="auto"/>
          <w:spacing w:val="-4"/>
          <w:position w:val="0"/>
          <w:sz w:val="32"/>
          <w:shd w:val="clear" w:fill="auto"/>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2.坚持依法依规编制绩效目标表，进一步强化合法合规性审核，做到账实相符、账表一致，确保收支真实、数额准确、内容完整。依法开展项目绩效管理工作，逐步发挥相关数据在项目支出定额标准体系建设中的参考作用。</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本年度资金较多，未能及时花完该项资金。</w:t>
      </w:r>
    </w:p>
    <w:p>
      <w:pPr>
        <w:spacing w:before="0" w:after="0" w:line="540" w:lineRule="auto"/>
        <w:ind w:left="0" w:right="0" w:firstLine="640"/>
        <w:jc w:val="both"/>
        <w:rPr>
          <w:rFonts w:ascii="黑体" w:hAnsi="黑体" w:eastAsia="黑体" w:cs="黑体"/>
          <w:color w:val="auto"/>
          <w:spacing w:val="-4"/>
          <w:position w:val="0"/>
          <w:sz w:val="32"/>
          <w:shd w:val="clear" w:fill="auto"/>
        </w:rPr>
      </w:pPr>
      <w:r>
        <w:rPr>
          <w:rFonts w:ascii="黑体" w:hAnsi="黑体" w:eastAsia="黑体" w:cs="黑体"/>
          <w:color w:val="auto"/>
          <w:spacing w:val="-4"/>
          <w:position w:val="0"/>
          <w:sz w:val="32"/>
          <w:shd w:val="clear" w:fill="auto"/>
        </w:rPr>
        <w:t>七、有关建议</w:t>
      </w:r>
    </w:p>
    <w:p>
      <w:pPr>
        <w:spacing w:before="0" w:after="0" w:line="540" w:lineRule="auto"/>
        <w:ind w:left="0" w:right="0" w:firstLine="567"/>
        <w:jc w:val="both"/>
        <w:rPr>
          <w:rFonts w:ascii="楷体" w:hAnsi="楷体" w:eastAsia="楷体" w:cs="楷体"/>
          <w:b/>
          <w:color w:val="auto"/>
          <w:spacing w:val="-4"/>
          <w:position w:val="0"/>
          <w:sz w:val="32"/>
          <w:shd w:val="clear" w:fill="auto"/>
        </w:rPr>
      </w:pPr>
      <w:r>
        <w:rPr>
          <w:rFonts w:ascii="楷体" w:hAnsi="楷体" w:eastAsia="楷体" w:cs="楷体"/>
          <w:color w:val="auto"/>
          <w:spacing w:val="-4"/>
          <w:position w:val="0"/>
          <w:sz w:val="32"/>
          <w:shd w:val="clear" w:fill="auto"/>
        </w:rPr>
        <w:t>1.项目支出政策和路径设计科学，符合实际需要；</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2.项目安排准确，未发现背离项目立项初衷的情况；</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3.项目的申报、审核机制完善；</w:t>
      </w:r>
      <w:r>
        <w:rPr>
          <w:rFonts w:ascii="楷体" w:hAnsi="楷体" w:eastAsia="楷体" w:cs="楷体"/>
          <w:color w:val="auto"/>
          <w:spacing w:val="-4"/>
          <w:position w:val="0"/>
          <w:sz w:val="32"/>
          <w:shd w:val="clear" w:fill="auto"/>
        </w:rPr>
        <w:br w:type="textWrapping"/>
      </w:r>
      <w:r>
        <w:rPr>
          <w:rFonts w:ascii="楷体" w:hAnsi="楷体" w:eastAsia="楷体" w:cs="楷体"/>
          <w:color w:val="auto"/>
          <w:spacing w:val="-4"/>
          <w:position w:val="0"/>
          <w:sz w:val="32"/>
          <w:shd w:val="clear" w:fill="auto"/>
        </w:rPr>
        <w:t>4.未发现虚假行为和骗取财政资金的问题。</w:t>
      </w:r>
    </w:p>
    <w:p>
      <w:pPr>
        <w:spacing w:before="0" w:after="0" w:line="540" w:lineRule="auto"/>
        <w:ind w:left="0" w:right="0" w:firstLine="640"/>
        <w:jc w:val="both"/>
        <w:rPr>
          <w:rFonts w:ascii="黑体" w:hAnsi="黑体" w:eastAsia="黑体" w:cs="黑体"/>
          <w:color w:val="auto"/>
          <w:spacing w:val="-4"/>
          <w:position w:val="0"/>
          <w:sz w:val="32"/>
          <w:shd w:val="clear" w:fill="auto"/>
        </w:rPr>
      </w:pPr>
      <w:r>
        <w:rPr>
          <w:rFonts w:ascii="黑体" w:hAnsi="黑体" w:eastAsia="黑体" w:cs="黑体"/>
          <w:color w:val="auto"/>
          <w:spacing w:val="-4"/>
          <w:position w:val="0"/>
          <w:sz w:val="32"/>
          <w:shd w:val="clear" w:fill="auto"/>
        </w:rPr>
        <w:t>八、其他需要说明的问题</w:t>
      </w:r>
    </w:p>
    <w:p>
      <w:pPr>
        <w:spacing w:before="0" w:after="0" w:line="540" w:lineRule="auto"/>
        <w:ind w:left="0" w:right="0" w:firstLine="567"/>
        <w:jc w:val="both"/>
        <w:rPr>
          <w:rFonts w:ascii="楷体" w:hAnsi="楷体" w:eastAsia="楷体" w:cs="楷体"/>
          <w:color w:val="auto"/>
          <w:spacing w:val="-4"/>
          <w:position w:val="0"/>
          <w:sz w:val="32"/>
          <w:shd w:val="clear" w:fill="auto"/>
        </w:rPr>
      </w:pPr>
      <w:r>
        <w:rPr>
          <w:rFonts w:ascii="楷体" w:hAnsi="楷体" w:eastAsia="楷体" w:cs="楷体"/>
          <w:color w:val="auto"/>
          <w:spacing w:val="-4"/>
          <w:position w:val="0"/>
          <w:sz w:val="32"/>
          <w:shd w:val="clear" w:fill="auto"/>
        </w:rPr>
        <w:t>无</w:t>
      </w:r>
    </w:p>
    <w:p>
      <w:pPr>
        <w:spacing w:before="0" w:after="0" w:line="540" w:lineRule="auto"/>
        <w:ind w:left="0" w:right="0" w:firstLine="567"/>
        <w:jc w:val="both"/>
        <w:rPr>
          <w:rFonts w:ascii="仿宋" w:hAnsi="仿宋" w:eastAsia="仿宋" w:cs="仿宋"/>
          <w:color w:val="auto"/>
          <w:spacing w:val="-4"/>
          <w:position w:val="0"/>
          <w:sz w:val="32"/>
          <w:shd w:val="clear" w:fill="auto"/>
        </w:rPr>
      </w:pPr>
    </w:p>
    <w:p>
      <w:pPr>
        <w:spacing w:before="0" w:after="0" w:line="540" w:lineRule="auto"/>
        <w:ind w:left="0" w:right="0" w:firstLine="567"/>
        <w:jc w:val="both"/>
        <w:rPr>
          <w:rFonts w:ascii="仿宋" w:hAnsi="仿宋" w:eastAsia="仿宋" w:cs="仿宋"/>
          <w:color w:val="auto"/>
          <w:spacing w:val="-4"/>
          <w:position w:val="0"/>
          <w:sz w:val="32"/>
          <w:shd w:val="clear" w:fill="auto"/>
        </w:rPr>
      </w:pPr>
    </w:p>
    <w:p>
      <w:pPr>
        <w:spacing w:before="0" w:after="0" w:line="540" w:lineRule="auto"/>
        <w:ind w:left="0" w:right="0" w:firstLine="567"/>
        <w:jc w:val="both"/>
        <w:rPr>
          <w:rFonts w:ascii="仿宋" w:hAnsi="仿宋" w:eastAsia="仿宋" w:cs="仿宋"/>
          <w:color w:val="auto"/>
          <w:spacing w:val="-4"/>
          <w:position w:val="0"/>
          <w:sz w:val="32"/>
          <w:shd w:val="clear" w:fill="auto"/>
        </w:rPr>
      </w:pPr>
    </w:p>
    <w:p>
      <w:pPr>
        <w:spacing w:before="0" w:after="0" w:line="540" w:lineRule="auto"/>
        <w:ind w:left="0" w:right="0" w:firstLine="567"/>
        <w:jc w:val="both"/>
        <w:rPr>
          <w:rFonts w:ascii="仿宋" w:hAnsi="仿宋" w:eastAsia="仿宋" w:cs="仿宋"/>
          <w:color w:val="auto"/>
          <w:spacing w:val="-4"/>
          <w:position w:val="0"/>
          <w:sz w:val="32"/>
          <w:shd w:val="clear" w:fill="auto"/>
        </w:rPr>
      </w:pPr>
    </w:p>
    <w:p>
      <w:pPr>
        <w:spacing w:before="0" w:after="0" w:line="540" w:lineRule="auto"/>
        <w:ind w:left="0" w:right="0" w:firstLine="567"/>
        <w:jc w:val="both"/>
        <w:rPr>
          <w:rFonts w:ascii="仿宋" w:hAnsi="仿宋" w:eastAsia="仿宋" w:cs="仿宋"/>
          <w:color w:val="auto"/>
          <w:spacing w:val="-4"/>
          <w:position w:val="0"/>
          <w:sz w:val="32"/>
          <w:shd w:val="clear" w:fill="auto"/>
        </w:rPr>
      </w:pP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docVars>
    <w:docVar w:name="commondata" w:val="eyJoZGlkIjoiYjM4NWYyMWE2NWU1OGNiMmIxMmZkYzA5MWEwNzJlZmIifQ=="/>
  </w:docVars>
  <w:rsids>
    <w:rsidRoot w:val="00000000"/>
    <w:rsid w:val="379A63B0"/>
    <w:rsid w:val="67EA56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TotalTime>2</TotalTime>
  <ScaleCrop>false</ScaleCrop>
  <LinksUpToDate>false</LinksUpToDate>
  <Application>WPS Office_11.8.2.12055_F1E327BC-269C-435d-A152-05C5408002CA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2024-06-04T04:38:00Z</dcterms:created>
  <dc:creator>Think pad</dc:creator>
  <cp:lastModifiedBy>Administrator</cp:lastModifiedBy>
  <dcterms:modified xsi:type="dcterms:W3CDTF">2025-09-09T05:15:15Z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18BCB95478264BA89BF01C1EF8A03CA6_12</vt:lpwstr>
  </property>
</Properties>
</file>