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医疗服务与保障能力提升</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塔城地区中医医院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塔城地区中医医院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孙嘉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left="638" w:leftChars="304" w:firstLine="218" w:firstLineChars="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1、机构设置</w:t>
      </w:r>
    </w:p>
    <w:p>
      <w:pPr>
        <w:keepNext w:val="0"/>
        <w:keepLines w:val="0"/>
        <w:pageBreakBefore w:val="0"/>
        <w:widowControl w:val="0"/>
        <w:kinsoku/>
        <w:wordWrap/>
        <w:overflowPunct/>
        <w:topLinePunct w:val="0"/>
        <w:autoSpaceDE/>
        <w:autoSpaceDN/>
        <w:bidi w:val="0"/>
        <w:adjustRightInd/>
        <w:snapToGrid/>
        <w:spacing w:line="240" w:lineRule="auto"/>
        <w:ind w:left="319" w:leftChars="152" w:firstLine="312" w:firstLineChars="1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塔城地区中医医院，人员结构以专业技术人员为主；主要承担着地区民族医、中医医疗预防、保健、临床科研、中医药技术推广和中医药专业技术人员培养等各项工作任务。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中医医院无下属预算单位，下设六个职能科室分别是：办公室、医务科、总务科、人事科、院感科、财务科；三个医技科室分别是：放射科、功能科、检验科；临床科室分别是：外科、内科、五官科、维医皮肤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塔城地区中医医院编制数事业编94人，2022年年末实有人数152人，其中：年末实有86人，其中单位领导书记1名，正职1名，副职2名。退休人员年初数76人。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2、职责分工: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塔城地区中医医院，人员结构以专业技术人员为主；主要承担着地区民族医、中医医疗预防、保健、临床科研、中医药技术推广和中医药专业技术人员培养等各项工作任务。根据中医医院2022年医疗服务与保障能力提升（公立医院综合改革）资金预算下达我院医疗服务与保障能力提升项目资金。项目主要内容：医院根据资金使用经费支出的内容和标准，依据下达绩效目标要求，全部使用于医疗服务与保障能力提升，本年度完成支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本项目总投资122.76万元，其中：自治区财政下达资金122.76万元，项目实际支出122.76万元， 支出率为100%。</w:t>
      </w:r>
    </w:p>
    <w:p>
      <w:pPr>
        <w:keepNext w:val="0"/>
        <w:keepLines w:val="0"/>
        <w:pageBreakBefore w:val="0"/>
        <w:widowControl w:val="0"/>
        <w:kinsoku/>
        <w:wordWrap/>
        <w:overflowPunct/>
        <w:topLinePunct w:val="0"/>
        <w:autoSpaceDE/>
        <w:autoSpaceDN/>
        <w:bidi w:val="0"/>
        <w:adjustRightInd/>
        <w:snapToGrid/>
        <w:spacing w:line="240" w:lineRule="auto"/>
        <w:ind w:left="319" w:leftChars="152" w:firstLine="312" w:firstLineChars="100"/>
        <w:textAlignment w:val="auto"/>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（1）资金安排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项目总投资122.76万元，按照《项目资金管理办法》及单位财务制度等相关规定，资金支出符合门诊、住院综合楼专项资金费用范围，做到了专款专用。在项目资金拨付和使用过程中，为确保项目资金的安全性，提高项目资金使用效率，严格遵循项目资金的拨付程序，认真审核项目实施各阶段的相关材料和手续，根据项目实施进展情况拨付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（2）预算资金来源及使用情况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项目预算资金来源于中医医院2022年医疗服务与保障能力提升（公立医院综合改革）资金预算，项目资金到位122.76万元，实际支出122.76万元，用于支付项目实施进程中的各项费用。</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中医医院2022年医疗服务与保障能力提升（公立医院综合改革）资金预算下达</w:t>
      </w:r>
      <w:r>
        <w:rPr>
          <w:rStyle w:val="18"/>
          <w:rFonts w:hint="eastAsia" w:ascii="楷体" w:hAnsi="楷体" w:eastAsia="楷体"/>
          <w:b w:val="0"/>
          <w:bCs w:val="0"/>
          <w:spacing w:val="-4"/>
          <w:sz w:val="32"/>
          <w:szCs w:val="32"/>
          <w:lang w:eastAsia="zh-CN"/>
        </w:rPr>
        <w:t>单位</w:t>
      </w:r>
      <w:r>
        <w:rPr>
          <w:rStyle w:val="18"/>
          <w:rFonts w:hint="eastAsia" w:ascii="楷体" w:hAnsi="楷体" w:eastAsia="楷体"/>
          <w:b w:val="0"/>
          <w:bCs w:val="0"/>
          <w:spacing w:val="-4"/>
          <w:sz w:val="32"/>
          <w:szCs w:val="32"/>
        </w:rPr>
        <w:t>，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目标达成采购专用材料：1；公立医院平均住院日：9.35；公立医院医疗服务收入占医疗收入的比例：30.50%；公立医院负债率：40.4%；项目完成时间：2022年12月20日前；基础设施建设：21.94；专用材料费：100.82；公立医院医疗服务能力：有所提升；医疗业务保障能力：有所保障；医院职工满意度：80.17% ：</w:t>
      </w:r>
    </w:p>
    <w:p>
      <w:pPr>
        <w:spacing w:line="540" w:lineRule="exact"/>
        <w:ind w:left="319" w:leftChars="152" w:firstLine="312" w:firstLineChars="1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阶段性目</w:t>
      </w:r>
    </w:p>
    <w:p>
      <w:pPr>
        <w:numPr>
          <w:ilvl w:val="0"/>
          <w:numId w:val="1"/>
        </w:numPr>
        <w:spacing w:line="240" w:lineRule="auto"/>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前期准备：通过制定项目实施方案，经项目负责人审核通过后，有序开展后续工程。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（2）组织实施：资金一到位，立即根据项目要求实施项目。项目责任人按照《项目实施方案》要求逐一进行项目部署安排，提高项目质量及效率性。见《医疗服务能力提升支出绩效目标》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 xml:space="preserve">（3）根据项目实施按合同履行支付资金手续。 </w:t>
      </w:r>
    </w:p>
    <w:p>
      <w:pPr>
        <w:numPr>
          <w:ilvl w:val="0"/>
          <w:numId w:val="2"/>
        </w:numPr>
        <w:spacing w:line="240" w:lineRule="auto"/>
        <w:ind w:left="638" w:leftChars="304" w:firstLine="0"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阶段性目标</w:t>
      </w:r>
    </w:p>
    <w:p>
      <w:pPr>
        <w:numPr>
          <w:numId w:val="0"/>
        </w:numPr>
        <w:spacing w:line="240" w:lineRule="auto"/>
        <w:ind w:firstLine="312" w:firstLineChars="1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（1）前期准备：通过制定项目实施方案，经项目负责人审核通过后，有序开展后续工程。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（2）组织实施：资金一到位，立即根据项目要求实施项目。项目责任人按照《项目实施方案》要求逐一进行项目部署安排，提高项目质量及效率性。见《医疗服务能力提升支出绩效目标》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 xml:space="preserve">（3）根据项目实施按合同履行支付资金手续。 </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240" w:lineRule="auto"/>
        <w:ind w:firstLine="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（1）项目在实施前向项目负责人提供财政支出绩效方面的资金管理信息，促进项目支出严格按照资金管理规定进行。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（2）项目绩效管理财政支出运行提供及时、有效的信息。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综合来看，通过开展有效的财政支出绩效评价管理，达到改进预算管理、控制节约成本，提高预算资金使用效益的目的。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2、绩效评价的对象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绩效评价的对象为“中医治未病能力建设项目”。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3、绩效评价的范围</w:t>
      </w:r>
    </w:p>
    <w:p>
      <w:pPr>
        <w:spacing w:line="240" w:lineRule="auto"/>
        <w:ind w:firstLine="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本次评价从项目决策（包括绩效目标、决策过程）、项目管理（包括项目资金、项目实施）、项目产出（包括项目产出数量、产出质量、产出时效和产出成本）项目效益四个维度进行“中医治未病能力建设项目”项目评价，评价核心为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left="638" w:leftChars="304" w:firstLine="218" w:firstLineChars="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p>
    <w:p>
      <w:pPr>
        <w:spacing w:line="240" w:lineRule="auto"/>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中医治未病能力建设项目”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p>
    <w:p>
      <w:pPr>
        <w:spacing w:line="240" w:lineRule="auto"/>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医疗服务与保障能力提升项目”进行客观评价。对医疗服务与保障能力提升项目进行客观评价，最终评分结果：总得分为100分，属于“优”。其中，项目决策类指标权重为5分，得分为5分，得分率为 100%。项目过程类指标权重为5分，得分为5分，得分率为100%。项目产出类指标权重为50分，得分为50分，得分率为 100%。项目效益类指标权重为30分，得分为30分，得分率为100%。项目服务对象满意度指标权重为10分，得分为10分，得分率为100%。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实际到位资金122.76万元，预算资金122.76万元，资金到位率100%，得3分。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2.预算执行率：年初预算数122.76万元，全年预算数122.76万元，全年执行数122.76万元，预算执行率为100%，得10分。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数量指标：指标1：采购专用材料  ，指标值：  1次  ，实际完成值  5次 ，指标完成率 100  %，无偏差得7分。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指标2：公立医院平均住院日 ，指标值：  &lt;=9.35天  ，实际完成值  8.6天 ，指标完成率 100  %，无偏差得8分。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质量指标：指标1：公立医院负债率 ，指标值：&lt;=40.4% ，实际完成值   29%  ，指标完成率 100%  %。无偏差，得7分。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指标2：医疗服务占业务收入比重 ，指标值：&lt;=30.5%  ，实际完成值  42%，指标完成率 100%  %。无偏差，得7分。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时效指标：指标1：该项目完成时间   ，指标值：2022年12月20日 ，实际完成值  2022年12月前 ，指标完成率100 %，无偏差，得7分。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成本指标：指标1：基础设施建设成本 ，指标值：&lt;=21.94万元 ，实际完成值 21.94万元 ，指标完成率100 %。，得7分。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该指标分值50分，依据评分标准，得50分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社会效益指标：评价指标“公立医院医疗服务能力”，指标值：有所提升，实际完成值：医院服务能力大大提升，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可持续影响指标：评价指标“提高业务保障能力”，指标值：业务有保障，实际完成值：达成年度指标。项目完成后医疗服务得到保障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社会效益指标：评价指标“公立医院医疗服务能力”，指标值：有所提升，实际完成值：医院服务能力大大提升，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可持续影响指标：评价指标“提高业务保障能力”，指标值：业务有保障，实际完成值：达成年度指标。项目完成后医疗服务得到保障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服务对象满意度指标：评价指标“患者满意度”，指标值：≥81%，实际完成值：≥90%。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10880"/>
    <w:multiLevelType w:val="singleLevel"/>
    <w:tmpl w:val="8B310880"/>
    <w:lvl w:ilvl="0" w:tentative="0">
      <w:start w:val="2"/>
      <w:numFmt w:val="decimal"/>
      <w:suff w:val="nothing"/>
      <w:lvlText w:val="%1、"/>
      <w:lvlJc w:val="left"/>
    </w:lvl>
  </w:abstractNum>
  <w:abstractNum w:abstractNumId="1">
    <w:nsid w:val="1F7B74B9"/>
    <w:multiLevelType w:val="singleLevel"/>
    <w:tmpl w:val="1F7B74B9"/>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3B742C"/>
    <w:rsid w:val="15392994"/>
    <w:rsid w:val="18FE139B"/>
    <w:rsid w:val="2A891760"/>
    <w:rsid w:val="3029612C"/>
    <w:rsid w:val="32A221C5"/>
    <w:rsid w:val="33F20F2A"/>
    <w:rsid w:val="34C44675"/>
    <w:rsid w:val="3B5B5607"/>
    <w:rsid w:val="3CE21B3C"/>
    <w:rsid w:val="4D2606A1"/>
    <w:rsid w:val="51830480"/>
    <w:rsid w:val="53A616BE"/>
    <w:rsid w:val="54662BFB"/>
    <w:rsid w:val="575416D1"/>
    <w:rsid w:val="62051CA5"/>
    <w:rsid w:val="6809267A"/>
    <w:rsid w:val="6C3A69EF"/>
    <w:rsid w:val="7D7856FE"/>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16</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2025-09-09T03:23:14Z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