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00" w:firstLineChars="250"/>
        <w:jc w:val="left"/>
        <w:rPr>
          <w:rFonts w:hint="eastAsia" w:ascii="仿宋" w:hAnsi="仿宋" w:eastAsia="仿宋" w:cs="仿宋"/>
          <w:b w:val="0"/>
          <w:bCs w:val="0"/>
          <w:kern w:val="0"/>
          <w:sz w:val="32"/>
          <w:szCs w:val="32"/>
        </w:rPr>
      </w:pPr>
      <w:r>
        <w:rPr>
          <w:rFonts w:hint="eastAsia" w:ascii="仿宋" w:hAnsi="仿宋" w:eastAsia="仿宋" w:cs="仿宋"/>
          <w:b w:val="0"/>
          <w:bCs w:val="0"/>
          <w:kern w:val="0"/>
          <w:sz w:val="32"/>
          <w:szCs w:val="32"/>
        </w:rPr>
        <w:t>项目名称：</w:t>
      </w:r>
      <w:r>
        <w:rPr>
          <w:rStyle w:val="18"/>
          <w:rFonts w:hint="eastAsia" w:ascii="仿宋" w:hAnsi="仿宋" w:eastAsia="仿宋" w:cs="仿宋"/>
          <w:b w:val="0"/>
          <w:bCs w:val="0"/>
          <w:spacing w:val="-4"/>
          <w:sz w:val="32"/>
          <w:szCs w:val="32"/>
        </w:rPr>
        <w:t>移动PCR方舱实验室购置项目</w:t>
      </w:r>
    </w:p>
    <w:p>
      <w:pPr>
        <w:spacing w:line="540" w:lineRule="exact"/>
        <w:ind w:firstLine="567"/>
        <w:rPr>
          <w:rFonts w:hint="eastAsia" w:ascii="仿宋" w:hAnsi="仿宋" w:eastAsia="仿宋" w:cs="仿宋"/>
          <w:b w:val="0"/>
          <w:bCs w:val="0"/>
          <w:spacing w:val="-4"/>
          <w:sz w:val="32"/>
          <w:szCs w:val="32"/>
        </w:rPr>
      </w:pPr>
      <w:r>
        <w:rPr>
          <w:rFonts w:hint="eastAsia" w:ascii="仿宋" w:hAnsi="仿宋" w:eastAsia="仿宋" w:cs="仿宋"/>
          <w:b w:val="0"/>
          <w:bCs w:val="0"/>
          <w:kern w:val="0"/>
          <w:sz w:val="32"/>
          <w:szCs w:val="32"/>
        </w:rPr>
        <w:t xml:space="preserve">  实施单位（公章）：</w:t>
      </w:r>
      <w:r>
        <w:rPr>
          <w:rStyle w:val="18"/>
          <w:rFonts w:hint="eastAsia" w:ascii="仿宋" w:hAnsi="仿宋" w:eastAsia="仿宋" w:cs="仿宋"/>
          <w:b w:val="0"/>
          <w:bCs w:val="0"/>
          <w:spacing w:val="-4"/>
          <w:sz w:val="32"/>
          <w:szCs w:val="32"/>
        </w:rPr>
        <w:t>伊犁哈萨克自治州塔城地区疾病预防控制中心</w:t>
      </w:r>
    </w:p>
    <w:p>
      <w:pPr>
        <w:spacing w:line="540" w:lineRule="exact"/>
        <w:ind w:firstLine="800" w:firstLineChars="250"/>
        <w:rPr>
          <w:rFonts w:hint="eastAsia" w:ascii="仿宋" w:hAnsi="仿宋" w:eastAsia="仿宋" w:cs="仿宋"/>
          <w:b w:val="0"/>
          <w:bCs w:val="0"/>
          <w:spacing w:val="-4"/>
          <w:sz w:val="32"/>
          <w:szCs w:val="32"/>
        </w:rPr>
      </w:pPr>
      <w:r>
        <w:rPr>
          <w:rFonts w:hint="eastAsia" w:ascii="仿宋" w:hAnsi="仿宋" w:eastAsia="仿宋" w:cs="仿宋"/>
          <w:b w:val="0"/>
          <w:bCs w:val="0"/>
          <w:kern w:val="0"/>
          <w:sz w:val="32"/>
          <w:szCs w:val="32"/>
        </w:rPr>
        <w:t>主管部门（公章）：</w:t>
      </w:r>
      <w:r>
        <w:rPr>
          <w:rStyle w:val="18"/>
          <w:rFonts w:hint="eastAsia" w:ascii="仿宋" w:hAnsi="仿宋" w:eastAsia="仿宋" w:cs="仿宋"/>
          <w:b w:val="0"/>
          <w:bCs w:val="0"/>
          <w:spacing w:val="-4"/>
          <w:sz w:val="32"/>
          <w:szCs w:val="32"/>
        </w:rPr>
        <w:t>伊犁哈萨克自治州塔城地区疾病预防控制中心</w:t>
      </w:r>
    </w:p>
    <w:p>
      <w:pPr>
        <w:spacing w:line="540" w:lineRule="exact"/>
        <w:ind w:firstLine="800" w:firstLineChars="250"/>
        <w:rPr>
          <w:rFonts w:hint="eastAsia" w:ascii="仿宋" w:hAnsi="仿宋" w:eastAsia="仿宋" w:cs="仿宋"/>
          <w:b w:val="0"/>
          <w:bCs w:val="0"/>
          <w:spacing w:val="-4"/>
          <w:sz w:val="32"/>
          <w:szCs w:val="32"/>
        </w:rPr>
      </w:pPr>
      <w:r>
        <w:rPr>
          <w:rFonts w:hint="eastAsia" w:ascii="仿宋" w:hAnsi="仿宋" w:eastAsia="仿宋" w:cs="仿宋"/>
          <w:b w:val="0"/>
          <w:bCs w:val="0"/>
          <w:kern w:val="0"/>
          <w:sz w:val="32"/>
          <w:szCs w:val="32"/>
        </w:rPr>
        <w:t>项目负责人（签章）：</w:t>
      </w:r>
      <w:r>
        <w:rPr>
          <w:rStyle w:val="18"/>
          <w:rFonts w:hint="eastAsia" w:ascii="仿宋" w:hAnsi="仿宋" w:eastAsia="仿宋" w:cs="仿宋"/>
          <w:b w:val="0"/>
          <w:bCs w:val="0"/>
          <w:spacing w:val="-4"/>
          <w:sz w:val="32"/>
          <w:szCs w:val="32"/>
        </w:rPr>
        <w:t>石德福</w:t>
      </w:r>
    </w:p>
    <w:p>
      <w:pPr>
        <w:spacing w:line="540" w:lineRule="exact"/>
        <w:ind w:left="273" w:firstLine="567"/>
        <w:rPr>
          <w:rStyle w:val="18"/>
          <w:rFonts w:hint="eastAsia" w:ascii="仿宋" w:hAnsi="仿宋" w:eastAsia="仿宋" w:cs="仿宋"/>
          <w:b w:val="0"/>
          <w:bCs w:val="0"/>
          <w:spacing w:val="-4"/>
          <w:sz w:val="32"/>
          <w:szCs w:val="32"/>
        </w:rPr>
      </w:pPr>
      <w:r>
        <w:rPr>
          <w:rFonts w:hint="eastAsia" w:ascii="仿宋" w:hAnsi="仿宋" w:eastAsia="仿宋" w:cs="仿宋"/>
          <w:b w:val="0"/>
          <w:bCs w:val="0"/>
          <w:kern w:val="0"/>
          <w:sz w:val="32"/>
          <w:szCs w:val="32"/>
        </w:rPr>
        <w:t>填报时间：</w:t>
      </w:r>
      <w:r>
        <w:rPr>
          <w:rStyle w:val="18"/>
          <w:rFonts w:hint="eastAsia" w:ascii="仿宋" w:hAnsi="仿宋" w:eastAsia="仿宋" w:cs="仿宋"/>
          <w:b w:val="0"/>
          <w:bCs w:val="0"/>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240" w:lineRule="auto"/>
        <w:ind w:left="628" w:leftChars="299" w:firstLine="0" w:firstLineChars="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p>
    <w:p>
      <w:pPr>
        <w:spacing w:line="240" w:lineRule="auto"/>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党和政府历来高度重视疾病预防和卫生防疫工作的发展，提高人民健康水平健全全民医保体系，“建立重特大疾病保障和救助机制，完善突发公共卫生事件应急和疾病预防控制机制”。为了切实做好塔城地区</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防控工作，有效应对</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，应对突发</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检测激增的快速需求。项目建设针对传染病有发病快，短时病人多，检测难度大，时问长的特点，PCR 方舱实验室能及时检测出感染人群并进行有效隔离，且移动便捷，能迅速运送到各区城开展检测工作，可板大缓解核酸检測能力，需要合适的检测担负塔城地区应急核酸检测任务。快速、有效核酸检测是</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防控的有效手段之一，是落实“四早”要求的重要举措，应对</w:t>
      </w:r>
      <w:r>
        <w:rPr>
          <w:rStyle w:val="18"/>
          <w:rFonts w:hint="eastAsia" w:ascii="楷体" w:hAnsi="楷体" w:eastAsia="楷体"/>
          <w:b w:val="0"/>
          <w:bCs w:val="0"/>
          <w:spacing w:val="-4"/>
          <w:sz w:val="32"/>
          <w:szCs w:val="32"/>
          <w:lang w:eastAsia="zh-CN"/>
        </w:rPr>
        <w:t>突发病毒</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检测、隔高管控必须态度坚决、快速有效、措施到位、范围精准、应隔尽隔。方舱实验室是防控</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的检测工作室，可以全方位、无死角的防控局部</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，移动PCR 实验室可以到乡村，山区等核酸检测能力不足的地方提供应急防控能力。边境、口岸、机场、工厂、校园都可以使用。实验室的启用，可以随到随检，不用送到医院实验室，可节约1小时的等待时间。方舱实验室功能齐全，可以快速部署，以及扩容，快速反应检测应对，可满足各地区的抗疫需求。方舱实验室通风系统、人流、气流、物品都是单向流动的，保障了检测人员的安全性。方舱实验室可以防止突发公共卫生事件，国外</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持续恶化，机场、边境口岸面临极大挑战，区域也有感染出现，项目区需购置高效方舱实验室，可以机动化移动检测，满足国家传染病防治规范要求，加强核酸检测力度。</w:t>
      </w:r>
      <w:r>
        <w:rPr>
          <w:rStyle w:val="18"/>
          <w:rFonts w:hint="eastAsia" w:ascii="楷体" w:hAnsi="楷体" w:eastAsia="楷体"/>
          <w:b w:val="0"/>
          <w:bCs w:val="0"/>
          <w:spacing w:val="-4"/>
          <w:sz w:val="32"/>
          <w:szCs w:val="32"/>
          <w:lang w:eastAsia="zh-CN"/>
        </w:rPr>
        <w:t>突发病毒</w:t>
      </w:r>
      <w:r>
        <w:rPr>
          <w:rStyle w:val="18"/>
          <w:rFonts w:hint="eastAsia" w:ascii="楷体" w:hAnsi="楷体" w:eastAsia="楷体"/>
          <w:b w:val="0"/>
          <w:bCs w:val="0"/>
          <w:spacing w:val="-4"/>
          <w:sz w:val="32"/>
          <w:szCs w:val="32"/>
        </w:rPr>
        <w:t>在全国被有效控制，但变异株所导致的</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具有传播速度快、传播力强，隐蛋性强等特点，致使各地</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反复爆发，</w:t>
      </w:r>
      <w:r>
        <w:rPr>
          <w:rStyle w:val="18"/>
          <w:rFonts w:hint="eastAsia" w:ascii="楷体" w:hAnsi="楷体" w:eastAsia="楷体"/>
          <w:b w:val="0"/>
          <w:bCs w:val="0"/>
          <w:spacing w:val="-4"/>
          <w:sz w:val="32"/>
          <w:szCs w:val="32"/>
          <w:lang w:eastAsia="zh-CN"/>
        </w:rPr>
        <w:t>突发病毒</w:t>
      </w:r>
      <w:r>
        <w:rPr>
          <w:rStyle w:val="18"/>
          <w:rFonts w:hint="eastAsia" w:ascii="楷体" w:hAnsi="楷体" w:eastAsia="楷体"/>
          <w:b w:val="0"/>
          <w:bCs w:val="0"/>
          <w:spacing w:val="-4"/>
          <w:sz w:val="32"/>
          <w:szCs w:val="32"/>
        </w:rPr>
        <w:t>形势依然严峻。国内日常生活与</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的流行、防控之间，形成了新的常态和稳态。塔城地区疾病预防控制中心作为地区唯一一家具备病毒基因测序能力的核心实验室，承担地区范围突发公共卫生事件应急处置支援职责任务，各县市一旦突发</w:t>
      </w:r>
      <w:r>
        <w:rPr>
          <w:rStyle w:val="18"/>
          <w:rFonts w:hint="eastAsia" w:ascii="楷体" w:hAnsi="楷体" w:eastAsia="楷体"/>
          <w:b w:val="0"/>
          <w:bCs w:val="0"/>
          <w:spacing w:val="-4"/>
          <w:sz w:val="32"/>
          <w:szCs w:val="32"/>
          <w:lang w:eastAsia="zh-CN"/>
        </w:rPr>
        <w:t>传染病</w:t>
      </w:r>
      <w:r>
        <w:rPr>
          <w:rStyle w:val="18"/>
          <w:rFonts w:hint="eastAsia" w:ascii="楷体" w:hAnsi="楷体" w:eastAsia="楷体"/>
          <w:b w:val="0"/>
          <w:bCs w:val="0"/>
          <w:spacing w:val="-4"/>
          <w:sz w:val="32"/>
          <w:szCs w:val="32"/>
        </w:rPr>
        <w:t>，该中心第一时间赶</w:t>
      </w:r>
      <w:bookmarkStart w:id="0" w:name="_GoBack"/>
      <w:bookmarkEnd w:id="0"/>
      <w:r>
        <w:rPr>
          <w:rStyle w:val="18"/>
          <w:rFonts w:hint="eastAsia" w:ascii="楷体" w:hAnsi="楷体" w:eastAsia="楷体"/>
          <w:b w:val="0"/>
          <w:bCs w:val="0"/>
          <w:spacing w:val="-4"/>
          <w:sz w:val="32"/>
          <w:szCs w:val="32"/>
        </w:rPr>
        <w:t>赴现场进行增援，集结要快、迅速到位、第一</w:t>
      </w:r>
      <w:r>
        <w:rPr>
          <w:rStyle w:val="18"/>
          <w:rFonts w:hint="eastAsia" w:ascii="楷体" w:hAnsi="楷体" w:eastAsia="楷体"/>
          <w:b w:val="0"/>
          <w:bCs w:val="0"/>
          <w:spacing w:val="-4"/>
          <w:sz w:val="32"/>
          <w:szCs w:val="32"/>
          <w:lang w:val="en-US" w:eastAsia="zh-CN"/>
        </w:rPr>
        <w:t>时间</w:t>
      </w:r>
      <w:r>
        <w:rPr>
          <w:rStyle w:val="18"/>
          <w:rFonts w:hint="eastAsia" w:ascii="楷体" w:hAnsi="楷体" w:eastAsia="楷体"/>
          <w:b w:val="0"/>
          <w:bCs w:val="0"/>
          <w:spacing w:val="-4"/>
          <w:sz w:val="32"/>
          <w:szCs w:val="32"/>
        </w:rPr>
        <w:t>判定源头。依据《传染病防治法》及《突发公共卫生事件应急条例》的要求，塔城地区疾病预防控制中心移动PCR 方舱实验室购置项目设备、设施较为先进，配置较合理，能满足传染病防治的要求。并提升塔城地区应对突发公共卫生事件的能力，进一步代化塔城地区卫生谈源的配置。因此。建设项目十分必要。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移动PCR方舱实验室购置项目主要建设内容为：购置移动PCR方舱实验室1座，配套相关设施、设备。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项目实施情况：购置移动PCR方舱实验室1座，配套相关设施、设备。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资金投入情况：该项目年初预算数454.61万元，全年预算数454.61万元，实际总投入440.98万元，该项目资金已全部落实到位,资金来源为财政拨款资金。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资金使用情况：该项目年初预算数454.61万元，全年预算数454.61万元，全年执行数440.98万元，预算执行率为97%，用于购置移动PCR方舱实验室1座，配套相关设施、设备。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left="1051" w:leftChars="456" w:hanging="93" w:hangingChars="3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塔城地区疾病预防控制中心是政府设置的履行公共卫生职能的公益性事业单位，承担着全地区传染病、慢性病和公共卫生的检验检测、监测、控制、信息收集报告、培训及业务指导、健康教育、考核评价、突发公共卫生事件应急处置等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一是2022年11月进行政府采购和签订合同，中标人新疆北旺医疗器械有限公司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二是2022年11月25日到达项目预算资金。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三是2022年11月29日预付第一笔资金2249350元。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四是2022年12月19日安装方舱实验室完毕并验收合格。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五是2022年12完成所有资金开支。</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left="319" w:leftChars="152" w:firstLine="530" w:firstLineChars="1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移动PCR方舱实验室购置项目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移动PCR方舱实验室购置项目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移动PCR方舱实验室购置项目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结合项目特点，制定符合项目实际的绩效评价指标体系及评分标准，通过数据采集、问卷调查及访谈等形式，对2022年移动PCR方舱实验室购置项目进行客观评价。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240" w:lineRule="auto"/>
        <w:ind w:firstLine="0" w:firstLineChars="0"/>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该指标分值20分，依据评分标准，此项指标不扣分，得20</w:t>
      </w:r>
      <w:r>
        <w:rPr>
          <w:rStyle w:val="18"/>
          <w:rFonts w:hint="eastAsia" w:ascii="楷体" w:hAnsi="楷体" w:eastAsia="楷体"/>
          <w:b w:val="0"/>
          <w:bCs w:val="0"/>
          <w:spacing w:val="-4"/>
          <w:sz w:val="32"/>
          <w:szCs w:val="32"/>
          <w:lang w:eastAsia="zh-CN"/>
        </w:rPr>
        <w:t>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936" w:firstLineChars="3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1.资金到位率：实际到位资金454.61万元，预算资金454.61万元，资金到位率100%，得3分。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2.预算执行率：年初预算数454.61万元，全年预算数440.98万元，全年执行数440.98万元，预算执行率为97%，得9.7分。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该指标分值20分，依据评分标准，此项指标扣0.3分，得19.7分。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left="638" w:leftChars="304" w:firstLine="218" w:firstLineChars="7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数量指标：</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指标1：实验室舱体，指标值：≥1套 ，实际完成值1套，指标完成率100%；。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指标2：紫外线消毒车，指标值：≥3辆，实际完成值3辆，指标完成率100%。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指标3：立式压力蒸汽灭菌器，指标值：≥1个，实际完成值1个，指标完成率100%，综上，得10分。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质量指标：</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指标1：移动PCR方舱实验室验收合格率，指标值：≥90%，实际完成值100%，指标完成率100%，综上，得10分。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时效指标：</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指标1：项目完工时间，指标值：2022年12月20日，实际完成值2022年12月20日，指标完成率100%，综上，得10分。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成本指标：</w:t>
      </w:r>
    </w:p>
    <w:p>
      <w:pPr>
        <w:spacing w:line="540" w:lineRule="exact"/>
        <w:ind w:firstLine="624" w:firstLineChars="20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指标1：实验室配套相关设施、设备成本，指标值：≤379.61万元，实际完成值365.98万元，指标完成率96.25%，偏差原因：造成偏差的原因是财政拨款450万元购买方舱实验室，但是合同签订为4498700元，已经支付97%，4363739元，预留质保金3%，134961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指标2：实验室舱体成本，指标值：≤75万元，实际完成值75万元，指标完成率100%，综上，得9.8分。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该指标分值40分，依据评分标准，此项指标扣0.2分，得39.8分。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left="950" w:leftChars="304" w:hanging="312" w:hangingChars="1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p>
    <w:p>
      <w:pPr>
        <w:spacing w:line="540" w:lineRule="exact"/>
        <w:ind w:firstLine="936" w:firstLineChars="3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社会效益指标：评价指标“转运样本、人员流动带来的生物安全风险”，指标值：有效规避，实际完成值：达成年度指标。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可持续影响指标：评价指标“核酸检测效率和</w:t>
      </w:r>
      <w:r>
        <w:rPr>
          <w:rStyle w:val="18"/>
          <w:rFonts w:hint="eastAsia" w:ascii="楷体" w:hAnsi="楷体" w:eastAsia="楷体"/>
          <w:b w:val="0"/>
          <w:bCs w:val="0"/>
          <w:spacing w:val="-4"/>
          <w:sz w:val="32"/>
          <w:szCs w:val="32"/>
          <w:lang w:eastAsia="zh-CN"/>
        </w:rPr>
        <w:t>病毒</w:t>
      </w:r>
      <w:r>
        <w:rPr>
          <w:rStyle w:val="18"/>
          <w:rFonts w:hint="eastAsia" w:ascii="楷体" w:hAnsi="楷体" w:eastAsia="楷体"/>
          <w:b w:val="0"/>
          <w:bCs w:val="0"/>
          <w:spacing w:val="-4"/>
          <w:sz w:val="32"/>
          <w:szCs w:val="32"/>
        </w:rPr>
        <w:t>应急响应能力”，指标值：不断提高，实际完成值：达成年度指标。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624" w:firstLineChars="20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服务对象满意度指标：评价指标“人民群众满意”，指标值：≥90%，实际完成值：≥90%。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本项目预算执行率为97%，指标总体完成率为99.63%，二者之间的偏差值为2.63%。因此，本项目较好地完成了年度总体目标，财政资金使用效益和效率较高。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624" w:firstLineChars="200"/>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（一）主要经验及做法</w:t>
      </w:r>
    </w:p>
    <w:p>
      <w:pPr>
        <w:spacing w:line="540" w:lineRule="exact"/>
        <w:ind w:firstLine="624" w:firstLineChars="200"/>
        <w:rPr>
          <w:rFonts w:ascii="仿宋_GB2312" w:eastAsia="仿宋_GB2312"/>
          <w:spacing w:val="-4"/>
          <w:sz w:val="32"/>
          <w:szCs w:val="32"/>
        </w:rPr>
      </w:pPr>
      <w:r>
        <w:rPr>
          <w:rStyle w:val="18"/>
          <w:rFonts w:hint="eastAsia" w:ascii="楷体" w:hAnsi="楷体" w:eastAsia="楷体"/>
          <w:b w:val="0"/>
          <w:bCs w:val="0"/>
          <w:spacing w:val="-4"/>
          <w:sz w:val="32"/>
          <w:szCs w:val="32"/>
        </w:rPr>
        <w:t>1.项目绩效目标明确合理、绩效目标细化量化程度完备、项目预期效益可实现程度较高。评估项目有明确的绩效目标，绩效目标与部门的长期规划目标、年度工作目标相一致，项目产出和效果相关联，受益群体的定位准确，绩效目标与项目要解决的问题匹配、与现实需求匹配，具有一定的前瞻性和挑战性；绩效指标设置与项目高度相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本项目实施方案内容包含项目立项依据、实施目标、实施可行性、内容及资金保障等，明确清晰，符合相关法律法规及制度规定，编制合理。本单位按照两级评审的会议原则，集体审议每笔项目资金的支出，业务、风控、财务、人事等。各类内控制度健全，按照内部控制要求，结合项目内容及实施方案，在单位主要负责人直接领导下，建立适合本单位实际情况的项目内部控制体系，全面梳理业务流程，明确业务环节，分析风险隐患，完善风险评估机制，制定风险应对策略，有效运用不相容岗位相互分离、内部授权审批控制、归口管理、预算控制、财产保护控制、会计控制、单据控制、信息内部公开等内部控制基本方法，加强对单位层面和业务层面的内部控制，实现内部控制体系全面、有效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1、存在问题：项目绩效管理缺乏经验，绩效系统性整体性较弱化，有待强化。</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2、原因分析：在项目具体执行过程往往只重视预算执行情况，忽视产出和效果，项目实施过程中需提供行之有效的绩效管理办法和评价机制。</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left="638" w:leftChars="304" w:firstLine="0" w:firstLineChars="0"/>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w:t>
      </w: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1C9B11B4"/>
    <w:rsid w:val="2A2B0337"/>
    <w:rsid w:val="2A891760"/>
    <w:rsid w:val="3029612C"/>
    <w:rsid w:val="32A221C5"/>
    <w:rsid w:val="33F20F2A"/>
    <w:rsid w:val="34C44675"/>
    <w:rsid w:val="3B5B5607"/>
    <w:rsid w:val="3CE21B3C"/>
    <w:rsid w:val="40F96E88"/>
    <w:rsid w:val="4D2606A1"/>
    <w:rsid w:val="51830480"/>
    <w:rsid w:val="5235165F"/>
    <w:rsid w:val="53A616BE"/>
    <w:rsid w:val="54662BFB"/>
    <w:rsid w:val="55FC708F"/>
    <w:rsid w:val="62051CA5"/>
    <w:rsid w:val="6B6D2476"/>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21</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2025-09-12T04:00:06Z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