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塔城地区流浪乞讨人员救助管理站项目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伊犁哈萨克自治州塔城地区民政局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伊犁哈萨克自治州塔城地区民政局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高中星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改革开放以来，我国的社会经济获得了高速发展，人民生活水平获得很大提高，贫困人口逐年减少。但是，经济发展以及市场经济取向的改革，也带来了一些社会问题，对部分儿童生存状况产生了一些负面影响：从农村到城市的巨大人口流动浪潮裹挟了一部分儿童，他们离开家乡，离开父母家庭、离开学校，在缺乏人身安全及经济保障的环境中游荡；家庭不稳定的增长、离婚、再婚、单亲家庭现象的增多，使一部分儿童失去了家庭应给予的关爱和照顾；社会控制的弱化及经济犯罪现象的增多，使一些儿童成为犯罪活动的牺牲品或参与者。为了积极响应国家对于加强流浪成年人救助保护和帮扶流浪乞讨人员工作的号召，建设功能齐全的新型社会救助保护机构就成为必然。本项目即是为适应以上要求而提出来的，是有效改善我地区流浪儿童救助保护设施条件，全面适应流浪儿童救助保护工作的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主要内容及实施情况:塔城地区流浪乞讨人员救助管理站项目,于2021年9月经塔城地区发展和改革委员会（塔地发改社发【2021】54号）批准建设，该项目建筑面积1500平米，地上三层无地下室，设置床位50张，配套附属设施建设。建设地点位于塔城地区福利院区北侧（原财贸学校院内），项目总投资450万元，资金来源为中央预算内资金和地方配套资金。2022年4月中央预算内资金到位360万元。2022年9月该项目完成了招投标工作，签订了施工协议，因疫情及天气影响，未能开工，计划于2023年开春动工，同年9月底完工。目前，该项目已支付工程预付款、农民工工资预付款及各项前期手续费用共126.95万元，后续我们将按施工进度进行资金拨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资金投入情况：该项目年初预算数360万元，全年预算数360万元，实际总投入360万元，该项目资金已全部落实到位,资金来源为财政拨款资金。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资金使用情况：该项目年初预算数360万元，全年预算数360万元，全年执行数126.95万元，预算执行率为35.26%，用于项目设计、前期费用和工程预防款。</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进一步改善社会福利、残疾人服务基础设施条件，提升为孤弃儿童、流浪乞讨人员等特殊群体服务的能力和质量，最大限度地帮助他们摆脱困境，回归社会，使他们感受到社会的关爱，有利建设社会矛盾，优化社会环境，促进社会和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2、阶段性目标： 2022年完成可行性研究报告的编制和审批、地勘、规划、设计、施工图设计及审批等、预算控制价、招投标工作、监理、工程进场等工作。土建施工、设备验收、安装调试至运行等在2023年12月前完工：（1）土建施工工期</w:t>
      </w:r>
      <w:bookmarkStart w:id="0" w:name="_GoBack"/>
      <w:bookmarkEnd w:id="0"/>
      <w:r>
        <w:rPr>
          <w:rStyle w:val="18"/>
          <w:rFonts w:hint="eastAsia" w:ascii="楷体" w:hAnsi="楷体" w:eastAsia="楷体"/>
          <w:b w:val="0"/>
          <w:bCs w:val="0"/>
          <w:spacing w:val="-4"/>
          <w:sz w:val="32"/>
          <w:szCs w:val="32"/>
        </w:rPr>
        <w:t>为12个月；（2）配套设施建设共计用6个月。各阶段之间互相交叉，确保工程的建设周期在2023年12月完成，投入正式运行。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left="319" w:leftChars="152" w:firstLine="530" w:firstLineChars="17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color w:val="FFFFFF" w:themeColor="background1"/>
          <w:spacing w:val="-4"/>
          <w:sz w:val="32"/>
          <w:szCs w:val="32"/>
          <w:lang w:val="en-US" w:eastAsia="zh-CN"/>
          <w14:textFill>
            <w14:solidFill>
              <w14:schemeClr w14:val="bg1"/>
            </w14:solidFill>
          </w14:textFill>
        </w:rPr>
        <w:t>1111</w:t>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2、绩效评价对象：塔城地区流浪乞讨人员救助管理站项目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地区流浪乞讨人员救助管理站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流浪乞讨人员救助管理站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color w:val="FFFFFF" w:themeColor="background1"/>
          <w:spacing w:val="-4"/>
          <w:sz w:val="32"/>
          <w:szCs w:val="32"/>
          <w:lang w:val="en-US" w:eastAsia="zh-CN"/>
          <w14:textFill>
            <w14:solidFill>
              <w14:schemeClr w14:val="bg1"/>
            </w14:solidFill>
          </w14:textFill>
        </w:rPr>
        <w:t>1111</w:t>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结合项目特点，制定符合项目实际的绩效评价指标体系及评分标准，通过数据采集、问卷调查及访谈等形式，对2022年塔城地区流浪乞讨人员救助管理站项目进行客观评价。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实际到位资金360万元，预算资金360万元，资金到位率100%，得3分。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2.预算执行率：年初预算数360万元，全年预算数360万元，全年执行数126.95万元，预算执行率为35.26%，得3.5分。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该指标分值20分，依据评分标准，此项指标扣6.5分，得13.5分。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数量指标：指标1：支持社会服务兜底设施项目数量 ，指标值：1 ，实际完成值 1 ，指标完成率 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质量指标：指标1：建设项目验收合格率，指标值：≧95 % ，实际完成值 0，指标完成率 0 %，偏差原因：工程还未完工，未进行验收，得0分。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时效指标：指标1：项目开始时间，指标值：2022年12月，实际完成值 2022年12月，指标完成率 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指标2：预算资金支付率，指标值：≧98 % ，实际完成值35.26%，指标完成率 35 .26%，偏差原因：工程按进度实施拨款，综上，得6.75分。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成本指标：指标1：支付工程款，指标值：≤360 万元 ，实际完成值 126.95万元，指标完成率35.26 %，偏差原因：工程按进度实施拨款，得3.53分。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该指标分值40分，依据评分标准，此项指标扣19.72分，得20.28分。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使流浪乞讨人员的生活、权益得到有效保障”，指标值：有效保障，实际完成值：达成年度指标。项目的建设对维护塔城地区社会治安的稳定，预防流浪乞讨人员违法犯罪，保护流浪乞讨人员合法权益具有十分显著的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项目使用年限”，指标值：≧10年，实际完成值：≧10年，达成年度指标。项目的建设后为维护塔城市社会治安的稳定，预防浪浪未成年人违法犯罪，保护流浪乞讨人员合法权益，为塔城地区经济建设保驾护航，重点突出其社会效益。</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服务对象满意度”，指标值：≥95%，实际完成值：≥100%。塔城地区流浪乞讨人员救助站的投入建成后，为街头流浪乞讨人员提供了及时的救助保护，向流浪乞讨人员提供了最基本的食宿安置，同时还给这些未成年人进行健康检查、疾病医疗及心理问题辅导和偏差行为的矫治，流浪乞讨人员逗留救助保护设施期间，还可以获得文化知识、生命知识、自我保护知识及法律知识的教育以及一些技能培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该指标分值20分，依据评分标准，此项指标扣2分，得18分。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35.26%，指标总体完成率为66.25%，二者之间的偏差值为30.99%。因工程开工较晚，按工程进度支付30%工程款，11月进入冬季，无法施工，待来年开春进入复工期，加紧施工。因此，本项未完成预初的年度总体目标，财政资金使用效益和效率较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left="319" w:leftChars="152" w:firstLine="530" w:firstLineChars="170"/>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color w:val="FFFFFF" w:themeColor="background1"/>
          <w:spacing w:val="-4"/>
          <w:sz w:val="32"/>
          <w:szCs w:val="32"/>
          <w:lang w:val="en-US" w:eastAsia="zh-CN"/>
          <w14:textFill>
            <w14:solidFill>
              <w14:schemeClr w14:val="bg1"/>
            </w14:solidFill>
          </w14:textFill>
        </w:rPr>
        <w:t>1111</w:t>
      </w:r>
      <w:r>
        <w:rPr>
          <w:rStyle w:val="18"/>
          <w:rFonts w:hint="eastAsia" w:ascii="楷体" w:hAnsi="楷体" w:eastAsia="楷体"/>
          <w:b w:val="0"/>
          <w:bCs w:val="0"/>
          <w:spacing w:val="-4"/>
          <w:sz w:val="32"/>
          <w:szCs w:val="32"/>
        </w:rPr>
        <w:t>整个项目建设过程中，严格按照《流浪乞讨建设标准》建设施工，对面临不同建设项目问题统一指导，快速处理，对难点疑点问题分类指导，及时处理用地、供电等问题，与相关部门负责人坐下来具体协调沟通，形成了有困难及时调派人员进行解决，确保了工程建设快速完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color w:val="FFFFFF" w:themeColor="background1"/>
          <w:spacing w:val="-4"/>
          <w:sz w:val="32"/>
          <w:szCs w:val="32"/>
          <w:lang w:val="en-US" w:eastAsia="zh-CN"/>
          <w14:textFill>
            <w14:solidFill>
              <w14:schemeClr w14:val="bg1"/>
            </w14:solidFill>
          </w14:textFill>
        </w:rPr>
        <w:t>1111</w:t>
      </w:r>
      <w:r>
        <w:rPr>
          <w:rStyle w:val="18"/>
          <w:rFonts w:hint="eastAsia" w:ascii="楷体" w:hAnsi="楷体" w:eastAsia="楷体"/>
          <w:b w:val="0"/>
          <w:bCs w:val="0"/>
          <w:spacing w:val="-4"/>
          <w:sz w:val="32"/>
          <w:szCs w:val="32"/>
        </w:rPr>
        <w:t>办理项目前期建设用地手续时间较长，影响了工程招投标工作，导致项目开工较晚，支付率低。</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638" w:leftChars="304" w:firstLine="0" w:firstLineChars="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1154" w:firstLineChars="3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701514C"/>
    <w:rsid w:val="18FE139B"/>
    <w:rsid w:val="2A891760"/>
    <w:rsid w:val="2AF90051"/>
    <w:rsid w:val="3029612C"/>
    <w:rsid w:val="32A221C5"/>
    <w:rsid w:val="33F20F2A"/>
    <w:rsid w:val="34C44675"/>
    <w:rsid w:val="386B2C48"/>
    <w:rsid w:val="39BC621C"/>
    <w:rsid w:val="3B5B5607"/>
    <w:rsid w:val="3CE21B3C"/>
    <w:rsid w:val="4D2606A1"/>
    <w:rsid w:val="51830480"/>
    <w:rsid w:val="53A616BE"/>
    <w:rsid w:val="54662BFB"/>
    <w:rsid w:val="5967396F"/>
    <w:rsid w:val="62051CA5"/>
    <w:rsid w:val="6C3A69EF"/>
    <w:rsid w:val="738A2F1D"/>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28</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2023-11-02T04:51:33Z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