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4027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8F544E">
      <w:pPr>
        <w:spacing w:line="540" w:lineRule="exact"/>
        <w:jc w:val="center"/>
        <w:rPr>
          <w:rFonts w:ascii="华文中宋" w:hAnsi="华文中宋" w:eastAsia="华文中宋" w:cs="宋体"/>
          <w:b/>
          <w:kern w:val="0"/>
          <w:sz w:val="52"/>
          <w:szCs w:val="52"/>
        </w:rPr>
      </w:pPr>
    </w:p>
    <w:p w14:paraId="123437FF">
      <w:pPr>
        <w:spacing w:line="540" w:lineRule="exact"/>
        <w:jc w:val="center"/>
        <w:rPr>
          <w:rFonts w:ascii="华文中宋" w:hAnsi="华文中宋" w:eastAsia="华文中宋" w:cs="宋体"/>
          <w:b/>
          <w:kern w:val="0"/>
          <w:sz w:val="52"/>
          <w:szCs w:val="52"/>
        </w:rPr>
      </w:pPr>
    </w:p>
    <w:p w14:paraId="5531CF89">
      <w:pPr>
        <w:spacing w:line="540" w:lineRule="exact"/>
        <w:jc w:val="center"/>
        <w:rPr>
          <w:rFonts w:ascii="华文中宋" w:hAnsi="华文中宋" w:eastAsia="华文中宋" w:cs="宋体"/>
          <w:b/>
          <w:kern w:val="0"/>
          <w:sz w:val="52"/>
          <w:szCs w:val="52"/>
        </w:rPr>
      </w:pPr>
    </w:p>
    <w:p w14:paraId="0A6DB801">
      <w:pPr>
        <w:spacing w:line="540" w:lineRule="exact"/>
        <w:jc w:val="center"/>
        <w:rPr>
          <w:rFonts w:ascii="华文中宋" w:hAnsi="华文中宋" w:eastAsia="华文中宋" w:cs="宋体"/>
          <w:b/>
          <w:kern w:val="0"/>
          <w:sz w:val="52"/>
          <w:szCs w:val="52"/>
        </w:rPr>
      </w:pPr>
    </w:p>
    <w:p w14:paraId="79C60F33">
      <w:pPr>
        <w:spacing w:line="540" w:lineRule="exact"/>
        <w:jc w:val="center"/>
        <w:rPr>
          <w:rFonts w:ascii="华文中宋" w:hAnsi="华文中宋" w:eastAsia="华文中宋" w:cs="宋体"/>
          <w:b/>
          <w:kern w:val="0"/>
          <w:sz w:val="52"/>
          <w:szCs w:val="52"/>
        </w:rPr>
      </w:pPr>
    </w:p>
    <w:p w14:paraId="3E47393E">
      <w:pPr>
        <w:spacing w:line="540" w:lineRule="exact"/>
        <w:jc w:val="center"/>
        <w:rPr>
          <w:rFonts w:ascii="华文中宋" w:hAnsi="华文中宋" w:eastAsia="华文中宋" w:cs="宋体"/>
          <w:b/>
          <w:kern w:val="0"/>
          <w:sz w:val="52"/>
          <w:szCs w:val="52"/>
        </w:rPr>
      </w:pPr>
    </w:p>
    <w:p w14:paraId="04948FF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CE8DAAC">
      <w:pPr>
        <w:spacing w:line="540" w:lineRule="exact"/>
        <w:jc w:val="center"/>
        <w:rPr>
          <w:rFonts w:ascii="华文中宋" w:hAnsi="华文中宋" w:eastAsia="华文中宋" w:cs="宋体"/>
          <w:b/>
          <w:kern w:val="0"/>
          <w:sz w:val="52"/>
          <w:szCs w:val="52"/>
        </w:rPr>
      </w:pPr>
    </w:p>
    <w:p w14:paraId="31F35F9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305E6628">
      <w:pPr>
        <w:spacing w:line="540" w:lineRule="exact"/>
        <w:jc w:val="center"/>
        <w:rPr>
          <w:rFonts w:hAnsi="宋体" w:eastAsia="仿宋_GB2312" w:cs="宋体"/>
          <w:kern w:val="0"/>
          <w:sz w:val="30"/>
          <w:szCs w:val="30"/>
        </w:rPr>
      </w:pPr>
    </w:p>
    <w:p w14:paraId="45900584">
      <w:pPr>
        <w:spacing w:line="540" w:lineRule="exact"/>
        <w:jc w:val="center"/>
        <w:rPr>
          <w:rFonts w:hAnsi="宋体" w:eastAsia="仿宋_GB2312" w:cs="宋体"/>
          <w:kern w:val="0"/>
          <w:sz w:val="30"/>
          <w:szCs w:val="30"/>
        </w:rPr>
      </w:pPr>
    </w:p>
    <w:p w14:paraId="362E42A2">
      <w:pPr>
        <w:spacing w:line="540" w:lineRule="exact"/>
        <w:jc w:val="center"/>
        <w:rPr>
          <w:rFonts w:hAnsi="宋体" w:eastAsia="仿宋_GB2312" w:cs="宋体"/>
          <w:kern w:val="0"/>
          <w:sz w:val="30"/>
          <w:szCs w:val="30"/>
        </w:rPr>
      </w:pPr>
    </w:p>
    <w:p w14:paraId="0008D872">
      <w:pPr>
        <w:spacing w:line="540" w:lineRule="exact"/>
        <w:jc w:val="center"/>
        <w:rPr>
          <w:rFonts w:hAnsi="宋体" w:eastAsia="仿宋_GB2312" w:cs="宋体"/>
          <w:kern w:val="0"/>
          <w:sz w:val="30"/>
          <w:szCs w:val="30"/>
        </w:rPr>
      </w:pPr>
    </w:p>
    <w:p w14:paraId="70F5532E">
      <w:pPr>
        <w:spacing w:line="540" w:lineRule="exact"/>
        <w:jc w:val="center"/>
        <w:rPr>
          <w:rFonts w:hAnsi="宋体" w:eastAsia="仿宋_GB2312" w:cs="宋体"/>
          <w:kern w:val="0"/>
          <w:sz w:val="30"/>
          <w:szCs w:val="30"/>
        </w:rPr>
      </w:pPr>
    </w:p>
    <w:p w14:paraId="2E1A9435">
      <w:pPr>
        <w:spacing w:line="540" w:lineRule="exact"/>
        <w:jc w:val="center"/>
        <w:rPr>
          <w:rFonts w:hAnsi="宋体" w:eastAsia="仿宋_GB2312" w:cs="宋体"/>
          <w:kern w:val="0"/>
          <w:sz w:val="30"/>
          <w:szCs w:val="30"/>
        </w:rPr>
      </w:pPr>
    </w:p>
    <w:p w14:paraId="317BCC95">
      <w:pPr>
        <w:spacing w:line="540" w:lineRule="exact"/>
        <w:rPr>
          <w:rFonts w:hAnsi="宋体" w:eastAsia="仿宋_GB2312" w:cs="宋体"/>
          <w:kern w:val="0"/>
          <w:sz w:val="30"/>
          <w:szCs w:val="30"/>
        </w:rPr>
      </w:pPr>
    </w:p>
    <w:p w14:paraId="49CCB3B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97F334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综合楼建设项目2022年计划拨付工程款</w:t>
      </w:r>
    </w:p>
    <w:p w14:paraId="588EB93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伊犁哈萨克自治州塔城地区残疾人联合会</w:t>
      </w:r>
    </w:p>
    <w:p w14:paraId="709ED2B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伊犁哈萨克自治州塔城地区残疾人联合会</w:t>
      </w:r>
    </w:p>
    <w:p w14:paraId="2E8316F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程显福</w:t>
      </w:r>
    </w:p>
    <w:p w14:paraId="745CE99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14:paraId="1D72F50F">
      <w:pPr>
        <w:spacing w:line="700" w:lineRule="exact"/>
        <w:ind w:firstLine="708" w:firstLineChars="236"/>
        <w:jc w:val="left"/>
        <w:rPr>
          <w:rFonts w:hAnsi="宋体" w:eastAsia="仿宋_GB2312" w:cs="宋体"/>
          <w:kern w:val="0"/>
          <w:sz w:val="30"/>
          <w:szCs w:val="30"/>
        </w:rPr>
      </w:pPr>
    </w:p>
    <w:p w14:paraId="66BEACF1">
      <w:pPr>
        <w:spacing w:line="540" w:lineRule="exact"/>
        <w:rPr>
          <w:rStyle w:val="18"/>
          <w:rFonts w:ascii="黑体" w:hAnsi="黑体" w:eastAsia="黑体"/>
          <w:b w:val="0"/>
          <w:spacing w:val="-4"/>
          <w:sz w:val="32"/>
          <w:szCs w:val="32"/>
        </w:rPr>
      </w:pPr>
    </w:p>
    <w:p w14:paraId="22A3CE9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BA453F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5AADE8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地区残联建设残疾人综合楼服务设施建设项目，建设规模为改扩建建筑面积3800平方米，其中：国家补助投资地区残疾人综合服务建设面积800平方米，国家补助塔城市残疾人综合服务设施500平方米，自治区残联及地区财政补助投资建设残疾人综合楼服务设施2500平方米，项目总投资650万元，资金来源为中央预算内资金100万元，自治区残联下达资金和地方自筹550万元。</w:t>
      </w:r>
    </w:p>
    <w:p w14:paraId="0B26DD0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82BC3F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地市综合楼建设项目已完工并交付使用，此项目资金根据本单位政府隐性债务化解方案，本年计划偿还隐性债务115万元，其中：债务107.42万元，项目名称为地市综合楼，协议签订日期为2011年05月16日支出事项类型为应付工程物资款，支出协议号为GF-1999-0201，认定为隐性债务的金额365万元，其中：2018年支付80万元；2019年支付30万元，2020年支付60万元，2021年支付80万元，2022年支付107.42万元。</w:t>
      </w:r>
    </w:p>
    <w:p w14:paraId="06C4D99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EA31DF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9302A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综合楼建设项目2022年计划拨付工程款。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综合楼建设项目2022年计划拨付工程款项目评价，评价核心为专项资金的支出完成情况和效果。</w:t>
      </w:r>
    </w:p>
    <w:p w14:paraId="65A4F0E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2407B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对于指标体系的要求和规范，结合项目特有属性和实际情况，考虑实用性、可操作性和可实现性，从决策、过程、产出、效益四个维度进行指标细化和分值设定。综合楼建设项目2022年计划拨付工程款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bookmarkStart w:id="0" w:name="_GoBack"/>
      <w:bookmarkEnd w:id="0"/>
    </w:p>
    <w:p w14:paraId="724E6457">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06384A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7A96871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A24504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结合项目特点，制定符合项目实际的绩效评价指标体系及评分标准，通过数据采集、问卷调查及访谈等形式，对2022年综合楼建设项目2022年计划拨付工程款进行客观评价。</w:t>
      </w:r>
    </w:p>
    <w:p w14:paraId="413717C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8BBAE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3B68698">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14:paraId="72A1E9C0">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12BBA39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 实际到位资金115万元，预算资金115万元，资金到位率100%，得3分。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2.预算执行率：年初预算数115万元，全年预算数115万元，全年执行数107.42万元，预算执行率为93.41%，得9.34分。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该指标分值20分，依据评分标准，此项指标扣0.66分，得19.34分。</w:t>
      </w:r>
    </w:p>
    <w:p w14:paraId="7244377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6AF7BF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综合服务楼建筑面积，指标值：3876.43平方米，实际完成值：3876.43平方米，指标完成率100 %，偏差原因：无。数量指标：指标2：综合楼工程数量，指标值：1栋，实际完成值：1栋，指标完成率100 %，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质量指标：指标1：综合楼工程完成率，指标值： 100% ，实际完成值100%，指标完成率100% %，偏差原因：无。质量指标：指标2：综合楼配套设施完成率，指标值： 100% ，实际完成值100%，指标完成率100% ，偏差原因：无。质量指标：指标3：综合工程验收合格率楼，指标值： 100% ，实际完成值100%，指标完成率100%，偏差原因：无，综上，得10分。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时效指标：指标1：工程拨付资金及时率，指标值： 100% ，实际完成值100%，指标完成率100% ，偏差原因：无，得10分。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成本指标：指标1：工程款成本，指标值：115万元 ，实际完成值107.42万元，指标完成率93.41% ，偏差原因：工程项目资金为政府性债务，经财政局核定的债务金额为107.42万元，结余的项目资金财政全部收回，得9.34分。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该指标分值40分，依据评分标准，此项指标扣0.66分，得39.34分。</w:t>
      </w:r>
    </w:p>
    <w:p w14:paraId="39D7B51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14:paraId="66CD5DF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社会效益指标：提高塔城地区残联康复服务能力，指标值：明显提升，实际完成值：达成年度指标。本项目的实施无偏差。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可持续影响指标：综合楼建筑使用年限，方便和惠及广大残疾群众，指标值：明显提升，实际完成值：达成年度指标。本项目的实施无偏差。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3FB72C6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服务对象满意度指标：评价指标“工程建设单位满意度”，指标值：≥85%，实际完成值：≥85%。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14:paraId="24D8A806">
      <w:pPr>
        <w:spacing w:line="540" w:lineRule="exact"/>
        <w:ind w:firstLine="567"/>
        <w:rPr>
          <w:rStyle w:val="18"/>
          <w:rFonts w:hint="eastAsia" w:ascii="楷体" w:hAnsi="楷体" w:eastAsia="楷体"/>
          <w:spacing w:val="-4"/>
          <w:sz w:val="32"/>
          <w:szCs w:val="32"/>
        </w:rPr>
      </w:pPr>
    </w:p>
    <w:p w14:paraId="0B3A6B1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14:paraId="1A3E9D6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93.41%，指标总体完成率为99.18%，二者之间的偏差值为6.59%。造成偏差的原因工程项目资金为政府性债务，经财政局核定的债务金额为107.42万元，结余的项目资金财政全部收回，因此本项目较好地完成了年度总体目标。</w:t>
      </w:r>
    </w:p>
    <w:p w14:paraId="5EEBD5D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14:paraId="3B71B88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加强项目预算管理，严格按照发改委下达的立项批复进行建设，以防扩大项目内容加大支出，造成单位负担过重。建议简化工作流程，在保证支出真实性的情况下，可以使用信息化手段加快报销流程。 </w:t>
      </w:r>
    </w:p>
    <w:p w14:paraId="128C047D">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EEE309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14:paraId="20FB5F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FCB6E24">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176F23A7">
      <w:pPr>
        <w:spacing w:line="540" w:lineRule="exact"/>
        <w:ind w:firstLine="567"/>
        <w:rPr>
          <w:rStyle w:val="18"/>
          <w:rFonts w:ascii="仿宋" w:hAnsi="仿宋" w:eastAsia="仿宋"/>
          <w:b w:val="0"/>
          <w:spacing w:val="-4"/>
          <w:sz w:val="32"/>
          <w:szCs w:val="32"/>
        </w:rPr>
      </w:pPr>
    </w:p>
    <w:p w14:paraId="4DD5C087">
      <w:pPr>
        <w:spacing w:line="540" w:lineRule="exact"/>
        <w:ind w:firstLine="567"/>
        <w:rPr>
          <w:rStyle w:val="18"/>
          <w:rFonts w:ascii="仿宋" w:hAnsi="仿宋" w:eastAsia="仿宋"/>
          <w:b w:val="0"/>
          <w:spacing w:val="-4"/>
          <w:sz w:val="32"/>
          <w:szCs w:val="32"/>
        </w:rPr>
      </w:pPr>
    </w:p>
    <w:p w14:paraId="2C5F4524">
      <w:pPr>
        <w:spacing w:line="540" w:lineRule="exact"/>
        <w:ind w:firstLine="567"/>
        <w:rPr>
          <w:rStyle w:val="18"/>
          <w:rFonts w:ascii="仿宋" w:hAnsi="仿宋" w:eastAsia="仿宋"/>
          <w:b w:val="0"/>
          <w:spacing w:val="-4"/>
          <w:sz w:val="32"/>
          <w:szCs w:val="32"/>
        </w:rPr>
      </w:pPr>
    </w:p>
    <w:p w14:paraId="23753439">
      <w:pPr>
        <w:spacing w:line="540" w:lineRule="exact"/>
        <w:ind w:firstLine="567"/>
        <w:rPr>
          <w:rStyle w:val="18"/>
          <w:rFonts w:ascii="仿宋" w:hAnsi="仿宋" w:eastAsia="仿宋"/>
          <w:b w:val="0"/>
          <w:spacing w:val="-4"/>
          <w:sz w:val="32"/>
          <w:szCs w:val="32"/>
        </w:rPr>
      </w:pPr>
    </w:p>
    <w:p w14:paraId="27637A6E">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DE1669B">
        <w:pPr>
          <w:pStyle w:val="12"/>
          <w:jc w:val="center"/>
        </w:pPr>
        <w:r>
          <w:fldChar w:fldCharType="begin"/>
        </w:r>
        <w:r>
          <w:instrText xml:space="preserve">PAGE   \* MERGEFORMAT</w:instrText>
        </w:r>
        <w:r>
          <w:fldChar w:fldCharType="separate"/>
        </w:r>
        <w:r>
          <w:rPr>
            <w:lang w:val="zh-CN"/>
          </w:rPr>
          <w:t>1</w:t>
        </w:r>
        <w:r>
          <w:fldChar w:fldCharType="end"/>
        </w:r>
      </w:p>
    </w:sdtContent>
  </w:sdt>
  <w:p w14:paraId="052CADF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64A2958"/>
    <w:rsid w:val="3B5B5607"/>
    <w:rsid w:val="3CE21B3C"/>
    <w:rsid w:val="4D2606A1"/>
    <w:rsid w:val="51830480"/>
    <w:rsid w:val="53A616BE"/>
    <w:rsid w:val="54662BFB"/>
    <w:rsid w:val="62051CA5"/>
    <w:rsid w:val="6AE15B69"/>
    <w:rsid w:val="6C3A69EF"/>
    <w:rsid w:val="798D4602"/>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4305</Words>
  <Characters>4596</Characters>
  <Lines>5</Lines>
  <Paragraphs>1</Paragraphs>
  <TotalTime>2</TotalTime>
  <ScaleCrop>false</ScaleCrop>
  <LinksUpToDate>false</LinksUpToDate>
  <CharactersWithSpaces>4628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2025-09-03T08:30:59Z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C734C92AAAF24344A0E4232D8EB3359B</vt:lpwstr>
  </property>
  <property fmtid="{D5CDD505-2E9C-101B-9397-08002B2CF9AE}" pid="4" name="KSOTemplateDocerSaveRecord">
    <vt:lpwstr>eyJoZGlkIjoiN2VjMGM4YTNmZTY1NDFjMWFjNmVmZmU0NDA2ZTk0ZmMiLCJ1c2VySWQiOiI4NjI1NDMxNDkifQ==</vt:lpwstr>
  </property>
</Properties>
</file>