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7B846">
      <w:pPr>
        <w:spacing w:line="540" w:lineRule="exact"/>
        <w:jc w:val="center"/>
        <w:rPr>
          <w:rFonts w:ascii="华文中宋" w:hAnsi="华文中宋" w:eastAsia="华文中宋" w:cs="宋体"/>
          <w:b/>
          <w:kern w:val="0"/>
          <w:sz w:val="52"/>
          <w:szCs w:val="52"/>
        </w:rPr>
      </w:pPr>
    </w:p>
    <w:p w14:paraId="2ACC5B19">
      <w:pPr>
        <w:spacing w:line="540" w:lineRule="exact"/>
        <w:jc w:val="center"/>
        <w:rPr>
          <w:rFonts w:ascii="华文中宋" w:hAnsi="华文中宋" w:eastAsia="华文中宋" w:cs="宋体"/>
          <w:b/>
          <w:kern w:val="0"/>
          <w:sz w:val="52"/>
          <w:szCs w:val="52"/>
        </w:rPr>
      </w:pPr>
    </w:p>
    <w:p w14:paraId="47E738B1">
      <w:pPr>
        <w:spacing w:line="540" w:lineRule="exact"/>
        <w:jc w:val="center"/>
        <w:rPr>
          <w:rFonts w:ascii="华文中宋" w:hAnsi="华文中宋" w:eastAsia="华文中宋" w:cs="宋体"/>
          <w:b/>
          <w:kern w:val="0"/>
          <w:sz w:val="52"/>
          <w:szCs w:val="52"/>
        </w:rPr>
      </w:pPr>
    </w:p>
    <w:p w14:paraId="38F0FA02">
      <w:pPr>
        <w:spacing w:line="540" w:lineRule="exact"/>
        <w:jc w:val="center"/>
        <w:rPr>
          <w:rFonts w:ascii="华文中宋" w:hAnsi="华文中宋" w:eastAsia="华文中宋" w:cs="宋体"/>
          <w:b/>
          <w:kern w:val="0"/>
          <w:sz w:val="52"/>
          <w:szCs w:val="52"/>
        </w:rPr>
      </w:pPr>
    </w:p>
    <w:p w14:paraId="4CB48CFD">
      <w:pPr>
        <w:spacing w:line="540" w:lineRule="exact"/>
        <w:jc w:val="center"/>
        <w:rPr>
          <w:rFonts w:ascii="华文中宋" w:hAnsi="华文中宋" w:eastAsia="华文中宋" w:cs="宋体"/>
          <w:b/>
          <w:kern w:val="0"/>
          <w:sz w:val="52"/>
          <w:szCs w:val="52"/>
        </w:rPr>
      </w:pPr>
    </w:p>
    <w:p w14:paraId="582B2563">
      <w:pPr>
        <w:spacing w:line="540" w:lineRule="exact"/>
        <w:jc w:val="center"/>
        <w:rPr>
          <w:rFonts w:ascii="华文中宋" w:hAnsi="华文中宋" w:eastAsia="华文中宋" w:cs="宋体"/>
          <w:b/>
          <w:kern w:val="0"/>
          <w:sz w:val="52"/>
          <w:szCs w:val="52"/>
        </w:rPr>
      </w:pPr>
    </w:p>
    <w:p w14:paraId="78EC684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187336A">
      <w:pPr>
        <w:spacing w:line="540" w:lineRule="exact"/>
        <w:jc w:val="center"/>
        <w:rPr>
          <w:rFonts w:ascii="华文中宋" w:hAnsi="华文中宋" w:eastAsia="华文中宋" w:cs="宋体"/>
          <w:b/>
          <w:kern w:val="0"/>
          <w:sz w:val="52"/>
          <w:szCs w:val="52"/>
        </w:rPr>
      </w:pPr>
    </w:p>
    <w:p w14:paraId="31B7131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6D641C9B">
      <w:pPr>
        <w:spacing w:line="540" w:lineRule="exact"/>
        <w:jc w:val="center"/>
        <w:rPr>
          <w:rFonts w:hAnsi="宋体" w:eastAsia="仿宋_GB2312" w:cs="宋体"/>
          <w:kern w:val="0"/>
          <w:sz w:val="30"/>
          <w:szCs w:val="30"/>
        </w:rPr>
      </w:pPr>
    </w:p>
    <w:p w14:paraId="75A93870">
      <w:pPr>
        <w:spacing w:line="540" w:lineRule="exact"/>
        <w:jc w:val="center"/>
        <w:rPr>
          <w:rFonts w:hAnsi="宋体" w:eastAsia="仿宋_GB2312" w:cs="宋体"/>
          <w:kern w:val="0"/>
          <w:sz w:val="30"/>
          <w:szCs w:val="30"/>
        </w:rPr>
      </w:pPr>
    </w:p>
    <w:p w14:paraId="42A53598">
      <w:pPr>
        <w:spacing w:line="540" w:lineRule="exact"/>
        <w:jc w:val="center"/>
        <w:rPr>
          <w:rFonts w:hAnsi="宋体" w:eastAsia="仿宋_GB2312" w:cs="宋体"/>
          <w:kern w:val="0"/>
          <w:sz w:val="30"/>
          <w:szCs w:val="30"/>
        </w:rPr>
      </w:pPr>
    </w:p>
    <w:p w14:paraId="49143D5D">
      <w:pPr>
        <w:spacing w:line="540" w:lineRule="exact"/>
        <w:jc w:val="center"/>
        <w:rPr>
          <w:rFonts w:hAnsi="宋体" w:eastAsia="仿宋_GB2312" w:cs="宋体"/>
          <w:kern w:val="0"/>
          <w:sz w:val="30"/>
          <w:szCs w:val="30"/>
        </w:rPr>
      </w:pPr>
    </w:p>
    <w:p w14:paraId="13BA9675">
      <w:pPr>
        <w:spacing w:line="540" w:lineRule="exact"/>
        <w:jc w:val="center"/>
        <w:rPr>
          <w:rFonts w:hAnsi="宋体" w:eastAsia="仿宋_GB2312" w:cs="宋体"/>
          <w:kern w:val="0"/>
          <w:sz w:val="30"/>
          <w:szCs w:val="30"/>
        </w:rPr>
      </w:pPr>
    </w:p>
    <w:p w14:paraId="65EDA556">
      <w:pPr>
        <w:spacing w:line="540" w:lineRule="exact"/>
        <w:jc w:val="center"/>
        <w:rPr>
          <w:rFonts w:hAnsi="宋体" w:eastAsia="仿宋_GB2312" w:cs="宋体"/>
          <w:kern w:val="0"/>
          <w:sz w:val="30"/>
          <w:szCs w:val="30"/>
        </w:rPr>
      </w:pPr>
    </w:p>
    <w:p w14:paraId="347607D4">
      <w:pPr>
        <w:spacing w:line="540" w:lineRule="exact"/>
        <w:rPr>
          <w:rFonts w:hAnsi="宋体" w:eastAsia="仿宋_GB2312" w:cs="宋体"/>
          <w:kern w:val="0"/>
          <w:sz w:val="30"/>
          <w:szCs w:val="30"/>
        </w:rPr>
      </w:pPr>
    </w:p>
    <w:p w14:paraId="2581AEF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92F348">
      <w:pPr>
        <w:spacing w:line="700" w:lineRule="exact"/>
        <w:ind w:firstLine="900" w:firstLineChars="250"/>
        <w:jc w:val="left"/>
        <w:rPr>
          <w:rFonts w:hint="eastAsia" w:ascii="楷体" w:hAnsi="楷体" w:eastAsia="楷体" w:cs="楷体"/>
          <w:kern w:val="0"/>
          <w:sz w:val="32"/>
          <w:szCs w:val="32"/>
        </w:rPr>
      </w:pPr>
      <w:r>
        <w:rPr>
          <w:rFonts w:hint="eastAsia" w:hAnsi="宋体" w:eastAsia="仿宋_GB2312" w:cs="宋体"/>
          <w:kern w:val="0"/>
          <w:sz w:val="36"/>
          <w:szCs w:val="36"/>
        </w:rPr>
        <w:t>项目名称：</w:t>
      </w:r>
      <w:r>
        <w:rPr>
          <w:rStyle w:val="18"/>
          <w:rFonts w:hint="eastAsia" w:ascii="楷体" w:hAnsi="楷体" w:eastAsia="楷体" w:cs="楷体"/>
          <w:spacing w:val="-4"/>
          <w:sz w:val="32"/>
          <w:szCs w:val="32"/>
        </w:rPr>
        <w:t>2022年医疗服务与保障能力提升补助资金（医药价格能力提升补助部分）项目</w:t>
      </w:r>
    </w:p>
    <w:p w14:paraId="3B01B54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伊犁哈萨克自治州塔城地区医疗保障局</w:t>
      </w:r>
    </w:p>
    <w:p w14:paraId="75C4D26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伊犁哈萨克自治州塔城地区医疗保障局</w:t>
      </w:r>
    </w:p>
    <w:p w14:paraId="60E47BA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李奕</w:t>
      </w:r>
    </w:p>
    <w:p w14:paraId="68558F9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14:paraId="62945D18">
      <w:pPr>
        <w:spacing w:line="700" w:lineRule="exact"/>
        <w:ind w:firstLine="708" w:firstLineChars="236"/>
        <w:jc w:val="left"/>
        <w:rPr>
          <w:rFonts w:hAnsi="宋体" w:eastAsia="仿宋_GB2312" w:cs="宋体"/>
          <w:kern w:val="0"/>
          <w:sz w:val="30"/>
          <w:szCs w:val="30"/>
        </w:rPr>
      </w:pPr>
    </w:p>
    <w:p w14:paraId="7C68EB1C">
      <w:pPr>
        <w:spacing w:line="540" w:lineRule="exact"/>
        <w:rPr>
          <w:rStyle w:val="18"/>
          <w:rFonts w:ascii="黑体" w:hAnsi="黑体" w:eastAsia="黑体"/>
          <w:b w:val="0"/>
          <w:spacing w:val="-4"/>
          <w:sz w:val="32"/>
          <w:szCs w:val="32"/>
        </w:rPr>
      </w:pPr>
    </w:p>
    <w:p w14:paraId="790648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E49607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按照《中共中央、国务院关于深化医疗保障制度改革的意见》《自治区党委、自治区人民政府关于深化自治区医疗保障制度改革的实施意见》提出的“建立管用高效的医保支付机制”的要求，以加快建立管用高效的医保支付机制为目标，分期分批加快推进，从2022年到2024年，全面完成DRG付费方式改革任务，推动医保高质量发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厅、自治区医疗保障局《关于拨付2022年中央医疗服务与保障能力提升补助资金预算的通知》文件要求，制定项目实施方案，明确项目实施范围、在资金管理、资金使用等方面均加强了管理，总体来看，本项目资金的整体管理水平明显提高，保证了专款专用，提高了资金使用率。确保医疗服务与保障能力提升补助资金项目顺利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资金投入情况：该项目年初预算数140万元，全年预算数140万元，实际总投入140万元，该项目资金已全部落实到位,资金来源为财政拨款资金。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情况：该项目年初预算数140万元，全年预算数140万元，全年执行数120.86万元，预算执行率为86.33%，用于①办公设备购置499988元，通过政采云——网上超市公开采购医药服务价格监测系统硬件配置（i7-1165G7华为笔记本电脑9台、LenovoV15-IIL003联想/lenovo笔记本电脑14台、I7-10700联想E77台式电脑9台、IMC3000理光IMC3000A3彩色数码复合机8台、爱国者执法记录仪2个、录音笔转文字/科大迅飞2个、2TB/USB3.0/2.6移动硬盘西部数据3个、5TB/USB3.0/2.5移动硬盘西部数据2个、碎纸机1台、数码摄像机1台）设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委托业务费674640万元，塔城地区医疗保障局DRG支付方式改革试点服务政府采购公开招标，中标价749600元，已支付674640万元，由甲方出具DRG付费正式运行成功上线并正常运行确认单后，甲方向乙方支付总费用的剩余10%，即74960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③印刷费26330元，塔城地区医疗保障局印刷政策汇编及塔城地区医疗保险宣传手册、医疗保险宣传单等。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④差旅费7620元，参加“南北中区域联盟”集中采购工作论证会及全区医药价格和招标采购工作研讨暨培训会等。</w:t>
      </w:r>
    </w:p>
    <w:p w14:paraId="0CD19D2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F8B1CF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贯彻实施国家和自治区医疗保险、生育保险、医疗保障救助等医疗保障制度，拟订医疗保障相关政策、规划和标准并组织实施；拟订医疗保险、人身意外伤害保险、大额医疗补助、公务员医疗补助、企事业单位补充医疗保险、享受国务院特殊津贴专家、离休人员和优抚对象医疗保障政策、管理办法并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（二）组织制定并实施医疗保障基金监督管理办法，建立健全医疗保障基金安全防控机制，承担推进医疗保障基金支付方式改革工作，编制地区医疗保障基金预决算草案。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组织拟订地区医疗保障筹资和待遇政策，完善动态调整和区域调剂平衡机制，统筹城乡医疗保障待遇标准，建立健全与筹资水平相适应的待遇调整机制。拟订地区贯彻长期护理保险制度改革的方案并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四）组织拟订地区药品、医用耗材价格和医疗服务项目、医疗服务设施收费等政策并监督实施，执行自治区制定的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（五）组织制定地区药品、医用耗材、医疗服务项目、医疗服务设施等医保目录和支付标准，建立动态调整机制。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六）制定定点医药机构协议和支付管理办法并组织实施，建立健全医疗保障信用评价体系和信息披露制度，监督管理纳入医保范围内的医疗服务行为和医疗费用，依法查处医疗保障、生育保险领域违法违规行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七）负责地区医疗保障经办管理、公共服务体系和信息化建设。贯彻落实国家和自治区跨省异地就医管理和费用结算政策，组织制定地区疆内异地就医和费用结算政策。建立健全地区医疗保障关系转移接续制度。指导县（市）医疗保障经办机构开展业务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2、阶段性目标：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狠抓统筹地区、医疗机构、病种分组、医保基金全覆盖。推动DRG支付方式改革实现从局部向全面、从部分到全体、熊粗放式向精细化纵深发展。DRG支付方式改革试点服务政府采购公开招标，2022年5月8日和2022年5月25日两次废标，废标理由是有效供应商不足三家，最终2022年8月10日单一来源中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塔城地区医疗保障局结合医药价格监测系统硬件配置标准建议，充分调研本地定点监测机构电脑和网络系统情况，统一购买兼容性强、当前主流的硬件设施并配齐到位。2022年3月16日通过政采云——网上超市公开采购医药服务价格监测系统硬件配置设备。</w:t>
      </w:r>
    </w:p>
    <w:p w14:paraId="75E597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3FDE2F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F6A92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1.评价目的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2、绩效评价对象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2022年度中央下达医疗服务与保障能力提升补助资金项目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评价从项目决策（包括绩效目标、决策过程）、项目管理（包括项目资金、项目实施）、项目产出（包括项目产出数量、产出质量、产出时效和产出成本）项目效益四个维度进行2022年度中央下达医疗服务与保障能力提升补助资金项目评价，评价核心为专项资金的支出完成情况和效果。</w:t>
      </w:r>
    </w:p>
    <w:p w14:paraId="10F535D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703783A">
      <w:pPr>
        <w:spacing w:line="540" w:lineRule="exact"/>
        <w:rPr>
          <w:rStyle w:val="18"/>
          <w:rFonts w:ascii="楷体" w:hAnsi="楷体" w:eastAsia="楷体"/>
          <w:b w:val="0"/>
          <w:bCs w:val="0"/>
          <w:spacing w:val="-4"/>
          <w:sz w:val="32"/>
          <w:szCs w:val="32"/>
        </w:rPr>
      </w:pPr>
      <w:r>
        <w:rPr>
          <w:rStyle w:val="18"/>
          <w:rFonts w:hint="eastAsia" w:ascii="仿宋_GB2312" w:hAnsi="仿宋_GB2312" w:eastAsia="仿宋_GB2312" w:cs="仿宋_GB2312"/>
          <w:b w:val="0"/>
          <w:bCs w:val="0"/>
          <w:spacing w:val="-4"/>
          <w:sz w:val="32"/>
          <w:szCs w:val="32"/>
        </w:rPr>
        <w:t>1.评价原则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（1）科学规范原则：绩效评价应当严格执行规定的程序，按照科学可行的要求，采用定量与定性分析相结合的方法。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（2）公正公开原则：绩效评价应当符合真实、客观、公正的要求，依法公开并接受监督。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（3）分级分类原则：根据评价对象特点分类组织实施。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2022年度中央下达医疗服务与保障能力提升补助资金项目支出绩效评价指标体系(详见附件3)：</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绩效评价标准主要包括计划标准、行业标准、历史标准等，用于对绩效指标完成情况进行比较。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（1）计划标准。指以预先制定的目标、计划、预算、定额等作为评价标准。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（2）行业标准。指参照国家公布的行业指标数据制定的评价标准。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（3）历史标准。指参照历史数据制定的评价标准，为体现绩效改进的原则，在可实现的条件下应当确定相对较高的评价标准。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在上述评价标准的基础上，本次评价依据以下文件为重要指导和准绳：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《中共中央国务院关于全面实施预算绩效管理的意见》《项目支出绩效评价管理办法》《自治区党委自治区人民政府关于全面实施预算绩效管理的实施意见》</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《2023年度推进塔城地区全面实施预算绩效管理工作规划》。</w:t>
      </w:r>
    </w:p>
    <w:p w14:paraId="035DD87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0C44E4F1">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E0039A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48CD46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结合项目特点，制定符合项目实际的绩效评价指标体系及评分标准，通过数据采集、问卷调查及访谈等形式，对2022年2022年度中央下达医疗服务与保障能力提升补助资金项目进行客观评价。</w:t>
      </w:r>
    </w:p>
    <w:p w14:paraId="125313E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BF74CE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8809387">
      <w:pPr>
        <w:tabs>
          <w:tab w:val="center" w:pos="4295"/>
        </w:tabs>
        <w:spacing w:line="540" w:lineRule="exact"/>
        <w:ind w:firstLine="567"/>
        <w:rPr>
          <w:rStyle w:val="18"/>
          <w:rFonts w:hint="eastAsia" w:ascii="楷体" w:hAnsi="楷体" w:eastAsia="楷体"/>
          <w:b/>
          <w:spacing w:val="-4"/>
          <w:sz w:val="32"/>
          <w:szCs w:val="32"/>
        </w:rPr>
      </w:pPr>
      <w:r>
        <w:rPr>
          <w:rStyle w:val="18"/>
          <w:rFonts w:hint="eastAsia" w:ascii="仿宋_GB2312" w:hAnsi="仿宋_GB2312" w:eastAsia="仿宋_GB2312" w:cs="仿宋_GB2312"/>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6.资金分配合理性:预算资金分配依据充分,资金分配额度合理，与项目单位或地方实际相适应，得4分。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该指标分值20分，依据评分标准，此项指标不扣分，得20分。</w:t>
      </w:r>
      <w:r>
        <w:rPr>
          <w:rStyle w:val="18"/>
          <w:rFonts w:hint="eastAsia" w:ascii="仿宋_GB2312" w:hAnsi="仿宋_GB2312" w:eastAsia="仿宋_GB2312" w:cs="仿宋_GB2312"/>
          <w:b w:val="0"/>
          <w:bCs w:val="0"/>
          <w:spacing w:val="-4"/>
          <w:sz w:val="32"/>
          <w:szCs w:val="32"/>
          <w:lang w:val="en-US" w:eastAsia="zh-CN"/>
        </w:rPr>
        <w:t xml:space="preserve">          </w:t>
      </w: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095DABE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1.资金到位率： 实际到位资金140万元，预算资金140万元，资金到位率100%，得3分。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2.预算执行率：年初预算数140万元，全年预算数140万元，全年执行数120.86万元，预算执行率为86.33%，得8.63分。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该指标分值20分，依据评分标准，此项指标不扣分，得20分。</w:t>
      </w:r>
    </w:p>
    <w:p w14:paraId="3EB4421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23DDC7BD">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数量指标：指标1：召开医药价格工作自治区级新闻发布会，政策吹风会次数，指标值：≥2次，实际完成值2次，指标完成率100%，偏差原因无。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指标2：召开医药价格工作会议或培训，指标值：≥2次，实际完成值2次，指标完成率100%，偏差原因无。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指标3：医疗机构覆盖率，指标值：≥40%，实际完成值40%，指标完成率100%，偏差原因无。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指标4：病种覆盖率，指标值：≥70%，实际完成值70%，指标完成率100%，偏差原因无，综上，得10分。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质量指标：指标1：分组符合国家技术规范要求，指标值：良好以上，实际完成值：达成年度指标，指标完成率100%，偏差原因无。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指标2：符合国家DIP目录库1.0范围，指标值：良好以上，实际完成值达成年度指标，指标完成率100%，偏差原因无。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指标3：与国家预分组结果比对，对不一致的病种予以标识，指标值：良好以上，实际完成值：达成年度指标，指标完成率100%，偏差原因无。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指标4：与定点医疗机构签订协议或补充协议，明确DRG，DIP有关规定，指标值：良好以上，实际完成值：达成年度指标，指标完成率100%，偏差原因无，综上，得10分。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时效指标：指标1：医药价格监测系统模拟运行时，指标值：2022年12月30日前，实际完成值：0 ，指标完成率0%，偏差原因：医药价格监测系统没有上线，等自治区医药监测系统统一上线。</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指标2：医药价格监测系统运行维护响应时间，指标值：&lt;=30分钟，实际完成值：0 ，指标完成率0%，偏差原因：医药价格监测系统没有上线，等自治区医药监测系统统一上线，综上，得0分。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指标1：医疗服务与保障能力提升补助资金项目成本，指标值：140万元，实际完成值120.86万元，指标完成率86.33%，偏差原因：①由甲方出具DRG付费正式运行成功上线并正常运行确认单后，甲方向乙方支付总费用的剩余10%，即74960元。②应为传染病防控原因无法开展实地督导检查各县市工作，等2023年开展督导检查工作，得8.63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该指标分值40分，依据评分标准，此项指标不扣分，得28.63分。</w:t>
      </w:r>
    </w:p>
    <w:p w14:paraId="719D1D4C">
      <w:pPr>
        <w:spacing w:line="540" w:lineRule="exact"/>
        <w:ind w:firstLine="567"/>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050E92E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（1）实施效益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经济效益指标：评价指标“使用往年数据进行模拟测算和分组校验，并与实际付费情况对比，显示DRG支付情况不影响基金平衡，整体收入基本平衡”，指标值：良好以上，实际完成值：达成年度指标。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促进医疗行为规范。DRG付费改变以往按项目付费的模式，转向按病组付费，将药品、耗材转变为成本，促使医疗机构、医生改变以往通过给病人开大处方，用贵重药品、耗材和大型检查设备等不合理医疗行为，寻求提质增效获取合理的收益，促使医疗机构由单纯扩张式粗放发展向内涵式高质量发展转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是促进医疗服务公开透明。通过DRG分组，将以往临床医疗行为“不可比”变为“可比”，医疗机构收治多少病例、难度是多少，一目了然。同一个病组治疗水平的高低可量化比较。医保付费、群众就医有了透明公开的平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三是促进群众就医满意度提升。通过DRG付费，压缩检查治疗中的水分，有效减少“大处方”“大检查”，减少群众不必要的医疗支出，使广大人民群众获得更加优质、高效的医疗服务，提升就医满意度。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评价指标“医药价格监测质量”，指标值：医药价格监测质量，实际完成值：达成年度指标:根据自治区下发关于新增医疗服务价格的相关文件要求，积极鼓励塔城地区定点医疗机构申报，并将医疗服务价格动态调整目录及时下发，实现塔城地区定点医疗机构医疗服务价格动态调整。按照《新疆维吾尔自治区基本医疗保险、工</w:t>
      </w:r>
      <w:r>
        <w:rPr>
          <w:rStyle w:val="18"/>
          <w:rFonts w:hint="eastAsia" w:ascii="仿宋_GB2312" w:hAnsi="仿宋_GB2312" w:eastAsia="仿宋_GB2312" w:cs="仿宋_GB2312"/>
          <w:b w:val="0"/>
          <w:bCs w:val="0"/>
          <w:spacing w:val="-4"/>
          <w:sz w:val="32"/>
          <w:szCs w:val="32"/>
          <w:lang w:val="en-US" w:eastAsia="zh-CN"/>
        </w:rPr>
        <w:t>伤</w:t>
      </w:r>
      <w:r>
        <w:rPr>
          <w:rStyle w:val="18"/>
          <w:rFonts w:hint="eastAsia" w:ascii="仿宋_GB2312" w:hAnsi="仿宋_GB2312" w:eastAsia="仿宋_GB2312" w:cs="仿宋_GB2312"/>
          <w:b w:val="0"/>
          <w:bCs w:val="0"/>
          <w:spacing w:val="-4"/>
          <w:sz w:val="32"/>
          <w:szCs w:val="32"/>
        </w:rPr>
        <w:t>保险和生育保险药品目录、诊疗项目目录、医疗服务设施目录调整工作流程》要求，塔城地区收集本地区各医疗机构的申请，按《流程》筛选出符合条件的诊疗项目53条、医疗机构制剂0条，目前以汇总完上报至自治区医疗保障局。通过、价格监测、集中议价、阳光挂网、带量采购等一系列举措，进一步推进了塔城地区医疗、医保、医药“三医联动”改革，纠正购销中的不正之风，降低了药品和医用耗材（含检验试剂）采购价格，进一步部推进药品和医用耗材集中采购</w:t>
      </w:r>
      <w:bookmarkStart w:id="0" w:name="_GoBack"/>
      <w:bookmarkEnd w:id="0"/>
      <w:r>
        <w:rPr>
          <w:rStyle w:val="18"/>
          <w:rFonts w:hint="eastAsia" w:ascii="仿宋_GB2312" w:hAnsi="仿宋_GB2312" w:eastAsia="仿宋_GB2312" w:cs="仿宋_GB2312"/>
          <w:b w:val="0"/>
          <w:bCs w:val="0"/>
          <w:spacing w:val="-4"/>
          <w:sz w:val="32"/>
          <w:szCs w:val="32"/>
        </w:rPr>
        <w:t>提速扩面，确保人民群众充分享有高质量、有效率、能负担的医药服务。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指标“为参保人提供医药服务”，指标值：显著提升，实际完成值：达成年度指标。为确保降价药品和医用耗材进得了医院、让患者享受到改革红利，降低虚高药价，提升广大人民群众看病就医满意度切实减轻患者医疗费用负担。塔城地区按照《自治区医疗保障局药品集中采购工作实施方案》要求，积极引导和鼓励公立医疗机构、医保定点社会办医疗机构参与集中采购工作，从最初的97家公立医院到目前所有公立医院都已参与，医保定点社会办医疗机构参与1家，实现了区域内药品集中带量采购无缝隙衔接。集采药品和医用耗材累计节约医保基金支出1.5亿元。集采药品平均降幅54%，第二批国家集采的糖尿病用药阿卡波糖片，只要5.42元，比原来价格61.29元降了九成多。按每月使用3盒计算，现在一个月只花约16元，降价前是180多元，每月节省167.6元。抗癌药醋酸阿比特龙片，原来挂网价格是12800元，降价后的价格为3828元，降幅达70.09%。冠脉支架平均降幅93%（均价从1.3万元下降至700元左右），近期执行的人工关节类医用耗材，平均降幅达达82%，其中髋关节从均价从3.5万元下降至7000元左右、膝关节从均价2.5万元下降至5000元左右，可以叫“断崖式降价”。药品集中带量采购惠民政策在我地区落地以来，社会反应良好，患者经济负担减轻，得到医疗机构和参保群众的一致好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该指标分值10分，依据评分标准，此项指标不扣分，得10分。</w:t>
      </w:r>
    </w:p>
    <w:p w14:paraId="5D43890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服务对象满意度指标：评价指标“参保人员对医药价格满意度”，指标值：≥90%，实际完成值：90%。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评价指标“医疗机构满意度”，指标值：≥95%，实际完成值：95%。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该指标分值10分，依据评分标准，此项指标不扣分，得10分。</w:t>
      </w:r>
    </w:p>
    <w:p w14:paraId="736BA7CC">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713FD4B7">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本项目预算执行率为86.33%，指标总体完成率为86.65%，二者之间的偏差值为0.32%。因此，本项目较好地完成了年度总体目标，财政资金使用效益和效率较高。</w:t>
      </w:r>
    </w:p>
    <w:p w14:paraId="4B309F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19BCCEAD">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下一步将加强全面实施预算绩效管理，不断提高医疗服务与保障能力提升补助资金使用效益。加大资金使用调度力度，提高资金使用效率，切实减轻困难群众的医疗负担。财务人员接受新知识、新方法的能力较弱，短期系统的培训，效果不显著。</w:t>
      </w:r>
    </w:p>
    <w:p w14:paraId="7FBADC5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有关建议</w:t>
      </w:r>
    </w:p>
    <w:p w14:paraId="0D783FE8">
      <w:pPr>
        <w:numPr>
          <w:ilvl w:val="0"/>
          <w:numId w:val="0"/>
        </w:num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项目支出政策和路径设计科学，符合实际需要；</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2.项目安排准确，未发现背离项目立项初衷的情况；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3.项目的申报、审核机制完善；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4.未发现虚假行为和骗取财政资金的问题。</w:t>
      </w:r>
    </w:p>
    <w:p w14:paraId="788FD1FB">
      <w:pPr>
        <w:numPr>
          <w:ilvl w:val="0"/>
          <w:numId w:val="0"/>
        </w:num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A1E89E5">
      <w:pPr>
        <w:spacing w:line="540" w:lineRule="exact"/>
        <w:ind w:firstLine="567"/>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lang w:val="en-US" w:eastAsia="zh-CN"/>
        </w:rPr>
        <w:t>无</w:t>
      </w:r>
    </w:p>
    <w:p w14:paraId="6090E560">
      <w:pPr>
        <w:spacing w:line="540" w:lineRule="exact"/>
        <w:ind w:firstLine="567"/>
        <w:rPr>
          <w:rStyle w:val="18"/>
          <w:rFonts w:ascii="仿宋" w:hAnsi="仿宋" w:eastAsia="仿宋"/>
          <w:b w:val="0"/>
          <w:spacing w:val="-4"/>
          <w:sz w:val="32"/>
          <w:szCs w:val="32"/>
        </w:rPr>
      </w:pPr>
    </w:p>
    <w:p w14:paraId="32CDF596">
      <w:pPr>
        <w:spacing w:line="540" w:lineRule="exact"/>
        <w:ind w:firstLine="567"/>
        <w:rPr>
          <w:rStyle w:val="18"/>
          <w:rFonts w:ascii="仿宋" w:hAnsi="仿宋" w:eastAsia="仿宋"/>
          <w:b w:val="0"/>
          <w:spacing w:val="-4"/>
          <w:sz w:val="32"/>
          <w:szCs w:val="32"/>
        </w:rPr>
      </w:pPr>
    </w:p>
    <w:p w14:paraId="0BD50925">
      <w:pPr>
        <w:spacing w:line="540" w:lineRule="exact"/>
        <w:ind w:firstLine="567"/>
        <w:rPr>
          <w:rStyle w:val="18"/>
          <w:rFonts w:ascii="仿宋" w:hAnsi="仿宋" w:eastAsia="仿宋"/>
          <w:b w:val="0"/>
          <w:spacing w:val="-4"/>
          <w:sz w:val="32"/>
          <w:szCs w:val="32"/>
        </w:rPr>
      </w:pPr>
    </w:p>
    <w:p w14:paraId="302D72C3">
      <w:pPr>
        <w:spacing w:line="540" w:lineRule="exact"/>
        <w:ind w:firstLine="567"/>
        <w:rPr>
          <w:rStyle w:val="18"/>
          <w:rFonts w:ascii="仿宋" w:hAnsi="仿宋" w:eastAsia="仿宋"/>
          <w:b w:val="0"/>
          <w:spacing w:val="-4"/>
          <w:sz w:val="32"/>
          <w:szCs w:val="32"/>
        </w:rPr>
      </w:pPr>
    </w:p>
    <w:p w14:paraId="4177795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389E04E">
        <w:pPr>
          <w:pStyle w:val="12"/>
          <w:jc w:val="center"/>
        </w:pPr>
        <w:r>
          <w:fldChar w:fldCharType="begin"/>
        </w:r>
        <w:r>
          <w:instrText xml:space="preserve">PAGE   \* MERGEFORMAT</w:instrText>
        </w:r>
        <w:r>
          <w:fldChar w:fldCharType="separate"/>
        </w:r>
        <w:r>
          <w:rPr>
            <w:lang w:val="zh-CN"/>
          </w:rPr>
          <w:t>1</w:t>
        </w:r>
        <w:r>
          <w:fldChar w:fldCharType="end"/>
        </w:r>
      </w:p>
    </w:sdtContent>
  </w:sdt>
  <w:p w14:paraId="494A928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23AD2"/>
    <w:multiLevelType w:val="singleLevel"/>
    <w:tmpl w:val="F3B23AD2"/>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C9393E"/>
    <w:rsid w:val="07261865"/>
    <w:rsid w:val="0856517C"/>
    <w:rsid w:val="0BFB189F"/>
    <w:rsid w:val="0C211C67"/>
    <w:rsid w:val="0EB13465"/>
    <w:rsid w:val="11BD75F7"/>
    <w:rsid w:val="12C577C9"/>
    <w:rsid w:val="13BE561A"/>
    <w:rsid w:val="15392994"/>
    <w:rsid w:val="18FE139B"/>
    <w:rsid w:val="1AF37E7A"/>
    <w:rsid w:val="20D530B4"/>
    <w:rsid w:val="2A891760"/>
    <w:rsid w:val="3029612C"/>
    <w:rsid w:val="32A221C5"/>
    <w:rsid w:val="33F20F2A"/>
    <w:rsid w:val="34C44675"/>
    <w:rsid w:val="3B5B5607"/>
    <w:rsid w:val="3CE21B3C"/>
    <w:rsid w:val="4D2606A1"/>
    <w:rsid w:val="50056FD4"/>
    <w:rsid w:val="51830480"/>
    <w:rsid w:val="53A616BE"/>
    <w:rsid w:val="54662BFB"/>
    <w:rsid w:val="5AD76BB1"/>
    <w:rsid w:val="60B62B1B"/>
    <w:rsid w:val="60E74B96"/>
    <w:rsid w:val="62051CA5"/>
    <w:rsid w:val="6B9F4B02"/>
    <w:rsid w:val="6C3A69EF"/>
    <w:rsid w:val="71B65803"/>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6970</Words>
  <Characters>7386</Characters>
  <Lines>5</Lines>
  <Paragraphs>1</Paragraphs>
  <TotalTime>5</TotalTime>
  <ScaleCrop>false</ScaleCrop>
  <LinksUpToDate>false</LinksUpToDate>
  <CharactersWithSpaces>7447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2026-03-30T10:45:16Z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