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ascii="楷体" w:hAnsi="楷体" w:eastAsia="楷体" w:cs="楷体"/>
          <w:kern w:val="0"/>
          <w:sz w:val="32"/>
          <w:szCs w:val="32"/>
        </w:rPr>
      </w:pPr>
      <w:r>
        <w:rPr>
          <w:rFonts w:hint="eastAsia" w:hAnsi="宋体" w:eastAsia="仿宋_GB2312" w:cs="宋体"/>
          <w:kern w:val="0"/>
          <w:sz w:val="36"/>
          <w:szCs w:val="36"/>
        </w:rPr>
        <w:t>项目名称：</w:t>
      </w:r>
      <w:r>
        <w:rPr>
          <w:rFonts w:hint="eastAsia" w:ascii="楷体" w:hAnsi="楷体" w:eastAsia="楷体" w:cs="楷体"/>
          <w:kern w:val="0"/>
          <w:sz w:val="32"/>
          <w:szCs w:val="32"/>
        </w:rPr>
        <w:t>医保资金专项业务经费项目</w:t>
      </w:r>
    </w:p>
    <w:p>
      <w:pPr>
        <w:spacing w:line="540" w:lineRule="exact"/>
        <w:ind w:firstLine="567"/>
        <w:rPr>
          <w:rFonts w:hint="eastAsia" w:ascii="楷体" w:hAnsi="楷体" w:eastAsia="楷体" w:cs="楷体"/>
          <w:kern w:val="0"/>
          <w:sz w:val="32"/>
          <w:szCs w:val="32"/>
        </w:rPr>
      </w:pPr>
      <w:r>
        <w:rPr>
          <w:rFonts w:hint="eastAsia" w:hAnsi="宋体" w:eastAsia="仿宋_GB2312" w:cs="宋体"/>
          <w:kern w:val="0"/>
          <w:sz w:val="36"/>
          <w:szCs w:val="36"/>
        </w:rPr>
        <w:t xml:space="preserve">  实施单位（公章）：</w:t>
      </w:r>
      <w:r>
        <w:rPr>
          <w:rFonts w:hint="eastAsia" w:ascii="楷体" w:hAnsi="楷体" w:eastAsia="楷体" w:cs="楷体"/>
          <w:kern w:val="0"/>
          <w:sz w:val="32"/>
          <w:szCs w:val="32"/>
          <w:lang w:val="en-US" w:eastAsia="zh-CN"/>
        </w:rPr>
        <w:t>新疆伊犁哈萨克自治州</w:t>
      </w:r>
      <w:r>
        <w:rPr>
          <w:rFonts w:hint="eastAsia" w:ascii="楷体" w:hAnsi="楷体" w:eastAsia="楷体" w:cs="楷体"/>
          <w:kern w:val="0"/>
          <w:sz w:val="32"/>
          <w:szCs w:val="32"/>
        </w:rPr>
        <w:t>塔城地区医疗保障事业发展中心</w:t>
      </w:r>
    </w:p>
    <w:p>
      <w:pPr>
        <w:spacing w:line="540" w:lineRule="exact"/>
        <w:ind w:firstLine="567"/>
        <w:rPr>
          <w:rFonts w:hint="eastAsia" w:ascii="楷体" w:hAnsi="楷体" w:eastAsia="楷体" w:cs="楷体"/>
          <w:kern w:val="0"/>
          <w:sz w:val="32"/>
          <w:szCs w:val="32"/>
          <w:lang w:eastAsia="zh-CN"/>
        </w:rPr>
      </w:pPr>
      <w:r>
        <w:rPr>
          <w:rFonts w:hint="eastAsia" w:hAnsi="宋体" w:eastAsia="仿宋_GB2312" w:cs="宋体"/>
          <w:kern w:val="0"/>
          <w:sz w:val="36"/>
          <w:szCs w:val="36"/>
        </w:rPr>
        <w:t>主管部门（公章）：</w:t>
      </w:r>
      <w:r>
        <w:rPr>
          <w:rFonts w:hint="eastAsia" w:ascii="楷体" w:hAnsi="楷体" w:eastAsia="楷体" w:cs="楷体"/>
          <w:kern w:val="0"/>
          <w:sz w:val="32"/>
          <w:szCs w:val="32"/>
          <w:lang w:val="en-US" w:eastAsia="zh-CN"/>
        </w:rPr>
        <w:t>新疆伊犁哈萨克自治州</w:t>
      </w:r>
      <w:r>
        <w:rPr>
          <w:rFonts w:hint="eastAsia" w:ascii="楷体" w:hAnsi="楷体" w:eastAsia="楷体" w:cs="楷体"/>
          <w:kern w:val="0"/>
          <w:sz w:val="32"/>
          <w:szCs w:val="32"/>
        </w:rPr>
        <w:t>塔城地区医疗保障</w:t>
      </w:r>
      <w:r>
        <w:rPr>
          <w:rFonts w:hint="eastAsia" w:ascii="楷体" w:hAnsi="楷体" w:eastAsia="楷体" w:cs="楷体"/>
          <w:kern w:val="0"/>
          <w:sz w:val="32"/>
          <w:szCs w:val="32"/>
          <w:lang w:val="en-US" w:eastAsia="zh-CN"/>
        </w:rPr>
        <w:t>局</w:t>
      </w:r>
    </w:p>
    <w:p>
      <w:pPr>
        <w:spacing w:line="540" w:lineRule="exact"/>
        <w:ind w:firstLine="567"/>
        <w:rPr>
          <w:rFonts w:hint="eastAsia" w:ascii="楷体" w:hAnsi="楷体" w:eastAsia="楷体" w:cs="楷体"/>
          <w:kern w:val="0"/>
          <w:sz w:val="32"/>
          <w:szCs w:val="32"/>
        </w:rPr>
      </w:pPr>
      <w:r>
        <w:rPr>
          <w:rFonts w:hint="eastAsia" w:hAnsi="宋体" w:eastAsia="仿宋_GB2312" w:cs="宋体"/>
          <w:kern w:val="0"/>
          <w:sz w:val="36"/>
          <w:szCs w:val="36"/>
        </w:rPr>
        <w:t>项目负责人（签章）：</w:t>
      </w:r>
      <w:r>
        <w:rPr>
          <w:rFonts w:hint="eastAsia" w:ascii="楷体" w:hAnsi="楷体" w:eastAsia="楷体" w:cs="楷体"/>
          <w:kern w:val="0"/>
          <w:sz w:val="32"/>
          <w:szCs w:val="32"/>
        </w:rPr>
        <w:t>李奕</w:t>
      </w:r>
    </w:p>
    <w:p>
      <w:pPr>
        <w:spacing w:line="540" w:lineRule="exact"/>
        <w:ind w:firstLine="567"/>
        <w:rPr>
          <w:rFonts w:hint="eastAsia" w:hAnsi="宋体" w:eastAsia="仿宋_GB2312" w:cs="宋体"/>
          <w:kern w:val="0"/>
          <w:sz w:val="36"/>
          <w:szCs w:val="36"/>
        </w:rPr>
      </w:pPr>
      <w:r>
        <w:rPr>
          <w:rFonts w:hint="eastAsia" w:hAnsi="宋体" w:eastAsia="仿宋_GB2312" w:cs="宋体"/>
          <w:kern w:val="0"/>
          <w:sz w:val="36"/>
          <w:szCs w:val="36"/>
        </w:rPr>
        <w:t>填报时间：</w:t>
      </w:r>
      <w:r>
        <w:rPr>
          <w:rFonts w:hint="eastAsia" w:ascii="楷体" w:hAnsi="楷体" w:eastAsia="楷体" w:cs="楷体"/>
          <w:kern w:val="0"/>
          <w:sz w:val="32"/>
          <w:szCs w:val="32"/>
        </w:rPr>
        <w:t>2023年02月23</w:t>
      </w:r>
      <w:r>
        <w:rPr>
          <w:rFonts w:hint="eastAsia" w:hAnsi="宋体" w:eastAsia="仿宋_GB2312" w:cs="宋体"/>
          <w:kern w:val="0"/>
          <w:sz w:val="36"/>
          <w:szCs w:val="36"/>
        </w:rPr>
        <w:t>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对定点医疗机构应采取日常检查、专项检查和年终检查的方式。日常检查：各地根据实际情况确定检查频率和检查程序，原则上每家医疗机构每年至少进行1次实地检查，列入重点检查名单的医疗机构每年至少进行2次实地检查。专项检查：结合医保大数据分析、费用审核等发现的集中问题，经办机构应统一制定检查方案，开展专项行动，进行重点检查，原则上每年不少于4次</w:t>
      </w:r>
    </w:p>
    <w:p>
      <w:pPr>
        <w:numPr>
          <w:ilvl w:val="0"/>
          <w:numId w:val="1"/>
        </w:num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主要内容及实施情况</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结合年底清算，通过相关信息系统筛查有异常指标的医疗机构，发放书面核查书，由被检查医疗机构提交相关材料，审核不通过的，开展实地检查。为进一步加强医保基金监督管理和提升医保经办机构服务水平，做到防范风险，需对各县市医保基金管理和医保经办机构服务水平进行专项检查和指导，真正光用好老百姓的“救命钱”。</w:t>
      </w:r>
    </w:p>
    <w:p>
      <w:pPr>
        <w:numPr>
          <w:ilvl w:val="0"/>
          <w:numId w:val="1"/>
        </w:numPr>
        <w:spacing w:line="540" w:lineRule="exact"/>
        <w:ind w:left="0" w:leftChars="0" w:firstLine="567" w:firstLineChars="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资金投入和使用情况</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资金投入情况：该项目年初预算数5万元，全年预算数5万元，实际总投入5万元，该项目资金已全部落实到位,资金来源为财政拨款资金。</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资金使用情况：该项目年初预算数5万元，全年预算数5万元，全年执行数4.27万元，预算执行率为85.4%，用于2022年医保资金专项经费已经全部支付完成 。1、印刷费：15370元用于医保政策宣传单等； 2、差旅费：12284元用于对各县市医疗经办机构的医保基金运行和规范开展工作进行指导和监督检查； 3、其他商品服务支出费15000元用于医保政策广告宣传短视频费； 合计：42654元。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1、总体目标：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（一）根据地区医疗保障局授权，负责指导全地区医疗保险经办机构参保登记、待遇支付、协议签订、资金结算等经办服务工作。</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（二）负责指导、推行全地区医疗保险经办机构标准化业务经办流程和“一单式”结算实施工作。</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（三）负责指导全地区经办机构跨省(内)就医直接结算工作。</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（四）负责医保政策的具体贯彻落实和实施，制定地区 本级业务经办流程及配合相关科室提出软件需求的调研和测评。</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（五）承担地区本级机关、事业单位职工医疗保险各项经办业务;地区本级离休人员、一至六级革命伤残军人等特殊照顾人员医疗费的 管理、使用工作。</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（六）负责地区本级医疗保险各项基金及离</w:t>
      </w:r>
      <w:r>
        <w:rPr>
          <w:rStyle w:val="18"/>
          <w:rFonts w:hint="eastAsia" w:ascii="仿宋_GB2312" w:hAnsi="仿宋_GB2312" w:eastAsia="仿宋_GB2312" w:cs="仿宋_GB2312"/>
          <w:b w:val="0"/>
          <w:bCs w:val="0"/>
          <w:spacing w:val="-4"/>
          <w:sz w:val="32"/>
          <w:szCs w:val="32"/>
          <w:lang w:eastAsia="zh-CN"/>
        </w:rPr>
        <w:t>休</w:t>
      </w:r>
      <w:r>
        <w:rPr>
          <w:rStyle w:val="18"/>
          <w:rFonts w:hint="eastAsia" w:ascii="仿宋_GB2312" w:hAnsi="仿宋_GB2312" w:eastAsia="仿宋_GB2312" w:cs="仿宋_GB2312"/>
          <w:b w:val="0"/>
          <w:bCs w:val="0"/>
          <w:spacing w:val="-4"/>
          <w:sz w:val="32"/>
          <w:szCs w:val="32"/>
        </w:rPr>
        <w:t>人员的财务</w:t>
      </w:r>
      <w:r>
        <w:rPr>
          <w:rStyle w:val="18"/>
          <w:rFonts w:hint="eastAsia" w:ascii="仿宋_GB2312" w:hAnsi="仿宋_GB2312" w:eastAsia="仿宋_GB2312" w:cs="仿宋_GB2312"/>
          <w:b w:val="0"/>
          <w:bCs w:val="0"/>
          <w:spacing w:val="-4"/>
          <w:sz w:val="32"/>
          <w:szCs w:val="32"/>
          <w:lang w:eastAsia="zh-CN"/>
        </w:rPr>
        <w:t>核</w:t>
      </w:r>
      <w:r>
        <w:rPr>
          <w:rStyle w:val="18"/>
          <w:rFonts w:hint="eastAsia" w:ascii="仿宋_GB2312" w:hAnsi="仿宋_GB2312" w:eastAsia="仿宋_GB2312" w:cs="仿宋_GB2312"/>
          <w:b w:val="0"/>
          <w:bCs w:val="0"/>
          <w:spacing w:val="-4"/>
          <w:sz w:val="32"/>
          <w:szCs w:val="32"/>
        </w:rPr>
        <w:t>算、预决算工作，负责跨省和全地区异地就医直接结算工作。</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（七）负责地区本级定点协议管理定点医药机构准入、退出及医疗服务协议管理的组织实施工作。</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（八）负责定点医疗机构药品目录、诊疗项目目录、医疗服务设施标准的维护、审核工作;负责对定点医疗机构结算数据有效监控，对违规医疗费用给予拒付。</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（九）负责组织实施地区本级医疗保险档案管理的各项工作。</w:t>
      </w:r>
    </w:p>
    <w:p>
      <w:pPr>
        <w:spacing w:line="540" w:lineRule="exact"/>
        <w:ind w:firstLine="567"/>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（十）负责地区本级参保单位、地区本级定点协议管理定点医药机构的业务培训工作</w:t>
      </w:r>
      <w:r>
        <w:rPr>
          <w:rStyle w:val="18"/>
          <w:rFonts w:hint="eastAsia" w:ascii="仿宋_GB2312" w:hAnsi="仿宋_GB2312" w:eastAsia="仿宋_GB2312" w:cs="仿宋_GB2312"/>
          <w:b w:val="0"/>
          <w:bCs w:val="0"/>
          <w:spacing w:val="-4"/>
          <w:sz w:val="32"/>
          <w:szCs w:val="32"/>
          <w:lang w:eastAsia="zh-CN"/>
        </w:rPr>
        <w:t>。</w:t>
      </w:r>
    </w:p>
    <w:p>
      <w:pPr>
        <w:spacing w:line="540" w:lineRule="exact"/>
        <w:ind w:firstLine="567"/>
        <w:rPr>
          <w:rFonts w:hint="eastAsia" w:ascii="仿宋_GB2312" w:hAnsi="宋体" w:eastAsia="仿宋_GB2312" w:cs="宋体"/>
          <w:snapToGrid/>
          <w:kern w:val="0"/>
          <w:sz w:val="32"/>
          <w:szCs w:val="32"/>
          <w:lang w:val="en-US" w:eastAsia="zh-CN" w:bidi="ar-SA"/>
        </w:rPr>
      </w:pPr>
      <w:r>
        <w:rPr>
          <w:rFonts w:hint="eastAsia" w:ascii="仿宋_GB2312" w:hAnsi="宋体" w:eastAsia="仿宋_GB2312" w:cs="宋体"/>
          <w:snapToGrid/>
          <w:kern w:val="0"/>
          <w:sz w:val="32"/>
          <w:szCs w:val="32"/>
          <w:lang w:val="en-US" w:eastAsia="zh-CN" w:bidi="ar-SA"/>
        </w:rPr>
        <w:t>（十一）完成地区医疗保障局交办的其他任务。</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 xml:space="preserve">2、阶段性目标： </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为提高经办业务的透明性，加大医保政策和业务流程的宣传，让参保群众掌握和了解医保政策。一是把医保政策编制成通俗易懂的宣传册、小传单、便民卡片、宣传展板，今年以来共制作和发放各类宣传资料约20余万份；二是制作医保政策医宣传片，在大厅彩屏滚动播出，让前来办事群众及时了解掌握；三是开展医保政策大宣讲活动。为强化医保经办便民服务，不断提升参保人员对医保政策的知晓率和认知度。开展了医保政策宣讲“进企业、进机关、进社区”活动，面对面宣传，现场答疑解惑，</w:t>
      </w:r>
      <w:r>
        <w:rPr>
          <w:rStyle w:val="18"/>
          <w:rFonts w:hint="eastAsia" w:ascii="仿宋_GB2312" w:hAnsi="仿宋_GB2312" w:eastAsia="仿宋_GB2312" w:cs="仿宋_GB2312"/>
          <w:b w:val="0"/>
          <w:bCs w:val="0"/>
          <w:spacing w:val="-4"/>
          <w:sz w:val="32"/>
          <w:szCs w:val="32"/>
          <w:lang w:eastAsia="zh-CN"/>
        </w:rPr>
        <w:t>截至目前</w:t>
      </w:r>
      <w:r>
        <w:rPr>
          <w:rStyle w:val="18"/>
          <w:rFonts w:hint="eastAsia" w:ascii="仿宋_GB2312" w:hAnsi="仿宋_GB2312" w:eastAsia="仿宋_GB2312" w:cs="仿宋_GB2312"/>
          <w:b w:val="0"/>
          <w:bCs w:val="0"/>
          <w:spacing w:val="-4"/>
          <w:sz w:val="32"/>
          <w:szCs w:val="32"/>
        </w:rPr>
        <w:t>全区已开展医保政策宣传62场次，近3000人参加宣讲会。四是充分利用现代信息系统，将医保政策通过短信平台、医保公众号、手机APP等方式，及时向参保人发送通知、通告，通过持续不断的宣传，让广大参保人员对医保政策和办事指南有了深入的了解，做到了参保人明明白白参保，经办人员清清白白办事。</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1.评价目的</w:t>
      </w:r>
    </w:p>
    <w:p>
      <w:pPr>
        <w:spacing w:line="540" w:lineRule="exact"/>
        <w:ind w:firstLine="567"/>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rPr>
        <w:t>本项工作旨在落实《中共中央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2、绩效评价对象</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医保资金专项业务经费项目</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3、绩效评价范围</w:t>
      </w:r>
    </w:p>
    <w:p>
      <w:pPr>
        <w:spacing w:line="540" w:lineRule="exact"/>
        <w:ind w:firstLine="567"/>
        <w:rPr>
          <w:rStyle w:val="18"/>
          <w:rFonts w:ascii="楷体" w:hAnsi="楷体" w:eastAsia="楷体"/>
          <w:b w:val="0"/>
          <w:bCs w:val="0"/>
          <w:spacing w:val="-4"/>
          <w:sz w:val="32"/>
          <w:szCs w:val="32"/>
        </w:rPr>
      </w:pPr>
      <w:r>
        <w:rPr>
          <w:rStyle w:val="18"/>
          <w:rFonts w:hint="eastAsia" w:ascii="仿宋_GB2312" w:hAnsi="仿宋_GB2312" w:eastAsia="仿宋_GB2312" w:cs="仿宋_GB2312"/>
          <w:b w:val="0"/>
          <w:bCs w:val="0"/>
          <w:spacing w:val="-4"/>
          <w:sz w:val="32"/>
          <w:szCs w:val="32"/>
        </w:rPr>
        <w:t>本次评价从项目决策（包括绩效目标、决策过程）、项目管理（包括项目资金、项目实施）、项目产出（包括项目产出数量、产出质量、产出时效和产出成本）项目效益四个维度进行2022年度中央下达医疗服务与保障能力提升补助资金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left="638" w:leftChars="304" w:firstLine="0" w:firstLineChars="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1.评价原则</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（1）科学规范原则：绩效评价应当严格执行规定的程序，按照科学可行的要求，采用定量与定性分析相结合的方法。</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（2）公正公开原则：绩效评价应当符合真实、客观、公正的要求，依法公开并接受监督。</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（3）分级分类原则：根据评价对象特点分类组织实施。</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（4）绩效相关原则：绩效评价应当针对具体支出及其产出绩效进行，评价结果应当清晰反映支出和产出绩效之间的紧密对应关系。</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2.评价指标体系</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2022年度中央下达医疗服务与保障能力提升补助资金项目支出绩效评价指标体系(详见附件3)：</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3.</w:t>
      </w:r>
      <w:r>
        <w:rPr>
          <w:rStyle w:val="18"/>
          <w:rFonts w:hint="eastAsia" w:ascii="仿宋_GB2312" w:hAnsi="仿宋_GB2312" w:eastAsia="仿宋_GB2312" w:cs="仿宋_GB2312"/>
          <w:b w:val="0"/>
          <w:bCs w:val="0"/>
          <w:spacing w:val="-4"/>
          <w:sz w:val="32"/>
          <w:szCs w:val="32"/>
        </w:rPr>
        <w:t>评价方法</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p>
    <w:p>
      <w:pPr>
        <w:numPr>
          <w:ilvl w:val="0"/>
          <w:numId w:val="2"/>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评价标准</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绩效评价标准主要包括计划标准、行业标准、历史标准等，用于对绩效指标完成情况进行比较。</w:t>
      </w:r>
    </w:p>
    <w:p>
      <w:pPr>
        <w:numPr>
          <w:ilvl w:val="0"/>
          <w:numId w:val="3"/>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计划标准。指以预先制定的目标、计划、预算、定额等作为评价标准。</w:t>
      </w:r>
    </w:p>
    <w:p>
      <w:pPr>
        <w:numPr>
          <w:ilvl w:val="0"/>
          <w:numId w:val="3"/>
        </w:numPr>
        <w:spacing w:line="540" w:lineRule="exact"/>
        <w:ind w:left="0" w:leftChars="0" w:firstLine="624" w:firstLineChars="200"/>
        <w:rPr>
          <w:rStyle w:val="18"/>
          <w:rFonts w:ascii="楷体" w:hAnsi="楷体" w:eastAsia="楷体"/>
          <w:b w:val="0"/>
          <w:bCs w:val="0"/>
          <w:spacing w:val="-4"/>
          <w:sz w:val="32"/>
          <w:szCs w:val="32"/>
        </w:rPr>
      </w:pPr>
      <w:r>
        <w:rPr>
          <w:rStyle w:val="18"/>
          <w:rFonts w:hint="eastAsia" w:ascii="仿宋_GB2312" w:hAnsi="仿宋_GB2312" w:eastAsia="仿宋_GB2312" w:cs="仿宋_GB2312"/>
          <w:b w:val="0"/>
          <w:bCs w:val="0"/>
          <w:spacing w:val="-4"/>
          <w:sz w:val="32"/>
          <w:szCs w:val="32"/>
        </w:rPr>
        <w:t>行业标准。指参照国家公布的行业指标数据制定的评价标准。</w:t>
      </w:r>
    </w:p>
    <w:p>
      <w:pPr>
        <w:numPr>
          <w:ilvl w:val="0"/>
          <w:numId w:val="3"/>
        </w:numPr>
        <w:spacing w:line="540" w:lineRule="exact"/>
        <w:ind w:left="0" w:leftChars="0"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历史标准。指参照历史数据制定的评价标准，为体现绩效改进的原则，在可实现的条件下应当确定相对较高的评价标准。</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在上述评价标准的基础上，本次评价依据以下文件为重要指导和准绳：</w:t>
      </w:r>
    </w:p>
    <w:p>
      <w:pPr>
        <w:numPr>
          <w:numId w:val="0"/>
        </w:numPr>
        <w:spacing w:line="540" w:lineRule="exact"/>
        <w:ind w:firstLine="624" w:firstLineChars="200"/>
        <w:rPr>
          <w:rStyle w:val="18"/>
          <w:rFonts w:ascii="楷体" w:hAnsi="楷体" w:eastAsia="楷体"/>
          <w:b w:val="0"/>
          <w:bCs w:val="0"/>
          <w:spacing w:val="-4"/>
          <w:sz w:val="32"/>
          <w:szCs w:val="32"/>
        </w:rPr>
      </w:pPr>
      <w:r>
        <w:rPr>
          <w:rStyle w:val="18"/>
          <w:rFonts w:hint="eastAsia" w:ascii="仿宋_GB2312" w:hAnsi="仿宋_GB2312" w:eastAsia="仿宋_GB2312" w:cs="仿宋_GB2312"/>
          <w:b w:val="0"/>
          <w:bCs w:val="0"/>
          <w:spacing w:val="-4"/>
          <w:sz w:val="32"/>
          <w:szCs w:val="32"/>
        </w:rPr>
        <w:t>《中共中央国务院关于全面实施预算绩效管理的意见》；《项目支出绩效评价管理办法》；《自治区党委自治区人民政府关于全面实施预算绩效管理的实施意见》；《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仿宋_GB2312" w:hAnsi="仿宋_GB2312" w:eastAsia="仿宋_GB2312" w:cs="仿宋_GB2312"/>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结合项目特点，制定符合项目实际的绩效评价指标体系及评分标准，通过数据采集、问卷调查及访谈等形式，对2022年医保资金专项业务经费项目进行客观评价。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spacing w:line="540" w:lineRule="exact"/>
        <w:ind w:firstLine="564" w:firstLineChars="18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p>
    <w:p>
      <w:pPr>
        <w:spacing w:line="540" w:lineRule="exact"/>
        <w:ind w:firstLine="564" w:firstLineChars="18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2.立项程序规范性:项目按照规定的程序申请设立,审批文件、材料符合相关要求,事前已经过必要的可行性研究、专家论证、风险评估、绩效评估、集体决策，得4分。</w:t>
      </w:r>
    </w:p>
    <w:p>
      <w:pPr>
        <w:spacing w:line="540" w:lineRule="exact"/>
        <w:ind w:firstLine="564" w:firstLineChars="18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p>
    <w:p>
      <w:pPr>
        <w:spacing w:line="540" w:lineRule="exact"/>
        <w:ind w:firstLine="564" w:firstLineChars="18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4.绩效指标明确性:将项目绩效目标细化分解为具体的绩效指标,通过清晰、可衡量的指标值予以体现,与项目目标任务数或计划数相对应，得3分。</w:t>
      </w:r>
    </w:p>
    <w:p>
      <w:pPr>
        <w:spacing w:line="540" w:lineRule="exact"/>
        <w:ind w:firstLine="564" w:firstLineChars="18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p>
    <w:p>
      <w:pPr>
        <w:spacing w:line="540" w:lineRule="exact"/>
        <w:ind w:firstLine="564" w:firstLineChars="18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6.资金分配合理性:预算资金分配依据充分,资金分配额度合理，与项目单位或地方实际相适应，得4分。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该指标分值20分，依据评分标准，此项指标不扣分，得20分</w:t>
      </w:r>
    </w:p>
    <w:p>
      <w:pPr>
        <w:tabs>
          <w:tab w:val="center" w:pos="4295"/>
        </w:tabs>
        <w:spacing w:line="540" w:lineRule="exact"/>
        <w:ind w:firstLine="313" w:firstLineChars="100"/>
        <w:rPr>
          <w:rStyle w:val="18"/>
          <w:rFonts w:hint="eastAsia" w:ascii="楷体" w:hAnsi="楷体" w:eastAsia="楷体"/>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tabs>
          <w:tab w:val="center" w:pos="4295"/>
        </w:tabs>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1.资金到位率</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实际到位资金5万元，预算资金5万元，资金到位率100%，得3分。</w:t>
      </w:r>
    </w:p>
    <w:p>
      <w:pPr>
        <w:tabs>
          <w:tab w:val="center" w:pos="4295"/>
        </w:tabs>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2.预算执行率：年初预算数5万元，全年预算数5万元，全年执行数4.27万元，预算执行率为85.4%，得8.54分。</w:t>
      </w:r>
    </w:p>
    <w:p>
      <w:pPr>
        <w:tabs>
          <w:tab w:val="center" w:pos="4295"/>
        </w:tabs>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p>
    <w:p>
      <w:pPr>
        <w:tabs>
          <w:tab w:val="center" w:pos="4295"/>
        </w:tabs>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4.管理制度健全性：项目支出手续完备，财会核算准确规范，项目调整手续完备，项目实施的人员条件、场地设备、信息支撑等落实到位，合同书、验收报告等资料齐全，得2分。</w:t>
      </w:r>
    </w:p>
    <w:p>
      <w:pPr>
        <w:tabs>
          <w:tab w:val="center" w:pos="4295"/>
        </w:tabs>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该指标分值20分，依据评分标准，此项指标扣1.46分，得18.54分。</w:t>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4" w:firstLineChars="18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p>
    <w:p>
      <w:pPr>
        <w:spacing w:line="540" w:lineRule="exact"/>
        <w:ind w:firstLine="564" w:firstLineChars="18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数量指标：指标1：签订定点医疗机构协议数，指标值：&gt;=40份，实际完成值40份，指标完成率100%，偏差原因无，得10分。</w:t>
      </w:r>
    </w:p>
    <w:p>
      <w:pPr>
        <w:spacing w:line="540" w:lineRule="exact"/>
        <w:ind w:firstLine="564" w:firstLineChars="18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2.</w:t>
      </w:r>
      <w:r>
        <w:rPr>
          <w:rStyle w:val="18"/>
          <w:rFonts w:hint="eastAsia" w:ascii="仿宋_GB2312" w:hAnsi="仿宋_GB2312" w:eastAsia="仿宋_GB2312" w:cs="仿宋_GB2312"/>
          <w:b w:val="0"/>
          <w:bCs w:val="0"/>
          <w:spacing w:val="-4"/>
          <w:sz w:val="32"/>
          <w:szCs w:val="32"/>
        </w:rPr>
        <w:t>产出质量</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质量指标：指标1：定点医疗机构协议签订合格率，指标值：&gt;=90%，实际完成值：=90%，指标完成率100%，偏差原因无。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指标2：定点医疗机构协议签订覆盖率，指标值：&gt;=90%，实际完成值=90%，指标完成率100%，偏差原因无，得10分。</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3.</w:t>
      </w:r>
      <w:r>
        <w:rPr>
          <w:rStyle w:val="18"/>
          <w:rFonts w:hint="eastAsia" w:ascii="仿宋_GB2312" w:hAnsi="仿宋_GB2312" w:eastAsia="仿宋_GB2312" w:cs="仿宋_GB2312"/>
          <w:b w:val="0"/>
          <w:bCs w:val="0"/>
          <w:spacing w:val="-4"/>
          <w:sz w:val="32"/>
          <w:szCs w:val="32"/>
        </w:rPr>
        <w:t>产出时效</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时效指标：指标1：医疗保险报销及时率，指标值：&gt;=90%，实际完成值：=90%，指标完成率100%，偏差原因：无。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指标2：资金拨付计划开始时间，指标值：2022年4月，实际完成值：2022年4月，指标完成率100%，偏差原因：无，得10分。</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4.</w:t>
      </w:r>
      <w:r>
        <w:rPr>
          <w:rStyle w:val="18"/>
          <w:rFonts w:hint="eastAsia" w:ascii="仿宋_GB2312" w:hAnsi="仿宋_GB2312" w:eastAsia="仿宋_GB2312" w:cs="仿宋_GB2312"/>
          <w:b w:val="0"/>
          <w:bCs w:val="0"/>
          <w:spacing w:val="-4"/>
          <w:sz w:val="32"/>
          <w:szCs w:val="32"/>
        </w:rPr>
        <w:t>产出成本</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成本指标：指标1：医保资金专项业务经费办公费，指标值：3万元，实际完成值2.54万元，指标完成率84.67%，偏差原因：节约开支。</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指标2：医保资金专项业务差旅费，指标值：1.5万元，实际完成值1.23万元，指标完成率82%，偏差原因：应为传染病防控原因无法开展实地督导检查各县市工作，等2023年开展督导检查工作。</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指标3：医保业务政策广告宣传费，指标值：0.5万元，实际完成值0.5万元，指标完成率100%，偏差原因：无，得8.89分。</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该指标分值40分，依据评分标准，此项指标扣1.11分，得38.89分。</w:t>
      </w:r>
    </w:p>
    <w:p>
      <w:pPr>
        <w:numPr>
          <w:ilvl w:val="0"/>
          <w:numId w:val="4"/>
        </w:num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项目效益情况</w:t>
      </w:r>
    </w:p>
    <w:p>
      <w:pPr>
        <w:numPr>
          <w:ilvl w:val="0"/>
          <w:numId w:val="5"/>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项目效益</w:t>
      </w:r>
    </w:p>
    <w:p>
      <w:pPr>
        <w:numPr>
          <w:ilvl w:val="0"/>
          <w:numId w:val="6"/>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实施效益</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社会效益指标：提高对群众的服务水平，指标值：有效提高，实际完成值：达成年度指标。通过标准化建设，全面梳理各项业务、各个岗位的职责权限、法律依据、实施主体等，构建了权界清晰、分工合理、权责一致、运转高效的经办管理体系，确保经办管理依法合规，向广大群众提供均等化的服务。同时，还进一步精简办事流程和申报资料，强化基金监管和流程监督，打造了“一站式”医保服务。</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可持续影响指标：评价指标异地就医直接结算覆盖率，指标值：&gt;=90%，实际完成值：=90%。严格执行《自治区异地就医直接结算工作整改方案》以及《关于进一步做好跨省异地就医住院费用直接结算工作的通知》文件要求，改进工作作风，扎实推进简政放权，优化服务改革，简化备案手续，畅通备案渠道。</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该指标分值10分，依据评分标准，此项指标不扣分，得10分。</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服务对象满意度指标：评价指标辖区群众满意度，指标值：≥90%，实际完成值：90%。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评价指标“医疗机构满意度”，指标值：≥95%，实际完成值：95%。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该指标分值10分，依据评分标准，此项指标不扣分，得10分。</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本项目预算执行率为85.4%，指标总体完成率为98.64%，二者之间的偏差值为13.24%。因此，本项目较好地完成了年度总体目标，财政资金使用效益和效率较高。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下一步将加强全面实施预算绩效管理，不断提高医保资金专项业务经费项目使用效益。加大资金使用调度力度，提高资金使用效率，切实减轻困难群众的医疗负担。财务人员接受新知识、新方法的能力较弱，短期系统的培训，效果不显著。</w:t>
      </w:r>
    </w:p>
    <w:p>
      <w:pPr>
        <w:numPr>
          <w:ilvl w:val="0"/>
          <w:numId w:val="7"/>
        </w:numPr>
        <w:spacing w:line="540" w:lineRule="exact"/>
        <w:ind w:firstLine="640"/>
        <w:rPr>
          <w:rStyle w:val="18"/>
          <w:rFonts w:hint="eastAsia" w:ascii="仿宋_GB2312" w:hAnsi="仿宋_GB2312" w:eastAsia="仿宋_GB2312" w:cs="仿宋_GB2312"/>
          <w:b w:val="0"/>
          <w:bCs w:val="0"/>
          <w:spacing w:val="-4"/>
          <w:sz w:val="32"/>
          <w:szCs w:val="32"/>
        </w:rPr>
      </w:pPr>
      <w:r>
        <w:rPr>
          <w:rStyle w:val="18"/>
          <w:rFonts w:hint="eastAsia" w:ascii="黑体" w:hAnsi="黑体" w:eastAsia="黑体"/>
          <w:b w:val="0"/>
          <w:spacing w:val="-4"/>
          <w:sz w:val="32"/>
          <w:szCs w:val="32"/>
        </w:rPr>
        <w:t>有关建议</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1.</w:t>
      </w:r>
      <w:r>
        <w:rPr>
          <w:rStyle w:val="18"/>
          <w:rFonts w:hint="eastAsia" w:ascii="仿宋_GB2312" w:hAnsi="仿宋_GB2312" w:eastAsia="仿宋_GB2312" w:cs="仿宋_GB2312"/>
          <w:b w:val="0"/>
          <w:bCs w:val="0"/>
          <w:spacing w:val="-4"/>
          <w:sz w:val="32"/>
          <w:szCs w:val="32"/>
        </w:rPr>
        <w:t>项目支出政策和路径设计科学，符合实际需要；</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2.</w:t>
      </w:r>
      <w:r>
        <w:rPr>
          <w:rStyle w:val="18"/>
          <w:rFonts w:hint="eastAsia" w:ascii="仿宋_GB2312" w:hAnsi="仿宋_GB2312" w:eastAsia="仿宋_GB2312" w:cs="仿宋_GB2312"/>
          <w:b w:val="0"/>
          <w:bCs w:val="0"/>
          <w:spacing w:val="-4"/>
          <w:sz w:val="32"/>
          <w:szCs w:val="32"/>
        </w:rPr>
        <w:t>项目安排准确，未发现背离项目立项初衷的情况；</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3.项目的申报、审核机制完善；</w:t>
      </w:r>
    </w:p>
    <w:p>
      <w:pPr>
        <w:numPr>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E9D29"/>
    <w:multiLevelType w:val="singleLevel"/>
    <w:tmpl w:val="9F0E9D29"/>
    <w:lvl w:ilvl="0" w:tentative="0">
      <w:start w:val="1"/>
      <w:numFmt w:val="decimal"/>
      <w:lvlText w:val="%1."/>
      <w:lvlJc w:val="left"/>
      <w:pPr>
        <w:tabs>
          <w:tab w:val="left" w:pos="312"/>
        </w:tabs>
      </w:pPr>
    </w:lvl>
  </w:abstractNum>
  <w:abstractNum w:abstractNumId="1">
    <w:nsid w:val="A44A026D"/>
    <w:multiLevelType w:val="singleLevel"/>
    <w:tmpl w:val="A44A026D"/>
    <w:lvl w:ilvl="0" w:tentative="0">
      <w:start w:val="1"/>
      <w:numFmt w:val="decimal"/>
      <w:suff w:val="nothing"/>
      <w:lvlText w:val="（%1）"/>
      <w:lvlJc w:val="left"/>
    </w:lvl>
  </w:abstractNum>
  <w:abstractNum w:abstractNumId="2">
    <w:nsid w:val="AAA06190"/>
    <w:multiLevelType w:val="singleLevel"/>
    <w:tmpl w:val="AAA06190"/>
    <w:lvl w:ilvl="0" w:tentative="0">
      <w:start w:val="1"/>
      <w:numFmt w:val="decimal"/>
      <w:suff w:val="nothing"/>
      <w:lvlText w:val="（%1）"/>
      <w:lvlJc w:val="left"/>
    </w:lvl>
  </w:abstractNum>
  <w:abstractNum w:abstractNumId="3">
    <w:nsid w:val="BFB73BB7"/>
    <w:multiLevelType w:val="singleLevel"/>
    <w:tmpl w:val="BFB73BB7"/>
    <w:lvl w:ilvl="0" w:tentative="0">
      <w:start w:val="7"/>
      <w:numFmt w:val="chineseCounting"/>
      <w:suff w:val="nothing"/>
      <w:lvlText w:val="%1、"/>
      <w:lvlJc w:val="left"/>
      <w:rPr>
        <w:rFonts w:hint="eastAsia"/>
      </w:rPr>
    </w:lvl>
  </w:abstractNum>
  <w:abstractNum w:abstractNumId="4">
    <w:nsid w:val="613BED46"/>
    <w:multiLevelType w:val="singleLevel"/>
    <w:tmpl w:val="613BED46"/>
    <w:lvl w:ilvl="0" w:tentative="0">
      <w:start w:val="4"/>
      <w:numFmt w:val="chineseCounting"/>
      <w:suff w:val="nothing"/>
      <w:lvlText w:val="（%1）"/>
      <w:lvlJc w:val="left"/>
      <w:rPr>
        <w:rFonts w:hint="eastAsia"/>
      </w:rPr>
    </w:lvl>
  </w:abstractNum>
  <w:abstractNum w:abstractNumId="5">
    <w:nsid w:val="6C8942E6"/>
    <w:multiLevelType w:val="singleLevel"/>
    <w:tmpl w:val="6C8942E6"/>
    <w:lvl w:ilvl="0" w:tentative="0">
      <w:start w:val="2"/>
      <w:numFmt w:val="decimal"/>
      <w:suff w:val="nothing"/>
      <w:lvlText w:val="%1、"/>
      <w:lvlJc w:val="left"/>
    </w:lvl>
  </w:abstractNum>
  <w:abstractNum w:abstractNumId="6">
    <w:nsid w:val="718AFD10"/>
    <w:multiLevelType w:val="singleLevel"/>
    <w:tmpl w:val="718AFD10"/>
    <w:lvl w:ilvl="0" w:tentative="0">
      <w:start w:val="4"/>
      <w:numFmt w:val="decimal"/>
      <w:lvlText w:val="%1."/>
      <w:lvlJc w:val="left"/>
      <w:pPr>
        <w:tabs>
          <w:tab w:val="left" w:pos="312"/>
        </w:tabs>
      </w:pPr>
    </w:lvl>
  </w:abstractNum>
  <w:num w:numId="1">
    <w:abstractNumId w:val="5"/>
  </w:num>
  <w:num w:numId="2">
    <w:abstractNumId w:val="6"/>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0BFB"/>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26D66A1"/>
    <w:rsid w:val="13BE561A"/>
    <w:rsid w:val="149D3771"/>
    <w:rsid w:val="15392994"/>
    <w:rsid w:val="18FE139B"/>
    <w:rsid w:val="1A8A1E84"/>
    <w:rsid w:val="1C025A67"/>
    <w:rsid w:val="1E357F67"/>
    <w:rsid w:val="240905AE"/>
    <w:rsid w:val="2A891760"/>
    <w:rsid w:val="3029612C"/>
    <w:rsid w:val="32A221C5"/>
    <w:rsid w:val="33F20F2A"/>
    <w:rsid w:val="34C44675"/>
    <w:rsid w:val="364C46A3"/>
    <w:rsid w:val="38223355"/>
    <w:rsid w:val="3B5B5607"/>
    <w:rsid w:val="3CE21B3C"/>
    <w:rsid w:val="4429065B"/>
    <w:rsid w:val="495D7B3E"/>
    <w:rsid w:val="4A135A30"/>
    <w:rsid w:val="4A922A84"/>
    <w:rsid w:val="4D2606A1"/>
    <w:rsid w:val="51830480"/>
    <w:rsid w:val="529014B7"/>
    <w:rsid w:val="53A616BE"/>
    <w:rsid w:val="54662BFB"/>
    <w:rsid w:val="5B2B66E2"/>
    <w:rsid w:val="62051CA5"/>
    <w:rsid w:val="6C3A69EF"/>
    <w:rsid w:val="7168112F"/>
    <w:rsid w:val="73080B63"/>
    <w:rsid w:val="7AE86E7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12</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2025-09-05T03:07:11Z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