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4D47BD">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67781DF7">
      <w:pPr>
        <w:spacing w:line="540" w:lineRule="exact"/>
        <w:jc w:val="center"/>
        <w:rPr>
          <w:rFonts w:ascii="华文中宋" w:hAnsi="华文中宋" w:eastAsia="华文中宋" w:cs="宋体"/>
          <w:b/>
          <w:kern w:val="0"/>
          <w:sz w:val="52"/>
          <w:szCs w:val="52"/>
        </w:rPr>
      </w:pPr>
    </w:p>
    <w:p w14:paraId="1FD4ACF8">
      <w:pPr>
        <w:spacing w:line="540" w:lineRule="exact"/>
        <w:jc w:val="center"/>
        <w:rPr>
          <w:rFonts w:ascii="华文中宋" w:hAnsi="华文中宋" w:eastAsia="华文中宋" w:cs="宋体"/>
          <w:b/>
          <w:kern w:val="0"/>
          <w:sz w:val="52"/>
          <w:szCs w:val="52"/>
        </w:rPr>
      </w:pPr>
    </w:p>
    <w:p w14:paraId="4388AB22">
      <w:pPr>
        <w:spacing w:line="540" w:lineRule="exact"/>
        <w:jc w:val="center"/>
        <w:rPr>
          <w:rFonts w:ascii="华文中宋" w:hAnsi="华文中宋" w:eastAsia="华文中宋" w:cs="宋体"/>
          <w:b/>
          <w:kern w:val="0"/>
          <w:sz w:val="52"/>
          <w:szCs w:val="52"/>
        </w:rPr>
      </w:pPr>
    </w:p>
    <w:p w14:paraId="6BCDA2E0">
      <w:pPr>
        <w:spacing w:line="540" w:lineRule="exact"/>
        <w:jc w:val="center"/>
        <w:rPr>
          <w:rFonts w:ascii="华文中宋" w:hAnsi="华文中宋" w:eastAsia="华文中宋" w:cs="宋体"/>
          <w:b/>
          <w:kern w:val="0"/>
          <w:sz w:val="52"/>
          <w:szCs w:val="52"/>
        </w:rPr>
      </w:pPr>
    </w:p>
    <w:p w14:paraId="5BB60946">
      <w:pPr>
        <w:spacing w:line="540" w:lineRule="exact"/>
        <w:jc w:val="center"/>
        <w:rPr>
          <w:rFonts w:ascii="华文中宋" w:hAnsi="华文中宋" w:eastAsia="华文中宋" w:cs="宋体"/>
          <w:b/>
          <w:kern w:val="0"/>
          <w:sz w:val="52"/>
          <w:szCs w:val="52"/>
        </w:rPr>
      </w:pPr>
    </w:p>
    <w:p w14:paraId="7CE855BC">
      <w:pPr>
        <w:spacing w:line="540" w:lineRule="exact"/>
        <w:jc w:val="center"/>
        <w:rPr>
          <w:rFonts w:ascii="华文中宋" w:hAnsi="华文中宋" w:eastAsia="华文中宋" w:cs="宋体"/>
          <w:b/>
          <w:kern w:val="0"/>
          <w:sz w:val="52"/>
          <w:szCs w:val="52"/>
        </w:rPr>
      </w:pPr>
    </w:p>
    <w:p w14:paraId="0B18AB1A">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0E92B598">
      <w:pPr>
        <w:spacing w:line="540" w:lineRule="exact"/>
        <w:jc w:val="center"/>
        <w:rPr>
          <w:rFonts w:ascii="华文中宋" w:hAnsi="华文中宋" w:eastAsia="华文中宋" w:cs="宋体"/>
          <w:b/>
          <w:kern w:val="0"/>
          <w:sz w:val="52"/>
          <w:szCs w:val="52"/>
        </w:rPr>
      </w:pPr>
    </w:p>
    <w:p w14:paraId="526EF83F">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21"/>
          <w:rFonts w:hint="eastAsia" w:ascii="楷体" w:hAnsi="楷体" w:eastAsia="楷体"/>
          <w:spacing w:val="-4"/>
          <w:sz w:val="32"/>
          <w:szCs w:val="32"/>
        </w:rPr>
        <w:t>2022</w:t>
      </w:r>
      <w:r>
        <w:rPr>
          <w:rFonts w:hint="eastAsia" w:hAnsi="宋体" w:eastAsia="仿宋_GB2312" w:cs="宋体"/>
          <w:kern w:val="0"/>
          <w:sz w:val="36"/>
          <w:szCs w:val="36"/>
        </w:rPr>
        <w:t xml:space="preserve">  年度）</w:t>
      </w:r>
    </w:p>
    <w:p w14:paraId="05DB236F">
      <w:pPr>
        <w:spacing w:line="540" w:lineRule="exact"/>
        <w:jc w:val="center"/>
        <w:rPr>
          <w:rFonts w:hAnsi="宋体" w:eastAsia="仿宋_GB2312" w:cs="宋体"/>
          <w:kern w:val="0"/>
          <w:sz w:val="30"/>
          <w:szCs w:val="30"/>
        </w:rPr>
      </w:pPr>
    </w:p>
    <w:p w14:paraId="3F91E635">
      <w:pPr>
        <w:spacing w:line="540" w:lineRule="exact"/>
        <w:jc w:val="center"/>
        <w:rPr>
          <w:rFonts w:hAnsi="宋体" w:eastAsia="仿宋_GB2312" w:cs="宋体"/>
          <w:kern w:val="0"/>
          <w:sz w:val="30"/>
          <w:szCs w:val="30"/>
        </w:rPr>
      </w:pPr>
    </w:p>
    <w:p w14:paraId="609B02ED">
      <w:pPr>
        <w:spacing w:line="540" w:lineRule="exact"/>
        <w:jc w:val="center"/>
        <w:rPr>
          <w:rFonts w:hAnsi="宋体" w:eastAsia="仿宋_GB2312" w:cs="宋体"/>
          <w:kern w:val="0"/>
          <w:sz w:val="30"/>
          <w:szCs w:val="30"/>
        </w:rPr>
      </w:pPr>
    </w:p>
    <w:p w14:paraId="500FD532">
      <w:pPr>
        <w:spacing w:line="540" w:lineRule="exact"/>
        <w:jc w:val="center"/>
        <w:rPr>
          <w:rFonts w:hAnsi="宋体" w:eastAsia="仿宋_GB2312" w:cs="宋体"/>
          <w:kern w:val="0"/>
          <w:sz w:val="30"/>
          <w:szCs w:val="30"/>
        </w:rPr>
      </w:pPr>
    </w:p>
    <w:p w14:paraId="6842D308">
      <w:pPr>
        <w:spacing w:line="540" w:lineRule="exact"/>
        <w:jc w:val="center"/>
        <w:rPr>
          <w:rFonts w:hAnsi="宋体" w:eastAsia="仿宋_GB2312" w:cs="宋体"/>
          <w:kern w:val="0"/>
          <w:sz w:val="30"/>
          <w:szCs w:val="30"/>
        </w:rPr>
      </w:pPr>
    </w:p>
    <w:p w14:paraId="0A999F26">
      <w:pPr>
        <w:spacing w:line="540" w:lineRule="exact"/>
        <w:jc w:val="center"/>
        <w:rPr>
          <w:rFonts w:hAnsi="宋体" w:eastAsia="仿宋_GB2312" w:cs="宋体"/>
          <w:kern w:val="0"/>
          <w:sz w:val="30"/>
          <w:szCs w:val="30"/>
        </w:rPr>
      </w:pPr>
    </w:p>
    <w:p w14:paraId="1ADFE2BE">
      <w:pPr>
        <w:spacing w:line="540" w:lineRule="exact"/>
        <w:rPr>
          <w:rFonts w:hAnsi="宋体" w:eastAsia="仿宋_GB2312" w:cs="宋体"/>
          <w:kern w:val="0"/>
          <w:sz w:val="30"/>
          <w:szCs w:val="30"/>
        </w:rPr>
      </w:pPr>
    </w:p>
    <w:p w14:paraId="34D9701E">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3763EB04">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21"/>
          <w:rFonts w:hint="eastAsia" w:ascii="楷体" w:hAnsi="楷体" w:eastAsia="楷体"/>
          <w:spacing w:val="-4"/>
          <w:sz w:val="32"/>
          <w:szCs w:val="32"/>
        </w:rPr>
        <w:t>塔城地区博物馆展陈紧急提升项目</w:t>
      </w:r>
    </w:p>
    <w:p w14:paraId="518C94E6">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21"/>
          <w:rFonts w:hint="eastAsia" w:ascii="楷体" w:hAnsi="楷体" w:eastAsia="楷体"/>
          <w:spacing w:val="-4"/>
          <w:sz w:val="28"/>
          <w:szCs w:val="28"/>
        </w:rPr>
        <w:t>塔城地区博物馆</w:t>
      </w:r>
    </w:p>
    <w:p w14:paraId="7AEFCAEF">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21"/>
          <w:rFonts w:hint="eastAsia" w:ascii="楷体" w:hAnsi="楷体" w:eastAsia="楷体"/>
          <w:spacing w:val="-4"/>
          <w:sz w:val="28"/>
          <w:szCs w:val="28"/>
        </w:rPr>
        <w:t>塔城地区博物馆</w:t>
      </w:r>
    </w:p>
    <w:p w14:paraId="1AC82E47">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21"/>
          <w:rFonts w:hint="eastAsia" w:ascii="楷体" w:hAnsi="楷体" w:eastAsia="楷体"/>
          <w:spacing w:val="-4"/>
          <w:sz w:val="32"/>
          <w:szCs w:val="32"/>
        </w:rPr>
        <w:t>濮传达</w:t>
      </w:r>
    </w:p>
    <w:p w14:paraId="5D3C4D92">
      <w:pPr>
        <w:spacing w:line="540" w:lineRule="exact"/>
        <w:ind w:left="273" w:firstLine="567"/>
        <w:rPr>
          <w:rStyle w:val="21"/>
          <w:rFonts w:ascii="楷体" w:hAnsi="楷体" w:eastAsia="楷体"/>
          <w:spacing w:val="-4"/>
          <w:sz w:val="32"/>
          <w:szCs w:val="32"/>
        </w:rPr>
      </w:pPr>
      <w:r>
        <w:rPr>
          <w:rFonts w:hint="eastAsia" w:hAnsi="宋体" w:eastAsia="仿宋_GB2312" w:cs="宋体"/>
          <w:kern w:val="0"/>
          <w:sz w:val="36"/>
          <w:szCs w:val="36"/>
        </w:rPr>
        <w:t>填报时间：</w:t>
      </w:r>
      <w:r>
        <w:rPr>
          <w:rStyle w:val="21"/>
          <w:rFonts w:hint="eastAsia" w:ascii="楷体" w:hAnsi="楷体" w:eastAsia="楷体"/>
          <w:spacing w:val="-4"/>
          <w:sz w:val="32"/>
          <w:szCs w:val="32"/>
        </w:rPr>
        <w:t>2023年02月25日</w:t>
      </w:r>
    </w:p>
    <w:p w14:paraId="56D0EFBC">
      <w:pPr>
        <w:spacing w:line="700" w:lineRule="exact"/>
        <w:ind w:firstLine="708" w:firstLineChars="236"/>
        <w:jc w:val="left"/>
        <w:rPr>
          <w:rFonts w:hAnsi="宋体" w:eastAsia="仿宋_GB2312" w:cs="宋体"/>
          <w:kern w:val="0"/>
          <w:sz w:val="30"/>
          <w:szCs w:val="30"/>
        </w:rPr>
      </w:pPr>
    </w:p>
    <w:p w14:paraId="6C7DB8D7">
      <w:pPr>
        <w:spacing w:line="540" w:lineRule="exact"/>
        <w:rPr>
          <w:rStyle w:val="21"/>
          <w:rFonts w:ascii="黑体" w:hAnsi="黑体" w:eastAsia="黑体"/>
          <w:b w:val="0"/>
          <w:spacing w:val="-4"/>
          <w:sz w:val="32"/>
          <w:szCs w:val="32"/>
        </w:rPr>
      </w:pPr>
    </w:p>
    <w:p w14:paraId="41E91088">
      <w:pPr>
        <w:spacing w:line="540" w:lineRule="exact"/>
        <w:ind w:firstLine="640"/>
        <w:rPr>
          <w:rStyle w:val="21"/>
          <w:rFonts w:ascii="黑体" w:hAnsi="黑体" w:eastAsia="黑体"/>
          <w:b w:val="0"/>
          <w:spacing w:val="-4"/>
          <w:sz w:val="32"/>
          <w:szCs w:val="32"/>
        </w:rPr>
      </w:pPr>
      <w:r>
        <w:rPr>
          <w:rStyle w:val="21"/>
          <w:rFonts w:hint="eastAsia" w:ascii="黑体" w:hAnsi="黑体" w:eastAsia="黑体"/>
          <w:b w:val="0"/>
          <w:spacing w:val="-4"/>
          <w:sz w:val="32"/>
          <w:szCs w:val="32"/>
        </w:rPr>
        <w:t>一、基本情况</w:t>
      </w:r>
    </w:p>
    <w:p w14:paraId="160CE647">
      <w:pPr>
        <w:spacing w:line="540" w:lineRule="exact"/>
        <w:ind w:firstLine="567"/>
        <w:rPr>
          <w:rStyle w:val="21"/>
          <w:rFonts w:ascii="楷体" w:hAnsi="楷体" w:eastAsia="楷体"/>
          <w:spacing w:val="-4"/>
          <w:sz w:val="32"/>
          <w:szCs w:val="32"/>
        </w:rPr>
      </w:pPr>
      <w:r>
        <w:rPr>
          <w:rStyle w:val="21"/>
          <w:rFonts w:hint="eastAsia" w:ascii="楷体" w:hAnsi="楷体" w:eastAsia="楷体"/>
          <w:spacing w:val="-4"/>
          <w:sz w:val="32"/>
          <w:szCs w:val="32"/>
        </w:rPr>
        <w:t>（一）项目概况</w:t>
      </w:r>
    </w:p>
    <w:p w14:paraId="6138967F">
      <w:pPr>
        <w:spacing w:line="360" w:lineRule="auto"/>
        <w:ind w:firstLine="640"/>
        <w:rPr>
          <w:rFonts w:ascii="仿宋_GB2312" w:hAnsi="Times New Roman" w:cs="Times New Roman"/>
          <w:b/>
          <w:bCs/>
          <w:kern w:val="0"/>
          <w:szCs w:val="28"/>
          <w:lang w:bidi="en-US"/>
        </w:rPr>
      </w:pPr>
      <w:r>
        <w:rPr>
          <w:rFonts w:hint="eastAsia" w:ascii="方正仿宋简体" w:hAnsi="方正仿宋简体" w:eastAsia="方正仿宋简体" w:cs="方正仿宋简体"/>
          <w:kern w:val="0"/>
          <w:sz w:val="32"/>
          <w:szCs w:val="32"/>
        </w:rPr>
        <w:t>1、项目背景</w:t>
      </w:r>
    </w:p>
    <w:p w14:paraId="4B4018DB">
      <w:pPr>
        <w:widowControl/>
        <w:spacing w:line="560" w:lineRule="exact"/>
        <w:ind w:firstLine="640"/>
        <w:rPr>
          <w:rFonts w:hint="eastAsia" w:ascii="仿宋_GB2312" w:hAnsi="仿宋_GB2312" w:eastAsia="仿宋_GB2312" w:cs="仿宋_GB2312"/>
          <w:color w:val="auto"/>
          <w:kern w:val="0"/>
          <w:sz w:val="32"/>
          <w:szCs w:val="32"/>
        </w:rPr>
      </w:pPr>
      <w:r>
        <w:rPr>
          <w:rFonts w:hint="eastAsia" w:ascii="仿宋_GB2312" w:hAnsi="Calibri" w:eastAsia="仿宋_GB2312" w:cs="黑体"/>
          <w:sz w:val="28"/>
          <w:szCs w:val="22"/>
          <w:lang w:val="en-US" w:eastAsia="zh-CN"/>
        </w:rPr>
        <w:t>为展现塔城民族大团结和包容互进的人文精神，加深公众对塔城地区博物馆的了解，有效搭建博物馆与公众沟通互动的平台，提升公众对博物馆在社会发展中角色的认知，满足人民群众对美好生活向往的需求，充分发挥博物馆爱国主义教育基地、华侨文化交流基地、青少年科技基地作用，全面提升博物馆免费开放管理服务水平，特设立博物馆纪念馆免费开放资金。</w:t>
      </w:r>
    </w:p>
    <w:p w14:paraId="78656F26">
      <w:pPr>
        <w:widowControl/>
        <w:spacing w:line="560" w:lineRule="exact"/>
        <w:ind w:firstLine="640"/>
        <w:rPr>
          <w:rFonts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2、主要内容及实施情况</w:t>
      </w:r>
    </w:p>
    <w:p w14:paraId="1ADD773E">
      <w:pPr>
        <w:spacing w:line="360" w:lineRule="auto"/>
        <w:ind w:firstLine="560" w:firstLineChars="200"/>
        <w:rPr>
          <w:rFonts w:hint="eastAsia" w:ascii="仿宋_GB2312" w:hAnsi="Calibri" w:eastAsia="仿宋_GB2312" w:cs="黑体"/>
          <w:sz w:val="28"/>
          <w:szCs w:val="22"/>
          <w:lang w:val="en-US" w:eastAsia="zh-CN"/>
        </w:rPr>
      </w:pPr>
      <w:r>
        <w:rPr>
          <w:rFonts w:hint="eastAsia" w:ascii="仿宋_GB2312" w:hAnsi="Calibri" w:eastAsia="仿宋_GB2312" w:cs="黑体"/>
          <w:sz w:val="28"/>
          <w:szCs w:val="22"/>
          <w:lang w:val="en-US" w:eastAsia="zh-CN"/>
        </w:rPr>
        <w:t>（1）2022年4月，地委和自治区文旅厅达成一致，对红楼博物馆进行为期30天的紧急提升。考古部加班加点，配合文旅局做好紧急提升方案的修改，与设计方沟通，对版式图进行了5次修改。4月底《紧急提升方案》已经地委委员会审议通过。5月正式开工。在此期间，博物馆对展厅大厅铜雕像、门的设计、立式设计图、文物说明牌进行了多次修改完善，积极和设计方和施工方沟通，精心布展。展陈提升后的展厅以焕然一新的面貌迎接八方来客。</w:t>
      </w:r>
    </w:p>
    <w:p w14:paraId="0A77A138">
      <w:pPr>
        <w:spacing w:line="360" w:lineRule="auto"/>
        <w:ind w:firstLine="560" w:firstLineChars="200"/>
        <w:rPr>
          <w:rFonts w:hint="eastAsia" w:ascii="仿宋_GB2312" w:hAnsi="Calibri" w:eastAsia="仿宋_GB2312" w:cs="黑体"/>
          <w:sz w:val="28"/>
          <w:szCs w:val="22"/>
          <w:lang w:val="en-US" w:eastAsia="zh-CN"/>
        </w:rPr>
      </w:pPr>
      <w:r>
        <w:rPr>
          <w:rFonts w:hint="eastAsia" w:ascii="仿宋_GB2312" w:hAnsi="Calibri" w:eastAsia="仿宋_GB2312" w:cs="黑体"/>
          <w:sz w:val="28"/>
          <w:szCs w:val="22"/>
          <w:lang w:val="en-US" w:eastAsia="zh-CN"/>
        </w:rPr>
        <w:t>（2）提升后待博物馆第一展馆发挥了重要作用，组织丰富多彩的青少年活动。让博物馆真正成为青少年“第二课堂”。为喜迎元宵节，塔城地区博物馆开展“巧手花灯DIY 欢喜过虎年”元宵节活动。通过让小朋友们展示自制灯笼、画脸谱DIY、背有关元宵节的古诗和煮汤圆等活动形式，不仅让孩子们感受到过元宵节的快乐，同时增强了孩子们的动手能力。</w:t>
      </w:r>
    </w:p>
    <w:p w14:paraId="53A5EA34">
      <w:pPr>
        <w:spacing w:line="360" w:lineRule="auto"/>
        <w:ind w:firstLine="560" w:firstLineChars="200"/>
        <w:rPr>
          <w:rFonts w:hint="eastAsia" w:ascii="仿宋_GB2312" w:hAnsi="Calibri" w:eastAsia="仿宋_GB2312" w:cs="黑体"/>
          <w:sz w:val="28"/>
          <w:szCs w:val="22"/>
          <w:lang w:val="en-US" w:eastAsia="zh-CN"/>
        </w:rPr>
      </w:pPr>
      <w:r>
        <w:rPr>
          <w:rFonts w:hint="eastAsia" w:ascii="仿宋_GB2312" w:hAnsi="Calibri" w:eastAsia="仿宋_GB2312" w:cs="黑体"/>
          <w:sz w:val="28"/>
          <w:szCs w:val="22"/>
          <w:lang w:val="en-US" w:eastAsia="zh-CN"/>
        </w:rPr>
        <w:t xml:space="preserve">为了让青少年进一步了解中国的传统手工制作文化，能够亲身体验到传统陶艺制作技术，感受民间传统文化的魅力，地区博物馆组织来自塔城市各个学校的15名小学生，参加了《与“泥”相约陶艺制作》为主题的活动。 </w:t>
      </w:r>
    </w:p>
    <w:p w14:paraId="1D6658B4">
      <w:pPr>
        <w:spacing w:line="360" w:lineRule="auto"/>
        <w:ind w:firstLine="560" w:firstLineChars="200"/>
        <w:rPr>
          <w:rFonts w:hint="eastAsia" w:ascii="仿宋_GB2312" w:hAnsi="Calibri" w:eastAsia="仿宋_GB2312" w:cs="黑体"/>
          <w:sz w:val="28"/>
          <w:szCs w:val="22"/>
          <w:lang w:val="en-US" w:eastAsia="zh-CN"/>
        </w:rPr>
      </w:pPr>
      <w:r>
        <w:rPr>
          <w:rFonts w:hint="eastAsia" w:ascii="仿宋_GB2312" w:hAnsi="Calibri" w:eastAsia="仿宋_GB2312" w:cs="黑体"/>
          <w:sz w:val="28"/>
          <w:szCs w:val="22"/>
          <w:lang w:val="en-US" w:eastAsia="zh-CN"/>
        </w:rPr>
        <w:t>10月为庆祝新中国成立73周年和党的二十大胜利召开，传承中华优秀传统文化，进一步发挥博物馆的社会教育功能，激发广大青少年爱国爱党的热情和勇担历史重任的责任感，地区博物馆面向青少年学生开展作品征集，推出“童心向党 快乐成长”作品展。</w:t>
      </w:r>
    </w:p>
    <w:p w14:paraId="5515BF3D">
      <w:pPr>
        <w:spacing w:line="360" w:lineRule="auto"/>
        <w:ind w:firstLine="560" w:firstLineChars="200"/>
        <w:rPr>
          <w:rFonts w:hint="eastAsia" w:ascii="仿宋_GB2312" w:hAnsi="Calibri" w:eastAsia="仿宋_GB2312" w:cs="黑体"/>
          <w:sz w:val="28"/>
          <w:szCs w:val="22"/>
          <w:lang w:val="en-US" w:eastAsia="zh-CN"/>
        </w:rPr>
      </w:pPr>
      <w:r>
        <w:rPr>
          <w:rFonts w:hint="eastAsia" w:ascii="仿宋_GB2312" w:hAnsi="Calibri" w:eastAsia="仿宋_GB2312" w:cs="黑体"/>
          <w:sz w:val="28"/>
          <w:szCs w:val="22"/>
          <w:lang w:val="en-US" w:eastAsia="zh-CN"/>
        </w:rPr>
        <w:t>（3）举办了喜迎二十大、庆祝“5·18国际博物馆日”和“5·19中国旅游日”活动。今年国际博物馆日的主题是“博物馆的力量”，结合“5· 19中国旅游日”“感悟中华，享受美好旅程”的主题开展了各类丰富多彩的文化活动。活动中认真讲解、散发传单、制作文创产品，积极组织广大观众踊跃参加。让博物馆走进百姓，百姓走进博物馆，提高群众的文化参与性和文物保护意识。</w:t>
      </w:r>
    </w:p>
    <w:p w14:paraId="0752248E">
      <w:pPr>
        <w:spacing w:line="560" w:lineRule="exact"/>
        <w:ind w:firstLine="640"/>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3、资金投入和使用情况</w:t>
      </w:r>
    </w:p>
    <w:p w14:paraId="6102F6C4">
      <w:pPr>
        <w:spacing w:line="360" w:lineRule="auto"/>
        <w:ind w:firstLine="560" w:firstLineChars="200"/>
        <w:rPr>
          <w:rFonts w:hint="eastAsia" w:ascii="仿宋_GB2312" w:hAnsi="Calibri" w:eastAsia="仿宋_GB2312" w:cs="黑体"/>
          <w:sz w:val="28"/>
          <w:szCs w:val="22"/>
          <w:lang w:val="en-US" w:eastAsia="zh-CN"/>
        </w:rPr>
      </w:pPr>
      <w:r>
        <w:rPr>
          <w:rFonts w:hint="eastAsia" w:ascii="仿宋_GB2312" w:hAnsi="Calibri" w:eastAsia="仿宋_GB2312" w:cs="黑体"/>
          <w:sz w:val="28"/>
          <w:szCs w:val="22"/>
          <w:lang w:val="en-US" w:eastAsia="zh-CN"/>
        </w:rPr>
        <w:t>资金投入情况：该项目年初预算数150万元，全年预算数150万元，实际总投入150万元，该项目资金已全部落实到位,资金来源为财政拨款资金。</w:t>
      </w:r>
    </w:p>
    <w:p w14:paraId="7B77CC7B">
      <w:pPr>
        <w:spacing w:line="360" w:lineRule="auto"/>
        <w:ind w:firstLine="560" w:firstLineChars="200"/>
        <w:rPr>
          <w:rFonts w:hint="eastAsia" w:ascii="仿宋_GB2312" w:hAnsi="Calibri" w:eastAsia="仿宋_GB2312" w:cs="黑体"/>
          <w:sz w:val="28"/>
          <w:szCs w:val="22"/>
          <w:lang w:val="en-US" w:eastAsia="zh-CN"/>
        </w:rPr>
      </w:pPr>
      <w:r>
        <w:rPr>
          <w:rFonts w:hint="eastAsia" w:ascii="仿宋_GB2312" w:hAnsi="Calibri" w:eastAsia="仿宋_GB2312" w:cs="黑体"/>
          <w:sz w:val="28"/>
          <w:szCs w:val="22"/>
          <w:lang w:val="en-US" w:eastAsia="zh-CN"/>
        </w:rPr>
        <w:t>资金使用情况：该项目年初预算数150万元，全年预算数150万元，全年执行数150万元，预算执行率为100%，用于主要用于博物馆展陈紧急提升实施中的各项费用。</w:t>
      </w:r>
    </w:p>
    <w:p w14:paraId="4977277F">
      <w:pPr>
        <w:numPr>
          <w:ilvl w:val="0"/>
          <w:numId w:val="1"/>
        </w:numPr>
        <w:spacing w:line="540" w:lineRule="exact"/>
        <w:ind w:firstLine="567"/>
        <w:rPr>
          <w:rStyle w:val="21"/>
          <w:rFonts w:hint="eastAsia" w:ascii="楷体" w:hAnsi="楷体" w:eastAsia="楷体"/>
          <w:spacing w:val="-4"/>
          <w:sz w:val="32"/>
          <w:szCs w:val="32"/>
        </w:rPr>
      </w:pPr>
      <w:r>
        <w:rPr>
          <w:rStyle w:val="21"/>
          <w:rFonts w:hint="eastAsia" w:ascii="楷体" w:hAnsi="楷体" w:eastAsia="楷体"/>
          <w:spacing w:val="-4"/>
          <w:sz w:val="32"/>
          <w:szCs w:val="32"/>
        </w:rPr>
        <w:t>项目绩效目标</w:t>
      </w:r>
    </w:p>
    <w:p w14:paraId="0DBE54E7">
      <w:pPr>
        <w:numPr>
          <w:ilvl w:val="0"/>
          <w:numId w:val="2"/>
        </w:numPr>
        <w:spacing w:line="360" w:lineRule="auto"/>
        <w:ind w:firstLine="640" w:firstLineChars="200"/>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总体目标</w:t>
      </w:r>
    </w:p>
    <w:p w14:paraId="14C1774B">
      <w:pPr>
        <w:spacing w:line="360" w:lineRule="auto"/>
        <w:ind w:firstLine="560" w:firstLineChars="200"/>
        <w:rPr>
          <w:rFonts w:hint="eastAsia" w:ascii="仿宋_GB2312" w:hAnsi="Calibri" w:eastAsia="仿宋_GB2312" w:cs="黑体"/>
          <w:sz w:val="28"/>
          <w:szCs w:val="22"/>
        </w:rPr>
      </w:pPr>
      <w:r>
        <w:rPr>
          <w:rFonts w:hint="eastAsia" w:ascii="仿宋_GB2312" w:hAnsi="Calibri" w:eastAsia="仿宋_GB2312" w:cs="黑体"/>
          <w:sz w:val="28"/>
          <w:szCs w:val="22"/>
          <w:lang w:val="en-US" w:eastAsia="zh-CN"/>
        </w:rPr>
        <w:t>收藏展览文物，弘扬民族文化；文物的征集、鉴定、登编、修复、保管；文物展览、文物复制与修复、文物及相关研究、文物宣传出版、考古发掘。</w:t>
      </w:r>
    </w:p>
    <w:p w14:paraId="0036D0E2">
      <w:pPr>
        <w:numPr>
          <w:ilvl w:val="0"/>
          <w:numId w:val="2"/>
        </w:numPr>
        <w:spacing w:line="360" w:lineRule="auto"/>
        <w:ind w:firstLine="640" w:firstLineChars="200"/>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阶段性目标</w:t>
      </w:r>
    </w:p>
    <w:p w14:paraId="35CC861B">
      <w:pPr>
        <w:spacing w:line="360" w:lineRule="auto"/>
        <w:ind w:firstLine="560" w:firstLineChars="200"/>
        <w:rPr>
          <w:rFonts w:hint="eastAsia" w:ascii="仿宋_GB2312" w:hAnsi="Calibri" w:eastAsia="仿宋_GB2312" w:cs="黑体"/>
          <w:sz w:val="28"/>
          <w:szCs w:val="22"/>
          <w:lang w:val="en-US" w:eastAsia="zh-CN"/>
        </w:rPr>
      </w:pPr>
      <w:r>
        <w:rPr>
          <w:rFonts w:hint="eastAsia" w:ascii="仿宋_GB2312" w:hAnsi="Calibri" w:eastAsia="仿宋_GB2312" w:cs="黑体"/>
          <w:sz w:val="28"/>
          <w:szCs w:val="22"/>
          <w:lang w:val="en-US" w:eastAsia="zh-CN"/>
        </w:rPr>
        <w:t>4月，地委和自治区文旅厅达成一致，对红楼博物馆进行为期30天的紧急提升。考古部加班加点，配合文旅局做好紧急提升方案的修改，与设计方沟通，对版式图进行了5次修改。4月底《紧急提升方案》已经地委委员会审议通过。5月正式开工。在此期间，博物馆对展厅大厅铜雕像、门的设计、立式设计图、文物说明牌进行了多次修改完善，积极和设计方和施工方沟通，精心布展。展陈提升后的展厅以焕然一新的面貌迎接八方来客。</w:t>
      </w:r>
    </w:p>
    <w:p w14:paraId="71529773">
      <w:pPr>
        <w:spacing w:line="360" w:lineRule="auto"/>
        <w:ind w:firstLine="560" w:firstLineChars="200"/>
        <w:rPr>
          <w:rFonts w:hint="eastAsia" w:ascii="仿宋_GB2312" w:hAnsi="Calibri" w:eastAsia="仿宋_GB2312" w:cs="黑体"/>
          <w:sz w:val="28"/>
          <w:szCs w:val="22"/>
          <w:lang w:val="en-US" w:eastAsia="zh-CN"/>
        </w:rPr>
      </w:pPr>
      <w:r>
        <w:rPr>
          <w:rFonts w:hint="eastAsia" w:ascii="仿宋_GB2312" w:hAnsi="Calibri" w:eastAsia="仿宋_GB2312" w:cs="黑体"/>
          <w:sz w:val="28"/>
          <w:szCs w:val="22"/>
          <w:lang w:val="en-US" w:eastAsia="zh-CN"/>
        </w:rPr>
        <w:t xml:space="preserve"> 利用博物馆与电视台</w:t>
      </w:r>
      <w:bookmarkStart w:id="7" w:name="_GoBack"/>
      <w:bookmarkEnd w:id="7"/>
      <w:r>
        <w:rPr>
          <w:rFonts w:hint="eastAsia" w:ascii="仿宋_GB2312" w:hAnsi="Calibri" w:eastAsia="仿宋_GB2312" w:cs="黑体"/>
          <w:sz w:val="28"/>
          <w:szCs w:val="22"/>
          <w:lang w:val="en-US" w:eastAsia="zh-CN"/>
        </w:rPr>
        <w:t>联合推出“遇见红楼”平台，每周推出一期馆藏文物视频。目前已推出《镌刻记忆，回望历史的绥靖城木牌碑》、《草原文明的曙光——骆驼石旧石器遗址》、《探寻冰雪猛犸的年代》、《麦纹铜斧—青铜时代的典型器物》、《千年守望的草原石人》、《历经千年容颜不改—红衣四口陶壶》、《海兽葡萄纹铜镜》、《岩画——刻在岩石上的史书》，精美的画面、共情的讲解，一个个遗址、文物背后鲜为人知的故事呈现在观众面前，让观众聆听馆藏文物的声音，了解家乡的历史。吸引更多的观众走进博物馆。</w:t>
      </w:r>
    </w:p>
    <w:p w14:paraId="7096F442">
      <w:pPr>
        <w:spacing w:line="540" w:lineRule="exact"/>
        <w:ind w:firstLine="640"/>
        <w:rPr>
          <w:rStyle w:val="21"/>
          <w:rFonts w:ascii="黑体" w:hAnsi="黑体" w:eastAsia="黑体"/>
          <w:b w:val="0"/>
          <w:spacing w:val="-4"/>
          <w:sz w:val="32"/>
          <w:szCs w:val="32"/>
        </w:rPr>
      </w:pPr>
      <w:r>
        <w:rPr>
          <w:rStyle w:val="21"/>
          <w:rFonts w:hint="eastAsia" w:ascii="黑体" w:hAnsi="黑体" w:eastAsia="黑体"/>
          <w:b w:val="0"/>
          <w:spacing w:val="-4"/>
          <w:sz w:val="32"/>
          <w:szCs w:val="32"/>
        </w:rPr>
        <w:t>二、绩效评价工作开展情况</w:t>
      </w:r>
    </w:p>
    <w:p w14:paraId="7469A371">
      <w:pPr>
        <w:spacing w:line="540" w:lineRule="exact"/>
        <w:ind w:firstLine="567" w:firstLineChars="181"/>
        <w:rPr>
          <w:rStyle w:val="21"/>
          <w:rFonts w:ascii="楷体" w:hAnsi="楷体" w:eastAsia="楷体"/>
          <w:spacing w:val="-4"/>
          <w:sz w:val="32"/>
          <w:szCs w:val="32"/>
        </w:rPr>
      </w:pPr>
      <w:r>
        <w:rPr>
          <w:rStyle w:val="21"/>
          <w:rFonts w:hint="eastAsia" w:ascii="楷体" w:hAnsi="楷体" w:eastAsia="楷体"/>
          <w:spacing w:val="-4"/>
          <w:sz w:val="32"/>
          <w:szCs w:val="32"/>
        </w:rPr>
        <w:t>（一）绩效评价目的、对象和范围</w:t>
      </w:r>
    </w:p>
    <w:p w14:paraId="23002A94">
      <w:pPr>
        <w:spacing w:line="360" w:lineRule="auto"/>
        <w:ind w:firstLine="560"/>
        <w:rPr>
          <w:rFonts w:ascii="仿宋_GB2312"/>
          <w:b/>
          <w:bCs/>
        </w:rPr>
      </w:pPr>
      <w:r>
        <w:rPr>
          <w:rFonts w:hint="eastAsia" w:ascii="仿宋_GB2312"/>
          <w:b/>
          <w:bCs/>
        </w:rPr>
        <w:t>1.评价目的</w:t>
      </w:r>
    </w:p>
    <w:p w14:paraId="06874BFC">
      <w:pPr>
        <w:spacing w:line="360" w:lineRule="auto"/>
        <w:ind w:firstLine="560" w:firstLineChars="200"/>
        <w:rPr>
          <w:rFonts w:hint="eastAsia" w:ascii="仿宋_GB2312" w:hAnsi="Calibri" w:eastAsia="仿宋_GB2312" w:cs="黑体"/>
          <w:sz w:val="28"/>
          <w:szCs w:val="22"/>
          <w:lang w:val="en-US" w:eastAsia="zh-CN"/>
        </w:rPr>
      </w:pPr>
      <w:r>
        <w:rPr>
          <w:rFonts w:hint="eastAsia" w:ascii="仿宋_GB2312" w:hAnsi="Calibri" w:eastAsia="仿宋_GB2312" w:cs="黑体"/>
          <w:sz w:val="28"/>
          <w:szCs w:val="22"/>
          <w:lang w:val="en-US" w:eastAsia="zh-CN"/>
        </w:rPr>
        <w:t>本项工作旨在落实《中共中央 国务院关于全面实施预算绩效管理的意见》（中发〔2018〕34号）文件精神，全面推进预算绩效管理工作，落实预算执行及绩效管理主体责任。具体而言包括以下两点：（1）通过对项目设立的背景、意义、项目内容、项目现状及绩效目标、资金投入、资金管理、组织实施、数量指标、质量指标、时效指标、成本指标和效益指标等进行深入调研和分析，进一步了解财政委托审计费项目实施情况，并考察项目实施过程和效果。（2）通过评价，客观公正反映项目立项科学性、项目管理规范性、项目实施有效性和项目效果，总结项目实施的经验，发现项目实施过程中存在的问题，提出合理化建议，为完善项目管理和相关部门决策提供参考依据，并提高财政资金使用效益。</w:t>
      </w:r>
    </w:p>
    <w:p w14:paraId="18E9669A">
      <w:pPr>
        <w:numPr>
          <w:ilvl w:val="0"/>
          <w:numId w:val="3"/>
        </w:numPr>
        <w:spacing w:line="540" w:lineRule="exact"/>
        <w:ind w:firstLine="567"/>
        <w:rPr>
          <w:rStyle w:val="21"/>
          <w:rFonts w:hint="eastAsia" w:ascii="楷体" w:hAnsi="楷体" w:eastAsia="楷体"/>
          <w:b w:val="0"/>
          <w:bCs w:val="0"/>
          <w:spacing w:val="-4"/>
          <w:sz w:val="32"/>
          <w:szCs w:val="32"/>
          <w:lang w:val="en-US" w:eastAsia="zh-CN"/>
        </w:rPr>
      </w:pPr>
      <w:r>
        <w:rPr>
          <w:rStyle w:val="21"/>
          <w:rFonts w:hint="eastAsia" w:ascii="楷体" w:hAnsi="楷体" w:eastAsia="楷体"/>
          <w:b w:val="0"/>
          <w:bCs w:val="0"/>
          <w:spacing w:val="-4"/>
          <w:sz w:val="32"/>
          <w:szCs w:val="32"/>
          <w:lang w:val="en-US" w:eastAsia="zh-CN"/>
        </w:rPr>
        <w:t>绩效评价对象</w:t>
      </w:r>
    </w:p>
    <w:p w14:paraId="157DED2F">
      <w:pPr>
        <w:spacing w:line="360" w:lineRule="auto"/>
        <w:ind w:firstLine="560" w:firstLineChars="200"/>
        <w:rPr>
          <w:rFonts w:hint="default" w:ascii="仿宋_GB2312" w:hAnsi="Calibri" w:eastAsia="仿宋_GB2312" w:cs="黑体"/>
          <w:sz w:val="28"/>
          <w:szCs w:val="22"/>
          <w:lang w:val="en-US" w:eastAsia="zh-CN"/>
        </w:rPr>
      </w:pPr>
      <w:r>
        <w:rPr>
          <w:rFonts w:hint="default" w:ascii="仿宋_GB2312" w:hAnsi="Calibri" w:eastAsia="仿宋_GB2312" w:cs="黑体"/>
          <w:sz w:val="28"/>
          <w:szCs w:val="22"/>
          <w:lang w:val="en-US" w:eastAsia="zh-CN"/>
        </w:rPr>
        <w:t>塔城地区博物馆展陈紧急提升项目</w:t>
      </w:r>
    </w:p>
    <w:p w14:paraId="12338DCF">
      <w:pPr>
        <w:numPr>
          <w:ilvl w:val="0"/>
          <w:numId w:val="3"/>
        </w:numPr>
        <w:spacing w:line="540" w:lineRule="exact"/>
        <w:ind w:firstLine="567"/>
        <w:rPr>
          <w:rStyle w:val="21"/>
          <w:rFonts w:hint="eastAsia" w:ascii="楷体" w:hAnsi="楷体" w:eastAsia="楷体"/>
          <w:b w:val="0"/>
          <w:bCs w:val="0"/>
          <w:spacing w:val="-4"/>
          <w:sz w:val="32"/>
          <w:szCs w:val="32"/>
          <w:lang w:val="en-US" w:eastAsia="zh-CN"/>
        </w:rPr>
      </w:pPr>
      <w:r>
        <w:rPr>
          <w:rStyle w:val="21"/>
          <w:rFonts w:hint="eastAsia" w:ascii="楷体" w:hAnsi="楷体" w:eastAsia="楷体"/>
          <w:b w:val="0"/>
          <w:bCs w:val="0"/>
          <w:spacing w:val="-4"/>
          <w:sz w:val="32"/>
          <w:szCs w:val="32"/>
          <w:lang w:val="en-US" w:eastAsia="zh-CN"/>
        </w:rPr>
        <w:t>绩效评价范围</w:t>
      </w:r>
    </w:p>
    <w:p w14:paraId="1AD250F3">
      <w:pPr>
        <w:ind w:firstLine="560" w:firstLineChars="200"/>
        <w:rPr>
          <w:rFonts w:hint="default" w:ascii="仿宋_GB2312" w:hAnsi="Calibri" w:eastAsia="仿宋_GB2312" w:cs="黑体"/>
          <w:sz w:val="28"/>
          <w:szCs w:val="22"/>
          <w:lang w:val="en-US" w:eastAsia="zh-CN"/>
        </w:rPr>
      </w:pPr>
      <w:r>
        <w:rPr>
          <w:rFonts w:hint="default" w:ascii="仿宋_GB2312" w:hAnsi="Calibri" w:eastAsia="仿宋_GB2312" w:cs="黑体"/>
          <w:sz w:val="28"/>
          <w:szCs w:val="22"/>
          <w:lang w:val="en-US" w:eastAsia="zh-CN"/>
        </w:rPr>
        <w:t>塔城地区博物馆展陈紧急提升项目</w:t>
      </w:r>
      <w:r>
        <w:rPr>
          <w:rFonts w:hint="eastAsia" w:ascii="仿宋_GB2312" w:hAnsi="Calibri" w:eastAsia="仿宋_GB2312" w:cs="黑体"/>
          <w:sz w:val="28"/>
          <w:szCs w:val="22"/>
          <w:lang w:val="en-US" w:eastAsia="zh-CN"/>
        </w:rPr>
        <w:t>已完成，资金投入150万元，博物馆对展厅大厅铜雕像、门的设计、立式设计图、文物说明牌进行了多次修改完善，积极和设计方和施工方沟通，精心布展。展陈提升后的展厅以焕然一新的面貌迎接八方来客，有效搭建博物馆与公众沟通互动的平台，提升公众对博物馆在社会发展中角色的认知。</w:t>
      </w:r>
    </w:p>
    <w:p w14:paraId="0A4A2786">
      <w:pPr>
        <w:spacing w:line="540" w:lineRule="exact"/>
        <w:ind w:firstLine="567"/>
        <w:rPr>
          <w:rStyle w:val="21"/>
          <w:rFonts w:ascii="楷体" w:hAnsi="楷体" w:eastAsia="楷体"/>
          <w:spacing w:val="-4"/>
          <w:sz w:val="32"/>
          <w:szCs w:val="32"/>
        </w:rPr>
      </w:pPr>
      <w:r>
        <w:rPr>
          <w:rStyle w:val="21"/>
          <w:rFonts w:hint="eastAsia" w:ascii="楷体" w:hAnsi="楷体" w:eastAsia="楷体"/>
          <w:spacing w:val="-4"/>
          <w:sz w:val="32"/>
          <w:szCs w:val="32"/>
        </w:rPr>
        <w:t>（二）绩效评价原则、评价指标体系、评价方法、评价标准</w:t>
      </w:r>
    </w:p>
    <w:p w14:paraId="7FC55840">
      <w:pPr>
        <w:spacing w:line="360" w:lineRule="auto"/>
        <w:ind w:firstLine="562" w:firstLineChars="200"/>
        <w:rPr>
          <w:rFonts w:hint="eastAsia" w:ascii="仿宋_GB2312" w:hAnsi="Calibri" w:eastAsia="仿宋_GB2312" w:cs="黑体"/>
          <w:b/>
          <w:bCs/>
          <w:sz w:val="28"/>
          <w:szCs w:val="22"/>
        </w:rPr>
      </w:pPr>
      <w:r>
        <w:rPr>
          <w:rFonts w:hint="eastAsia" w:ascii="仿宋_GB2312" w:hAnsi="Calibri" w:eastAsia="仿宋_GB2312" w:cs="黑体"/>
          <w:b/>
          <w:bCs/>
          <w:sz w:val="28"/>
          <w:szCs w:val="22"/>
        </w:rPr>
        <w:t>1.评价原则</w:t>
      </w:r>
    </w:p>
    <w:p w14:paraId="5AE694AA">
      <w:pPr>
        <w:spacing w:line="360" w:lineRule="auto"/>
        <w:ind w:firstLine="560" w:firstLineChars="200"/>
        <w:rPr>
          <w:rFonts w:hint="eastAsia" w:ascii="仿宋_GB2312" w:hAnsi="Calibri" w:eastAsia="仿宋_GB2312" w:cs="黑体"/>
          <w:sz w:val="28"/>
          <w:szCs w:val="22"/>
        </w:rPr>
      </w:pPr>
      <w:r>
        <w:rPr>
          <w:rFonts w:hint="eastAsia" w:ascii="仿宋_GB2312" w:hAnsi="Calibri" w:eastAsia="仿宋_GB2312" w:cs="黑体"/>
          <w:sz w:val="28"/>
          <w:szCs w:val="22"/>
        </w:rPr>
        <w:t>（1）科学规范原则：绩效评价应当严格执行规定的程序，按照科学可行的要求，采用定量与定性分析相结合的方法。</w:t>
      </w:r>
    </w:p>
    <w:p w14:paraId="4556097B">
      <w:pPr>
        <w:spacing w:line="360" w:lineRule="auto"/>
        <w:ind w:firstLine="560" w:firstLineChars="200"/>
        <w:rPr>
          <w:rFonts w:hint="eastAsia" w:ascii="仿宋_GB2312" w:hAnsi="Calibri" w:eastAsia="仿宋_GB2312" w:cs="黑体"/>
          <w:sz w:val="28"/>
          <w:szCs w:val="22"/>
        </w:rPr>
      </w:pPr>
      <w:r>
        <w:rPr>
          <w:rFonts w:hint="eastAsia" w:ascii="仿宋_GB2312" w:hAnsi="Calibri" w:eastAsia="仿宋_GB2312" w:cs="黑体"/>
          <w:sz w:val="28"/>
          <w:szCs w:val="22"/>
        </w:rPr>
        <w:t>（2）公正公开原则：绩效评价应当符合真实、客观、公正的要求，依法公开并接受监督。</w:t>
      </w:r>
    </w:p>
    <w:p w14:paraId="2710E1E7">
      <w:pPr>
        <w:spacing w:line="360" w:lineRule="auto"/>
        <w:ind w:firstLine="560" w:firstLineChars="200"/>
        <w:rPr>
          <w:rFonts w:hint="eastAsia" w:ascii="仿宋_GB2312" w:hAnsi="Calibri" w:eastAsia="仿宋_GB2312" w:cs="黑体"/>
          <w:sz w:val="28"/>
          <w:szCs w:val="22"/>
        </w:rPr>
      </w:pPr>
      <w:r>
        <w:rPr>
          <w:rFonts w:hint="eastAsia" w:ascii="仿宋_GB2312" w:hAnsi="Calibri" w:eastAsia="仿宋_GB2312" w:cs="黑体"/>
          <w:sz w:val="28"/>
          <w:szCs w:val="22"/>
        </w:rPr>
        <w:t>（3）分级分类原则：根据评价对象特点分类组织实施。</w:t>
      </w:r>
    </w:p>
    <w:p w14:paraId="56D2CC37">
      <w:pPr>
        <w:spacing w:line="360" w:lineRule="auto"/>
        <w:ind w:firstLine="560" w:firstLineChars="200"/>
        <w:rPr>
          <w:rFonts w:hint="eastAsia" w:ascii="仿宋_GB2312" w:hAnsi="Calibri" w:eastAsia="仿宋_GB2312" w:cs="黑体"/>
          <w:sz w:val="28"/>
          <w:szCs w:val="22"/>
        </w:rPr>
      </w:pPr>
      <w:r>
        <w:rPr>
          <w:rFonts w:hint="eastAsia" w:ascii="仿宋_GB2312" w:hAnsi="Calibri" w:eastAsia="仿宋_GB2312" w:cs="黑体"/>
          <w:sz w:val="28"/>
          <w:szCs w:val="22"/>
        </w:rPr>
        <w:t>（4）绩效相关原则：绩效评价应当针对具体支出及其产出绩效进行，评价结果应当清晰反映支出和产出绩效之间的紧密对应关系。</w:t>
      </w:r>
    </w:p>
    <w:p w14:paraId="15990AA4">
      <w:pPr>
        <w:spacing w:line="360" w:lineRule="auto"/>
        <w:ind w:firstLine="562" w:firstLineChars="200"/>
        <w:rPr>
          <w:rFonts w:hint="eastAsia" w:ascii="仿宋_GB2312" w:hAnsi="Calibri" w:eastAsia="仿宋_GB2312" w:cs="黑体"/>
          <w:b/>
          <w:bCs/>
          <w:sz w:val="28"/>
          <w:szCs w:val="22"/>
        </w:rPr>
      </w:pPr>
      <w:r>
        <w:rPr>
          <w:rFonts w:hint="eastAsia" w:ascii="仿宋_GB2312" w:hAnsi="Calibri" w:eastAsia="仿宋_GB2312" w:cs="黑体"/>
          <w:b/>
          <w:bCs/>
          <w:sz w:val="28"/>
          <w:szCs w:val="22"/>
        </w:rPr>
        <w:t>2.评价指标体系</w:t>
      </w:r>
    </w:p>
    <w:p w14:paraId="753D596B">
      <w:pPr>
        <w:spacing w:line="540" w:lineRule="exact"/>
        <w:ind w:firstLine="567"/>
        <w:rPr>
          <w:rFonts w:hint="eastAsia" w:ascii="仿宋_GB2312" w:hAnsi="Calibri" w:eastAsia="仿宋_GB2312" w:cs="黑体"/>
          <w:sz w:val="28"/>
          <w:szCs w:val="22"/>
          <w:lang w:val="en-US" w:eastAsia="zh-CN"/>
        </w:rPr>
      </w:pPr>
      <w:r>
        <w:rPr>
          <w:rFonts w:hint="eastAsia" w:ascii="仿宋_GB2312" w:hAnsi="Calibri" w:eastAsia="仿宋_GB2312" w:cs="黑体"/>
          <w:sz w:val="28"/>
          <w:szCs w:val="22"/>
          <w:lang w:val="en-US" w:eastAsia="zh-CN"/>
        </w:rPr>
        <w:t>本次绩效评价指标体系是根据《项目支出绩效评价管理办法》（财预〔2020〕10号）对于指标体系的要求和规范，结合项目特有属性和实际情况，考虑实用性、可操作性和可实现性，从决策、过程、产出、效益四个维度进行指标细化和分值设定。</w:t>
      </w:r>
      <w:r>
        <w:rPr>
          <w:rFonts w:hint="default" w:ascii="仿宋_GB2312" w:hAnsi="Calibri" w:eastAsia="仿宋_GB2312" w:cs="黑体"/>
          <w:sz w:val="28"/>
          <w:szCs w:val="22"/>
          <w:lang w:val="en-US" w:eastAsia="zh-CN"/>
        </w:rPr>
        <w:t>塔城地区博物馆展陈紧急提升项目</w:t>
      </w:r>
      <w:r>
        <w:rPr>
          <w:rFonts w:hint="eastAsia" w:ascii="仿宋_GB2312" w:hAnsi="Calibri" w:eastAsia="仿宋_GB2312" w:cs="黑体"/>
          <w:sz w:val="28"/>
          <w:szCs w:val="22"/>
          <w:lang w:val="en-US" w:eastAsia="zh-CN"/>
        </w:rPr>
        <w:t>支出绩效评价指标体系(详见附件3)</w:t>
      </w:r>
    </w:p>
    <w:p w14:paraId="44E895D2">
      <w:pPr>
        <w:spacing w:line="360" w:lineRule="auto"/>
        <w:ind w:firstLine="562" w:firstLineChars="200"/>
        <w:rPr>
          <w:rFonts w:hint="default" w:ascii="仿宋_GB2312" w:hAnsi="Calibri" w:eastAsia="仿宋_GB2312" w:cs="黑体"/>
          <w:b/>
          <w:bCs/>
          <w:sz w:val="28"/>
          <w:szCs w:val="22"/>
          <w:lang w:val="en-US" w:eastAsia="zh-CN"/>
        </w:rPr>
      </w:pPr>
      <w:r>
        <w:rPr>
          <w:rFonts w:hint="eastAsia" w:ascii="仿宋_GB2312" w:hAnsi="Calibri" w:eastAsia="仿宋_GB2312" w:cs="黑体"/>
          <w:b/>
          <w:bCs/>
          <w:sz w:val="28"/>
          <w:szCs w:val="22"/>
          <w:lang w:val="en-US" w:eastAsia="zh-CN"/>
        </w:rPr>
        <w:t>3.评价方法</w:t>
      </w:r>
    </w:p>
    <w:p w14:paraId="5F052751">
      <w:pPr>
        <w:spacing w:line="540" w:lineRule="exact"/>
        <w:ind w:firstLine="567"/>
        <w:rPr>
          <w:rFonts w:hint="eastAsia" w:ascii="仿宋_GB2312" w:hAnsi="Calibri" w:eastAsia="仿宋_GB2312" w:cs="黑体"/>
          <w:sz w:val="28"/>
          <w:szCs w:val="22"/>
          <w:lang w:val="en-US" w:eastAsia="zh-CN"/>
        </w:rPr>
      </w:pPr>
      <w:r>
        <w:rPr>
          <w:rFonts w:hint="eastAsia" w:ascii="仿宋_GB2312" w:hAnsi="Calibri" w:eastAsia="仿宋_GB2312" w:cs="黑体"/>
          <w:sz w:val="28"/>
          <w:szCs w:val="22"/>
          <w:lang w:val="en-US" w:eastAsia="zh-CN"/>
        </w:rPr>
        <w:t>按照《项目支出绩效评价管理办法》（财预〔2020〕10号）规定的具体评价方法和流程，评价小组运用定量和定性分析相结合的方法，综合运用比较法、因素分析法、成本效益法、公众评判等方法进行项目实施的绩效评价。</w:t>
      </w:r>
    </w:p>
    <w:p w14:paraId="2295392A">
      <w:pPr>
        <w:spacing w:line="360" w:lineRule="auto"/>
        <w:ind w:firstLine="562" w:firstLineChars="200"/>
        <w:rPr>
          <w:rFonts w:hint="eastAsia" w:ascii="仿宋_GB2312" w:hAnsi="Calibri" w:eastAsia="仿宋_GB2312" w:cs="黑体"/>
          <w:b/>
          <w:bCs/>
          <w:sz w:val="28"/>
          <w:szCs w:val="22"/>
          <w:lang w:val="en-US" w:eastAsia="zh-CN"/>
        </w:rPr>
      </w:pPr>
      <w:r>
        <w:rPr>
          <w:rFonts w:hint="eastAsia" w:ascii="仿宋_GB2312" w:hAnsi="Calibri" w:eastAsia="仿宋_GB2312" w:cs="黑体"/>
          <w:b/>
          <w:bCs/>
          <w:sz w:val="28"/>
          <w:szCs w:val="22"/>
          <w:lang w:val="en-US" w:eastAsia="zh-CN"/>
        </w:rPr>
        <w:t>4.评价标准</w:t>
      </w:r>
    </w:p>
    <w:p w14:paraId="0BB4D86B">
      <w:pPr>
        <w:spacing w:line="540" w:lineRule="exact"/>
        <w:ind w:firstLine="567"/>
        <w:rPr>
          <w:rFonts w:hint="eastAsia" w:ascii="仿宋_GB2312" w:hAnsi="Calibri" w:eastAsia="仿宋_GB2312" w:cs="黑体"/>
          <w:sz w:val="28"/>
          <w:szCs w:val="22"/>
          <w:lang w:val="en-US" w:eastAsia="zh-CN"/>
        </w:rPr>
      </w:pPr>
      <w:r>
        <w:rPr>
          <w:rFonts w:hint="eastAsia" w:ascii="仿宋_GB2312" w:hAnsi="Calibri" w:eastAsia="仿宋_GB2312" w:cs="黑体"/>
          <w:sz w:val="28"/>
          <w:szCs w:val="22"/>
          <w:lang w:val="en-US" w:eastAsia="zh-CN"/>
        </w:rPr>
        <w:t>绩效评价标准主要包括计划标准、行业标准、历史标准等，用于对绩效指标完成情况进行比较。</w:t>
      </w:r>
    </w:p>
    <w:p w14:paraId="704E6902">
      <w:pPr>
        <w:spacing w:line="540" w:lineRule="exact"/>
        <w:ind w:firstLine="567"/>
        <w:rPr>
          <w:rFonts w:hint="eastAsia" w:ascii="仿宋_GB2312" w:hAnsi="Calibri" w:eastAsia="仿宋_GB2312" w:cs="黑体"/>
          <w:sz w:val="28"/>
          <w:szCs w:val="22"/>
          <w:lang w:val="en-US" w:eastAsia="zh-CN"/>
        </w:rPr>
      </w:pPr>
      <w:r>
        <w:rPr>
          <w:rFonts w:hint="eastAsia" w:ascii="仿宋_GB2312" w:hAnsi="Calibri" w:eastAsia="仿宋_GB2312" w:cs="黑体"/>
          <w:sz w:val="28"/>
          <w:szCs w:val="22"/>
          <w:lang w:val="en-US" w:eastAsia="zh-CN"/>
        </w:rPr>
        <w:t>（1）计划标准。指以预先制定的目标、计划、预算、定额等作为评价标准。</w:t>
      </w:r>
    </w:p>
    <w:p w14:paraId="14D4EFDC">
      <w:pPr>
        <w:spacing w:line="540" w:lineRule="exact"/>
        <w:ind w:firstLine="567"/>
        <w:rPr>
          <w:rFonts w:hint="eastAsia" w:ascii="仿宋_GB2312" w:hAnsi="Calibri" w:eastAsia="仿宋_GB2312" w:cs="黑体"/>
          <w:sz w:val="28"/>
          <w:szCs w:val="22"/>
          <w:lang w:val="en-US" w:eastAsia="zh-CN"/>
        </w:rPr>
      </w:pPr>
      <w:r>
        <w:rPr>
          <w:rFonts w:hint="eastAsia" w:ascii="仿宋_GB2312" w:hAnsi="Calibri" w:eastAsia="仿宋_GB2312" w:cs="黑体"/>
          <w:sz w:val="28"/>
          <w:szCs w:val="22"/>
          <w:lang w:val="en-US" w:eastAsia="zh-CN"/>
        </w:rPr>
        <w:t>（2）行业标准。指参照国家公布的行业指标数据制定的评价标准。</w:t>
      </w:r>
    </w:p>
    <w:p w14:paraId="318D57B1">
      <w:pPr>
        <w:spacing w:line="540" w:lineRule="exact"/>
        <w:ind w:firstLine="567"/>
        <w:rPr>
          <w:rFonts w:hint="eastAsia" w:ascii="仿宋_GB2312" w:hAnsi="Calibri" w:eastAsia="仿宋_GB2312" w:cs="黑体"/>
          <w:sz w:val="28"/>
          <w:szCs w:val="22"/>
          <w:lang w:val="en-US" w:eastAsia="zh-CN"/>
        </w:rPr>
      </w:pPr>
      <w:r>
        <w:rPr>
          <w:rFonts w:hint="eastAsia" w:ascii="仿宋_GB2312" w:hAnsi="Calibri" w:eastAsia="仿宋_GB2312" w:cs="黑体"/>
          <w:sz w:val="28"/>
          <w:szCs w:val="22"/>
          <w:lang w:val="en-US" w:eastAsia="zh-CN"/>
        </w:rPr>
        <w:t>（3）历史标准。指参照历史数据制定的评价标准，为体现绩效改进的原则，在可实现的条件下应当确定相对较高的评价标准。</w:t>
      </w:r>
    </w:p>
    <w:p w14:paraId="11BDFE0F">
      <w:pPr>
        <w:spacing w:line="540" w:lineRule="exact"/>
        <w:ind w:firstLine="567"/>
        <w:rPr>
          <w:rFonts w:hint="eastAsia" w:ascii="仿宋_GB2312" w:hAnsi="Calibri" w:eastAsia="仿宋_GB2312" w:cs="黑体"/>
          <w:sz w:val="28"/>
          <w:szCs w:val="22"/>
          <w:lang w:val="en-US" w:eastAsia="zh-CN"/>
        </w:rPr>
      </w:pPr>
      <w:r>
        <w:rPr>
          <w:rFonts w:hint="eastAsia" w:ascii="仿宋_GB2312" w:hAnsi="Calibri" w:eastAsia="仿宋_GB2312" w:cs="黑体"/>
          <w:sz w:val="28"/>
          <w:szCs w:val="22"/>
          <w:lang w:val="en-US" w:eastAsia="zh-CN"/>
        </w:rPr>
        <w:t>在上述评价标准的基础上，本次评价依据以下文件为重要指导和准绳：</w:t>
      </w:r>
    </w:p>
    <w:p w14:paraId="7BD46B7E">
      <w:pPr>
        <w:spacing w:line="540" w:lineRule="exact"/>
        <w:ind w:firstLine="567"/>
        <w:rPr>
          <w:rFonts w:hint="eastAsia" w:ascii="仿宋_GB2312" w:hAnsi="Calibri" w:eastAsia="仿宋_GB2312" w:cs="黑体"/>
          <w:sz w:val="28"/>
          <w:szCs w:val="22"/>
          <w:lang w:val="en-US" w:eastAsia="zh-CN"/>
        </w:rPr>
      </w:pPr>
      <w:r>
        <w:rPr>
          <w:rFonts w:hint="eastAsia" w:ascii="仿宋_GB2312" w:hAnsi="Calibri" w:eastAsia="仿宋_GB2312" w:cs="黑体"/>
          <w:sz w:val="28"/>
          <w:szCs w:val="22"/>
          <w:lang w:val="en-US" w:eastAsia="zh-CN"/>
        </w:rPr>
        <w:t>·《中共中央国务院关于全面实施预算绩效管理的意见》（中发〔2018〕34号）；</w:t>
      </w:r>
    </w:p>
    <w:p w14:paraId="4258D836">
      <w:pPr>
        <w:spacing w:line="540" w:lineRule="exact"/>
        <w:ind w:firstLine="567"/>
        <w:rPr>
          <w:rFonts w:hint="eastAsia" w:ascii="仿宋_GB2312" w:hAnsi="Calibri" w:eastAsia="仿宋_GB2312" w:cs="黑体"/>
          <w:sz w:val="28"/>
          <w:szCs w:val="22"/>
          <w:lang w:val="en-US" w:eastAsia="zh-CN"/>
        </w:rPr>
      </w:pPr>
      <w:r>
        <w:rPr>
          <w:rFonts w:hint="eastAsia" w:ascii="仿宋_GB2312" w:hAnsi="Calibri" w:eastAsia="仿宋_GB2312" w:cs="黑体"/>
          <w:sz w:val="28"/>
          <w:szCs w:val="22"/>
          <w:lang w:val="en-US" w:eastAsia="zh-CN"/>
        </w:rPr>
        <w:t>·《项目支出绩效评价管理办法》（财预〔2020〕10号）；</w:t>
      </w:r>
    </w:p>
    <w:p w14:paraId="3C4A7D9C">
      <w:pPr>
        <w:spacing w:line="540" w:lineRule="exact"/>
        <w:ind w:firstLine="567"/>
        <w:rPr>
          <w:rFonts w:hint="eastAsia" w:ascii="仿宋_GB2312" w:hAnsi="Calibri" w:eastAsia="仿宋_GB2312" w:cs="黑体"/>
          <w:sz w:val="28"/>
          <w:szCs w:val="22"/>
          <w:lang w:val="en-US" w:eastAsia="zh-CN"/>
        </w:rPr>
      </w:pPr>
      <w:r>
        <w:rPr>
          <w:rFonts w:hint="eastAsia" w:ascii="仿宋_GB2312" w:hAnsi="Calibri" w:eastAsia="仿宋_GB2312" w:cs="黑体"/>
          <w:sz w:val="28"/>
          <w:szCs w:val="22"/>
          <w:lang w:val="en-US" w:eastAsia="zh-CN"/>
        </w:rPr>
        <w:t>·《自治区党委自治区人民政府关于全面实施预算绩效管理的实施意见》（新党发〔2018〕30号）；</w:t>
      </w:r>
    </w:p>
    <w:p w14:paraId="3F27647B">
      <w:pPr>
        <w:spacing w:line="540" w:lineRule="exact"/>
        <w:ind w:firstLine="567"/>
        <w:rPr>
          <w:rFonts w:hint="eastAsia" w:ascii="仿宋_GB2312" w:hAnsi="Calibri" w:eastAsia="仿宋_GB2312" w:cs="黑体"/>
          <w:sz w:val="28"/>
          <w:szCs w:val="22"/>
          <w:lang w:val="en-US" w:eastAsia="zh-CN"/>
        </w:rPr>
      </w:pPr>
      <w:r>
        <w:rPr>
          <w:rFonts w:hint="eastAsia" w:ascii="仿宋_GB2312" w:hAnsi="Calibri" w:eastAsia="仿宋_GB2312" w:cs="黑体"/>
          <w:sz w:val="28"/>
          <w:szCs w:val="22"/>
          <w:lang w:val="en-US" w:eastAsia="zh-CN"/>
        </w:rPr>
        <w:t>·《2023年度推进塔城地区全面实施预算绩效管理工作规划》。</w:t>
      </w:r>
    </w:p>
    <w:p w14:paraId="5AF57CD4">
      <w:pPr>
        <w:spacing w:line="540" w:lineRule="exact"/>
        <w:ind w:firstLine="567" w:firstLineChars="181"/>
        <w:rPr>
          <w:rStyle w:val="21"/>
          <w:rFonts w:hint="eastAsia" w:ascii="楷体" w:hAnsi="楷体" w:eastAsia="楷体"/>
          <w:spacing w:val="-4"/>
          <w:sz w:val="32"/>
          <w:szCs w:val="32"/>
        </w:rPr>
      </w:pPr>
      <w:r>
        <w:rPr>
          <w:rStyle w:val="21"/>
          <w:rFonts w:hint="eastAsia" w:ascii="楷体" w:hAnsi="楷体" w:eastAsia="楷体"/>
          <w:spacing w:val="-4"/>
          <w:sz w:val="32"/>
          <w:szCs w:val="32"/>
        </w:rPr>
        <w:t>（三）绩效评价工作过程</w:t>
      </w:r>
    </w:p>
    <w:p w14:paraId="1E1DE62C">
      <w:pPr>
        <w:spacing w:line="540" w:lineRule="exact"/>
        <w:ind w:firstLine="567"/>
        <w:rPr>
          <w:rStyle w:val="21"/>
          <w:rFonts w:ascii="楷体" w:hAnsi="楷体" w:eastAsia="楷体"/>
          <w:b w:val="0"/>
          <w:bCs w:val="0"/>
          <w:spacing w:val="-4"/>
          <w:sz w:val="32"/>
          <w:szCs w:val="32"/>
        </w:rPr>
      </w:pPr>
      <w:r>
        <w:rPr>
          <w:rFonts w:hint="eastAsia" w:ascii="仿宋_GB2312" w:hAnsi="Calibri" w:eastAsia="仿宋_GB2312" w:cs="黑体"/>
          <w:sz w:val="28"/>
          <w:szCs w:val="22"/>
          <w:lang w:val="en-US" w:eastAsia="zh-CN"/>
        </w:rPr>
        <w:t>评级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材料审核分析、现场核查评价、综合分析评价及报告撰写，评价项目实施情况，展现资金使用效益。</w:t>
      </w:r>
    </w:p>
    <w:p w14:paraId="1B4C1B83">
      <w:pPr>
        <w:spacing w:line="540" w:lineRule="exact"/>
        <w:ind w:firstLine="640"/>
        <w:rPr>
          <w:rStyle w:val="21"/>
          <w:rFonts w:ascii="黑体" w:hAnsi="黑体" w:eastAsia="黑体"/>
          <w:b w:val="0"/>
          <w:spacing w:val="-4"/>
          <w:sz w:val="32"/>
          <w:szCs w:val="32"/>
        </w:rPr>
      </w:pPr>
      <w:r>
        <w:rPr>
          <w:rStyle w:val="21"/>
          <w:rFonts w:hint="eastAsia" w:ascii="黑体" w:hAnsi="黑体" w:eastAsia="黑体"/>
          <w:b w:val="0"/>
          <w:spacing w:val="-4"/>
          <w:sz w:val="32"/>
          <w:szCs w:val="32"/>
        </w:rPr>
        <w:t>三、综合评价情况及评价结论</w:t>
      </w:r>
    </w:p>
    <w:p w14:paraId="23F3DCF8">
      <w:pPr>
        <w:spacing w:line="360" w:lineRule="auto"/>
        <w:ind w:firstLine="562" w:firstLineChars="200"/>
        <w:outlineLvl w:val="1"/>
        <w:rPr>
          <w:rFonts w:hint="eastAsia" w:ascii="仿宋_GB2312" w:hAnsi="Calibri" w:eastAsia="仿宋_GB2312" w:cs="黑体"/>
          <w:b/>
          <w:bCs/>
          <w:sz w:val="28"/>
          <w:szCs w:val="28"/>
        </w:rPr>
      </w:pPr>
      <w:bookmarkStart w:id="0" w:name="_Toc14030"/>
      <w:bookmarkStart w:id="1" w:name="_Toc67911609"/>
      <w:r>
        <w:rPr>
          <w:rFonts w:hint="eastAsia" w:ascii="仿宋_GB2312" w:hAnsi="Calibri" w:eastAsia="仿宋_GB2312" w:cs="黑体"/>
          <w:b/>
          <w:bCs/>
          <w:sz w:val="28"/>
          <w:szCs w:val="28"/>
        </w:rPr>
        <w:t>（一）评价结论</w:t>
      </w:r>
      <w:bookmarkEnd w:id="0"/>
      <w:bookmarkEnd w:id="1"/>
    </w:p>
    <w:p w14:paraId="22B78932">
      <w:pPr>
        <w:ind w:firstLine="560"/>
        <w:rPr>
          <w:rStyle w:val="21"/>
          <w:rFonts w:ascii="楷体" w:hAnsi="楷体" w:eastAsia="楷体"/>
          <w:b w:val="0"/>
          <w:bCs w:val="0"/>
          <w:spacing w:val="-4"/>
          <w:sz w:val="32"/>
          <w:szCs w:val="32"/>
        </w:rPr>
      </w:pPr>
      <w:r>
        <w:rPr>
          <w:rFonts w:hint="eastAsia" w:ascii="仿宋_GB2312" w:hAnsi="Calibri" w:eastAsia="仿宋_GB2312" w:cs="黑体"/>
          <w:sz w:val="28"/>
          <w:szCs w:val="22"/>
          <w:lang w:val="en-US" w:eastAsia="zh-CN"/>
        </w:rPr>
        <w:t>结合项目特点，制定符合项目实际的绩效评价指标体系及评分标准，通过数据采集、问卷调查及访谈等形式，对2</w:t>
      </w:r>
      <w:r>
        <w:rPr>
          <w:rFonts w:hint="default" w:ascii="仿宋_GB2312" w:hAnsi="Calibri" w:eastAsia="仿宋_GB2312" w:cs="黑体"/>
          <w:sz w:val="28"/>
          <w:szCs w:val="22"/>
          <w:lang w:val="en-US" w:eastAsia="zh-CN"/>
        </w:rPr>
        <w:t>0</w:t>
      </w:r>
      <w:r>
        <w:rPr>
          <w:rFonts w:hint="eastAsia" w:ascii="仿宋_GB2312" w:hAnsi="Calibri" w:eastAsia="仿宋_GB2312" w:cs="黑体"/>
          <w:sz w:val="28"/>
          <w:szCs w:val="22"/>
          <w:lang w:val="en-US" w:eastAsia="zh-CN"/>
        </w:rPr>
        <w:t>22年</w:t>
      </w:r>
      <w:r>
        <w:rPr>
          <w:rFonts w:hint="default" w:ascii="仿宋_GB2312" w:hAnsi="Calibri" w:eastAsia="仿宋_GB2312" w:cs="黑体"/>
          <w:sz w:val="28"/>
          <w:szCs w:val="22"/>
          <w:lang w:val="en-US" w:eastAsia="zh-CN"/>
        </w:rPr>
        <w:t>塔城地区博物馆展陈紧急提升项目</w:t>
      </w:r>
      <w:r>
        <w:rPr>
          <w:rFonts w:hint="eastAsia" w:ascii="仿宋_GB2312" w:hAnsi="Calibri" w:eastAsia="仿宋_GB2312" w:cs="黑体"/>
          <w:sz w:val="28"/>
          <w:szCs w:val="22"/>
          <w:lang w:val="en-US" w:eastAsia="zh-CN"/>
        </w:rPr>
        <w:t>进行客观评价</w:t>
      </w:r>
      <w:bookmarkStart w:id="2" w:name="_Toc67911610"/>
      <w:bookmarkStart w:id="3" w:name="_Toc23106"/>
      <w:r>
        <w:rPr>
          <w:rFonts w:hint="eastAsia" w:ascii="仿宋_GB2312" w:hAnsi="Calibri" w:eastAsia="仿宋_GB2312" w:cs="黑体"/>
          <w:sz w:val="28"/>
          <w:szCs w:val="22"/>
          <w:lang w:val="en-US" w:eastAsia="zh-CN"/>
        </w:rPr>
        <w:t>。</w:t>
      </w:r>
      <w:bookmarkEnd w:id="2"/>
      <w:bookmarkEnd w:id="3"/>
    </w:p>
    <w:p w14:paraId="3F6AE03B">
      <w:pPr>
        <w:spacing w:line="540" w:lineRule="exact"/>
        <w:ind w:firstLine="640"/>
        <w:rPr>
          <w:rStyle w:val="21"/>
          <w:rFonts w:ascii="黑体" w:hAnsi="黑体" w:eastAsia="黑体"/>
        </w:rPr>
      </w:pPr>
      <w:r>
        <w:rPr>
          <w:rStyle w:val="21"/>
          <w:rFonts w:hint="eastAsia" w:ascii="黑体" w:hAnsi="黑体" w:eastAsia="黑体"/>
          <w:b w:val="0"/>
          <w:spacing w:val="-4"/>
          <w:sz w:val="32"/>
          <w:szCs w:val="32"/>
        </w:rPr>
        <w:t>四、绩效评价指标分析</w:t>
      </w:r>
      <w:r>
        <w:rPr>
          <w:rStyle w:val="21"/>
          <w:rFonts w:hint="eastAsia" w:ascii="黑体" w:hAnsi="黑体" w:eastAsia="黑体"/>
        </w:rPr>
        <w:t xml:space="preserve"> </w:t>
      </w:r>
    </w:p>
    <w:p w14:paraId="3B8C84AD">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21"/>
          <w:rFonts w:hint="eastAsia" w:ascii="楷体" w:hAnsi="楷体" w:eastAsia="楷体"/>
          <w:spacing w:val="-4"/>
          <w:sz w:val="32"/>
          <w:szCs w:val="32"/>
        </w:rPr>
        <w:t>项目决策情况</w:t>
      </w:r>
    </w:p>
    <w:p w14:paraId="38CCC25C">
      <w:pPr>
        <w:spacing w:line="360" w:lineRule="auto"/>
        <w:ind w:firstLine="562" w:firstLineChars="200"/>
        <w:rPr>
          <w:rFonts w:hint="eastAsia" w:ascii="仿宋_GB2312" w:hAnsi="Calibri" w:eastAsia="仿宋_GB2312" w:cs="黑体"/>
          <w:b/>
          <w:bCs/>
          <w:sz w:val="28"/>
          <w:szCs w:val="28"/>
        </w:rPr>
      </w:pPr>
      <w:r>
        <w:rPr>
          <w:rFonts w:hint="eastAsia" w:ascii="仿宋_GB2312" w:hAnsi="Calibri" w:eastAsia="仿宋_GB2312" w:cs="黑体"/>
          <w:b/>
          <w:bCs/>
          <w:sz w:val="28"/>
          <w:szCs w:val="28"/>
        </w:rPr>
        <w:t>1.立项依据充分性：项目立项符合国家法律法规、国民经济发展规划和相关政策,项目立项符合行业发展规划和政策要求,项目立项与部门职责范围相符，属于部门履职所需,项目属于公共财政支持范围，符合中央、地方事权支出责任划分原则,项目与相关部门同类项目或部门内部相关项目重复。</w:t>
      </w:r>
    </w:p>
    <w:p w14:paraId="606CEF3A">
      <w:pPr>
        <w:spacing w:line="360" w:lineRule="auto"/>
        <w:ind w:firstLine="562" w:firstLineChars="200"/>
        <w:rPr>
          <w:rFonts w:hint="eastAsia" w:ascii="仿宋_GB2312" w:hAnsi="Calibri" w:eastAsia="仿宋_GB2312" w:cs="黑体"/>
          <w:b/>
          <w:bCs/>
          <w:sz w:val="28"/>
          <w:szCs w:val="28"/>
        </w:rPr>
      </w:pPr>
      <w:r>
        <w:rPr>
          <w:rFonts w:hint="eastAsia" w:ascii="仿宋_GB2312" w:hAnsi="Calibri" w:eastAsia="仿宋_GB2312" w:cs="黑体"/>
          <w:b/>
          <w:bCs/>
          <w:sz w:val="28"/>
          <w:szCs w:val="28"/>
        </w:rPr>
        <w:t>2.立项程序规范性:项目按照规定的程序申请设立,审批文件、材料符合相关要求,事前已经过必要的可行性研究、专家论证、风险评估、绩效评估、集体决策。</w:t>
      </w:r>
    </w:p>
    <w:p w14:paraId="650B5E43">
      <w:pPr>
        <w:spacing w:line="360" w:lineRule="auto"/>
        <w:ind w:firstLine="562" w:firstLineChars="200"/>
        <w:rPr>
          <w:rFonts w:hint="eastAsia" w:ascii="仿宋_GB2312" w:hAnsi="Calibri" w:eastAsia="仿宋_GB2312" w:cs="黑体"/>
          <w:b/>
          <w:bCs/>
          <w:sz w:val="28"/>
          <w:szCs w:val="28"/>
        </w:rPr>
      </w:pPr>
      <w:r>
        <w:rPr>
          <w:rFonts w:hint="eastAsia" w:ascii="仿宋_GB2312" w:hAnsi="Calibri" w:eastAsia="仿宋_GB2312" w:cs="黑体"/>
          <w:b/>
          <w:bCs/>
          <w:sz w:val="28"/>
          <w:szCs w:val="28"/>
        </w:rPr>
        <w:t>3.绩效目标合理性:项目有绩效目标,项目绩效目标与实际工作内容具有相关性,项目预期产出效益和效果符合正常的业绩水平,与预算确定的项目投资额或资金量相匹配。</w:t>
      </w:r>
    </w:p>
    <w:p w14:paraId="6F9DD8AE">
      <w:pPr>
        <w:spacing w:line="360" w:lineRule="auto"/>
        <w:ind w:firstLine="562" w:firstLineChars="200"/>
        <w:rPr>
          <w:rFonts w:hint="eastAsia" w:ascii="仿宋_GB2312" w:hAnsi="Calibri" w:eastAsia="仿宋_GB2312" w:cs="黑体"/>
          <w:b/>
          <w:bCs/>
          <w:sz w:val="28"/>
          <w:szCs w:val="28"/>
        </w:rPr>
      </w:pPr>
      <w:r>
        <w:rPr>
          <w:rFonts w:hint="eastAsia" w:ascii="仿宋_GB2312" w:hAnsi="Calibri" w:eastAsia="仿宋_GB2312" w:cs="黑体"/>
          <w:b/>
          <w:bCs/>
          <w:sz w:val="28"/>
          <w:szCs w:val="28"/>
        </w:rPr>
        <w:t>4.绩效指标明确性:将项目绩效目标细化分解为具体的绩效指标,通过清晰、可衡量的指标值予以体现,与项目目标任务数或计划数相对应。</w:t>
      </w:r>
    </w:p>
    <w:p w14:paraId="53C51DBD">
      <w:pPr>
        <w:spacing w:line="360" w:lineRule="auto"/>
        <w:ind w:firstLine="562" w:firstLineChars="200"/>
        <w:rPr>
          <w:rFonts w:hint="eastAsia" w:ascii="仿宋_GB2312" w:hAnsi="Calibri" w:eastAsia="仿宋_GB2312" w:cs="黑体"/>
          <w:b/>
          <w:bCs/>
          <w:sz w:val="28"/>
          <w:szCs w:val="28"/>
        </w:rPr>
      </w:pPr>
      <w:r>
        <w:rPr>
          <w:rFonts w:hint="eastAsia" w:ascii="仿宋_GB2312" w:hAnsi="Calibri" w:eastAsia="仿宋_GB2312" w:cs="黑体"/>
          <w:b/>
          <w:bCs/>
          <w:sz w:val="28"/>
          <w:szCs w:val="28"/>
        </w:rPr>
        <w:t>5.预算编制科学性:预算编制经过科学论证,预算内容与项目内容匹配,预算额度测算依据充分，按照标准编制,预算确定的项目投资额或资金量与工作任务相匹配。</w:t>
      </w:r>
    </w:p>
    <w:p w14:paraId="5C33E495">
      <w:pPr>
        <w:spacing w:line="360" w:lineRule="auto"/>
        <w:ind w:firstLine="562" w:firstLineChars="200"/>
        <w:rPr>
          <w:rStyle w:val="21"/>
          <w:rFonts w:hint="eastAsia" w:ascii="楷体" w:hAnsi="楷体" w:eastAsia="楷体"/>
          <w:b w:val="0"/>
          <w:bCs w:val="0"/>
          <w:spacing w:val="-4"/>
          <w:sz w:val="32"/>
          <w:szCs w:val="32"/>
          <w:lang w:eastAsia="zh-CN"/>
        </w:rPr>
      </w:pPr>
      <w:r>
        <w:rPr>
          <w:rFonts w:hint="eastAsia" w:ascii="仿宋_GB2312" w:hAnsi="Calibri" w:eastAsia="仿宋_GB2312" w:cs="黑体"/>
          <w:b/>
          <w:bCs/>
          <w:sz w:val="28"/>
          <w:szCs w:val="28"/>
        </w:rPr>
        <w:t>6.资金分配合理性:预算资金分配依据充分,资金分配额度合理，与项目单位或地方实际相适应。</w:t>
      </w:r>
      <w:r>
        <w:rPr>
          <w:rStyle w:val="21"/>
          <w:rFonts w:hint="eastAsia" w:ascii="楷体" w:hAnsi="楷体" w:eastAsia="楷体"/>
          <w:b w:val="0"/>
          <w:bCs w:val="0"/>
          <w:spacing w:val="-4"/>
          <w:sz w:val="32"/>
          <w:szCs w:val="32"/>
          <w:lang w:eastAsia="zh-CN"/>
        </w:rPr>
        <w:tab/>
      </w:r>
    </w:p>
    <w:p w14:paraId="56E2CB67">
      <w:pPr>
        <w:spacing w:line="540" w:lineRule="exact"/>
        <w:ind w:firstLine="567" w:firstLineChars="181"/>
        <w:rPr>
          <w:rStyle w:val="21"/>
          <w:rFonts w:hint="eastAsia"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二</w:t>
      </w:r>
      <w:r>
        <w:rPr>
          <w:rFonts w:hint="eastAsia" w:ascii="楷体" w:hAnsi="楷体" w:eastAsia="楷体"/>
          <w:b/>
          <w:spacing w:val="-4"/>
          <w:sz w:val="32"/>
          <w:szCs w:val="32"/>
        </w:rPr>
        <w:t>）</w:t>
      </w:r>
      <w:r>
        <w:rPr>
          <w:rStyle w:val="21"/>
          <w:rFonts w:hint="eastAsia" w:ascii="楷体" w:hAnsi="楷体" w:eastAsia="楷体"/>
          <w:spacing w:val="-4"/>
          <w:sz w:val="32"/>
          <w:szCs w:val="32"/>
        </w:rPr>
        <w:t>项目过程情况</w:t>
      </w:r>
    </w:p>
    <w:p w14:paraId="369C203F">
      <w:pPr>
        <w:spacing w:line="360" w:lineRule="auto"/>
        <w:ind w:firstLine="560" w:firstLineChars="200"/>
        <w:rPr>
          <w:rFonts w:hint="eastAsia" w:ascii="仿宋_GB2312" w:hAnsi="Calibri" w:eastAsia="仿宋_GB2312" w:cs="黑体"/>
          <w:sz w:val="28"/>
          <w:szCs w:val="28"/>
        </w:rPr>
      </w:pPr>
      <w:r>
        <w:rPr>
          <w:rFonts w:hint="eastAsia" w:ascii="仿宋_GB2312" w:hAnsi="Calibri" w:eastAsia="仿宋_GB2312" w:cs="黑体"/>
          <w:sz w:val="28"/>
          <w:szCs w:val="28"/>
        </w:rPr>
        <w:t>1.资金到位率： 实际到位资金</w:t>
      </w:r>
      <w:r>
        <w:rPr>
          <w:rFonts w:hint="eastAsia" w:ascii="仿宋_GB2312" w:hAnsi="Calibri" w:eastAsia="仿宋_GB2312" w:cs="黑体"/>
          <w:sz w:val="28"/>
          <w:szCs w:val="28"/>
          <w:lang w:val="en-US" w:eastAsia="zh-CN"/>
        </w:rPr>
        <w:t>150</w:t>
      </w:r>
      <w:r>
        <w:rPr>
          <w:rFonts w:hint="eastAsia" w:ascii="仿宋_GB2312" w:hAnsi="Calibri" w:eastAsia="仿宋_GB2312" w:cs="黑体"/>
          <w:sz w:val="28"/>
          <w:szCs w:val="28"/>
        </w:rPr>
        <w:t>万元，预算资金</w:t>
      </w:r>
      <w:r>
        <w:rPr>
          <w:rFonts w:hint="eastAsia" w:ascii="仿宋_GB2312" w:hAnsi="Calibri" w:eastAsia="仿宋_GB2312" w:cs="黑体"/>
          <w:sz w:val="28"/>
          <w:szCs w:val="28"/>
          <w:lang w:val="en-US" w:eastAsia="zh-CN"/>
        </w:rPr>
        <w:t>150</w:t>
      </w:r>
      <w:r>
        <w:rPr>
          <w:rFonts w:hint="eastAsia" w:ascii="仿宋_GB2312" w:hAnsi="Calibri" w:eastAsia="仿宋_GB2312" w:cs="黑体"/>
          <w:sz w:val="28"/>
          <w:szCs w:val="28"/>
        </w:rPr>
        <w:t>元，资金到位率100%。</w:t>
      </w:r>
      <w:r>
        <w:rPr>
          <w:rFonts w:hint="eastAsia" w:ascii="仿宋_GB2312" w:hAnsi="Calibri" w:eastAsia="仿宋_GB2312" w:cs="黑体"/>
          <w:sz w:val="28"/>
          <w:szCs w:val="28"/>
        </w:rPr>
        <w:br w:type="textWrapping"/>
      </w:r>
      <w:r>
        <w:rPr>
          <w:rFonts w:hint="eastAsia" w:ascii="仿宋_GB2312" w:hAnsi="Calibri" w:eastAsia="仿宋_GB2312" w:cs="黑体"/>
          <w:sz w:val="28"/>
          <w:szCs w:val="28"/>
          <w:lang w:val="en-US" w:eastAsia="zh-CN"/>
        </w:rPr>
        <w:t xml:space="preserve">    </w:t>
      </w:r>
      <w:r>
        <w:rPr>
          <w:rFonts w:hint="eastAsia" w:ascii="仿宋_GB2312" w:hAnsi="Calibri" w:eastAsia="仿宋_GB2312" w:cs="黑体"/>
          <w:sz w:val="28"/>
          <w:szCs w:val="28"/>
        </w:rPr>
        <w:t>2.预算执行率：</w:t>
      </w:r>
      <w:r>
        <w:rPr>
          <w:rFonts w:hint="eastAsia" w:ascii="仿宋_GB2312" w:hAnsi="Calibri" w:eastAsia="仿宋_GB2312" w:cs="黑体"/>
          <w:sz w:val="28"/>
          <w:szCs w:val="28"/>
          <w:lang w:val="en-US" w:eastAsia="zh-CN"/>
        </w:rPr>
        <w:t>100</w:t>
      </w:r>
      <w:r>
        <w:rPr>
          <w:rFonts w:hint="eastAsia" w:ascii="仿宋_GB2312" w:hAnsi="Calibri" w:eastAsia="仿宋_GB2312" w:cs="黑体"/>
          <w:sz w:val="28"/>
          <w:szCs w:val="28"/>
        </w:rPr>
        <w:t>%，年初预算数</w:t>
      </w:r>
      <w:r>
        <w:rPr>
          <w:rFonts w:hint="eastAsia" w:ascii="仿宋_GB2312" w:hAnsi="Calibri" w:eastAsia="仿宋_GB2312" w:cs="黑体"/>
          <w:sz w:val="28"/>
          <w:szCs w:val="28"/>
          <w:lang w:val="en-US" w:eastAsia="zh-CN"/>
        </w:rPr>
        <w:t>150</w:t>
      </w:r>
      <w:r>
        <w:rPr>
          <w:rFonts w:hint="eastAsia" w:ascii="仿宋_GB2312" w:hAnsi="Calibri" w:eastAsia="仿宋_GB2312" w:cs="黑体"/>
          <w:sz w:val="28"/>
          <w:szCs w:val="28"/>
        </w:rPr>
        <w:t>万元，全年预算数</w:t>
      </w:r>
      <w:r>
        <w:rPr>
          <w:rFonts w:hint="eastAsia" w:ascii="仿宋_GB2312" w:hAnsi="Calibri" w:eastAsia="仿宋_GB2312" w:cs="黑体"/>
          <w:sz w:val="28"/>
          <w:szCs w:val="28"/>
          <w:lang w:val="en-US" w:eastAsia="zh-CN"/>
        </w:rPr>
        <w:t>150</w:t>
      </w:r>
      <w:r>
        <w:rPr>
          <w:rFonts w:hint="eastAsia" w:ascii="仿宋_GB2312" w:hAnsi="Calibri" w:eastAsia="仿宋_GB2312" w:cs="黑体"/>
          <w:sz w:val="28"/>
          <w:szCs w:val="28"/>
        </w:rPr>
        <w:t>万元，全年执行数</w:t>
      </w:r>
      <w:r>
        <w:rPr>
          <w:rFonts w:hint="eastAsia" w:ascii="仿宋_GB2312" w:hAnsi="Calibri" w:eastAsia="仿宋_GB2312" w:cs="黑体"/>
          <w:sz w:val="28"/>
          <w:szCs w:val="28"/>
          <w:lang w:val="en-US" w:eastAsia="zh-CN"/>
        </w:rPr>
        <w:t>150</w:t>
      </w:r>
      <w:r>
        <w:rPr>
          <w:rFonts w:hint="eastAsia" w:ascii="仿宋_GB2312" w:hAnsi="Calibri" w:eastAsia="仿宋_GB2312" w:cs="黑体"/>
          <w:sz w:val="28"/>
          <w:szCs w:val="28"/>
        </w:rPr>
        <w:t>万元，预算执行率为</w:t>
      </w:r>
      <w:r>
        <w:rPr>
          <w:rFonts w:hint="eastAsia" w:ascii="仿宋_GB2312" w:hAnsi="Calibri" w:eastAsia="仿宋_GB2312" w:cs="黑体"/>
          <w:sz w:val="28"/>
          <w:szCs w:val="28"/>
          <w:lang w:val="en-US" w:eastAsia="zh-CN"/>
        </w:rPr>
        <w:t>100</w:t>
      </w:r>
      <w:r>
        <w:rPr>
          <w:rFonts w:hint="eastAsia" w:ascii="仿宋_GB2312" w:hAnsi="Calibri" w:eastAsia="仿宋_GB2312" w:cs="黑体"/>
          <w:sz w:val="28"/>
          <w:szCs w:val="28"/>
        </w:rPr>
        <w:t>%。</w:t>
      </w:r>
      <w:r>
        <w:rPr>
          <w:rFonts w:hint="eastAsia" w:ascii="仿宋_GB2312" w:hAnsi="Calibri" w:eastAsia="仿宋_GB2312" w:cs="黑体"/>
          <w:sz w:val="28"/>
          <w:szCs w:val="28"/>
        </w:rPr>
        <w:br w:type="textWrapping"/>
      </w:r>
      <w:r>
        <w:rPr>
          <w:rFonts w:hint="eastAsia" w:ascii="仿宋_GB2312" w:hAnsi="Calibri" w:eastAsia="仿宋_GB2312" w:cs="黑体"/>
          <w:sz w:val="28"/>
          <w:szCs w:val="28"/>
          <w:lang w:val="en-US" w:eastAsia="zh-CN"/>
        </w:rPr>
        <w:t xml:space="preserve">    </w:t>
      </w:r>
      <w:r>
        <w:rPr>
          <w:rFonts w:hint="eastAsia" w:ascii="仿宋_GB2312" w:hAnsi="Calibri" w:eastAsia="仿宋_GB2312" w:cs="黑体"/>
          <w:sz w:val="28"/>
          <w:szCs w:val="28"/>
        </w:rPr>
        <w:t>3.资金使用合规性：本项目资金的使用符合国家财经法规和财务管理制度以及有关专项资金管理办法的规定。同时，资金的拨付有完整的审批程序和手续，符合项目预算批复或合同规定的用途，不存在截留、挤占、挪用、虚列支出等情况。</w:t>
      </w:r>
      <w:r>
        <w:rPr>
          <w:rFonts w:hint="eastAsia" w:ascii="仿宋_GB2312" w:hAnsi="Calibri" w:eastAsia="仿宋_GB2312" w:cs="黑体"/>
          <w:sz w:val="28"/>
          <w:szCs w:val="28"/>
        </w:rPr>
        <w:br w:type="textWrapping"/>
      </w:r>
      <w:r>
        <w:rPr>
          <w:rFonts w:hint="eastAsia" w:ascii="仿宋_GB2312" w:hAnsi="Calibri" w:eastAsia="仿宋_GB2312" w:cs="黑体"/>
          <w:sz w:val="28"/>
          <w:szCs w:val="28"/>
          <w:lang w:val="en-US" w:eastAsia="zh-CN"/>
        </w:rPr>
        <w:t xml:space="preserve">    </w:t>
      </w:r>
      <w:r>
        <w:rPr>
          <w:rFonts w:hint="eastAsia" w:ascii="仿宋_GB2312" w:hAnsi="Calibri" w:eastAsia="仿宋_GB2312" w:cs="黑体"/>
          <w:sz w:val="28"/>
          <w:szCs w:val="28"/>
        </w:rPr>
        <w:t>4.管理制度健全性：塔城地区</w:t>
      </w:r>
      <w:r>
        <w:rPr>
          <w:rFonts w:hint="eastAsia" w:ascii="仿宋_GB2312" w:hAnsi="Calibri" w:eastAsia="仿宋_GB2312" w:cs="黑体"/>
          <w:sz w:val="28"/>
          <w:szCs w:val="28"/>
          <w:lang w:val="en-US" w:eastAsia="zh-CN"/>
        </w:rPr>
        <w:t>博物馆</w:t>
      </w:r>
      <w:r>
        <w:rPr>
          <w:rFonts w:hint="eastAsia" w:ascii="仿宋_GB2312" w:hAnsi="Calibri" w:eastAsia="仿宋_GB2312" w:cs="黑体"/>
          <w:sz w:val="28"/>
          <w:szCs w:val="28"/>
        </w:rPr>
        <w:t>已制定相应的财务和业务管理制度，且制度合法、合规、完整，为项目顺利实施提供重要保障。</w:t>
      </w:r>
      <w:r>
        <w:rPr>
          <w:rFonts w:hint="eastAsia" w:ascii="仿宋_GB2312" w:hAnsi="Calibri" w:eastAsia="仿宋_GB2312" w:cs="黑体"/>
          <w:sz w:val="28"/>
          <w:szCs w:val="28"/>
        </w:rPr>
        <w:br w:type="textWrapping"/>
      </w:r>
      <w:r>
        <w:rPr>
          <w:rFonts w:hint="eastAsia" w:ascii="仿宋_GB2312" w:hAnsi="Calibri" w:eastAsia="仿宋_GB2312" w:cs="黑体"/>
          <w:sz w:val="28"/>
          <w:szCs w:val="28"/>
          <w:lang w:val="en-US" w:eastAsia="zh-CN"/>
        </w:rPr>
        <w:t xml:space="preserve">    </w:t>
      </w:r>
      <w:r>
        <w:rPr>
          <w:rFonts w:hint="eastAsia" w:ascii="仿宋_GB2312" w:hAnsi="Calibri" w:eastAsia="仿宋_GB2312" w:cs="黑体"/>
          <w:sz w:val="28"/>
          <w:szCs w:val="28"/>
        </w:rPr>
        <w:t>5.制度执行有效性：根据现场调研和资料抽查情况，塔城地区</w:t>
      </w:r>
      <w:r>
        <w:rPr>
          <w:rFonts w:hint="eastAsia" w:ascii="仿宋_GB2312" w:hAnsi="Calibri" w:eastAsia="仿宋_GB2312" w:cs="黑体"/>
          <w:sz w:val="28"/>
          <w:szCs w:val="28"/>
          <w:lang w:val="en-US" w:eastAsia="zh-CN"/>
        </w:rPr>
        <w:t>博物馆</w:t>
      </w:r>
      <w:r>
        <w:rPr>
          <w:rFonts w:hint="eastAsia" w:ascii="仿宋_GB2312" w:hAnsi="Calibri" w:eastAsia="仿宋_GB2312" w:cs="黑体"/>
          <w:sz w:val="28"/>
          <w:szCs w:val="28"/>
        </w:rPr>
        <w:t>严格遵守相关法律法规和相关管理规定，项目调整及支出调整手续完备，整体管理合理有序，项目完成后，及时将会计凭证、等相关资料分类归档，制度执行有效。</w:t>
      </w:r>
    </w:p>
    <w:p w14:paraId="4F7CCAA9">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三</w:t>
      </w:r>
      <w:r>
        <w:rPr>
          <w:rFonts w:hint="eastAsia" w:ascii="楷体" w:hAnsi="楷体" w:eastAsia="楷体"/>
          <w:b/>
          <w:spacing w:val="-4"/>
          <w:sz w:val="32"/>
          <w:szCs w:val="32"/>
        </w:rPr>
        <w:t>）</w:t>
      </w:r>
      <w:r>
        <w:rPr>
          <w:rStyle w:val="21"/>
          <w:rFonts w:hint="eastAsia" w:ascii="楷体" w:hAnsi="楷体" w:eastAsia="楷体"/>
          <w:spacing w:val="-4"/>
          <w:sz w:val="32"/>
          <w:szCs w:val="32"/>
        </w:rPr>
        <w:t>项目产出情况</w:t>
      </w:r>
    </w:p>
    <w:p w14:paraId="43F93F39">
      <w:pPr>
        <w:spacing w:line="360" w:lineRule="auto"/>
        <w:ind w:firstLine="560" w:firstLineChars="200"/>
        <w:rPr>
          <w:rFonts w:hint="eastAsia" w:ascii="仿宋_GB2312" w:hAnsi="Calibri" w:eastAsia="仿宋_GB2312" w:cs="黑体"/>
          <w:sz w:val="28"/>
          <w:szCs w:val="28"/>
        </w:rPr>
      </w:pPr>
      <w:r>
        <w:rPr>
          <w:rFonts w:hint="eastAsia" w:ascii="仿宋_GB2312" w:hAnsi="Calibri" w:eastAsia="仿宋_GB2312" w:cs="黑体"/>
          <w:sz w:val="28"/>
          <w:szCs w:val="28"/>
        </w:rPr>
        <w:t>1.产出数量：数量指标：指标1：安排展陈提升经费的博物馆，指标值：</w:t>
      </w:r>
      <w:r>
        <w:rPr>
          <w:rFonts w:hint="eastAsia" w:ascii="仿宋_GB2312" w:hAnsi="Calibri" w:eastAsia="仿宋_GB2312" w:cs="黑体"/>
          <w:sz w:val="28"/>
          <w:szCs w:val="28"/>
          <w:lang w:val="en-US" w:eastAsia="zh-CN"/>
        </w:rPr>
        <w:t>1家</w:t>
      </w:r>
      <w:r>
        <w:rPr>
          <w:rFonts w:hint="eastAsia" w:ascii="仿宋_GB2312" w:hAnsi="Calibri" w:eastAsia="仿宋_GB2312" w:cs="黑体"/>
          <w:sz w:val="28"/>
          <w:szCs w:val="28"/>
        </w:rPr>
        <w:t>，实际完成值</w:t>
      </w:r>
      <w:r>
        <w:rPr>
          <w:rFonts w:hint="eastAsia" w:ascii="仿宋_GB2312" w:hAnsi="Calibri" w:eastAsia="仿宋_GB2312" w:cs="黑体"/>
          <w:sz w:val="28"/>
          <w:szCs w:val="28"/>
          <w:lang w:val="en-US" w:eastAsia="zh-CN"/>
        </w:rPr>
        <w:t>1家</w:t>
      </w:r>
      <w:r>
        <w:rPr>
          <w:rFonts w:hint="eastAsia" w:ascii="仿宋_GB2312" w:hAnsi="Calibri" w:eastAsia="仿宋_GB2312" w:cs="黑体"/>
          <w:sz w:val="28"/>
          <w:szCs w:val="28"/>
        </w:rPr>
        <w:t>，指标完成率100%；</w:t>
      </w:r>
    </w:p>
    <w:p w14:paraId="1EF24695">
      <w:pPr>
        <w:spacing w:line="360" w:lineRule="auto"/>
        <w:ind w:firstLine="560" w:firstLineChars="200"/>
        <w:rPr>
          <w:rFonts w:hint="eastAsia" w:ascii="仿宋_GB2312" w:hAnsi="Calibri" w:eastAsia="仿宋_GB2312" w:cs="黑体"/>
          <w:sz w:val="28"/>
          <w:szCs w:val="28"/>
          <w:lang w:val="en-US" w:eastAsia="zh-CN"/>
        </w:rPr>
      </w:pPr>
      <w:r>
        <w:rPr>
          <w:rFonts w:hint="eastAsia" w:ascii="仿宋_GB2312" w:hAnsi="Calibri" w:eastAsia="仿宋_GB2312" w:cs="黑体"/>
          <w:sz w:val="28"/>
          <w:szCs w:val="28"/>
        </w:rPr>
        <w:t>2.产出质量：质量指标：指标1：免费开放绩效考评率，指标值：≥9</w:t>
      </w:r>
      <w:r>
        <w:rPr>
          <w:rFonts w:hint="eastAsia" w:ascii="仿宋_GB2312" w:hAnsi="Calibri" w:eastAsia="仿宋_GB2312" w:cs="黑体"/>
          <w:sz w:val="28"/>
          <w:szCs w:val="28"/>
          <w:lang w:val="en-US" w:eastAsia="zh-CN"/>
        </w:rPr>
        <w:t>5</w:t>
      </w:r>
      <w:r>
        <w:rPr>
          <w:rFonts w:hint="eastAsia" w:ascii="仿宋_GB2312" w:hAnsi="Calibri" w:eastAsia="仿宋_GB2312" w:cs="黑体"/>
          <w:sz w:val="28"/>
          <w:szCs w:val="28"/>
        </w:rPr>
        <w:t>%，实际完成值9</w:t>
      </w:r>
      <w:r>
        <w:rPr>
          <w:rFonts w:hint="eastAsia" w:ascii="仿宋_GB2312" w:hAnsi="Calibri" w:eastAsia="仿宋_GB2312" w:cs="黑体"/>
          <w:sz w:val="28"/>
          <w:szCs w:val="28"/>
          <w:lang w:val="en-US" w:eastAsia="zh-CN"/>
        </w:rPr>
        <w:t>5</w:t>
      </w:r>
      <w:r>
        <w:rPr>
          <w:rFonts w:hint="eastAsia" w:ascii="仿宋_GB2312" w:hAnsi="Calibri" w:eastAsia="仿宋_GB2312" w:cs="黑体"/>
          <w:sz w:val="28"/>
          <w:szCs w:val="28"/>
        </w:rPr>
        <w:t>%，指标完成率100%.指标</w:t>
      </w:r>
      <w:r>
        <w:rPr>
          <w:rFonts w:hint="eastAsia" w:ascii="仿宋_GB2312" w:hAnsi="Calibri" w:eastAsia="仿宋_GB2312" w:cs="黑体"/>
          <w:sz w:val="28"/>
          <w:szCs w:val="28"/>
          <w:lang w:val="en-US" w:eastAsia="zh-CN"/>
        </w:rPr>
        <w:t>2</w:t>
      </w:r>
      <w:r>
        <w:rPr>
          <w:rFonts w:hint="eastAsia" w:ascii="仿宋_GB2312" w:hAnsi="Calibri" w:eastAsia="仿宋_GB2312" w:cs="黑体"/>
          <w:sz w:val="28"/>
          <w:szCs w:val="28"/>
        </w:rPr>
        <w:t>：陈列展示水平，指标值：≥9</w:t>
      </w:r>
      <w:r>
        <w:rPr>
          <w:rFonts w:hint="eastAsia" w:ascii="仿宋_GB2312" w:hAnsi="Calibri" w:eastAsia="仿宋_GB2312" w:cs="黑体"/>
          <w:sz w:val="28"/>
          <w:szCs w:val="28"/>
          <w:lang w:val="en-US" w:eastAsia="zh-CN"/>
        </w:rPr>
        <w:t>5</w:t>
      </w:r>
      <w:r>
        <w:rPr>
          <w:rFonts w:hint="eastAsia" w:ascii="仿宋_GB2312" w:hAnsi="Calibri" w:eastAsia="仿宋_GB2312" w:cs="黑体"/>
          <w:sz w:val="28"/>
          <w:szCs w:val="28"/>
        </w:rPr>
        <w:t>%，实际完成值9</w:t>
      </w:r>
      <w:r>
        <w:rPr>
          <w:rFonts w:hint="eastAsia" w:ascii="仿宋_GB2312" w:hAnsi="Calibri" w:eastAsia="仿宋_GB2312" w:cs="黑体"/>
          <w:sz w:val="28"/>
          <w:szCs w:val="28"/>
          <w:lang w:val="en-US" w:eastAsia="zh-CN"/>
        </w:rPr>
        <w:t>5</w:t>
      </w:r>
      <w:r>
        <w:rPr>
          <w:rFonts w:hint="eastAsia" w:ascii="仿宋_GB2312" w:hAnsi="Calibri" w:eastAsia="仿宋_GB2312" w:cs="黑体"/>
          <w:sz w:val="28"/>
          <w:szCs w:val="28"/>
        </w:rPr>
        <w:t>%，指标完成率100%.</w:t>
      </w:r>
      <w:r>
        <w:rPr>
          <w:rFonts w:hint="eastAsia" w:ascii="仿宋_GB2312" w:hAnsi="Calibri" w:eastAsia="仿宋_GB2312" w:cs="黑体"/>
          <w:sz w:val="28"/>
          <w:szCs w:val="28"/>
        </w:rPr>
        <w:br w:type="textWrapping"/>
      </w:r>
      <w:r>
        <w:rPr>
          <w:rFonts w:hint="eastAsia" w:ascii="仿宋_GB2312" w:hAnsi="Calibri" w:eastAsia="仿宋_GB2312" w:cs="黑体"/>
          <w:sz w:val="28"/>
          <w:szCs w:val="28"/>
          <w:lang w:val="en-US" w:eastAsia="zh-CN"/>
        </w:rPr>
        <w:t xml:space="preserve">    </w:t>
      </w:r>
      <w:r>
        <w:rPr>
          <w:rFonts w:hint="eastAsia" w:ascii="仿宋_GB2312" w:hAnsi="Calibri" w:eastAsia="仿宋_GB2312" w:cs="黑体"/>
          <w:sz w:val="28"/>
          <w:szCs w:val="28"/>
        </w:rPr>
        <w:t>3.产出时效：</w:t>
      </w:r>
      <w:r>
        <w:rPr>
          <w:rFonts w:hint="eastAsia" w:ascii="仿宋_GB2312" w:hAnsi="Calibri" w:eastAsia="仿宋_GB2312" w:cs="黑体"/>
          <w:sz w:val="28"/>
          <w:szCs w:val="28"/>
          <w:lang w:eastAsia="zh-CN"/>
        </w:rPr>
        <w:t>时效指标：指标</w:t>
      </w:r>
      <w:r>
        <w:rPr>
          <w:rFonts w:hint="eastAsia" w:ascii="仿宋_GB2312" w:hAnsi="Calibri" w:eastAsia="仿宋_GB2312" w:cs="黑体"/>
          <w:sz w:val="28"/>
          <w:szCs w:val="28"/>
          <w:lang w:val="en-US" w:eastAsia="zh-CN"/>
        </w:rPr>
        <w:t>1：</w:t>
      </w:r>
      <w:r>
        <w:rPr>
          <w:rFonts w:hint="eastAsia" w:ascii="仿宋_GB2312" w:hAnsi="Calibri" w:eastAsia="仿宋_GB2312" w:cs="黑体"/>
          <w:sz w:val="28"/>
          <w:szCs w:val="28"/>
          <w:lang w:eastAsia="zh-CN"/>
        </w:rPr>
        <w:t>博物馆展陈紧急提升完成时间，指标值：</w:t>
      </w:r>
      <w:r>
        <w:rPr>
          <w:rFonts w:hint="eastAsia" w:ascii="仿宋_GB2312" w:hAnsi="Calibri" w:eastAsia="仿宋_GB2312" w:cs="黑体"/>
          <w:sz w:val="28"/>
          <w:szCs w:val="28"/>
          <w:lang w:val="en-US" w:eastAsia="zh-CN"/>
        </w:rPr>
        <w:t>2022年12月31日，实际完成值2022年12月31日，指标完成率100%。</w:t>
      </w:r>
    </w:p>
    <w:p w14:paraId="429CB369">
      <w:pPr>
        <w:spacing w:line="360" w:lineRule="auto"/>
        <w:ind w:firstLine="560" w:firstLineChars="200"/>
        <w:rPr>
          <w:rStyle w:val="21"/>
          <w:rFonts w:ascii="楷体" w:hAnsi="楷体" w:eastAsia="楷体"/>
          <w:b w:val="0"/>
          <w:bCs w:val="0"/>
          <w:spacing w:val="-4"/>
          <w:sz w:val="32"/>
          <w:szCs w:val="32"/>
        </w:rPr>
      </w:pPr>
      <w:r>
        <w:rPr>
          <w:rFonts w:hint="eastAsia" w:ascii="仿宋_GB2312" w:hAnsi="Calibri" w:eastAsia="仿宋_GB2312" w:cs="黑体"/>
          <w:sz w:val="28"/>
          <w:szCs w:val="28"/>
          <w:lang w:eastAsia="zh-CN"/>
        </w:rPr>
        <w:t>4.产出成本：成本指标：指标</w:t>
      </w:r>
      <w:r>
        <w:rPr>
          <w:rFonts w:hint="eastAsia" w:ascii="仿宋_GB2312" w:hAnsi="Calibri" w:eastAsia="仿宋_GB2312" w:cs="黑体"/>
          <w:sz w:val="28"/>
          <w:szCs w:val="28"/>
          <w:lang w:val="en-US" w:eastAsia="zh-CN"/>
        </w:rPr>
        <w:t>1：</w:t>
      </w:r>
      <w:r>
        <w:rPr>
          <w:rFonts w:hint="eastAsia" w:ascii="仿宋_GB2312" w:hAnsi="Calibri" w:eastAsia="仿宋_GB2312" w:cs="黑体"/>
          <w:sz w:val="28"/>
          <w:szCs w:val="28"/>
          <w:lang w:eastAsia="zh-CN"/>
        </w:rPr>
        <w:t>博物馆展陈紧急提升专项资金，指标值：≤</w:t>
      </w:r>
      <w:r>
        <w:rPr>
          <w:rFonts w:hint="eastAsia" w:ascii="仿宋_GB2312" w:hAnsi="Calibri" w:eastAsia="仿宋_GB2312" w:cs="黑体"/>
          <w:sz w:val="28"/>
          <w:szCs w:val="28"/>
          <w:lang w:val="en-US" w:eastAsia="zh-CN"/>
        </w:rPr>
        <w:t>150万元，实际完成值150万元，指标完成率100%。</w:t>
      </w:r>
    </w:p>
    <w:p w14:paraId="5A9BBA67">
      <w:pPr>
        <w:spacing w:line="540" w:lineRule="exact"/>
        <w:ind w:firstLine="567" w:firstLineChars="181"/>
        <w:rPr>
          <w:rStyle w:val="21"/>
          <w:rFonts w:hint="eastAsia" w:ascii="楷体" w:hAnsi="楷体" w:eastAsia="楷体"/>
          <w:b w:val="0"/>
          <w:bCs w:val="0"/>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四</w:t>
      </w:r>
      <w:r>
        <w:rPr>
          <w:rFonts w:hint="eastAsia" w:ascii="楷体" w:hAnsi="楷体" w:eastAsia="楷体"/>
          <w:b/>
          <w:spacing w:val="-4"/>
          <w:sz w:val="32"/>
          <w:szCs w:val="32"/>
        </w:rPr>
        <w:t>）</w:t>
      </w:r>
      <w:r>
        <w:rPr>
          <w:rStyle w:val="21"/>
          <w:rFonts w:hint="eastAsia" w:ascii="楷体" w:hAnsi="楷体" w:eastAsia="楷体"/>
          <w:spacing w:val="-4"/>
          <w:sz w:val="32"/>
          <w:szCs w:val="32"/>
        </w:rPr>
        <w:t>项目效益情况</w:t>
      </w:r>
    </w:p>
    <w:p w14:paraId="469E052F">
      <w:pPr>
        <w:spacing w:line="360" w:lineRule="auto"/>
        <w:ind w:firstLine="624" w:firstLineChars="200"/>
        <w:rPr>
          <w:rFonts w:hint="eastAsia" w:ascii="仿宋_GB2312" w:hAnsi="Calibri" w:eastAsia="仿宋_GB2312" w:cs="黑体"/>
          <w:sz w:val="28"/>
          <w:szCs w:val="28"/>
          <w:lang w:eastAsia="zh-CN"/>
        </w:rPr>
      </w:pPr>
      <w:r>
        <w:rPr>
          <w:rStyle w:val="21"/>
          <w:rFonts w:hint="eastAsia" w:ascii="楷体" w:hAnsi="楷体" w:eastAsia="楷体"/>
          <w:b w:val="0"/>
          <w:bCs w:val="0"/>
          <w:spacing w:val="-4"/>
          <w:sz w:val="32"/>
          <w:szCs w:val="32"/>
        </w:rPr>
        <w:t>（1）实施效益</w:t>
      </w:r>
      <w:r>
        <w:rPr>
          <w:rStyle w:val="21"/>
          <w:rFonts w:hint="eastAsia" w:ascii="楷体" w:hAnsi="楷体" w:eastAsia="楷体"/>
          <w:b w:val="0"/>
          <w:bCs w:val="0"/>
          <w:spacing w:val="-4"/>
          <w:sz w:val="32"/>
          <w:szCs w:val="32"/>
        </w:rPr>
        <w:br w:type="textWrapping"/>
      </w:r>
      <w:r>
        <w:rPr>
          <w:rFonts w:hint="eastAsia" w:ascii="仿宋_GB2312" w:hAnsi="Calibri" w:eastAsia="仿宋_GB2312" w:cs="黑体"/>
          <w:sz w:val="28"/>
          <w:szCs w:val="28"/>
          <w:lang w:eastAsia="zh-CN"/>
        </w:rPr>
        <w:t>经济效益指标：无</w:t>
      </w:r>
      <w:r>
        <w:rPr>
          <w:rFonts w:hint="eastAsia" w:ascii="仿宋_GB2312" w:hAnsi="Calibri" w:eastAsia="仿宋_GB2312" w:cs="黑体"/>
          <w:sz w:val="28"/>
          <w:szCs w:val="28"/>
          <w:lang w:eastAsia="zh-CN"/>
        </w:rPr>
        <w:br w:type="textWrapping"/>
      </w:r>
      <w:r>
        <w:rPr>
          <w:rFonts w:hint="eastAsia" w:ascii="仿宋_GB2312" w:hAnsi="Calibri" w:eastAsia="仿宋_GB2312" w:cs="黑体"/>
          <w:sz w:val="28"/>
          <w:szCs w:val="28"/>
          <w:lang w:eastAsia="zh-CN"/>
        </w:rPr>
        <w:t>社会效益指标：评价指标“</w:t>
      </w:r>
      <w:r>
        <w:rPr>
          <w:rFonts w:hint="default" w:ascii="仿宋_GB2312" w:hAnsi="Calibri" w:eastAsia="仿宋_GB2312" w:cs="黑体"/>
          <w:sz w:val="28"/>
          <w:szCs w:val="28"/>
          <w:lang w:val="en-US" w:eastAsia="zh-CN"/>
        </w:rPr>
        <w:t>充分发挥博物馆纪念馆宣传教育和社会服务阵地作用，弘扬中华游戏传统文化和丰富群众精神文化生活</w:t>
      </w:r>
      <w:r>
        <w:rPr>
          <w:rFonts w:hint="eastAsia" w:ascii="仿宋_GB2312" w:hAnsi="Calibri" w:eastAsia="仿宋_GB2312" w:cs="黑体"/>
          <w:sz w:val="28"/>
          <w:szCs w:val="28"/>
          <w:lang w:eastAsia="zh-CN"/>
        </w:rPr>
        <w:t>”，指标值：有所提升，实际完成值：达成年度指标。本项目的实施100%。</w:t>
      </w:r>
    </w:p>
    <w:p w14:paraId="4AA10058">
      <w:pPr>
        <w:spacing w:line="360" w:lineRule="auto"/>
        <w:ind w:firstLine="560" w:firstLineChars="200"/>
        <w:rPr>
          <w:rFonts w:hint="eastAsia" w:ascii="仿宋_GB2312" w:hAnsi="Calibri" w:eastAsia="仿宋_GB2312" w:cs="黑体"/>
          <w:sz w:val="28"/>
          <w:szCs w:val="28"/>
          <w:lang w:eastAsia="zh-CN"/>
        </w:rPr>
      </w:pPr>
      <w:r>
        <w:rPr>
          <w:rFonts w:hint="eastAsia" w:ascii="仿宋_GB2312" w:hAnsi="Calibri" w:eastAsia="仿宋_GB2312" w:cs="黑体"/>
          <w:sz w:val="28"/>
          <w:szCs w:val="28"/>
          <w:lang w:eastAsia="zh-CN"/>
        </w:rPr>
        <w:t>生态效益指标：无</w:t>
      </w:r>
      <w:r>
        <w:rPr>
          <w:rFonts w:hint="eastAsia" w:ascii="仿宋_GB2312" w:hAnsi="Calibri" w:eastAsia="仿宋_GB2312" w:cs="黑体"/>
          <w:sz w:val="28"/>
          <w:szCs w:val="28"/>
          <w:lang w:eastAsia="zh-CN"/>
        </w:rPr>
        <w:br w:type="textWrapping"/>
      </w:r>
      <w:r>
        <w:rPr>
          <w:rFonts w:hint="eastAsia" w:ascii="仿宋_GB2312" w:hAnsi="Calibri" w:eastAsia="仿宋_GB2312" w:cs="黑体"/>
          <w:sz w:val="28"/>
          <w:szCs w:val="28"/>
          <w:lang w:eastAsia="zh-CN"/>
        </w:rPr>
        <w:t>可持续影响指标：评价指标“</w:t>
      </w:r>
      <w:r>
        <w:rPr>
          <w:rFonts w:hint="default" w:ascii="仿宋_GB2312" w:hAnsi="Calibri" w:eastAsia="仿宋_GB2312" w:cs="黑体"/>
          <w:sz w:val="28"/>
          <w:szCs w:val="28"/>
          <w:lang w:val="en-US" w:eastAsia="zh-CN"/>
        </w:rPr>
        <w:t>不断强化文物的实证史证作用和宣传教育功能</w:t>
      </w:r>
      <w:r>
        <w:rPr>
          <w:rFonts w:hint="eastAsia" w:ascii="仿宋_GB2312" w:hAnsi="Calibri" w:eastAsia="仿宋_GB2312" w:cs="黑体"/>
          <w:sz w:val="28"/>
          <w:szCs w:val="28"/>
          <w:lang w:eastAsia="zh-CN"/>
        </w:rPr>
        <w:t>”，指标值：持续推动，实际完成值：达成年度指标。本项目的实施100%。</w:t>
      </w:r>
      <w:r>
        <w:rPr>
          <w:rFonts w:hint="eastAsia" w:ascii="仿宋_GB2312" w:hAnsi="Calibri" w:eastAsia="仿宋_GB2312" w:cs="黑体"/>
          <w:sz w:val="28"/>
          <w:szCs w:val="28"/>
          <w:lang w:eastAsia="zh-CN"/>
        </w:rPr>
        <w:br w:type="textWrapping"/>
      </w:r>
      <w:r>
        <w:rPr>
          <w:rFonts w:hint="eastAsia" w:ascii="仿宋_GB2312" w:hAnsi="Calibri" w:eastAsia="仿宋_GB2312" w:cs="黑体"/>
          <w:sz w:val="28"/>
          <w:szCs w:val="28"/>
          <w:lang w:val="en-US" w:eastAsia="zh-CN"/>
        </w:rPr>
        <w:t xml:space="preserve">    </w:t>
      </w:r>
      <w:r>
        <w:rPr>
          <w:rFonts w:hint="eastAsia" w:ascii="仿宋_GB2312" w:hAnsi="Calibri" w:eastAsia="仿宋_GB2312" w:cs="黑体"/>
          <w:sz w:val="28"/>
          <w:szCs w:val="28"/>
          <w:lang w:eastAsia="zh-CN"/>
        </w:rPr>
        <w:t>（2）满意度</w:t>
      </w:r>
      <w:r>
        <w:rPr>
          <w:rFonts w:hint="eastAsia" w:ascii="仿宋_GB2312" w:hAnsi="Calibri" w:eastAsia="仿宋_GB2312" w:cs="黑体"/>
          <w:sz w:val="28"/>
          <w:szCs w:val="28"/>
          <w:lang w:eastAsia="zh-CN"/>
        </w:rPr>
        <w:br w:type="textWrapping"/>
      </w:r>
      <w:r>
        <w:rPr>
          <w:rFonts w:hint="eastAsia" w:ascii="仿宋_GB2312" w:hAnsi="Calibri" w:eastAsia="仿宋_GB2312" w:cs="黑体"/>
          <w:sz w:val="28"/>
          <w:szCs w:val="28"/>
          <w:lang w:eastAsia="zh-CN"/>
        </w:rPr>
        <w:t>服务对象满意度指标：评价指标“社会公众对博物馆纪念馆服务满意度”，指标值：≥90%，实际完成值：达成年度指标。通过</w:t>
      </w:r>
      <w:r>
        <w:rPr>
          <w:rFonts w:hint="eastAsia" w:ascii="仿宋_GB2312" w:hAnsi="Calibri" w:eastAsia="仿宋_GB2312" w:cs="黑体"/>
          <w:sz w:val="28"/>
          <w:szCs w:val="28"/>
          <w:lang w:val="en-US" w:eastAsia="zh-CN"/>
        </w:rPr>
        <w:t>来访人员</w:t>
      </w:r>
      <w:r>
        <w:rPr>
          <w:rFonts w:hint="eastAsia" w:ascii="仿宋_GB2312" w:hAnsi="Calibri" w:eastAsia="仿宋_GB2312" w:cs="黑体"/>
          <w:sz w:val="28"/>
          <w:szCs w:val="28"/>
          <w:lang w:eastAsia="zh-CN"/>
        </w:rPr>
        <w:t>现场问</w:t>
      </w:r>
      <w:r>
        <w:rPr>
          <w:rFonts w:hint="eastAsia" w:ascii="仿宋_GB2312" w:hAnsi="Calibri" w:eastAsia="仿宋_GB2312" w:cs="黑体"/>
          <w:sz w:val="28"/>
          <w:szCs w:val="28"/>
          <w:lang w:val="en-US" w:eastAsia="zh-CN"/>
        </w:rPr>
        <w:t>询</w:t>
      </w:r>
      <w:r>
        <w:rPr>
          <w:rFonts w:hint="eastAsia" w:ascii="仿宋_GB2312" w:hAnsi="Calibri" w:eastAsia="仿宋_GB2312" w:cs="黑体"/>
          <w:sz w:val="28"/>
          <w:szCs w:val="28"/>
          <w:lang w:eastAsia="zh-CN"/>
        </w:rPr>
        <w:t>方式进行考评评价，共计调查样本总量为</w:t>
      </w:r>
      <w:r>
        <w:rPr>
          <w:rFonts w:hint="eastAsia" w:ascii="仿宋_GB2312" w:hAnsi="Calibri" w:eastAsia="仿宋_GB2312" w:cs="黑体"/>
          <w:sz w:val="28"/>
          <w:szCs w:val="28"/>
          <w:lang w:val="en-US" w:eastAsia="zh-CN"/>
        </w:rPr>
        <w:t>74106</w:t>
      </w:r>
      <w:r>
        <w:rPr>
          <w:rFonts w:hint="eastAsia" w:ascii="仿宋_GB2312" w:hAnsi="Calibri" w:eastAsia="仿宋_GB2312" w:cs="黑体"/>
          <w:sz w:val="28"/>
          <w:szCs w:val="28"/>
          <w:lang w:eastAsia="zh-CN"/>
        </w:rPr>
        <w:t>人，有效调查</w:t>
      </w:r>
      <w:r>
        <w:rPr>
          <w:rFonts w:hint="eastAsia" w:ascii="仿宋_GB2312" w:hAnsi="Calibri" w:eastAsia="仿宋_GB2312" w:cs="黑体"/>
          <w:sz w:val="28"/>
          <w:szCs w:val="28"/>
          <w:lang w:val="en-US" w:eastAsia="zh-CN"/>
        </w:rPr>
        <w:t>74106人</w:t>
      </w:r>
      <w:r>
        <w:rPr>
          <w:rFonts w:hint="eastAsia" w:ascii="仿宋_GB2312" w:hAnsi="Calibri" w:eastAsia="仿宋_GB2312" w:cs="黑体"/>
          <w:sz w:val="28"/>
          <w:szCs w:val="28"/>
          <w:lang w:eastAsia="zh-CN"/>
        </w:rPr>
        <w:t>。其中，统计“满意”的平均值为100%。</w:t>
      </w:r>
    </w:p>
    <w:p w14:paraId="1769C84D">
      <w:pPr>
        <w:spacing w:line="540" w:lineRule="exact"/>
        <w:ind w:firstLine="640"/>
        <w:rPr>
          <w:rStyle w:val="21"/>
          <w:rFonts w:ascii="黑体" w:hAnsi="黑体" w:eastAsia="黑体"/>
          <w:b w:val="0"/>
          <w:spacing w:val="-4"/>
          <w:sz w:val="32"/>
          <w:szCs w:val="32"/>
        </w:rPr>
      </w:pPr>
      <w:r>
        <w:rPr>
          <w:rStyle w:val="21"/>
          <w:rFonts w:hint="eastAsia" w:ascii="黑体" w:hAnsi="黑体" w:eastAsia="黑体"/>
          <w:b w:val="0"/>
          <w:spacing w:val="-4"/>
          <w:sz w:val="32"/>
          <w:szCs w:val="32"/>
        </w:rPr>
        <w:t>五、预算执行进度与绩效指标偏差</w:t>
      </w:r>
    </w:p>
    <w:p w14:paraId="694C465F">
      <w:pPr>
        <w:spacing w:line="360" w:lineRule="auto"/>
        <w:ind w:firstLine="560" w:firstLineChars="200"/>
        <w:rPr>
          <w:rStyle w:val="21"/>
          <w:rFonts w:hint="eastAsia" w:ascii="楷体" w:hAnsi="楷体" w:eastAsia="楷体"/>
          <w:spacing w:val="-4"/>
          <w:sz w:val="32"/>
          <w:szCs w:val="32"/>
        </w:rPr>
      </w:pPr>
      <w:r>
        <w:rPr>
          <w:rFonts w:hint="eastAsia" w:ascii="仿宋_GB2312" w:hAnsi="Calibri" w:eastAsia="仿宋_GB2312" w:cs="黑体"/>
          <w:sz w:val="28"/>
          <w:szCs w:val="28"/>
          <w:lang w:eastAsia="zh-CN"/>
        </w:rPr>
        <w:t>本项目预算执行率为</w:t>
      </w:r>
      <w:r>
        <w:rPr>
          <w:rFonts w:hint="eastAsia" w:ascii="仿宋_GB2312" w:hAnsi="Calibri" w:eastAsia="仿宋_GB2312" w:cs="黑体"/>
          <w:sz w:val="28"/>
          <w:szCs w:val="28"/>
          <w:lang w:val="en-US" w:eastAsia="zh-CN"/>
        </w:rPr>
        <w:t>100</w:t>
      </w:r>
      <w:r>
        <w:rPr>
          <w:rFonts w:hint="eastAsia" w:ascii="仿宋_GB2312" w:hAnsi="Calibri" w:eastAsia="仿宋_GB2312" w:cs="黑体"/>
          <w:sz w:val="28"/>
          <w:szCs w:val="28"/>
          <w:lang w:eastAsia="zh-CN"/>
        </w:rPr>
        <w:t>%，指标总体完成率为</w:t>
      </w:r>
      <w:r>
        <w:rPr>
          <w:rFonts w:hint="eastAsia" w:ascii="仿宋_GB2312" w:hAnsi="Calibri" w:eastAsia="仿宋_GB2312" w:cs="黑体"/>
          <w:sz w:val="28"/>
          <w:szCs w:val="28"/>
          <w:lang w:val="en-US" w:eastAsia="zh-CN"/>
        </w:rPr>
        <w:t>100</w:t>
      </w:r>
      <w:r>
        <w:rPr>
          <w:rFonts w:hint="eastAsia" w:ascii="仿宋_GB2312" w:hAnsi="Calibri" w:eastAsia="仿宋_GB2312" w:cs="黑体"/>
          <w:sz w:val="28"/>
          <w:szCs w:val="28"/>
          <w:lang w:eastAsia="zh-CN"/>
        </w:rPr>
        <w:t>%，二者之间的偏差值为</w:t>
      </w:r>
      <w:r>
        <w:rPr>
          <w:rFonts w:hint="eastAsia" w:ascii="仿宋_GB2312" w:hAnsi="Calibri" w:eastAsia="仿宋_GB2312" w:cs="黑体"/>
          <w:sz w:val="28"/>
          <w:szCs w:val="28"/>
          <w:lang w:val="en-US" w:eastAsia="zh-CN"/>
        </w:rPr>
        <w:t>0</w:t>
      </w:r>
      <w:r>
        <w:rPr>
          <w:rFonts w:hint="eastAsia" w:ascii="仿宋_GB2312" w:hAnsi="Calibri" w:eastAsia="仿宋_GB2312" w:cs="黑体"/>
          <w:sz w:val="28"/>
          <w:szCs w:val="28"/>
          <w:lang w:eastAsia="zh-CN"/>
        </w:rPr>
        <w:t>%。因此，本项目较好地完成了年度总体目标，财政资金使用效益和效率较高。</w:t>
      </w:r>
    </w:p>
    <w:p w14:paraId="4908CCE4">
      <w:pPr>
        <w:numPr>
          <w:ilvl w:val="0"/>
          <w:numId w:val="4"/>
        </w:numPr>
        <w:spacing w:line="540" w:lineRule="exact"/>
        <w:ind w:firstLine="640"/>
        <w:rPr>
          <w:rStyle w:val="21"/>
          <w:rFonts w:hint="eastAsia" w:ascii="黑体" w:hAnsi="黑体" w:eastAsia="黑体"/>
          <w:b w:val="0"/>
          <w:spacing w:val="-4"/>
          <w:sz w:val="32"/>
          <w:szCs w:val="32"/>
        </w:rPr>
      </w:pPr>
      <w:r>
        <w:rPr>
          <w:rStyle w:val="21"/>
          <w:rFonts w:hint="eastAsia" w:ascii="黑体" w:hAnsi="黑体" w:eastAsia="黑体"/>
          <w:b w:val="0"/>
          <w:spacing w:val="-4"/>
          <w:sz w:val="32"/>
          <w:szCs w:val="32"/>
        </w:rPr>
        <w:t>主要经验及做法、存在的问题及原因分析</w:t>
      </w:r>
    </w:p>
    <w:p w14:paraId="5D9ABE56">
      <w:pPr>
        <w:spacing w:line="360" w:lineRule="auto"/>
        <w:ind w:firstLine="562" w:firstLineChars="200"/>
        <w:outlineLvl w:val="1"/>
        <w:rPr>
          <w:rFonts w:hint="eastAsia" w:ascii="仿宋_GB2312" w:hAnsi="Calibri" w:eastAsia="仿宋_GB2312" w:cs="黑体"/>
          <w:b/>
          <w:bCs/>
          <w:sz w:val="28"/>
          <w:szCs w:val="28"/>
        </w:rPr>
      </w:pPr>
      <w:bookmarkStart w:id="4" w:name="_Toc67911618"/>
      <w:bookmarkStart w:id="5" w:name="_Toc18450"/>
      <w:r>
        <w:rPr>
          <w:rFonts w:hint="eastAsia" w:ascii="仿宋_GB2312" w:hAnsi="Calibri" w:eastAsia="仿宋_GB2312" w:cs="黑体"/>
          <w:b/>
          <w:bCs/>
          <w:sz w:val="28"/>
          <w:szCs w:val="28"/>
        </w:rPr>
        <w:t>（一）主要经验及做法</w:t>
      </w:r>
      <w:bookmarkEnd w:id="4"/>
      <w:bookmarkEnd w:id="5"/>
    </w:p>
    <w:p w14:paraId="1BED710B">
      <w:pPr>
        <w:spacing w:line="360" w:lineRule="auto"/>
        <w:ind w:firstLine="560" w:firstLineChars="200"/>
        <w:rPr>
          <w:rFonts w:hint="eastAsia" w:ascii="仿宋_GB2312" w:hAnsi="Calibri" w:eastAsia="仿宋_GB2312" w:cs="黑体"/>
          <w:sz w:val="28"/>
          <w:szCs w:val="28"/>
          <w:lang w:val="en-US" w:eastAsia="zh-CN"/>
        </w:rPr>
      </w:pPr>
      <w:r>
        <w:rPr>
          <w:rFonts w:hint="eastAsia" w:ascii="仿宋_GB2312" w:hAnsi="Calibri" w:eastAsia="仿宋_GB2312" w:cs="黑体"/>
          <w:sz w:val="28"/>
          <w:szCs w:val="28"/>
          <w:lang w:val="en-US" w:eastAsia="zh-CN"/>
        </w:rPr>
        <w:t>为确保【塔城地区博物馆展陈紧急提升】项目顺利进行，提前做好【塔城地区博物馆展陈紧急提升】项目规划，将所列计划再三审核。在【塔城地区博物馆展陈紧急提升】项目实施过程中做好定期监督检查，严格按照项目管理规范进行，在项目资金使用过程中，严格落实把关，按照项目资金使用范围做好审核工作，让项目资金落于实处。在项目完成后，做好受益群众民意调查及项目防范工作。严格坚持先做事、后验收、再拨付的原则，基本杜绝了资金被挤占和挪用现象的发生，跟踪检查到位。在监督环节上，实行关口前移，从事后监督管理转向事前审核，事中监督和事后检查稽核相结合的监督制度上来，形成多环节全过程的监督管理格局，尽量早发现问题，早解决问题。</w:t>
      </w:r>
    </w:p>
    <w:p w14:paraId="07B28C9D">
      <w:pPr>
        <w:numPr>
          <w:ilvl w:val="0"/>
          <w:numId w:val="1"/>
        </w:numPr>
        <w:spacing w:line="360" w:lineRule="auto"/>
        <w:ind w:left="0" w:leftChars="0" w:firstLine="567" w:firstLineChars="0"/>
        <w:outlineLvl w:val="1"/>
        <w:rPr>
          <w:rFonts w:hint="eastAsia" w:ascii="仿宋_GB2312" w:hAnsi="Calibri" w:eastAsia="仿宋_GB2312" w:cs="黑体"/>
          <w:b/>
          <w:bCs/>
          <w:sz w:val="28"/>
          <w:szCs w:val="28"/>
        </w:rPr>
      </w:pPr>
      <w:bookmarkStart w:id="6" w:name="_Toc9205"/>
      <w:r>
        <w:rPr>
          <w:rFonts w:hint="eastAsia" w:ascii="仿宋_GB2312" w:hAnsi="Calibri" w:eastAsia="仿宋_GB2312" w:cs="黑体"/>
          <w:b/>
          <w:bCs/>
          <w:sz w:val="28"/>
          <w:szCs w:val="28"/>
        </w:rPr>
        <w:t>存在的问题及原因分析</w:t>
      </w:r>
      <w:bookmarkEnd w:id="6"/>
    </w:p>
    <w:p w14:paraId="4FC402B2">
      <w:pPr>
        <w:numPr>
          <w:ilvl w:val="0"/>
          <w:numId w:val="5"/>
        </w:numPr>
        <w:spacing w:line="360" w:lineRule="auto"/>
        <w:ind w:firstLine="560" w:firstLineChars="200"/>
        <w:rPr>
          <w:rFonts w:hint="eastAsia" w:ascii="仿宋_GB2312" w:hAnsi="Calibri" w:eastAsia="仿宋_GB2312" w:cs="黑体"/>
          <w:sz w:val="28"/>
          <w:szCs w:val="28"/>
          <w:lang w:val="en-US" w:eastAsia="zh-CN"/>
        </w:rPr>
      </w:pPr>
      <w:r>
        <w:rPr>
          <w:rFonts w:hint="eastAsia" w:ascii="仿宋_GB2312" w:hAnsi="Calibri" w:eastAsia="仿宋_GB2312" w:cs="黑体"/>
          <w:sz w:val="28"/>
          <w:szCs w:val="28"/>
          <w:lang w:val="en-US" w:eastAsia="zh-CN"/>
        </w:rPr>
        <w:t>坚持依法依规编制绩效目标表，进一步强化合法合规性审核，做到账实相符、账表一致，确保收支真实、数额准确、内容完整。依法开展项目绩效管理工作，逐步发挥相关数据在项目支出定额标准体系建设中的参考作用。</w:t>
      </w:r>
    </w:p>
    <w:p w14:paraId="51842D98">
      <w:pPr>
        <w:numPr>
          <w:ilvl w:val="0"/>
          <w:numId w:val="5"/>
        </w:numPr>
        <w:spacing w:line="360" w:lineRule="auto"/>
        <w:ind w:firstLine="560" w:firstLineChars="200"/>
        <w:rPr>
          <w:rFonts w:ascii="仿宋_GB2312" w:eastAsia="仿宋_GB2312"/>
          <w:spacing w:val="-4"/>
          <w:sz w:val="32"/>
          <w:szCs w:val="32"/>
        </w:rPr>
      </w:pPr>
      <w:r>
        <w:rPr>
          <w:rFonts w:hint="eastAsia" w:ascii="仿宋_GB2312" w:hAnsi="Calibri" w:eastAsia="仿宋_GB2312" w:cs="黑体"/>
          <w:sz w:val="28"/>
          <w:szCs w:val="28"/>
          <w:lang w:val="en-US" w:eastAsia="zh-CN"/>
        </w:rPr>
        <w:t>做好统筹谋划，做好项目前期准备工作，积极争取资金；加强统筹协调，强力推进项目建设力度；注重强化监管，提升工程质量和财政资金的使用效率。</w:t>
      </w:r>
    </w:p>
    <w:p w14:paraId="6C847D0C">
      <w:pPr>
        <w:spacing w:line="540" w:lineRule="exact"/>
        <w:ind w:firstLine="640"/>
        <w:rPr>
          <w:rStyle w:val="21"/>
          <w:rFonts w:hint="eastAsia" w:ascii="黑体" w:hAnsi="黑体" w:eastAsia="黑体"/>
          <w:b w:val="0"/>
          <w:spacing w:val="-4"/>
          <w:sz w:val="32"/>
          <w:szCs w:val="32"/>
        </w:rPr>
      </w:pPr>
      <w:r>
        <w:rPr>
          <w:rStyle w:val="21"/>
          <w:rFonts w:hint="eastAsia" w:ascii="黑体" w:hAnsi="黑体" w:eastAsia="黑体"/>
          <w:b w:val="0"/>
          <w:spacing w:val="-4"/>
          <w:sz w:val="32"/>
          <w:szCs w:val="32"/>
          <w:lang w:val="en-US" w:eastAsia="zh-CN"/>
        </w:rPr>
        <w:t>七</w:t>
      </w:r>
      <w:r>
        <w:rPr>
          <w:rStyle w:val="21"/>
          <w:rFonts w:hint="eastAsia" w:ascii="黑体" w:hAnsi="黑体" w:eastAsia="黑体"/>
          <w:b w:val="0"/>
          <w:spacing w:val="-4"/>
          <w:sz w:val="32"/>
          <w:szCs w:val="32"/>
        </w:rPr>
        <w:t>、有关建议</w:t>
      </w:r>
    </w:p>
    <w:p w14:paraId="50CAAB21">
      <w:pPr>
        <w:numPr>
          <w:ilvl w:val="0"/>
          <w:numId w:val="0"/>
        </w:numPr>
        <w:spacing w:line="360" w:lineRule="auto"/>
        <w:ind w:firstLine="560" w:firstLineChars="200"/>
        <w:rPr>
          <w:rFonts w:hint="eastAsia" w:ascii="仿宋_GB2312" w:hAnsi="Calibri" w:eastAsia="仿宋_GB2312" w:cs="黑体"/>
          <w:sz w:val="28"/>
          <w:szCs w:val="28"/>
          <w:lang w:val="en-US" w:eastAsia="zh-CN"/>
        </w:rPr>
      </w:pPr>
      <w:r>
        <w:rPr>
          <w:rFonts w:hint="eastAsia" w:ascii="仿宋_GB2312" w:hAnsi="Calibri" w:eastAsia="仿宋_GB2312" w:cs="黑体"/>
          <w:sz w:val="28"/>
          <w:szCs w:val="28"/>
          <w:lang w:val="en-US" w:eastAsia="zh-CN"/>
        </w:rPr>
        <w:t>1.强化项目绩效报告功能，全面展现项目建设成效和管理绩效，揭示财政财务管理中存在的突出问题和薄弱环节，为改进财政财务管理、完善政府治理提供依据。</w:t>
      </w:r>
    </w:p>
    <w:p w14:paraId="46136C64">
      <w:pPr>
        <w:numPr>
          <w:ilvl w:val="0"/>
          <w:numId w:val="0"/>
        </w:numPr>
        <w:spacing w:line="360" w:lineRule="auto"/>
        <w:ind w:firstLine="560" w:firstLineChars="200"/>
        <w:rPr>
          <w:rFonts w:hint="eastAsia" w:ascii="仿宋_GB2312" w:hAnsi="Calibri" w:eastAsia="仿宋_GB2312" w:cs="黑体"/>
          <w:sz w:val="28"/>
          <w:szCs w:val="28"/>
          <w:lang w:val="en-US" w:eastAsia="zh-CN"/>
        </w:rPr>
      </w:pPr>
      <w:r>
        <w:rPr>
          <w:rFonts w:hint="eastAsia" w:ascii="仿宋_GB2312" w:hAnsi="Calibri" w:eastAsia="仿宋_GB2312" w:cs="黑体"/>
          <w:sz w:val="28"/>
          <w:szCs w:val="28"/>
          <w:lang w:val="en-US" w:eastAsia="zh-CN"/>
        </w:rPr>
        <w:t>2.细化绩效目标编制工作，针对项目绩效设定的可量化的具体指标和预期产生的社会、经济效益，便于后期工作开展时清晰界定资金使用范围。加强项目后期管护，保障项目发挥最大效益。</w:t>
      </w:r>
    </w:p>
    <w:p w14:paraId="76B26617">
      <w:pPr>
        <w:spacing w:line="540" w:lineRule="exact"/>
        <w:ind w:firstLine="640"/>
        <w:rPr>
          <w:rStyle w:val="21"/>
          <w:rFonts w:ascii="黑体" w:hAnsi="黑体" w:eastAsia="黑体"/>
          <w:b w:val="0"/>
          <w:spacing w:val="-4"/>
          <w:sz w:val="32"/>
          <w:szCs w:val="32"/>
        </w:rPr>
      </w:pPr>
      <w:r>
        <w:rPr>
          <w:rStyle w:val="21"/>
          <w:rFonts w:hint="eastAsia" w:ascii="黑体" w:hAnsi="黑体" w:eastAsia="黑体"/>
          <w:b w:val="0"/>
          <w:spacing w:val="-4"/>
          <w:sz w:val="32"/>
          <w:szCs w:val="32"/>
          <w:lang w:val="en-US" w:eastAsia="zh-CN"/>
        </w:rPr>
        <w:t>八</w:t>
      </w:r>
      <w:r>
        <w:rPr>
          <w:rStyle w:val="21"/>
          <w:rFonts w:hint="eastAsia" w:ascii="黑体" w:hAnsi="黑体" w:eastAsia="黑体"/>
          <w:b w:val="0"/>
          <w:spacing w:val="-4"/>
          <w:sz w:val="32"/>
          <w:szCs w:val="32"/>
        </w:rPr>
        <w:t>、其他需要说明的问题</w:t>
      </w:r>
    </w:p>
    <w:p w14:paraId="7951E32C">
      <w:pPr>
        <w:spacing w:line="540" w:lineRule="exact"/>
        <w:ind w:firstLine="567"/>
        <w:rPr>
          <w:rStyle w:val="21"/>
          <w:rFonts w:hint="eastAsia" w:ascii="楷体" w:hAnsi="楷体" w:eastAsia="楷体"/>
          <w:b w:val="0"/>
          <w:bCs w:val="0"/>
          <w:spacing w:val="-4"/>
          <w:sz w:val="32"/>
          <w:szCs w:val="32"/>
        </w:rPr>
      </w:pPr>
    </w:p>
    <w:p w14:paraId="6641F663">
      <w:pPr>
        <w:spacing w:line="540" w:lineRule="exact"/>
        <w:ind w:firstLine="567"/>
        <w:rPr>
          <w:rStyle w:val="21"/>
          <w:rFonts w:ascii="仿宋" w:hAnsi="仿宋" w:eastAsia="仿宋"/>
          <w:b w:val="0"/>
          <w:spacing w:val="-4"/>
          <w:sz w:val="32"/>
          <w:szCs w:val="32"/>
        </w:rPr>
      </w:pPr>
    </w:p>
    <w:p w14:paraId="023461EA">
      <w:pPr>
        <w:spacing w:line="540" w:lineRule="exact"/>
        <w:ind w:firstLine="567"/>
        <w:rPr>
          <w:rStyle w:val="21"/>
          <w:rFonts w:ascii="仿宋" w:hAnsi="仿宋" w:eastAsia="仿宋"/>
          <w:b w:val="0"/>
          <w:spacing w:val="-4"/>
          <w:sz w:val="32"/>
          <w:szCs w:val="32"/>
        </w:rPr>
      </w:pPr>
    </w:p>
    <w:p w14:paraId="6D4C1DAB">
      <w:pPr>
        <w:spacing w:line="540" w:lineRule="exact"/>
        <w:ind w:firstLine="567"/>
        <w:rPr>
          <w:rStyle w:val="21"/>
          <w:rFonts w:ascii="仿宋" w:hAnsi="仿宋" w:eastAsia="仿宋"/>
          <w:b w:val="0"/>
          <w:spacing w:val="-4"/>
          <w:sz w:val="32"/>
          <w:szCs w:val="32"/>
        </w:rPr>
      </w:pPr>
    </w:p>
    <w:p w14:paraId="415A9EF1">
      <w:pPr>
        <w:spacing w:line="540" w:lineRule="exact"/>
        <w:ind w:firstLine="567"/>
        <w:rPr>
          <w:rStyle w:val="21"/>
          <w:rFonts w:ascii="仿宋" w:hAnsi="仿宋" w:eastAsia="仿宋"/>
          <w:b w:val="0"/>
          <w:spacing w:val="-4"/>
          <w:sz w:val="32"/>
          <w:szCs w:val="32"/>
        </w:rPr>
      </w:pPr>
    </w:p>
    <w:p w14:paraId="4E47A36D">
      <w:pPr>
        <w:spacing w:line="540" w:lineRule="exact"/>
        <w:ind w:firstLine="567"/>
        <w:rPr>
          <w:rStyle w:val="21"/>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隶书">
    <w:panose1 w:val="0201050906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简体">
    <w:altName w:val="微软雅黑"/>
    <w:panose1 w:val="02010601030101010101"/>
    <w:charset w:val="86"/>
    <w:family w:val="auto"/>
    <w:pitch w:val="default"/>
    <w:sig w:usb0="00000000" w:usb1="00000000" w:usb2="00000000" w:usb3="00000000" w:csb0="00040000" w:csb1="00000000"/>
  </w:font>
  <w:font w:name="KSOF025BBAAE">
    <w:panose1 w:val="020B0503020204020204"/>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14:paraId="6764783B">
        <w:pPr>
          <w:pStyle w:val="15"/>
          <w:jc w:val="center"/>
        </w:pPr>
        <w:r>
          <w:fldChar w:fldCharType="begin"/>
        </w:r>
        <w:r>
          <w:instrText xml:space="preserve">PAGE   \* MERGEFORMAT</w:instrText>
        </w:r>
        <w:r>
          <w:fldChar w:fldCharType="separate"/>
        </w:r>
        <w:r>
          <w:rPr>
            <w:lang w:val="zh-CN"/>
          </w:rPr>
          <w:t>1</w:t>
        </w:r>
        <w:r>
          <w:fldChar w:fldCharType="end"/>
        </w:r>
      </w:p>
    </w:sdtContent>
  </w:sdt>
  <w:p w14:paraId="4873691B">
    <w:pPr>
      <w:pStyle w:val="1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3689C22"/>
    <w:multiLevelType w:val="singleLevel"/>
    <w:tmpl w:val="B3689C22"/>
    <w:lvl w:ilvl="0" w:tentative="0">
      <w:start w:val="6"/>
      <w:numFmt w:val="chineseCounting"/>
      <w:suff w:val="nothing"/>
      <w:lvlText w:val="%1、"/>
      <w:lvlJc w:val="left"/>
      <w:rPr>
        <w:rFonts w:hint="eastAsia"/>
      </w:rPr>
    </w:lvl>
  </w:abstractNum>
  <w:abstractNum w:abstractNumId="1">
    <w:nsid w:val="E9A3976C"/>
    <w:multiLevelType w:val="singleLevel"/>
    <w:tmpl w:val="E9A3976C"/>
    <w:lvl w:ilvl="0" w:tentative="0">
      <w:start w:val="1"/>
      <w:numFmt w:val="decimal"/>
      <w:lvlText w:val="%1."/>
      <w:lvlJc w:val="left"/>
      <w:pPr>
        <w:tabs>
          <w:tab w:val="left" w:pos="312"/>
        </w:tabs>
      </w:pPr>
    </w:lvl>
  </w:abstractNum>
  <w:abstractNum w:abstractNumId="2">
    <w:nsid w:val="3EC76965"/>
    <w:multiLevelType w:val="singleLevel"/>
    <w:tmpl w:val="3EC76965"/>
    <w:lvl w:ilvl="0" w:tentative="0">
      <w:start w:val="2"/>
      <w:numFmt w:val="decimal"/>
      <w:lvlText w:val="%1."/>
      <w:lvlJc w:val="left"/>
      <w:pPr>
        <w:tabs>
          <w:tab w:val="left" w:pos="312"/>
        </w:tabs>
      </w:pPr>
    </w:lvl>
  </w:abstractNum>
  <w:abstractNum w:abstractNumId="3">
    <w:nsid w:val="5FB5506B"/>
    <w:multiLevelType w:val="singleLevel"/>
    <w:tmpl w:val="5FB5506B"/>
    <w:lvl w:ilvl="0" w:tentative="0">
      <w:start w:val="2"/>
      <w:numFmt w:val="chineseCounting"/>
      <w:suff w:val="nothing"/>
      <w:lvlText w:val="（%1）"/>
      <w:lvlJc w:val="left"/>
      <w:rPr>
        <w:rFonts w:hint="eastAsia"/>
      </w:rPr>
    </w:lvl>
  </w:abstractNum>
  <w:abstractNum w:abstractNumId="4">
    <w:nsid w:val="6CD8899A"/>
    <w:multiLevelType w:val="singleLevel"/>
    <w:tmpl w:val="6CD8899A"/>
    <w:lvl w:ilvl="0" w:tentative="0">
      <w:start w:val="1"/>
      <w:numFmt w:val="decimal"/>
      <w:suff w:val="nothing"/>
      <w:lvlText w:val="%1、"/>
      <w:lvlJc w:val="left"/>
    </w:lvl>
  </w:abstractNum>
  <w:num w:numId="1">
    <w:abstractNumId w:val="3"/>
  </w:num>
  <w:num w:numId="2">
    <w:abstractNumId w:val="4"/>
  </w:num>
  <w:num w:numId="3">
    <w:abstractNumId w:val="2"/>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VjMGM4YTNmZTY1NDFjMWFjNmVmZmU0NDA2ZTk0ZmMifQ=="/>
  </w:docVars>
  <w:rsids>
    <w:rsidRoot w:val="00CA6457"/>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70702AF"/>
    <w:rsid w:val="07261865"/>
    <w:rsid w:val="0856517C"/>
    <w:rsid w:val="0BFB189F"/>
    <w:rsid w:val="11BD75F7"/>
    <w:rsid w:val="13BE561A"/>
    <w:rsid w:val="15392994"/>
    <w:rsid w:val="18FE139B"/>
    <w:rsid w:val="2A891760"/>
    <w:rsid w:val="2F3E7229"/>
    <w:rsid w:val="3029612C"/>
    <w:rsid w:val="32A221C5"/>
    <w:rsid w:val="33F20F2A"/>
    <w:rsid w:val="34C44675"/>
    <w:rsid w:val="36D83986"/>
    <w:rsid w:val="3A7E7074"/>
    <w:rsid w:val="3B5B5607"/>
    <w:rsid w:val="3CE21B3C"/>
    <w:rsid w:val="481525B4"/>
    <w:rsid w:val="4D2606A1"/>
    <w:rsid w:val="4F990CD5"/>
    <w:rsid w:val="51830480"/>
    <w:rsid w:val="53A616BE"/>
    <w:rsid w:val="54662BFB"/>
    <w:rsid w:val="57902296"/>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4"/>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4">
    <w:name w:val="heading 2"/>
    <w:basedOn w:val="1"/>
    <w:next w:val="1"/>
    <w:link w:val="25"/>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5">
    <w:name w:val="heading 3"/>
    <w:basedOn w:val="1"/>
    <w:next w:val="1"/>
    <w:link w:val="26"/>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6">
    <w:name w:val="heading 4"/>
    <w:basedOn w:val="1"/>
    <w:next w:val="1"/>
    <w:link w:val="27"/>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7">
    <w:name w:val="heading 5"/>
    <w:basedOn w:val="1"/>
    <w:next w:val="1"/>
    <w:link w:val="28"/>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8">
    <w:name w:val="heading 6"/>
    <w:basedOn w:val="1"/>
    <w:next w:val="1"/>
    <w:link w:val="29"/>
    <w:autoRedefine/>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9">
    <w:name w:val="heading 7"/>
    <w:basedOn w:val="1"/>
    <w:next w:val="1"/>
    <w:link w:val="30"/>
    <w:autoRedefine/>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10">
    <w:name w:val="heading 8"/>
    <w:basedOn w:val="1"/>
    <w:next w:val="1"/>
    <w:link w:val="31"/>
    <w:autoRedefine/>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1">
    <w:name w:val="heading 9"/>
    <w:basedOn w:val="1"/>
    <w:next w:val="1"/>
    <w:link w:val="32"/>
    <w:autoRedefine/>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20">
    <w:name w:val="Default Paragraph Font"/>
    <w:autoRedefine/>
    <w:semiHidden/>
    <w:unhideWhenUsed/>
    <w:qFormat/>
    <w:uiPriority w:val="1"/>
  </w:style>
  <w:style w:type="table" w:default="1" w:styleId="19">
    <w:name w:val="Normal Table"/>
    <w:autoRedefine/>
    <w:semiHidden/>
    <w:unhideWhenUsed/>
    <w:qFormat/>
    <w:uiPriority w:val="99"/>
    <w:tblPr>
      <w:tblCellMar>
        <w:top w:w="0" w:type="dxa"/>
        <w:left w:w="108" w:type="dxa"/>
        <w:bottom w:w="0" w:type="dxa"/>
        <w:right w:w="108" w:type="dxa"/>
      </w:tblCellMar>
    </w:tblPr>
  </w:style>
  <w:style w:type="paragraph" w:styleId="2">
    <w:name w:val="Title"/>
    <w:basedOn w:val="1"/>
    <w:next w:val="1"/>
    <w:link w:val="33"/>
    <w:autoRedefine/>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2">
    <w:name w:val="annotation text"/>
    <w:basedOn w:val="1"/>
    <w:autoRedefine/>
    <w:unhideWhenUsed/>
    <w:qFormat/>
    <w:uiPriority w:val="99"/>
    <w:pPr>
      <w:jc w:val="left"/>
    </w:pPr>
    <w:rPr>
      <w:rFonts w:cs="Times New Roman"/>
      <w:kern w:val="0"/>
      <w:szCs w:val="20"/>
    </w:rPr>
  </w:style>
  <w:style w:type="paragraph" w:styleId="13">
    <w:name w:val="Body Text"/>
    <w:basedOn w:val="1"/>
    <w:autoRedefine/>
    <w:semiHidden/>
    <w:unhideWhenUsed/>
    <w:qFormat/>
    <w:uiPriority w:val="99"/>
    <w:pPr>
      <w:spacing w:after="120"/>
    </w:pPr>
    <w:rPr>
      <w:rFonts w:cs="Times New Roman"/>
    </w:rPr>
  </w:style>
  <w:style w:type="paragraph" w:styleId="14">
    <w:name w:val="Balloon Text"/>
    <w:basedOn w:val="1"/>
    <w:link w:val="49"/>
    <w:autoRedefine/>
    <w:semiHidden/>
    <w:unhideWhenUsed/>
    <w:qFormat/>
    <w:uiPriority w:val="99"/>
    <w:rPr>
      <w:sz w:val="18"/>
      <w:szCs w:val="18"/>
    </w:rPr>
  </w:style>
  <w:style w:type="paragraph" w:styleId="15">
    <w:name w:val="footer"/>
    <w:basedOn w:val="1"/>
    <w:link w:val="48"/>
    <w:autoRedefine/>
    <w:unhideWhenUsed/>
    <w:qFormat/>
    <w:uiPriority w:val="99"/>
    <w:pPr>
      <w:tabs>
        <w:tab w:val="center" w:pos="4153"/>
        <w:tab w:val="right" w:pos="8306"/>
      </w:tabs>
      <w:snapToGrid w:val="0"/>
      <w:jc w:val="left"/>
    </w:pPr>
    <w:rPr>
      <w:rFonts w:ascii="Calibri" w:hAnsi="Calibri"/>
      <w:sz w:val="18"/>
      <w:szCs w:val="18"/>
    </w:rPr>
  </w:style>
  <w:style w:type="paragraph" w:styleId="16">
    <w:name w:val="header"/>
    <w:basedOn w:val="1"/>
    <w:link w:val="47"/>
    <w:autoRedefine/>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7">
    <w:name w:val="Subtitle"/>
    <w:basedOn w:val="1"/>
    <w:next w:val="1"/>
    <w:link w:val="34"/>
    <w:autoRedefine/>
    <w:qFormat/>
    <w:uiPriority w:val="11"/>
    <w:pPr>
      <w:widowControl/>
      <w:spacing w:after="60"/>
      <w:jc w:val="center"/>
      <w:outlineLvl w:val="1"/>
    </w:pPr>
    <w:rPr>
      <w:rFonts w:asciiTheme="majorHAnsi" w:hAnsiTheme="majorHAnsi" w:eastAsiaTheme="majorEastAsia"/>
      <w:kern w:val="0"/>
      <w:sz w:val="24"/>
    </w:rPr>
  </w:style>
  <w:style w:type="paragraph" w:styleId="18">
    <w:name w:val="Body Text First Indent"/>
    <w:basedOn w:val="13"/>
    <w:autoRedefine/>
    <w:qFormat/>
    <w:uiPriority w:val="0"/>
    <w:pPr>
      <w:spacing w:after="0"/>
      <w:ind w:firstLine="420" w:firstLineChars="100"/>
    </w:pPr>
    <w:rPr>
      <w:rFonts w:ascii="宋体" w:hAnsi="宋体" w:cs="宋体"/>
      <w:sz w:val="21"/>
      <w:lang w:val="zh-CN" w:bidi="zh-CN"/>
    </w:rPr>
  </w:style>
  <w:style w:type="character" w:styleId="21">
    <w:name w:val="Strong"/>
    <w:basedOn w:val="20"/>
    <w:autoRedefine/>
    <w:qFormat/>
    <w:uiPriority w:val="0"/>
    <w:rPr>
      <w:b/>
      <w:bCs/>
    </w:rPr>
  </w:style>
  <w:style w:type="character" w:styleId="22">
    <w:name w:val="Emphasis"/>
    <w:basedOn w:val="20"/>
    <w:autoRedefine/>
    <w:qFormat/>
    <w:uiPriority w:val="20"/>
    <w:rPr>
      <w:rFonts w:asciiTheme="minorHAnsi" w:hAnsiTheme="minorHAnsi"/>
      <w:b/>
      <w:i/>
      <w:iCs/>
    </w:rPr>
  </w:style>
  <w:style w:type="character" w:styleId="23">
    <w:name w:val="annotation reference"/>
    <w:autoRedefine/>
    <w:unhideWhenUsed/>
    <w:qFormat/>
    <w:uiPriority w:val="99"/>
    <w:rPr>
      <w:sz w:val="21"/>
      <w:szCs w:val="21"/>
    </w:rPr>
  </w:style>
  <w:style w:type="character" w:customStyle="1" w:styleId="24">
    <w:name w:val="标题 1 字符"/>
    <w:basedOn w:val="20"/>
    <w:link w:val="3"/>
    <w:autoRedefine/>
    <w:qFormat/>
    <w:uiPriority w:val="9"/>
    <w:rPr>
      <w:rFonts w:asciiTheme="majorHAnsi" w:hAnsiTheme="majorHAnsi" w:eastAsiaTheme="majorEastAsia"/>
      <w:b/>
      <w:bCs/>
      <w:kern w:val="32"/>
      <w:sz w:val="32"/>
      <w:szCs w:val="32"/>
    </w:rPr>
  </w:style>
  <w:style w:type="character" w:customStyle="1" w:styleId="25">
    <w:name w:val="标题 2 字符"/>
    <w:basedOn w:val="20"/>
    <w:link w:val="4"/>
    <w:autoRedefine/>
    <w:semiHidden/>
    <w:qFormat/>
    <w:uiPriority w:val="9"/>
    <w:rPr>
      <w:rFonts w:asciiTheme="majorHAnsi" w:hAnsiTheme="majorHAnsi" w:eastAsiaTheme="majorEastAsia"/>
      <w:b/>
      <w:bCs/>
      <w:i/>
      <w:iCs/>
      <w:sz w:val="28"/>
      <w:szCs w:val="28"/>
    </w:rPr>
  </w:style>
  <w:style w:type="character" w:customStyle="1" w:styleId="26">
    <w:name w:val="标题 3 字符"/>
    <w:basedOn w:val="20"/>
    <w:link w:val="5"/>
    <w:autoRedefine/>
    <w:semiHidden/>
    <w:qFormat/>
    <w:uiPriority w:val="9"/>
    <w:rPr>
      <w:rFonts w:asciiTheme="majorHAnsi" w:hAnsiTheme="majorHAnsi" w:eastAsiaTheme="majorEastAsia"/>
      <w:b/>
      <w:bCs/>
      <w:sz w:val="26"/>
      <w:szCs w:val="26"/>
    </w:rPr>
  </w:style>
  <w:style w:type="character" w:customStyle="1" w:styleId="27">
    <w:name w:val="标题 4 字符"/>
    <w:basedOn w:val="20"/>
    <w:link w:val="6"/>
    <w:autoRedefine/>
    <w:semiHidden/>
    <w:qFormat/>
    <w:uiPriority w:val="9"/>
    <w:rPr>
      <w:b/>
      <w:bCs/>
      <w:sz w:val="28"/>
      <w:szCs w:val="28"/>
    </w:rPr>
  </w:style>
  <w:style w:type="character" w:customStyle="1" w:styleId="28">
    <w:name w:val="标题 5 字符"/>
    <w:basedOn w:val="20"/>
    <w:link w:val="7"/>
    <w:autoRedefine/>
    <w:semiHidden/>
    <w:qFormat/>
    <w:uiPriority w:val="9"/>
    <w:rPr>
      <w:b/>
      <w:bCs/>
      <w:i/>
      <w:iCs/>
      <w:sz w:val="26"/>
      <w:szCs w:val="26"/>
    </w:rPr>
  </w:style>
  <w:style w:type="character" w:customStyle="1" w:styleId="29">
    <w:name w:val="标题 6 字符"/>
    <w:basedOn w:val="20"/>
    <w:link w:val="8"/>
    <w:autoRedefine/>
    <w:semiHidden/>
    <w:qFormat/>
    <w:uiPriority w:val="9"/>
    <w:rPr>
      <w:b/>
      <w:bCs/>
    </w:rPr>
  </w:style>
  <w:style w:type="character" w:customStyle="1" w:styleId="30">
    <w:name w:val="标题 7 字符"/>
    <w:basedOn w:val="20"/>
    <w:link w:val="9"/>
    <w:autoRedefine/>
    <w:semiHidden/>
    <w:qFormat/>
    <w:uiPriority w:val="9"/>
    <w:rPr>
      <w:sz w:val="24"/>
      <w:szCs w:val="24"/>
    </w:rPr>
  </w:style>
  <w:style w:type="character" w:customStyle="1" w:styleId="31">
    <w:name w:val="标题 8 字符"/>
    <w:basedOn w:val="20"/>
    <w:link w:val="10"/>
    <w:autoRedefine/>
    <w:semiHidden/>
    <w:qFormat/>
    <w:uiPriority w:val="9"/>
    <w:rPr>
      <w:i/>
      <w:iCs/>
      <w:sz w:val="24"/>
      <w:szCs w:val="24"/>
    </w:rPr>
  </w:style>
  <w:style w:type="character" w:customStyle="1" w:styleId="32">
    <w:name w:val="标题 9 字符"/>
    <w:basedOn w:val="20"/>
    <w:link w:val="11"/>
    <w:semiHidden/>
    <w:qFormat/>
    <w:uiPriority w:val="9"/>
    <w:rPr>
      <w:rFonts w:asciiTheme="majorHAnsi" w:hAnsiTheme="majorHAnsi" w:eastAsiaTheme="majorEastAsia"/>
    </w:rPr>
  </w:style>
  <w:style w:type="character" w:customStyle="1" w:styleId="33">
    <w:name w:val="标题 字符"/>
    <w:basedOn w:val="20"/>
    <w:link w:val="2"/>
    <w:autoRedefine/>
    <w:qFormat/>
    <w:uiPriority w:val="10"/>
    <w:rPr>
      <w:rFonts w:asciiTheme="majorHAnsi" w:hAnsiTheme="majorHAnsi" w:eastAsiaTheme="majorEastAsia"/>
      <w:b/>
      <w:bCs/>
      <w:kern w:val="28"/>
      <w:sz w:val="32"/>
      <w:szCs w:val="32"/>
    </w:rPr>
  </w:style>
  <w:style w:type="character" w:customStyle="1" w:styleId="34">
    <w:name w:val="副标题 字符"/>
    <w:basedOn w:val="20"/>
    <w:link w:val="17"/>
    <w:qFormat/>
    <w:uiPriority w:val="11"/>
    <w:rPr>
      <w:rFonts w:asciiTheme="majorHAnsi" w:hAnsiTheme="majorHAnsi" w:eastAsiaTheme="majorEastAsia"/>
      <w:sz w:val="24"/>
      <w:szCs w:val="24"/>
    </w:rPr>
  </w:style>
  <w:style w:type="paragraph" w:styleId="35">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6">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7">
    <w:name w:val="Quote"/>
    <w:basedOn w:val="1"/>
    <w:next w:val="1"/>
    <w:link w:val="38"/>
    <w:autoRedefine/>
    <w:qFormat/>
    <w:uiPriority w:val="29"/>
    <w:pPr>
      <w:widowControl/>
      <w:jc w:val="left"/>
    </w:pPr>
    <w:rPr>
      <w:rFonts w:asciiTheme="minorHAnsi" w:hAnsiTheme="minorHAnsi" w:eastAsiaTheme="minorEastAsia"/>
      <w:i/>
      <w:kern w:val="0"/>
      <w:sz w:val="24"/>
    </w:rPr>
  </w:style>
  <w:style w:type="character" w:customStyle="1" w:styleId="38">
    <w:name w:val="引用 字符"/>
    <w:basedOn w:val="20"/>
    <w:link w:val="37"/>
    <w:qFormat/>
    <w:uiPriority w:val="29"/>
    <w:rPr>
      <w:i/>
      <w:sz w:val="24"/>
      <w:szCs w:val="24"/>
    </w:rPr>
  </w:style>
  <w:style w:type="paragraph" w:styleId="39">
    <w:name w:val="Intense Quote"/>
    <w:basedOn w:val="1"/>
    <w:next w:val="1"/>
    <w:link w:val="40"/>
    <w:autoRedefine/>
    <w:qFormat/>
    <w:uiPriority w:val="30"/>
    <w:pPr>
      <w:widowControl/>
      <w:ind w:left="720" w:right="720"/>
      <w:jc w:val="left"/>
    </w:pPr>
    <w:rPr>
      <w:rFonts w:asciiTheme="minorHAnsi" w:hAnsiTheme="minorHAnsi" w:eastAsiaTheme="minorEastAsia"/>
      <w:b/>
      <w:i/>
      <w:kern w:val="0"/>
      <w:sz w:val="24"/>
      <w:szCs w:val="22"/>
    </w:rPr>
  </w:style>
  <w:style w:type="character" w:customStyle="1" w:styleId="40">
    <w:name w:val="明显引用 字符"/>
    <w:basedOn w:val="20"/>
    <w:link w:val="39"/>
    <w:qFormat/>
    <w:uiPriority w:val="30"/>
    <w:rPr>
      <w:b/>
      <w:i/>
      <w:sz w:val="24"/>
    </w:rPr>
  </w:style>
  <w:style w:type="character" w:customStyle="1" w:styleId="41">
    <w:name w:val="不明显强调1"/>
    <w:autoRedefine/>
    <w:qFormat/>
    <w:uiPriority w:val="19"/>
    <w:rPr>
      <w:i/>
      <w:color w:val="595959" w:themeColor="text1" w:themeTint="A6"/>
      <w14:textFill>
        <w14:solidFill>
          <w14:schemeClr w14:val="tx1">
            <w14:lumMod w14:val="65000"/>
            <w14:lumOff w14:val="35000"/>
          </w14:schemeClr>
        </w14:solidFill>
      </w14:textFill>
    </w:rPr>
  </w:style>
  <w:style w:type="character" w:customStyle="1" w:styleId="42">
    <w:name w:val="明显强调1"/>
    <w:basedOn w:val="20"/>
    <w:qFormat/>
    <w:uiPriority w:val="21"/>
    <w:rPr>
      <w:b/>
      <w:i/>
      <w:sz w:val="24"/>
      <w:szCs w:val="24"/>
      <w:u w:val="single"/>
    </w:rPr>
  </w:style>
  <w:style w:type="character" w:customStyle="1" w:styleId="43">
    <w:name w:val="不明显参考1"/>
    <w:basedOn w:val="20"/>
    <w:autoRedefine/>
    <w:qFormat/>
    <w:uiPriority w:val="31"/>
    <w:rPr>
      <w:sz w:val="24"/>
      <w:szCs w:val="24"/>
      <w:u w:val="single"/>
    </w:rPr>
  </w:style>
  <w:style w:type="character" w:customStyle="1" w:styleId="44">
    <w:name w:val="明显参考1"/>
    <w:basedOn w:val="20"/>
    <w:autoRedefine/>
    <w:qFormat/>
    <w:uiPriority w:val="32"/>
    <w:rPr>
      <w:b/>
      <w:sz w:val="24"/>
      <w:u w:val="single"/>
    </w:rPr>
  </w:style>
  <w:style w:type="character" w:customStyle="1" w:styleId="45">
    <w:name w:val="书籍标题1"/>
    <w:basedOn w:val="20"/>
    <w:qFormat/>
    <w:uiPriority w:val="33"/>
    <w:rPr>
      <w:rFonts w:asciiTheme="majorHAnsi" w:hAnsiTheme="majorHAnsi" w:eastAsiaTheme="majorEastAsia"/>
      <w:b/>
      <w:i/>
      <w:sz w:val="24"/>
      <w:szCs w:val="24"/>
    </w:rPr>
  </w:style>
  <w:style w:type="paragraph" w:customStyle="1" w:styleId="46">
    <w:name w:val="TOC 标题1"/>
    <w:basedOn w:val="3"/>
    <w:next w:val="1"/>
    <w:semiHidden/>
    <w:unhideWhenUsed/>
    <w:qFormat/>
    <w:uiPriority w:val="39"/>
    <w:pPr>
      <w:outlineLvl w:val="9"/>
    </w:pPr>
    <w:rPr>
      <w:lang w:eastAsia="en-US" w:bidi="en-US"/>
    </w:rPr>
  </w:style>
  <w:style w:type="character" w:customStyle="1" w:styleId="47">
    <w:name w:val="页眉 字符"/>
    <w:basedOn w:val="20"/>
    <w:link w:val="16"/>
    <w:qFormat/>
    <w:uiPriority w:val="99"/>
    <w:rPr>
      <w:rFonts w:ascii="Calibri" w:hAnsi="Calibri" w:eastAsia="宋体"/>
      <w:kern w:val="2"/>
      <w:sz w:val="18"/>
      <w:szCs w:val="18"/>
    </w:rPr>
  </w:style>
  <w:style w:type="character" w:customStyle="1" w:styleId="48">
    <w:name w:val="页脚 字符"/>
    <w:basedOn w:val="20"/>
    <w:link w:val="15"/>
    <w:uiPriority w:val="99"/>
    <w:rPr>
      <w:rFonts w:ascii="Calibri" w:hAnsi="Calibri" w:eastAsia="宋体"/>
      <w:kern w:val="2"/>
      <w:sz w:val="18"/>
      <w:szCs w:val="18"/>
    </w:rPr>
  </w:style>
  <w:style w:type="character" w:customStyle="1" w:styleId="49">
    <w:name w:val="批注框文本 字符"/>
    <w:basedOn w:val="20"/>
    <w:link w:val="14"/>
    <w:semiHidden/>
    <w:qFormat/>
    <w:uiPriority w:val="99"/>
    <w:rPr>
      <w:rFonts w:ascii="Times New Roman" w:hAnsi="Times New Roman" w:eastAsia="宋体"/>
      <w:kern w:val="2"/>
      <w:sz w:val="18"/>
      <w:szCs w:val="18"/>
    </w:rPr>
  </w:style>
  <w:style w:type="paragraph" w:customStyle="1" w:styleId="50">
    <w:name w:val="Default"/>
    <w:next w:val="1"/>
    <w:autoRedefine/>
    <w:qFormat/>
    <w:uiPriority w:val="99"/>
    <w:pPr>
      <w:widowControl w:val="0"/>
      <w:autoSpaceDE w:val="0"/>
      <w:autoSpaceDN w:val="0"/>
      <w:adjustRightInd w:val="0"/>
    </w:pPr>
    <w:rPr>
      <w:rFonts w:ascii="隶书" w:hAnsi="Calibri" w:eastAsia="隶书" w:cs="隶书"/>
      <w:color w:val="000000"/>
      <w:sz w:val="24"/>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5376</Words>
  <Characters>5553</Characters>
  <Lines>5</Lines>
  <Paragraphs>1</Paragraphs>
  <TotalTime>1</TotalTime>
  <ScaleCrop>false</ScaleCrop>
  <LinksUpToDate>false</LinksUpToDate>
  <CharactersWithSpaces>5598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周而</cp:lastModifiedBy>
  <cp:lastPrinted>2018-12-31T10:56:00Z</cp:lastPrinted>
  <dcterms:modified xsi:type="dcterms:W3CDTF">2026-03-30T10:47:51Z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1999219D3397429D9587C98AE5FB16EB</vt:lpwstr>
  </property>
  <property fmtid="{D5CDD505-2E9C-101B-9397-08002B2CF9AE}" pid="4" name="KSOTemplateDocerSaveRecord">
    <vt:lpwstr>eyJoZGlkIjoiN2VjMGM4YTNmZTY1NDFjMWFjNmVmZmU0NDA2ZTk0ZmMiLCJ1c2VySWQiOiI4NjI1NDMxNDkifQ==</vt:lpwstr>
  </property>
</Properties>
</file>