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2022年体育场馆运转项目—本级</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塔城地区体育馆管理中心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塔城地区体育馆管理中心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张建勇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塔城地区体育馆管理中心是塔城及周边城市各族市民开展体育比赛、社会活动、健身娱乐、文艺演出、业余训练的重要场所。协调区域性体育发展，推动多元化体育服务体系建设，推动体育公共服务和体育体制改革；规范体育服务管理，推动体育标准化建设。加强地方公共体育服务体系建设，促进全区体育事业全面协调可持续发展。引导全地区体育事业的繁荣、健康、良性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本级财政每年安排一定数额的专项经费用于塔城地区体育场馆运转项目经费，主要用于场馆意外伤害保险、场馆维修维护、专用设备购置以及水、电、暖气费等支出。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资金投入情况：该项目年初预算数94.9万元，全年预算数94.9万元，实际总投入94.9万元，该项目资金已全部落实到位,资金来源为财政拨款资金。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资金使用情况：该项目年初预算数94.9万元，全年预算数94.9万元，全年执行数94.87万元，预算执行率为99.97%，用于保障塔城地区体育场馆运转。</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left="638" w:leftChars="304" w:firstLine="2081" w:firstLineChars="6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塔城地区体育馆管理中心工作职能：</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体育场馆管理中心是对体育场地实行管理的职能部门。负责体育场地的使用、开放及日常保养、清洁和维修等工作。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加强体育场馆的管理，使体育资源合理有效的利用，保证塔城地区体育教学、训练、竞赛正常有序地进行，确保大型活动顺利开展。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体育场馆管理中心配备专职人员负责体育场的管理，负责体育场内灯光及音响设备的管理。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体育场管理人员必须严格遵守岗位职责，因玩忽职守造成的伤害后果和责任事故按规定进行严肃处理。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严格执行体育场馆的管理制度，维护国家公共设施，保障各体育场馆正常运营。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各场馆管理人员应遵守职责,按时开放体育场，及时整理和打扫卫生，保证正常的体育活动的进行。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以院校或职能部门名义在体育场举办大型活动，或上级主管部门及相关部门决定在体育场举行大型活动，需提前由举办该活动的牵头单位向学院提出书面申请，经主管领导同意后方可进行。协助制订大型活动的保障方案与应急预案，确保场地组织安全、有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体育场馆中的任何部门和团体或个人未经主要领导同意，不得擅自对外租借和使用体育场馆。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不断引进高质优绩的社会资源，认真履行监管职责，</w:t>
      </w:r>
      <w:r>
        <w:rPr>
          <w:rStyle w:val="18"/>
          <w:rFonts w:hint="eastAsia" w:ascii="楷体" w:hAnsi="楷体" w:eastAsia="楷体"/>
          <w:b w:val="0"/>
          <w:bCs w:val="0"/>
          <w:spacing w:val="-4"/>
          <w:sz w:val="32"/>
          <w:szCs w:val="32"/>
          <w:lang w:eastAsia="zh-CN"/>
        </w:rPr>
        <w:t>更好地为</w:t>
      </w:r>
      <w:r>
        <w:rPr>
          <w:rStyle w:val="18"/>
          <w:rFonts w:hint="eastAsia" w:ascii="楷体" w:hAnsi="楷体" w:eastAsia="楷体"/>
          <w:b w:val="0"/>
          <w:bCs w:val="0"/>
          <w:spacing w:val="-4"/>
          <w:sz w:val="32"/>
          <w:szCs w:val="32"/>
        </w:rPr>
        <w:t>塔城及周边城市各族市民提供比赛、社团活动、健身娱乐、文艺演出、业余训练场所。</w:t>
      </w:r>
    </w:p>
    <w:p>
      <w:pPr>
        <w:numPr>
          <w:ilvl w:val="0"/>
          <w:numId w:val="1"/>
        </w:num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阶段性目标： </w:t>
      </w:r>
    </w:p>
    <w:p>
      <w:pPr>
        <w:numPr>
          <w:numId w:val="0"/>
        </w:num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贯彻落实《全民健身条例》，推行全民健身计划，发展全民健身事业，完善全民健身公共服务体系；促进全区群众体育活动开展，加强群众体育设施建设，满足群众健身需求，提高群众身体素质和健康水平；指导群众科学健身，会同有关部门举办全区残疾人、农民、少数民族、职工综合性运动会，培训社会体育指导员，开展国民体质监测。提高科研、竞训水平，培养适应社会需要的体育人才，为群众体育、竞技体育和体育产业全面发展提供科技与专业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塔城地区体育馆管理中心2022年《2022年体育场馆运转项目—本级》项目。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2022年体育场馆运转项目—本级》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p>
    <w:p>
      <w:pPr>
        <w:spacing w:line="540" w:lineRule="exact"/>
        <w:ind w:firstLine="1248" w:firstLineChars="4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体育场馆运转项目—本级》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在上述评价标准的基础上，本次评价依据以下文件为重要指导和准绳：《中共中央国务院关于全面实施预算绩效管理的意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结合项目特点，制定符合项目实际的绩效评价指标体系及评分标准，通过数据采集、问卷调查及访谈等形式，对2022年《2022年体育场馆运转项目—本级》进行客观评价。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1.资金到位率：实际到位资金94.9万元，预算资金94.9万元，资金到位率100%，得3分。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2.预算执行率：年初预算数94.9万元，全年预算数94.9万元，全年执行数94.87万元，预算执行率为99.97%，得10分。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p>
    <w:p>
      <w:pPr>
        <w:spacing w:line="540" w:lineRule="exact"/>
        <w:ind w:left="638" w:leftChars="304"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数量指标：</w:t>
      </w:r>
    </w:p>
    <w:p>
      <w:pPr>
        <w:spacing w:line="540" w:lineRule="exact"/>
        <w:ind w:left="950" w:leftChars="304" w:hanging="312" w:hanging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指标1：场馆综合保险，指标值：1份 ，实际完成值 1份，指标完成率 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指标2：消毒清洁专用材料，指标值：2吨，实际完成值 2吨，指标完成率 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指标3：场馆开放时间，指标值：&gt;=300天 ，实际完成值 300天，指标完成率 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指标1：体育设施利用率，指标值：&gt;=95% ，实际完成值 95%，指标完成率 100%，无偏差。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指标2：场馆配套设备购买验收合格率，指标值：&gt;=95% ，实际完成值95%，指标完成率 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指标1：运转资金支付及时率 ，指标值：=100%，实际完成值 99.97%，指标完成率99.97%，偏差原因：偏差原因：商家未能及时提供发票。整改措施：下年度加快资金支付进度；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指标2：维修完成时间，指标值：2022年12月底前，实际完成值 2022年12月底前，指标完成率100%，无偏差，综上，得10分。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成本指标：</w:t>
      </w:r>
    </w:p>
    <w:p>
      <w:pPr>
        <w:spacing w:line="540" w:lineRule="exact"/>
        <w:ind w:left="958" w:leftChars="456"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指标1：场馆保险费，指标值：&lt;=5万元，实际完成值5万元 ，指标完成率100%，无偏差；</w:t>
      </w:r>
    </w:p>
    <w:p>
      <w:pPr>
        <w:spacing w:line="540" w:lineRule="exact"/>
        <w:ind w:left="958" w:leftChars="456" w:firstLine="936" w:firstLineChars="30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指标2：消毒清洁专用材料成本，指标值：&lt;=12万元，实际完成值12万元，指标完成率100 %，无偏差；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指标3：场馆运行维护费，指标值：&lt;=72.10万元</w:t>
      </w:r>
      <w:r>
        <w:rPr>
          <w:rStyle w:val="18"/>
          <w:rFonts w:hint="eastAsia" w:ascii="楷体" w:hAnsi="楷体" w:eastAsia="楷体"/>
          <w:b w:val="0"/>
          <w:bCs w:val="0"/>
          <w:spacing w:val="-4"/>
          <w:sz w:val="32"/>
          <w:szCs w:val="32"/>
          <w:lang w:eastAsia="zh-CN"/>
        </w:rPr>
        <w:t>，</w:t>
      </w:r>
    </w:p>
    <w:p>
      <w:pPr>
        <w:spacing w:line="540" w:lineRule="exact"/>
        <w:ind w:left="624" w:hanging="624" w:hanging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实际完成值72.10万元，指标完成率100%，无偏差；</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指标4：场馆配套设备费用，指标值： &lt;=5.80万元，实际完成值 5.77万元 ，指标完成率99.97 %，偏差原因：商家未能及时提供发票。整改措施：下年度加快资金支付进度，综上，得10分。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评价指标1：体育场馆水电支出控制率，指标值：=100%，实际完成值：100%，达成年度指标。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评价指标2：体育场馆综合使用率，指标值&gt;=95%，实际完成值：95%，达成年度指标。达到体育场馆各项设施得到正常运行，国家公共财产达到正常维护，为塔城及周边城市群众全民健身运动提供优质服务和良好场馆环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评价指标：公共体育场地设施开放持续性，指标值：持续开放，实际完成值：达成年度指标。该指标分值10分，依据评分标准，此项指标不扣分，得10分。</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评价指标1：参加活动人员满意度，指标值：≥95%，实际完成值：95%。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评价指标2：工作人员满意度，指标值：≥95%，实际完成值：95%。该指标分值10分，依据评分标准，此项指标不扣分，得10分。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本项目预算执行率为99.97%，指标总体完成率为99.97%，二者之间的偏差值为0%。因此，本项目较好地完成了年度总体目标，财政资金使用效益和效率较高。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（1）加强数据分析利用。强化项目绩效报告功能，全面展现项目建设成效和管理绩效，揭示财政财务管理中存在的突出问题和薄弱环节，为改进财政财务管理、完善政府治理提供依据。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（2）强化项目绩效报告功能，全面展现项目建设成效和管理绩效，揭示财政财务管理中存在的突出问题和薄弱环节，为改进财政财务管理、完善政府治理提供依据。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（3）细化绩效目标编制工作，针对项目绩效设定的可量化的具体指标和预期产生的社会、经济效益，便于后期工作开展时清晰界定资金使用范围。加强项目后期管护，保障项目发挥最大效益。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（4）加强项目管理，切实按照项目“事前、事中、事后”跟踪开展，责任落实到人，实行项目责任追究终身制。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left="638" w:leftChars="304" w:firstLine="0" w:firstLineChars="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bookmarkStart w:id="0" w:name="_GoBack"/>
      <w:bookmarkEnd w:id="0"/>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由于场馆建设使用时间较长，许多设备及场馆环境都有不成程度的损坏，门票收入仅仅维持聘用人员工资及社保缴费，不能及时更新设备和大面积的维修，存在一定的隐患。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8ACAC"/>
    <w:multiLevelType w:val="singleLevel"/>
    <w:tmpl w:val="80D8ACAC"/>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9872F75"/>
    <w:rsid w:val="0BFB189F"/>
    <w:rsid w:val="0DFA3E39"/>
    <w:rsid w:val="0F2A07C5"/>
    <w:rsid w:val="11BD75F7"/>
    <w:rsid w:val="13BE561A"/>
    <w:rsid w:val="15392994"/>
    <w:rsid w:val="18FE139B"/>
    <w:rsid w:val="2A891760"/>
    <w:rsid w:val="3029612C"/>
    <w:rsid w:val="32A221C5"/>
    <w:rsid w:val="33F20F2A"/>
    <w:rsid w:val="34C44675"/>
    <w:rsid w:val="362F73B9"/>
    <w:rsid w:val="3AFE2E51"/>
    <w:rsid w:val="3B5B5607"/>
    <w:rsid w:val="3CE21B3C"/>
    <w:rsid w:val="44881260"/>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2025-09-16T10:43:46Z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