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重大动物强制免疫等疫苗及人畜共患病防控（布病、包虫病疫苗及犬驱虫药）采购等项目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塔城地区动物疾病控制与诊断中心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塔城地区动物疾病控制与诊断中心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乌图那生·额尔庆</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2023年03月28日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项目背景。为有效开展塔城地区重大动物流行病防控工作，为各县（市）开展重大动物疫病防控提供充足疫苗供应，减少农牧民、养殖场（户）因动物疫病发生的损失，保障畜牧业家门口安全发展。计划采购重大动物疫苗。根据地区财政局《关于提前下达2022年中央动物防疫等补助经费预算的通知》（塔地财农〔2021〕70号）文件，塔城地区畜牧兽医局按照自治区畜牧兽医局《关于下达2022年中央财政动物防疫等补助经费（第一批）任务清单的通知》（新牧函〔2021〕225号）要求，对2022年中央动物防疫等补助经费进行了分解分配，其中988.28万元分配至地区动物疾控中心，用于重大动物强制免疫等疫苗及人畜共患病防控（布病、包虫病疫苗及犬驱虫药）采购等项目。</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2、主要内容及实施情况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主要内容：一是政府公开招标采购动物疫苗828.2万元。计划采购高致病性禽流感H5-H7三价灭活苗52.2万元，牛羊口蹄疫O型-A型二价灭活苗664万元，猪口蹄疫O型合成肽疫苗36万元，牛布病（A19株）活疫苗70万元，羊布病（M5株）活疫苗6万元；二是政府采购单一来源采购疫苗148万元。计划采购羊棘球蚴虫（包虫）病基因工程亚单位疫苗60万元，羊小反刍兽疫活疫苗（Clone9株）88万元；三是政府采购政采云电子卖场采购犬驱虫药吡喹酮咀嚼片3.2万元；四是开展动物疫病防控工作相关工作经费8.88万元。主要包括，开展年度重大动物防控工作，我中心组织业务人员深入到各县（市）开展督查、调研，春防、秋防免疫效果“飞行检查”抽样检测；开展动物流行病学调查；协助配合国家、自治区在塔城地区开展的春防、秋防免疫效果“飞行检查”抽样、防控工作调研、检查等；其他临时性的相关工作开展。开展上述工作所需的人员差旅费等7.18万元。运送春秋强制免疫疫苗、诊断试剂、耗材、防护物资等供应到各县（市），租用运输车辆的租车费用1.2万元；兽医实验室试验废弃物等处置的费用支出0.5万元。</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实施情况:一是2022年1月，对地区动物疫病疫苗采购供应工作领导小组、地区动物疫病疫苗采购资金监管工作领导小组进行了调整。1月经地区动物疫病疫苗采购供应工作领导小组研究讨论确定了疫苗采购代理机构，2月申请了采购计划，开始对疫苗进行政府公开招标、单一来源等采购方式进行采购，到3月完成了疫苗采购，4月与中标供应商签订了采购合同，完成疫苗供应，经验收合格后，按上下半年供货数量及时完成了采购资金支付，完成了项目实施。二是开展动物疫病防控工作相关工作，安排工作人员深入县（市）开展春防、秋防免疫效果监测评估工作，动物流行病学调查，进行畜禽样品采集和检测，并配合自治区春防到塔城地区开展的采样监测工作。组织工作人员在春防、秋防等动物疫病防控工作期间对各县（市）开展工作指导、服务等工作，开展上述工作产生的人员差旅费用从此项经费7.18万元中列支；我中心对采购的动物疫苗、诊断试剂、试验耗材、动物防疫防护物资等租用车辆及时运送供应到各县（市），保障动物防疫工作正常开展，租车费用从1.2万元中列支；我中心实验室开展动物疫情检测工作产生的试验废弃物，与专业的医疗废弃物处理公司签订了处理合同，不定期从中心运走，相关处理经费从0.5万元的经费中列支。</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3、资金投入和使用情况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资金投入情况：根据地区财政局《关于提前下达2022年中央动物防疫等补助经费预算的通知》（塔地财农〔2021〕70号）文件，下达资金988.28万元，全年预算数988.28万元，实际总投入988.28万元，该项目资金已全部落实到位，资金来源为财政拨款资金。</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资金使用情况：该项目年初预算数988.28万元，全年预算数988.28万元，截止到12月31日，全年执行数986.0476万元，预算执行率为99.77%，用于：一是采购高致病性禽流感H5-H7三价灭活苗、牛羊口蹄疫O型-A型二价灭活苗、猪口蹄疫O型合成肽疫苗、牛布病（A19株）活疫苗、羊布病（M5株）活疫苗、羊棘球蚴虫（包虫）病基因工程亚单位疫苗、羊小反刍兽疫活疫苗（Clone9株）、犬驱虫药吡喹酮咀嚼片，采购资金合计979.4万元，预算执行率为100%；二是开展动物疫病防控相关工作人员差旅费支出4.9476万元，预算执行率为68.91%；租车其他交通费支出1.2万元，预算执行率为100%；兽医实验室试验废弃物等处置费用支出0.5万元，预算执行率为100%。</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总体目标：地区动物疾控中心按动物防疫法的规定，承担动物疫病的监测、检测、诊断、流行病学调查、疫情报告以及其他预防、控制等技术工作。在动物疫病防控工作中，供应动物疫苗是我中心的工作职责内容之一。本项目的总体目标是采购高致病性禽流感、口蹄疫、小反刍兽疫、布病、包虫病等动物疫苗以及犬驱虫药吡喹酮咀嚼片，并及时发放到各县（市）用于重大动物疫病防控工作开展。同时开展强制免疫效果监测评估，动物流行病学调查，动物疫病防控指导服务等工作，保障年度口蹄疫、高致病性禽流感、小反刍兽疫等强制免疫密度达到90%，平均免疫抗体合格率常年保持70%以上。</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2、阶段性目标： 一是在上半年完成高致病性禽流感、口蹄疫、小反刍兽疫、布病、包虫病等动物疫苗以及犬驱虫药吡喹酮咀嚼片采购，并分上下半年及时组织供应到各县（市），保障动物疫病防控工作正常开展，计划预算资金979.4万元，计划采购时间从2月份开始，在5月前完成采购并供应到各县（市），按供货数量分上下半年或一次性完成资金支付；二是全年持续开展动物疫情监测、流行学调查等工作，运送疫苗等防疫物资到各县（市），人员差旅费支出，其他交通费用支出，以及实验室废弃物处置经费支出。计划预算资金8.88万元，按实际完成情况及时支付相关资金。</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1、评价目的。本项工作旨在落实《中共中央 国务院关于全面实施预算绩效管理的意见》（中发〔2018〕34号）文件精神，全面推进预算绩效管理工作，落实预算执行及绩效管理主体责任。具体而言包括以下两点：一是通过此次绩效评价，了解和掌握项目资金实施的具体情况，评价该项目资金安排的科学性、合理性、规范性和使用效益，总结项目管理经验，完善项目管理办法，提高项目管理水平和资金使用效益。二是项目承担单位可根据绩效评价中发现的问题，调整工作计划，完善绩效目标，加强项目管理，提高管理水平，同时为项目后续资金投入、分配和管理提供决策依据。</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绩效评价对象。本次绩效评价对象为提前下达的2022年中央动物防疫等补助经费项目中重大动物疫病强制免疫等疫苗及人畜共患病防控（布病、包虫病及犬驱虫药）采购等项目，为动物强制免疫项目，项目预算资金988.28万元。</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效评价范围。本次绩效评价的范围主要是从项目实施的决策情况、资金的管理、使用情况、绩效目标的设定情况、项目实施后取得的效益情况、受益对象的满意度情况以及绩效评价结果分析、应用建议这八个方面进行评价，评价核心为专项资金的支出完成情况和效果。并按照突出重点，逐步覆盖的原则，采用现场评价和非现场评价相结合的方式进行。</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（二）绩效评价原则、评价指标体系、评价方法、评价标准</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1.评价原则</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（2）公正公开原则：绩效评价应当符合真实、客观、公正的要求，依法公开并接受监督。</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（3）分级分类原则：根据评价对象特点分类组织实施。</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2.评价指标体系</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2022年塔城地区重大动物强制免疫等疫苗及人畜共患病防控（布病、包虫病疫苗及犬驱虫药）采购等项目支出绩效评价指标体系(详见附件)：</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评价方法。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4.评价标准。绩效评价标准主要包括计划标准、行业标准、历史标准等，用于对绩效指标完成情况进行比较。</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（1）计划标准。指以预先制定的目标、计划、预算、定额等作为评价标准。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（2）行业标准。指参照国家公布的行业指标数据制定的评价标准。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在上述评价标准的基础上，本次评价依据以下文件为重要指导和准绳：</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·《中共中央国务院关于全面实施预算绩效管理的意见》（中发〔2018〕34号）；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·《项目支出绩效评价管理办法》（财预〔2020〕10号）；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·《自治区党委自治区人民政府关于全面实施预算绩效管理的实施意见》（新党发〔2018〕30号）；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7"/>
          <w:rFonts w:hint="eastAsia"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三、综合评价情况及评价结论</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结合本项目特点，地区动物疾控中心制定了符合项目实际的绩效评价指标体系及评分标准，通过数据采集、问卷调查及访谈等形式，对2022年塔城地区重大动物强制免疫等疫苗及人畜共患病防控（布病、包虫病疫苗及犬驱虫药）采购等项目进行客观评价。</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四、绩效评价指标分析</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7"/>
          <w:rFonts w:hint="eastAsia" w:ascii="楷体" w:hAnsi="楷体" w:eastAsia="楷体"/>
          <w:spacing w:val="-4"/>
          <w:sz w:val="32"/>
          <w:szCs w:val="32"/>
        </w:rPr>
        <w:t>项目决策情况</w:t>
      </w:r>
    </w:p>
    <w:p>
      <w:pPr>
        <w:tabs>
          <w:tab w:val="center" w:pos="4295"/>
        </w:tabs>
        <w:spacing w:line="540" w:lineRule="exact"/>
        <w:ind w:firstLine="567"/>
        <w:rPr>
          <w:rStyle w:val="17"/>
          <w:rFonts w:hint="eastAsia" w:ascii="楷体" w:hAnsi="楷体" w:eastAsia="楷体"/>
          <w:b w:val="0"/>
          <w:bCs w:val="0"/>
          <w:spacing w:val="-4"/>
          <w:sz w:val="32"/>
          <w:szCs w:val="32"/>
          <w:lang w:eastAsia="zh-CN"/>
        </w:rPr>
      </w:pPr>
      <w:r>
        <w:rPr>
          <w:rStyle w:val="17"/>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相符。</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6.资金分配合理性:预算资金分配依据充分,资金分配额度合理，与项目单位或地方实际相适应。</w:t>
      </w:r>
      <w:r>
        <w:rPr>
          <w:rStyle w:val="17"/>
          <w:rFonts w:hint="eastAsia" w:ascii="楷体" w:hAnsi="楷体" w:eastAsia="楷体"/>
          <w:b w:val="0"/>
          <w:bCs w:val="0"/>
          <w:spacing w:val="-4"/>
          <w:sz w:val="32"/>
          <w:szCs w:val="32"/>
          <w:lang w:eastAsia="zh-CN"/>
        </w:rPr>
        <w:tab/>
      </w:r>
    </w:p>
    <w:p>
      <w:pPr>
        <w:spacing w:line="540" w:lineRule="exact"/>
        <w:ind w:firstLine="567" w:firstLineChars="181"/>
        <w:rPr>
          <w:rStyle w:val="17"/>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7"/>
          <w:rFonts w:hint="eastAsia" w:ascii="楷体" w:hAnsi="楷体" w:eastAsia="楷体"/>
          <w:spacing w:val="-4"/>
          <w:sz w:val="32"/>
          <w:szCs w:val="32"/>
        </w:rPr>
        <w:t>项目过程情况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1、资金到位率： 实际到位资金988.28万元，预算资金988.28万元，资金到位率100%。</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2、预算执行率：年初预算数988.28万元，全年预算数988.28万元，全年执行数986.0476万元，预算执行率为99.77%。</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5.制度执行有效性：地区动物疾控中心已制定严格遵守相关法律法规和相关管理规定，项目调整及支出调整手续完备，整体管理合理有序，项目完成后，及时将会计凭证等相关资料分类归档，制度执行有效。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7"/>
          <w:rFonts w:hint="eastAsia" w:ascii="楷体" w:hAnsi="楷体" w:eastAsia="楷体"/>
          <w:spacing w:val="-4"/>
          <w:sz w:val="32"/>
          <w:szCs w:val="32"/>
        </w:rPr>
        <w:t>项目产出情况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1、产出数量</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数量指标：指标1：完成包虫病疫区犬的驱虫数量，指标值：3.5万只，实际完成值3.53万只，指标完成率100.86 %，偏差原因：实际完成的驱虫数大于绩效指标数。得5分。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产出质量。质量指标，指标1：政府采购率，指标值：=100%，实际完成值100%，指标完成率100%，得5分；指标2：采购疫苗验收合格率，指标值：95%，实际完成值100%，指标完成率105.26%，偏差原因：实际验收合格率大于绩效指标数，得5分；指标3：强制免疫病种应免畜禽的免疫密度，指标值：&gt;=90%，实际完成值98%，指标完成率108.89%，偏差原因：实际免疫率大于绩效指标数，得5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综上，得15分。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3、产出时效。时效指标，指标1：疫苗采购完成时间，指标值：2022年5月前，实际完成值2022年5月，达成年度目标，得5分。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产出成本。成本指标，指标1：采购牛羊口蹄疫疫苗费用，指标值：≤664万元，实际完成值664万元，指标完成率100%，得5分；指标2：采购禽流感疫苗费用指标，指标值：≤52.2万元，实际完成值52.2万元，指标完成率100%，达成年度目标，得5分；3：采购小反刍兽疫疫苗费用，指标值：≤88万元，实际完成值88万元，指标完成率100%，达成年度目标，得5分；指标4：采购猪口蹄疫疫苗费用，指标值：≤36万元，实际完成值36万元，指标完成率100%，达成年度目标，得5分；指标5：采购牛布病A19号苗费用，指标值：≤70万元，实际完成值70万元，指标完成率100%，达成年度目标，得5分；指标6：采购包虫病疫苗费用，指标值：≤60万元，实际完成值60万元，指标完成率100%，达成年度目标，得5分；指标7：采购其他重大动物疫病疫苗等费用，指标值：≤18.08万元，实际完成值115.8476万元，指标完成率87.65%，偏差原因：由于客观因素，2022年有些赴县市开展的业务工作未能成行，造成部分人员差旅费支出未能按计划支付，造成资金结余。整改措施：在2023年开展对赴县市业务工作指导、服务中完成结余资金的使用。得4.38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综上，得34.38分。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综上，本项得59.38分。该指标分值60分，依据评分标准，此项指标0.62扣分。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7"/>
          <w:rFonts w:hint="eastAsia" w:ascii="楷体" w:hAnsi="楷体" w:eastAsia="楷体"/>
          <w:spacing w:val="-4"/>
          <w:sz w:val="32"/>
          <w:szCs w:val="32"/>
        </w:rPr>
        <w:t>项目效益情况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1.项目效益</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（1）实施效益。社会效益指标，指标1：稳定重大动物疫病防控形势，指标值：不断稳定，实际完成值稳定，达成年度目标，得10分。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可持续影响指标：指标1：保障不发生大规模抛弃病死猪事件，指标值：长期，实际完成值长期不发生，达成年度目标，得10分。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综上，得20分。该指标分值20分，依据评分标准，此项指标不扣分。</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服务对象满意度指标：评价指标“养殖场（户）等服务对象满意率”，指标值：≥95%，实际完成值：≥97.42%，指标完成率102.55%。偏差原因：对养殖场（户）等服务对象满意度测评满意率高于指标值。得10分。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该指标分值10分，依据评分标准，此项指标不扣分。</w:t>
      </w:r>
    </w:p>
    <w:p>
      <w:pPr>
        <w:spacing w:line="540" w:lineRule="exact"/>
        <w:ind w:firstLine="567"/>
        <w:rPr>
          <w:rStyle w:val="17"/>
          <w:rFonts w:hint="eastAsia" w:ascii="楷体" w:hAnsi="楷体" w:eastAsia="楷体"/>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五、预算执行进度与绩效指标偏差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本项目预算执行率为99.77%，指标总体完成率为99.18%，二者之间的偏差值为-0.59%。因此，本项目较好地完成了年度总体目标，财政资金使用效益和效率较高。</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7"/>
          <w:rFonts w:hint="eastAsia" w:ascii="楷体" w:hAnsi="楷体" w:eastAsia="楷体"/>
          <w:b w:val="0"/>
          <w:bCs w:val="0"/>
          <w:spacing w:val="-4"/>
          <w:sz w:val="32"/>
          <w:szCs w:val="32"/>
        </w:rPr>
        <w:t>（一）经验及做法</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在项目实施过程中，塔城地区动物疾病控制与诊断中心严格按照合同拨付项目款项，无拖欠情况，保障项目正常实施，按要求完成计划项目进度。一是在2022年的动物防疫等补助经费项目实施上，塔城地区畜牧兽医局严格按照经费绩效目标，结合地区实际，分解分配项目经费，会同财政部门及时下达项目预算，把有限的资金用在刀刃上。地区动物疾控中心制定科学合理的经费项目实施方案，保障项目顺利实施；二是2022年塔城地区财政部门实行了项目资金闭环管理规定，保证了项目及时拨付到位，防治资金拖延、挪用等违规现象。</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（二）存在问题及原因分析</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管理不规范。一是未按照《关于印发〈自治区财政资金使用跟踪反馈管理暂行办法〉的通知》（新财预〔2016〕113号）文件要求提供于3月15日、5月15日、8月15日、11月15日的监控情况表。二是在采购重大动物强制免疫疫苗等时，个别采购项目由于采购资金和采购量较少，在第一轮的政府公开招标中，潜在供应商报名不积极，报名投标商不足3家，出现流标，后经论证协商，变更采购方式为竞争性谈判方式采购，才完成两种疫苗采购，一定程度上推迟了疫苗采购时间，对开展动物防疫工作由一定的影响。</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lang w:val="en-US" w:eastAsia="zh-CN"/>
        </w:rPr>
        <w:t>七</w:t>
      </w:r>
      <w:r>
        <w:rPr>
          <w:rStyle w:val="17"/>
          <w:rFonts w:hint="eastAsia" w:ascii="黑体" w:hAnsi="黑体" w:eastAsia="黑体"/>
          <w:b w:val="0"/>
          <w:spacing w:val="-4"/>
          <w:sz w:val="32"/>
          <w:szCs w:val="32"/>
        </w:rPr>
        <w:t>、有关建议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1.项目支出政策和路径设计科学，符合实际需要。形成成验收管理制度，强化疫苗验收，建立验收单长期留档制度。</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2.项目安排准确，未发现背离项目立项初衷的情况。要加强验收过程跟踪监控，由专人负责疫苗现场验收工作和验收单、疫苗生产与检验报告收集整理归档。</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3.项目的申报、审核机制完善。对疫苗生产与检验报告与现场验收单及时规范填写，及时向单位领导报告存在误差的情况，规避质量控制风险。</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4.未发现虚假行为和骗取财政资金的问题。</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lang w:val="en-US" w:eastAsia="zh-CN"/>
        </w:rPr>
        <w:t>八</w:t>
      </w:r>
      <w:r>
        <w:rPr>
          <w:rStyle w:val="17"/>
          <w:rFonts w:hint="eastAsia" w:ascii="黑体" w:hAnsi="黑体" w:eastAsia="黑体"/>
          <w:b w:val="0"/>
          <w:spacing w:val="-4"/>
          <w:sz w:val="32"/>
          <w:szCs w:val="32"/>
        </w:rPr>
        <w:t>、其他需要说明的问题</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5F5B3130"/>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semiHidden/>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2023-11-01T04:10:25Z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C734C92AAAF24344A0E4232D8EB3359B</vt:lpwstr>
  </property>
</Properties>
</file>