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常见病防控工作疫苗等采购项目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塔城地区动物疾病控制与诊断中心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塔城地区动物疾病控制与诊断中心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乌图那生·额尔庆</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2023年02月23日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（一）项目概况：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背景。为有效开展塔城地区地方常见动物流行病防控工作，为各县（市）常见病防控补充提供部分疫苗，减少农牧民、养殖户因动物疫病发生的损失，增加养殖收入，计划采购部分常规动物疫苗。根据地区财政局《关于提前下达2022年自治区畜牧类相关转移支付资金（项目部分）预算的通知》（塔地财农〔2021〕79号）文件，塔城地区畜牧兽医局按照自治区畜牧兽医局《关于做好2022年中央（第一批）、自治区动物防疫等补助经费使用管理工作的通知》（新牧函〔2021〕237号）附件1“2022年自治区动物防疫等补助资金任务清单”有关要求，对2022年自治区动物防疫补助资金进行了分解分配，其中10万元分配至地区动物疾控中心，用于采购常规动物疫苗。</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2、主要内容及实施情况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主要内容：计划采购羊快疫、猝疽、羔羊痢疾、肠毒血症三联四防灭;活疫苗50万头份，牛气肿疽灭活疫苗48万ml。</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实施情况:2022年1月，对地区动物疫病疫苗采购供应工作领导小组、地区动物疫病疫苗采购资金监管工作领导小组进行了调整。1月经地区动物疫病疫苗采购供应工作领导小组研究讨论确定了疫苗采购代理机构，2月申请了采购计划，开始对疫苗进行政府公开招标采购，但由于报名厂家不足两家，经协商财政部门同意，及时变更了采购方式，3月采取竞争性谈判的方式完成了疫苗采购，4月与中标供应商签订了采购合同，完成疫苗供应，经验收合格后，及时在上半年完成了采购资金支付，完成了项目实施。</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3、资金投入和使用情况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投入情况：根据地区财政局《关于提前下达2022年自治区畜牧类相关转移支付资金（项目部分）预算的通知》（塔地财农〔2021〕79号）文件，下达资金10万元，全年预算数10万元，实际总投入10万元，该项目资金已全部落实到位，资金来源为财政拨款资金。</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资金使用情况：该项目年初预算数10万元，全年预算数10万元，截止到12月31日，全年执行数10万元，预算执行率为100%，用于采购羊快疫、猝疽、羔羊痢疾、肠毒血症三联四防灭活疫苗、牛气肿疽灭活疫苗两种常规动物疫苗。</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（二）项目绩效目标</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（二）项目绩效目标：</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总体目标：地区动物疾控中心按动物防疫法的规定，承担动物疫病的监测、检测、诊断、流行病学调查、疫情报告以及其他预防、控制等技术工作。在动物疫病防控工作中，供应动物疫苗是我中心的工作职责内容之一。本项目的总体目标是采购羊快疫、猝疽、羔羊痢疾、肠毒血症三联四防灭活疫苗、牛气肿疽灭活疫苗两种常规动物疫苗，并及时发放到县（市）用于常见地方动物流行病的防控。</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2、阶段性目标： 一是采购快疫、猝疽、羔羊痢疾、肠毒血症三联四防灭活疫苗50万头份以上，计划预算资金4.4万元；二是采购牛气肿疽灭活疫苗两种常规动物疫苗48万ml，计划预算资金5.6万元。计划采购时间从2月份开始，在5月前完成采购并供应到各县（市），完成资金支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（一）绩效评价目的、对象和范围</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1、评价目的。本项工作旨在落实《中共中央 国务院关于全面实施预算绩效管理的意见》（中发〔2018〕34号）文件精神，全面推进预算绩效管理工作，落实预算执行及绩效管理主体责任。具体而言包括以下两点：一是通过此次绩效评价，了解和掌握项目资金实施的具体情况，评价该项目资金安排的科学性、合理性、规范性和使用效益，总结项目管理经验，完善项目管理办法，提高项目管理水平和资金使用效益。二是项目承担单位可根据绩效评价中发现的问题，调整工作计划，完善绩效目标，加强项目管理，提高管理水平，同时为项目后续资金投入、分配和管理提供决策依据。</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绩效评价对象。本次绩效评价对象为2022年自治区畜牧类相关转移支付（项目部分）资金项目中的常规动物疫病疫苗采购项目，为动物强制免疫项目，项目预算资金10万元，其中常规动物免疫疫苗采购支出10万元。</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评价范围。本次绩效评价的范围主要是从项目实施的决策情况、资金的管理、使用情况、绩效目标的设定情况、项目实施后取得的效益情况、受益对象的满意度情况以及绩效评价结果分析、应用建议这八个方面进行评价，评价核心为专项资金的支出完成情况和效果。并按照突出重点，逐步覆盖的原则，采用现场评价和非现场评价相结合的方式进行。</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（二）绩效评价原则、评价指标体系、评价方法、评价标准</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（二）绩效评价原则、指标体系、方法及标准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本次绩效评价秉承科学规范、公开透明、独立评价、突出重点等原则，严格执行规定的程序，按照科学可行的要求，采用定量与定性分析相结合的方法，从投入、过程到产出效果和影响的绩效逻辑路径，发现项目实施和管理中的问题，切实提高财政资源配置效率和使用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1.评价原则</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（2）公正公开原则：绩效评价应当符合真实、客观、公正的要求，依法公开并接受监督。</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（3）分级分类原则：根据评价对象特点分类组织实施。</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评价指标体系。本次绩效评价指标体系是根据《项目支出绩效评价管理办法》（财预〔2020〕10号）对于指标体系的要求和规范，结合项目特有属性和实际情况，考虑实用性、可操作性和可实现性，从决策、过程、产出、效益四个维度进行指标细化和分值设定。2022年塔城地区常规动物疫病疫苗采购项目支出绩效评价指标体系(详见附件)：</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评价方法。按照《项目支出绩效评价管理办法》（财预〔2020〕10号）规定的具体评价方法和流程，评价小组运用定量和定性分析相结合的方法，综合运用比较法、因素分析法、成本效益法、公众评判等方法进行项目实施的绩效评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4.评价标准。绩效评价标准主要包括计划标准、行业标准、历史标准等，用于对绩效指标完成情况进行比较。</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（1）计划标准。指以预先制定的目标、计划、预算、定额等作为评价标准。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（2）行业标准。指参照国家公布的行业指标数据制定的评价标准。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在上述评价标准的基础上，本次评价依据以下文件为重要指导和准绳：</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·《中共中央国务院关于全面实施预算绩效管理的意见》（中发〔2018〕34号）；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·《项目支出绩效评价管理办法》（财预〔2020〕10号）；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·《自治区党委自治区人民政府关于全面实施预算绩效管理的实施意见》（新党发〔2018〕30号）；</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7"/>
          <w:rFonts w:hint="eastAsia"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（三）绩效评价工作过程</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三、综合评价情况及评价结论</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（一）评价结论</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结合项目特点，制定了符合项目实际的绩效评价指标体系及评分标准，通过数据采集、问卷调查及访谈等形式，对2022年塔城地区常规动物疫病疫苗采购项目进行客观评价。</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四、绩效评价指标分析</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7"/>
          <w:rFonts w:hint="eastAsia" w:ascii="楷体" w:hAnsi="楷体" w:eastAsia="楷体"/>
          <w:spacing w:val="-4"/>
          <w:sz w:val="32"/>
          <w:szCs w:val="32"/>
        </w:rPr>
        <w:t>项目决策情况</w:t>
      </w:r>
    </w:p>
    <w:p>
      <w:pPr>
        <w:tabs>
          <w:tab w:val="center" w:pos="4295"/>
        </w:tabs>
        <w:spacing w:line="540" w:lineRule="exact"/>
        <w:ind w:firstLine="567"/>
        <w:rPr>
          <w:rStyle w:val="17"/>
          <w:rFonts w:hint="eastAsia" w:ascii="楷体" w:hAnsi="楷体" w:eastAsia="楷体"/>
          <w:b w:val="0"/>
          <w:bCs w:val="0"/>
          <w:spacing w:val="-4"/>
          <w:sz w:val="32"/>
          <w:szCs w:val="32"/>
          <w:lang w:eastAsia="zh-CN"/>
        </w:rPr>
      </w:pPr>
      <w:r>
        <w:rPr>
          <w:rStyle w:val="17"/>
          <w:rFonts w:hint="eastAsia" w:ascii="楷体" w:hAnsi="楷体" w:eastAsia="楷体"/>
          <w:b w:val="0"/>
          <w:bCs w:val="0"/>
          <w:spacing w:val="-4"/>
          <w:sz w:val="32"/>
          <w:szCs w:val="32"/>
        </w:rPr>
        <w:t>（一）项目决策情况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该指标分值20分，依据评分标准，此项指标不扣分，得20分。</w:t>
      </w:r>
      <w:r>
        <w:rPr>
          <w:rStyle w:val="17"/>
          <w:rFonts w:hint="eastAsia" w:ascii="楷体" w:hAnsi="楷体" w:eastAsia="楷体"/>
          <w:b w:val="0"/>
          <w:bCs w:val="0"/>
          <w:spacing w:val="-4"/>
          <w:sz w:val="32"/>
          <w:szCs w:val="32"/>
          <w:lang w:eastAsia="zh-CN"/>
        </w:rPr>
        <w:tab/>
      </w:r>
    </w:p>
    <w:p>
      <w:pPr>
        <w:spacing w:line="540" w:lineRule="exact"/>
        <w:ind w:firstLine="567" w:firstLineChars="181"/>
        <w:rPr>
          <w:rStyle w:val="17"/>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7"/>
          <w:rFonts w:hint="eastAsia" w:ascii="楷体" w:hAnsi="楷体" w:eastAsia="楷体"/>
          <w:spacing w:val="-4"/>
          <w:sz w:val="32"/>
          <w:szCs w:val="32"/>
        </w:rPr>
        <w:t>项目过程情况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（二）项目过程情况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1、资金到位率： 实际到位资金10万元，预算资金10万元，资金到位率100%，得3分。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2、预算执行率：年初预算数10万元，全年预算数10万元，全年执行数10万元，预算执行率为100%得10分。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7"/>
          <w:rFonts w:hint="eastAsia" w:ascii="楷体" w:hAnsi="楷体" w:eastAsia="楷体"/>
          <w:spacing w:val="-4"/>
          <w:sz w:val="32"/>
          <w:szCs w:val="32"/>
        </w:rPr>
        <w:t>项目产出情况</w:t>
      </w:r>
    </w:p>
    <w:p>
      <w:pPr>
        <w:spacing w:line="540" w:lineRule="exact"/>
        <w:ind w:firstLine="567"/>
        <w:rPr>
          <w:rStyle w:val="17"/>
          <w:rFonts w:ascii="楷体" w:hAnsi="楷体" w:eastAsia="楷体"/>
          <w:b w:val="0"/>
          <w:bCs w:val="0"/>
          <w:spacing w:val="-4"/>
          <w:sz w:val="32"/>
          <w:szCs w:val="32"/>
        </w:rPr>
      </w:pPr>
      <w:r>
        <w:rPr>
          <w:rStyle w:val="17"/>
          <w:rFonts w:hint="eastAsia" w:ascii="楷体" w:hAnsi="楷体" w:eastAsia="楷体"/>
          <w:b w:val="0"/>
          <w:bCs w:val="0"/>
          <w:spacing w:val="-4"/>
          <w:sz w:val="32"/>
          <w:szCs w:val="32"/>
        </w:rPr>
        <w:t>（三）项目产出情况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1、产出数量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数量指标：指标1：采购羊三联四防疫苗，指标值：≥50万头份，实际完成值50.285万头份，指标完成率100.57 %，偏差原因：实际中标采购单价低于计划单价，实际采购数量多于计划量。</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指标2：采购牛气肿疽灭活疫苗数量，指标值：≥48万ml，实际完成值47.7万ml，指标完成率99.38 %，偏差原因：实际中标采购单价高于计划单价，实际采购数量少于计划量，综上，得10分。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2、产出质量。质量指标：指标1：自治区财政补助经费使用率，指标值：≥98%，实际完成值100%，指标完成率102.04%，偏差原因：完成全部预算资金支付，得10分。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3、产出时效。时效指标：指标1：资金支付时间，指标值：2022年8月前，实际完成值2022年5月前，指标完成率100%，得10分。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4、产出成本。成本指标：指标1：采购三联四防灭活疫苗金额，指标值：4.4万元，实际完成值4.4万元，指标完成率100%；指标1：采购牛气肿疽疫苗金额，指标值：5.6万元，实际完成值5.6万元，指标完成率100%，综上，得10分。</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7"/>
          <w:rFonts w:hint="eastAsia" w:ascii="楷体" w:hAnsi="楷体" w:eastAsia="楷体"/>
          <w:spacing w:val="-4"/>
          <w:sz w:val="32"/>
          <w:szCs w:val="32"/>
        </w:rPr>
        <w:t>项目效益情况</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（四）项目效益情况</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1.项目效益</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1）实施效益。社会效益指标：评价指标“保障常规动物疫病防控工作协调有序开展”，指标值：有效保障，实际完成值：达成年度指标，年内塔城地区没有发生动物疫情，地区动物疫病防控形势平稳，为地区畜牧业高质量发展提供了保障；</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（2）满意度。服务对象满意度指标：评价指标“养殖场（户）等服务对象满意率”，指标值：≥85%，实际完成值：≥97.24%。</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7"/>
          <w:rFonts w:hint="eastAsia" w:ascii="楷体" w:hAnsi="楷体" w:eastAsia="楷体"/>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五、预算执行进度与绩效指标偏差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7"/>
          <w:rFonts w:hint="eastAsia" w:ascii="楷体" w:hAnsi="楷体" w:eastAsia="楷体"/>
          <w:b w:val="0"/>
          <w:bCs w:val="0"/>
          <w:spacing w:val="-4"/>
          <w:sz w:val="32"/>
          <w:szCs w:val="32"/>
        </w:rPr>
        <w:t>在项目实施过程中，塔城地区动物疾病控制与诊断中心严格按照合同拨付项目款项，无拖欠情况，保障项目正常实施，按要求完成计划项目进度。一是在2022年的动物防疫等补助经费项目实施上，塔城地区畜牧兽医局严格按照经费绩效目标，结合地区实际，分解分配项目经费，把有限的资金用在刀刃上，制定科学合理的经费项目实施方案，会同财政部门及时下达项目预算，保障项目顺利实施；二是2022年塔城地区财政部门实行了项目资金闭环管理规定，保证了项目及时拨付到位，防治资金拖延、挪用等违规现象。</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存在问题及原因分析</w:t>
      </w:r>
      <w:r>
        <w:rPr>
          <w:rStyle w:val="17"/>
          <w:rFonts w:hint="eastAsia" w:ascii="楷体" w:hAnsi="楷体" w:eastAsia="楷体"/>
          <w:b w:val="0"/>
          <w:bCs w:val="0"/>
          <w:spacing w:val="-4"/>
          <w:sz w:val="32"/>
          <w:szCs w:val="32"/>
        </w:rPr>
        <w:br w:type="textWrapping"/>
      </w:r>
      <w:r>
        <w:rPr>
          <w:rStyle w:val="17"/>
          <w:rFonts w:hint="eastAsia" w:ascii="楷体" w:hAnsi="楷体" w:eastAsia="楷体"/>
          <w:b w:val="0"/>
          <w:bCs w:val="0"/>
          <w:spacing w:val="-4"/>
          <w:sz w:val="32"/>
          <w:szCs w:val="32"/>
        </w:rPr>
        <w:t>项目管理不规范。一是未按照《关于印发〈自治区财政资金使用跟踪反馈管理暂行办法〉的通知》（新财预〔2016〕113号）文件要求提供于3月15日、5月15日、8月15日、11月15日的监控情况表。二是在采购常规疫苗时，由于采购资金和采购量较少，在第一轮的政府公开招标中，潜在供应商报名不积极，报名投标商不足3家，出现流标，后经论证协商，变更采购方式为竞争性谈判方式采购，才完成两种疫苗采购，一定程度上推迟了疫苗采购时间，对开展动物防疫工作由一定的影响。</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lang w:val="en-US" w:eastAsia="zh-CN"/>
        </w:rPr>
        <w:t>七</w:t>
      </w:r>
      <w:r>
        <w:rPr>
          <w:rStyle w:val="17"/>
          <w:rFonts w:hint="eastAsia" w:ascii="黑体" w:hAnsi="黑体" w:eastAsia="黑体"/>
          <w:b w:val="0"/>
          <w:spacing w:val="-4"/>
          <w:sz w:val="32"/>
          <w:szCs w:val="32"/>
        </w:rPr>
        <w:t>、有关建议</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b w:val="0"/>
          <w:bCs w:val="0"/>
          <w:spacing w:val="-4"/>
          <w:sz w:val="32"/>
          <w:szCs w:val="32"/>
        </w:rPr>
        <w:t>强化疫苗验收制度建设，完善项目管理。一是形成验收管理制度，加强验收过程跟踪监控，建立验收单长期留档制度，对疫苗生产与检验报告与现场验收单及时规范填写，及时向单位领导报告存在误差的情况，规避质量控制风险。二是采用统一的疫苗验收单，专人负责疫苗现场验收工作和验收单、疫苗生产与检验报告收集整理归档。</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lang w:val="en-US" w:eastAsia="zh-CN"/>
        </w:rPr>
        <w:t>八</w:t>
      </w:r>
      <w:r>
        <w:rPr>
          <w:rStyle w:val="17"/>
          <w:rFonts w:hint="eastAsia" w:ascii="黑体" w:hAnsi="黑体" w:eastAsia="黑体"/>
          <w:b w:val="0"/>
          <w:spacing w:val="-4"/>
          <w:sz w:val="32"/>
          <w:szCs w:val="32"/>
        </w:rPr>
        <w:t>、其他需要说明的问题</w:t>
      </w:r>
    </w:p>
    <w:p>
      <w:pPr>
        <w:spacing w:line="540" w:lineRule="exact"/>
        <w:ind w:firstLine="567"/>
        <w:rPr>
          <w:rStyle w:val="17"/>
          <w:rFonts w:hint="eastAsia" w:ascii="楷体" w:hAnsi="楷体" w:eastAsia="楷体"/>
          <w:b w:val="0"/>
          <w:bCs w:val="0"/>
          <w:spacing w:val="-4"/>
          <w:sz w:val="32"/>
          <w:szCs w:val="32"/>
        </w:rPr>
      </w:pPr>
      <w:r>
        <w:rPr>
          <w:rStyle w:val="17"/>
          <w:rFonts w:hint="eastAsia" w:ascii="楷体" w:hAnsi="楷体" w:eastAsia="楷体"/>
          <w:b w:val="0"/>
          <w:bCs w:val="0"/>
          <w:spacing w:val="-4"/>
          <w:sz w:val="32"/>
          <w:szCs w:val="32"/>
        </w:rPr>
        <w:t>无</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6D93407"/>
    <w:rsid w:val="18FE139B"/>
    <w:rsid w:val="2A891760"/>
    <w:rsid w:val="3029612C"/>
    <w:rsid w:val="32A221C5"/>
    <w:rsid w:val="33F20F2A"/>
    <w:rsid w:val="34C4467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semiHidden/>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1</TotalTime>
  <ScaleCrop>false</ScaleCrop>
  <LinksUpToDate>false</LinksUpToDate>
  <CharactersWithSpaces>611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2023-11-01T04:10:58Z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C734C92AAAF24344A0E4232D8EB3359B</vt:lpwstr>
  </property>
</Properties>
</file>