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2022</w:t>
      </w:r>
      <w:r>
        <w:rPr>
          <w:rFonts w:hint="eastAsia" w:hAnsi="宋体" w:eastAsia="仿宋_GB2312" w:cs="宋体"/>
          <w:kern w:val="0"/>
          <w:sz w:val="36"/>
          <w:szCs w:val="36"/>
        </w:rPr>
        <w:t xml:space="preserve">  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农产品试验经费</w:t>
      </w:r>
    </w:p>
    <w:p>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伊犁哈萨克自治州塔城地区农业科学研究所</w:t>
      </w:r>
    </w:p>
    <w:p>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伊犁哈萨克自治州塔城地区农业科学研究所</w:t>
      </w:r>
    </w:p>
    <w:p>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史永清</w:t>
      </w:r>
    </w:p>
    <w:p>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2023年02月23日</w:t>
      </w:r>
    </w:p>
    <w:p>
      <w:pPr>
        <w:spacing w:line="700" w:lineRule="exact"/>
        <w:ind w:firstLine="708" w:firstLineChars="236"/>
        <w:jc w:val="left"/>
        <w:rPr>
          <w:rFonts w:hAnsi="宋体" w:eastAsia="仿宋_GB2312" w:cs="宋体"/>
          <w:kern w:val="0"/>
          <w:sz w:val="30"/>
          <w:szCs w:val="30"/>
        </w:rPr>
      </w:pPr>
    </w:p>
    <w:p>
      <w:pPr>
        <w:spacing w:line="540" w:lineRule="exact"/>
        <w:rPr>
          <w:rStyle w:val="18"/>
          <w:rFonts w:ascii="黑体" w:hAnsi="黑体" w:eastAsia="黑体"/>
          <w:b w:val="0"/>
          <w:spacing w:val="-4"/>
          <w:sz w:val="32"/>
          <w:szCs w:val="32"/>
        </w:rPr>
      </w:pP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一、基本情况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（一）项目概况</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（一）项目概况：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1、项目背景</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从塔城地区农业产业发展来看，存在产业结构不尽合理，龙头企业科技含量较低，精深加工发展不足，缺乏农产品品牌，口岸辐射带动作用不显著，农业科技水平不高、专业队伍不健全等问题，直接制约了塔城优势特色农业产业发展。</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为了更好发挥现代农业在塔城地区的科技带动作用，确定在实施以小麦、蔬菜、果树、玉米新品种、新技术示范及推广为主的重点科技推广项目，并依托省农科院科技和规划设计优势，根据塔城地区农业产业发展实际需要，编制塔城地区现代农业科技示范园区建设规划，引领塔城地区农业产业发展。</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2、主要内容及实施情况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冬春小麦试验。今年，共计种植冬春小麦试验67.57亩。其中冬小麦试验示范田占地38.4亩，春小麦试验示范田占地29.17亩。承担冬小麦试验共计9项，参试材料68个。承担春小麦试验9项，参试材料共计83个。目前冬春小麦试验已完成收获工作，其中国家、科技联合体试验报告已完成，自治区试验报告于近期完成。</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玉米试验示范工作有序开展。2022年春播玉米试验区共占地175亩，试验内容分为8个模块试验区，参试品种（系）190个。高产创建50亩，亩产1469公斤。目前，各试验区试验材料以完成收获，正在汇总数据，撰写试验报告。</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果树引进栽培试验工作稳步推进。在与辽宁省农科院的密切合作和配合下，果树各项试验取得良好进展。新种植的各果树品种目前成活率均达到90%以上，设施栽植的杏、李、桃陆续进入丰产期。今年在援疆专家团队的带领下，利用现有设施大棚和新建5座日光温室，种植李、杏、桃、樱桃等设施果树12座，蔬菜4座，食用菌1座。对农科所南郊基地陆地果园和巴克图基地陆地果园进行了修剪、整形、清理、防草布的铺设、滴管设施的安装、病虫害的防治和冻害调查，加强果园的田间管理，推动标准化果园建设。2022年为促进乡村振兴发展庭院经济，农科所为地区19个行政村免费提供1万株果树苗木。</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蔬菜新品种试验示范扎实开展。按照年初工作计划，完成了露地蔬菜示范地的整理、起垄、铺膜等前期工作，认真做好蔬菜新品种试验示范工作。一是共育蔬菜苗3100株，其中有辣椒2000株、茄子100株、西红柿600株、秋葵100株、甜瓜200株、黄瓜100株等品种。栽植蔬菜品种12个，主要有辣子、茄子等，冬菜包括大白菜、青萝卜等蔬菜品种共计约10亩。二是开展食用菌栽培试验。食用菌栽培试验于3月31日引进优良平菇菌包1920包，通过加强管理，共产优质菌菇2320公斤。</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花生种植示范试验有序进展。今年我所花生试验共计180亩，参试品种10个，即万花019、yz9307、51号、138号、133号99号，47号、93号、1170、y212；展示试验示范有新花37、38号2个。播种时间为5月11日至13日、5月24日、5月26日；花生栽培模式采用铺模平种和铺膜起垄两种栽培模式，采用内镶贴片式滴灌带。目前花生示范试验收获完成，经测产采用平铺栽培模式平均亩产330公斤，采用起垄栽培模式平均亩产480公斤。</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6、春小麦种肥分施、窄行匀播、玉米密值增穗试验示范顺利完成。积极配合地区农业技术推广中心在南郊基地开展了100亩春小麦种肥分施、窄行匀播模式试验示范，品种选用核春137，种肥分施模式试验亩产418.67公斤、窄行匀播模式试验亩产415.76公斤。在巴克图基地开展100亩玉米密值增穗种植模式试验示范，春小麦种肥分施、窄行匀播、玉米密值增穗模式试验的开展为今后小麦种肥分施、窄行匀播、玉米密值增穗模式的推广奠定了坚实的基础。</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3、资金投入和使用情况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资金投入情况：该项目年初预算数80.28万元，全年预算数80.28万元，实际总投入80.28万元，该项目资金已全部落实到位,资金来源为财政拨款资金。</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资金使用情况：该项目年初预算数80.28万元，全年预算数80.28万元，全年执行数52.19万元，预算执行率为65%，用于本单位玉米、小麦、花生、林果类等农产品所有费用支出。</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（二）项目绩效目标</w:t>
      </w:r>
    </w:p>
    <w:p>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（二）项目绩效目标：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1、总体目标：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抓好科研管理，扎实做好试验示范工作</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更好发挥现代农业在塔城地区的科技带动作用，实施以小麦、蔬菜、果树、玉米新品种、新技术示范及推广为主的重点科技推广项目，并依托省农科院科技和规划设计优势，根据塔城地区农业产业发展实际需要，编制塔城地区现代农业科技示范园区建设规划，引领塔城地区农业产业发展。</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2、阶段性目标：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完成试验农产品实验报告及撰写论文10篇以上，完成果蔬苗木繁育区面积50亩，保障试验报告审核通过率95%，完成试验农产品材料费，雇佣劳务支出，机械租赁支出费用的支出，提供种植农户的田间管理水平，增加种植农户的亩产收入，引领地区农业科技产业的发展。</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二、绩效评价工作开展情况</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（一）绩效评价目的、对象和范围</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（一）绩效评价目的、对象和范围</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1.评价目的</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本项工作旨在落实《中共中央国务院关于全面实施预算绩效管理的意见》（中发〔2018〕34号）文件精神，全面推进预算绩效管理工作，落实预算执行及绩效管理主体责任。具体而言包括以下两点：</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通过对项目设立的背景、意义、项目内容、项目现状及绩效目标、资金投入、资金管理、组织实施、数量指标、质量指标、时效指标、成本指标和效益指标等进行深入调研和分析，进一步了解财政委托审计费项目实施情况，并考察项目实施过程和效果。</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通过评价，客观公正反映项目立项科学性、项目管理规范性、项目实施有效性和项目效果，总结项目实施的经验，发现项目实施过程中存在的问题，提出合理化建议，为完善项目管理和相关部门决策提供参考依据，并提高财政资金使用效益。</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2、绩效评价对象：</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塔城地区农业科学研究所农产品试验经费</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3、绩效评价范围</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评价从项目决策（包括绩效目标、决策过程）、项目管理（包括项目资金、项目实施）、项目产出（包括项目产出数量、产出质量、产出时效和产出成本）项目效益四个维度进行塔城地区农业科学研究所农产品试验经费项目评价，评价核心为资金的支出完成情况和效果。</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（二）绩效评价原则、评价指标体系、评价方法、评价标准</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（二）绩效评价原则、指标体系、方法及标准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1.评价原则</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（1）科学规范原则：绩效评价应当严格执行规定的程序，按照科学可行的要求，采用定量与定性分析相结合的方法。</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（2）公正公开原则：绩效评价应当符合真实、客观、公正的要求，依法公开并接受监督。</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（3）分级分类原则：根据评价对象特点分类组织实施。</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（4）绩效相关原则：绩效评价应当针对具体支出及其产出绩效进行，评价结果应当清晰反映支出和产出绩效之间的紧密对应关系。</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2.评价指标体系</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绩效评价指标体系是根据《项目支出绩效评价管理办法》（财预〔2020〕10号）对于指标体系的要求和规范，结合项目特有属性和实际情况，考虑实用性、可操作性和可实现性，从决策、过程、产出、效益四个维度进行指标细化和分值设定。塔城地区农业科学研究所农产品试验经费项目支出绩效评价指标体系(详见附件3)：</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3.评价方法</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按照《项目支出绩效评价管理办法》（财预〔2020〕10号）规定的具体评价方法和流程，评价小组运用定量和定性分析相结合的方法，综合运用比较法、因素分析法、成本效益法、公众评判等方法进行项目实施的绩效评价。</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4.评价标准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绩效评价标准主要包括计划标准、行业标准、历史标准等，用于对绩效指标完成情况进行比较。</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（1）计划标准。指以预先制定的目标、计划、预算、定额等作为评价标准。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（2）行业标准。指参照国家公布的行业指标数据制定的评价标准。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（3）历史标准。指参照历史数据制定的评价标准，为体现绩效改进的原则，在可实现的条件下应当确定相对较高的评价标准。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在上述评价标准的基础上，本次评价依据以下文件为重要指导和准绳：</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·《中共中央国务院关于全面实施预算绩效管理的意见》（中发〔2018〕34号）；</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·《项目支出绩效评价管理办法》（财预〔2020〕10号）；</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·《自治区党委自治区人民政府关于全面实施预算绩效管理的实施意见》（新党发〔2018〕30号）；</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·《2023年度推进塔城地区全面实施预算绩效管理工作规划》。</w:t>
      </w:r>
    </w:p>
    <w:p>
      <w:pPr>
        <w:spacing w:line="540" w:lineRule="exact"/>
        <w:ind w:firstLine="567" w:firstLineChars="181"/>
        <w:rPr>
          <w:rStyle w:val="18"/>
          <w:rFonts w:hint="eastAsia" w:ascii="楷体" w:hAnsi="楷体" w:eastAsia="楷体"/>
          <w:spacing w:val="-4"/>
          <w:sz w:val="32"/>
          <w:szCs w:val="32"/>
        </w:rPr>
      </w:pPr>
      <w:r>
        <w:rPr>
          <w:rStyle w:val="18"/>
          <w:rFonts w:hint="eastAsia" w:ascii="楷体" w:hAnsi="楷体" w:eastAsia="楷体"/>
          <w:spacing w:val="-4"/>
          <w:sz w:val="32"/>
          <w:szCs w:val="32"/>
        </w:rPr>
        <w:t>（三）绩效评价工作过程</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（三）绩效评价工作过程</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评级小组根据项目绩效目标，查阅有关佐证资料，结合现场抽样调查及延伸评价等方式开展此次评价，重点关注和评价项目预算和绩效目标的匹配情况、项目资金的管理和使用情况、项目实施和监督情况（包括但不限于项目立项、制度执行、质量达标、完成时效等）以及项目产生的实际效益等。具体而言，通过前期准备、材料审核分析、现场核查评价、综合分析评价及报告撰写，评价项目实施情况，展现资金使用效益。</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三、综合评价情况及评价结论</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（一）评价结论</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结合项目特点，制定符合项目实际的绩效评价指标体系及评分标准，通过数据采集、问卷调查及访谈等形式，对2021年塔城地区农业科学研究所农产品试验经费进行客观评价。</w:t>
      </w:r>
    </w:p>
    <w:p>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四、绩效评价指标分析</w:t>
      </w:r>
      <w:r>
        <w:rPr>
          <w:rStyle w:val="18"/>
          <w:rFonts w:hint="eastAsia" w:ascii="黑体" w:hAnsi="黑体" w:eastAsia="黑体"/>
        </w:rPr>
        <w:t xml:space="preserve"> </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w:t>
      </w:r>
      <w:r>
        <w:rPr>
          <w:rStyle w:val="18"/>
          <w:rFonts w:hint="eastAsia" w:ascii="楷体" w:hAnsi="楷体" w:eastAsia="楷体"/>
          <w:spacing w:val="-4"/>
          <w:sz w:val="32"/>
          <w:szCs w:val="32"/>
        </w:rPr>
        <w:t>项目决策情况</w:t>
      </w:r>
    </w:p>
    <w:p>
      <w:pPr>
        <w:tabs>
          <w:tab w:val="center" w:pos="4295"/>
        </w:tabs>
        <w:spacing w:line="540" w:lineRule="exact"/>
        <w:ind w:firstLine="567"/>
        <w:rPr>
          <w:rStyle w:val="18"/>
          <w:rFonts w:hint="eastAsia" w:ascii="楷体" w:hAnsi="楷体" w:eastAsia="楷体"/>
          <w:b w:val="0"/>
          <w:bCs w:val="0"/>
          <w:spacing w:val="-4"/>
          <w:sz w:val="32"/>
          <w:szCs w:val="32"/>
          <w:lang w:eastAsia="zh-CN"/>
        </w:rPr>
      </w:pPr>
      <w:r>
        <w:rPr>
          <w:rStyle w:val="18"/>
          <w:rFonts w:hint="eastAsia" w:ascii="楷体" w:hAnsi="楷体" w:eastAsia="楷体"/>
          <w:b w:val="0"/>
          <w:bCs w:val="0"/>
          <w:spacing w:val="-4"/>
          <w:sz w:val="32"/>
          <w:szCs w:val="32"/>
        </w:rPr>
        <w:t>（一）项目决策情况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立项依据充分性：项目立项符合国家法律法规、国民经济发展规划和相关政策,项目立项符合行业发展规划和政策要求,项目立项与部门职责范围相符，属于部门履职所需,项目属于公共财政支持范围，符合中央、地方事权支出责任划分原则,项目与相关部门同类项目或部门内部相关项目重复，得4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2.立项程序规范性:项目按照规定的程序申请设立,审批文件、材料符合相关要求,事前已经过必要的可行性研究、专家论证、风险评估、绩效评估、集体决策，得4分。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3.绩效目标合理性:项目有绩效目标,项目绩效目标与实际工作内容具有相关性,项目预期产出效益和效果符合正常的业绩水平,与预算确定的项目投资额或资金量相匹配，得2分。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4.绩效指标明确性:将项目绩效目标细化分解为具体的绩效指标,通过清晰、可衡量的指标值予以体现,与项目目标任务数或计划数相对应，得3分。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5.预算编制科学性:预算编制经过科学论证,预算内容与项目内容匹配,预算额度测算依据充分，按照标准编制,预算确定的项目投资额或资金量与工作任务相匹配，得3分。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6.资金分配合理性:预算资金分配依据充分,资金分配额度合理，与项目单位或地方实际相适应，得4分。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该指标分值20分，依据评分标准，此项指标不扣分，得20分。</w:t>
      </w:r>
      <w:r>
        <w:rPr>
          <w:rStyle w:val="18"/>
          <w:rFonts w:hint="eastAsia" w:ascii="楷体" w:hAnsi="楷体" w:eastAsia="楷体"/>
          <w:b w:val="0"/>
          <w:bCs w:val="0"/>
          <w:spacing w:val="-4"/>
          <w:sz w:val="32"/>
          <w:szCs w:val="32"/>
          <w:lang w:eastAsia="zh-CN"/>
        </w:rPr>
        <w:tab/>
      </w:r>
    </w:p>
    <w:p>
      <w:pPr>
        <w:spacing w:line="540" w:lineRule="exact"/>
        <w:ind w:firstLine="567" w:firstLineChars="181"/>
        <w:rPr>
          <w:rStyle w:val="18"/>
          <w:rFonts w:hint="eastAsia" w:ascii="楷体" w:hAnsi="楷体" w:eastAsia="楷体"/>
          <w:b/>
          <w:spacing w:val="-4"/>
          <w:sz w:val="32"/>
          <w:szCs w:val="32"/>
        </w:rPr>
      </w:pPr>
      <w:r>
        <w:rPr>
          <w:rFonts w:hint="eastAsia" w:ascii="楷体" w:hAnsi="楷体" w:eastAsia="楷体"/>
          <w:b/>
          <w:spacing w:val="-4"/>
          <w:sz w:val="32"/>
          <w:szCs w:val="32"/>
        </w:rPr>
        <w:t>（</w:t>
      </w:r>
      <w:r>
        <w:rPr>
          <w:rFonts w:hint="eastAsia" w:ascii="楷体" w:hAnsi="楷体" w:eastAsia="楷体"/>
          <w:b/>
          <w:spacing w:val="-4"/>
          <w:sz w:val="32"/>
          <w:szCs w:val="32"/>
          <w:lang w:val="en-US" w:eastAsia="zh-CN"/>
        </w:rPr>
        <w:t>二</w:t>
      </w:r>
      <w:r>
        <w:rPr>
          <w:rFonts w:hint="eastAsia" w:ascii="楷体" w:hAnsi="楷体" w:eastAsia="楷体"/>
          <w:b/>
          <w:spacing w:val="-4"/>
          <w:sz w:val="32"/>
          <w:szCs w:val="32"/>
        </w:rPr>
        <w:t>）</w:t>
      </w:r>
      <w:r>
        <w:rPr>
          <w:rStyle w:val="18"/>
          <w:rFonts w:hint="eastAsia" w:ascii="楷体" w:hAnsi="楷体" w:eastAsia="楷体"/>
          <w:spacing w:val="-4"/>
          <w:sz w:val="32"/>
          <w:szCs w:val="32"/>
        </w:rPr>
        <w:t>项目过程情况</w:t>
      </w:r>
    </w:p>
    <w:p>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（二）项目过程情况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1.资金到位率：实际到位资金80.28万元，预算资金80.28万元，资金到位率100%，得3分。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2.预算执行率：年初预算数80.28万元，全年预算数80.28万元，全年执行数52.19万元，预算执行率为65.01%，得6.5分。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资金使用合规性：本项目资金的使用符合国家财经法规和财务管理制度以及有关专项资金管理办法的规定。同时，资金的拨付有完整的审批程序和手续，符合项目预算批复或合同规定的用途，不存在截留、挤占、挪用、虚列支出等情况，得2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4.管理制度健全性：项目支出手续完备，财会核算准确规范，项目调整手续完备，项目实施的人员条件、场地设备、信息支撑等落实到位，合同书、验收报告等资料齐全，得2分。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制度执行有效性：根据现场调研和资料抽查情况，已制严格遵守相关法律法规和相关管理规定，项目调整及支出调整手续完备，整体管理合理有序，项目完成后，及时将会计凭证、固定资产入库单等相关资料分类归档，制度执行有效，得3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该指标分值20分，依据评分标准，此项指标扣3.5分，得16.5分。</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w:t>
      </w:r>
      <w:r>
        <w:rPr>
          <w:rFonts w:hint="eastAsia" w:ascii="楷体" w:hAnsi="楷体" w:eastAsia="楷体"/>
          <w:b/>
          <w:spacing w:val="-4"/>
          <w:sz w:val="32"/>
          <w:szCs w:val="32"/>
          <w:lang w:val="en-US" w:eastAsia="zh-CN"/>
        </w:rPr>
        <w:t>三</w:t>
      </w:r>
      <w:r>
        <w:rPr>
          <w:rFonts w:hint="eastAsia" w:ascii="楷体" w:hAnsi="楷体" w:eastAsia="楷体"/>
          <w:b/>
          <w:spacing w:val="-4"/>
          <w:sz w:val="32"/>
          <w:szCs w:val="32"/>
        </w:rPr>
        <w:t>）</w:t>
      </w:r>
      <w:r>
        <w:rPr>
          <w:rStyle w:val="18"/>
          <w:rFonts w:hint="eastAsia" w:ascii="楷体" w:hAnsi="楷体" w:eastAsia="楷体"/>
          <w:spacing w:val="-4"/>
          <w:sz w:val="32"/>
          <w:szCs w:val="32"/>
        </w:rPr>
        <w:t>项目产出情况</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（三）项目产出情况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1.产出数量</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数量指标：指标1：完成试验报告及撰写省级论文数量，指标值：&gt;=10篇，实际完成值10篇，指标完成率100%，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数量指标：指标2：完成果树种苗繁育示范区面积，指标值：&gt;=50亩，实际完成值50亩，指标完成率100%，得10分。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2.产出质量</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质量指标：指标1：试验报告上级部门审核通过率，指标值：&gt;=95%，实际完成值95%，指标完成率100%，偏差原因：无，得10分。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3.产出时效</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时效指标：指标1：项目完成时间，指标值：2022年12月20日，实际完成值2022年12月20日，指标完成率100%，偏差原因：无，得10 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4.产出成本</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成本指标：指标1：农产品试验材料费支出，指标值：&lt;=40万元，实际完成值21.09万元，指标完成率52.73%，偏差原因：</w:t>
      </w:r>
      <w:bookmarkStart w:id="0" w:name="_GoBack"/>
      <w:bookmarkEnd w:id="0"/>
      <w:r>
        <w:rPr>
          <w:rStyle w:val="18"/>
          <w:rFonts w:hint="eastAsia" w:ascii="楷体" w:hAnsi="楷体" w:eastAsia="楷体"/>
          <w:b w:val="0"/>
          <w:bCs w:val="0"/>
          <w:spacing w:val="-4"/>
          <w:sz w:val="32"/>
          <w:szCs w:val="32"/>
          <w:lang w:eastAsia="zh-CN"/>
        </w:rPr>
        <w:t>实验材料费支出流程未及时办理导致</w:t>
      </w:r>
      <w:r>
        <w:rPr>
          <w:rStyle w:val="18"/>
          <w:rFonts w:hint="eastAsia" w:ascii="楷体" w:hAnsi="楷体" w:eastAsia="楷体"/>
          <w:b w:val="0"/>
          <w:bCs w:val="0"/>
          <w:spacing w:val="-4"/>
          <w:sz w:val="32"/>
          <w:szCs w:val="32"/>
        </w:rPr>
        <w:t>资金未能及时支付；</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成本指标：指标2：农产品试验雇佣劳务支出，指标值：&lt;=20.28万元，实际完成值20.28万元，指标完成率100%，偏差原因：无；</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成本指标：指标3：农产品试验机械租赁费用成本，指标值：&lt;=20万元，实际完成值13万元，指标完成率65%，偏差原因：因财务审批流程受疫情影响资金未能及时支付，得7.26分。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该指标分值40分，依据评分标准，此项指标扣2.74分，得37.26分。</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w:t>
      </w:r>
      <w:r>
        <w:rPr>
          <w:rFonts w:hint="eastAsia" w:ascii="楷体" w:hAnsi="楷体" w:eastAsia="楷体"/>
          <w:b/>
          <w:spacing w:val="-4"/>
          <w:sz w:val="32"/>
          <w:szCs w:val="32"/>
          <w:lang w:val="en-US" w:eastAsia="zh-CN"/>
        </w:rPr>
        <w:t>四</w:t>
      </w:r>
      <w:r>
        <w:rPr>
          <w:rFonts w:hint="eastAsia" w:ascii="楷体" w:hAnsi="楷体" w:eastAsia="楷体"/>
          <w:b/>
          <w:spacing w:val="-4"/>
          <w:sz w:val="32"/>
          <w:szCs w:val="32"/>
        </w:rPr>
        <w:t>）</w:t>
      </w:r>
      <w:r>
        <w:rPr>
          <w:rStyle w:val="18"/>
          <w:rFonts w:hint="eastAsia" w:ascii="楷体" w:hAnsi="楷体" w:eastAsia="楷体"/>
          <w:spacing w:val="-4"/>
          <w:sz w:val="32"/>
          <w:szCs w:val="32"/>
        </w:rPr>
        <w:t>项目效益情况</w:t>
      </w:r>
    </w:p>
    <w:p>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（四）项目效益情况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1.项目效益</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（1）实施效益</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社会效益指标：评价指标“农户种植管理水平提升”，指标值：明显提高，实际完成值：达成年度指标。达成年度指标。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可持续影响指标：评价指标“带动区域农业产业科技进步”，指标值：持续带动，实际完成值：达成年度指标。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该指标分值10分，依据评分标准，此项指标不扣分，得10分。</w:t>
      </w:r>
    </w:p>
    <w:p>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（2）满意度</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服务对象满意度指标：评价指标“种植户满意度”，指标值：≥95%%，实际完成值：≥95%。</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该指标分值10分，依据评分标准，此项指标不扣分，得10分。</w:t>
      </w:r>
    </w:p>
    <w:p>
      <w:pPr>
        <w:spacing w:line="540" w:lineRule="exact"/>
        <w:ind w:firstLine="567"/>
        <w:rPr>
          <w:rStyle w:val="18"/>
          <w:rFonts w:hint="eastAsia" w:ascii="楷体" w:hAnsi="楷体" w:eastAsia="楷体"/>
          <w:spacing w:val="-4"/>
          <w:sz w:val="32"/>
          <w:szCs w:val="32"/>
        </w:rPr>
      </w:pP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五、预算执行进度与绩效指标偏差</w:t>
      </w:r>
    </w:p>
    <w:p>
      <w:pPr>
        <w:spacing w:line="540" w:lineRule="exact"/>
        <w:ind w:firstLine="567"/>
        <w:rPr>
          <w:rStyle w:val="18"/>
          <w:rFonts w:hint="eastAsia" w:ascii="楷体" w:hAnsi="楷体" w:eastAsia="楷体"/>
          <w:spacing w:val="-4"/>
          <w:sz w:val="32"/>
          <w:szCs w:val="32"/>
        </w:rPr>
      </w:pPr>
      <w:r>
        <w:rPr>
          <w:rStyle w:val="18"/>
          <w:rFonts w:hint="eastAsia" w:ascii="楷体" w:hAnsi="楷体" w:eastAsia="楷体"/>
          <w:b w:val="0"/>
          <w:bCs w:val="0"/>
          <w:spacing w:val="-4"/>
          <w:sz w:val="32"/>
          <w:szCs w:val="32"/>
        </w:rPr>
        <w:t>本项目预算执行率为65.01%，指标总体完成率为83.77%，二者之间的偏差值为18.76%。造成偏差的原因是试验农产品各项工作完成后进入疫情，因疫情原因财务审批流程影响整个资金支付进度，部分试验成本支出都没有及时支付。</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六、主要经验及做法、存在的问题及原因分析</w:t>
      </w:r>
    </w:p>
    <w:p>
      <w:pPr>
        <w:spacing w:line="540" w:lineRule="exact"/>
        <w:ind w:firstLine="567"/>
        <w:rPr>
          <w:rFonts w:ascii="仿宋_GB2312" w:eastAsia="仿宋_GB2312"/>
          <w:spacing w:val="-4"/>
          <w:sz w:val="32"/>
          <w:szCs w:val="32"/>
        </w:rPr>
      </w:pPr>
      <w:r>
        <w:rPr>
          <w:rStyle w:val="18"/>
          <w:rFonts w:hint="eastAsia" w:ascii="楷体" w:hAnsi="楷体" w:eastAsia="楷体"/>
          <w:b w:val="0"/>
          <w:bCs w:val="0"/>
          <w:spacing w:val="-4"/>
          <w:sz w:val="32"/>
          <w:szCs w:val="32"/>
        </w:rPr>
        <w:t>（一）主要经验及做法</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主要经验及做法:一是树立以点带面推广服务机制，建立以“基地+专家+龙头企业+协会（专业合作社）+农民”模式为主的推广服务机制。以科技示范为重点，建设塔城地区农科所试验基地，完善试验基地展示、示范与培训功能，将农民需要的技术在基地进行熟化、集成和试验示范，推广到专业合作社、家庭农场等新型经营主体，进而辐射到广大农民。建立科技示范典型，以点带面，全面带动塔城地区农业科技的进步。</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是加强技术培训和科技咨询，充分发挥辽宁省农业科学院塔城分院科技人员的技术专长，加强对塔城地区农民、农技人员的培训与指导，加强塔城与辽宁之间专家的交流，培养一支技术先进、全面的地方科技队伍。充分利用网络、电视、手机等媒体，大力开展技术培训与指导，为塔城地区农业生产提供远程技术服务。</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三是创新管理机制，制定示范基地绩效管理办法，将其对产业发展和农民增收的促进作用作为主要考核指标，做到科学量化、奖罚分明，引导专家团队和基层科技人员全心全意为产业服务，为农民服务。</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（二）存在的问题及原因分析</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存在的问题及原因分析：一是塔城地区自然气候条件与辽宁地区存在一定差异，且近两年气候变幅相对较大，表现在温度、降雨量、晚霜、倒春寒、季风等自然因素，对试验示范工作产生一定影响，若贸然大面积推广现有品种存在较大的气候风险。需要逐步推进资源和品种筛选、从小面积试验到逐步大面积示范和推广工作。</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二是当地劳务人员较少，特别是从事果树、蔬菜生产的技术性劳务人员较少，且工作效率低，导致用工成本较高。</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三是由于本项目需要走招投标程序及严格的资金审批流程，项目资金迟迟不能到位，项目发生的各项资金支出都由课题单位和科研人员个人垫付，资金不到位工作开展不顺利。</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四是由于近两年疫情等因素影响，使得一些项目审批、资金兑付、工作开展等具体流程受到了一定程度的影响。</w:t>
      </w:r>
    </w:p>
    <w:p>
      <w:p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lang w:val="en-US" w:eastAsia="zh-CN"/>
        </w:rPr>
        <w:t>七</w:t>
      </w:r>
      <w:r>
        <w:rPr>
          <w:rStyle w:val="18"/>
          <w:rFonts w:hint="eastAsia" w:ascii="黑体" w:hAnsi="黑体" w:eastAsia="黑体"/>
          <w:b w:val="0"/>
          <w:spacing w:val="-4"/>
          <w:sz w:val="32"/>
          <w:szCs w:val="32"/>
        </w:rPr>
        <w:t>、有关建议</w:t>
      </w:r>
    </w:p>
    <w:p>
      <w:pPr>
        <w:spacing w:line="540" w:lineRule="exact"/>
        <w:ind w:firstLine="567"/>
        <w:rPr>
          <w:rStyle w:val="18"/>
          <w:rFonts w:hint="eastAsia" w:ascii="楷体" w:hAnsi="楷体" w:eastAsia="楷体"/>
          <w:spacing w:val="-4"/>
          <w:sz w:val="32"/>
          <w:szCs w:val="32"/>
        </w:rPr>
      </w:pPr>
      <w:r>
        <w:rPr>
          <w:rStyle w:val="18"/>
          <w:rFonts w:hint="eastAsia" w:ascii="楷体" w:hAnsi="楷体" w:eastAsia="楷体"/>
          <w:b w:val="0"/>
          <w:bCs w:val="0"/>
          <w:spacing w:val="-4"/>
          <w:sz w:val="32"/>
          <w:szCs w:val="32"/>
        </w:rPr>
        <w:t>1.项目支出政策和路径设计科学，符合实际需要；</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2.项目安排准确，未发现背离项目立项初衷的情况；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3.项目的申报、审核机制完善；</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4.未发现虚假行为和骗取财政资金的问题。</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lang w:val="en-US" w:eastAsia="zh-CN"/>
        </w:rPr>
        <w:t>八</w:t>
      </w:r>
      <w:r>
        <w:rPr>
          <w:rStyle w:val="18"/>
          <w:rFonts w:hint="eastAsia" w:ascii="黑体" w:hAnsi="黑体" w:eastAsia="黑体"/>
          <w:b w:val="0"/>
          <w:spacing w:val="-4"/>
          <w:sz w:val="32"/>
          <w:szCs w:val="32"/>
        </w:rPr>
        <w:t>、其他需要说明的问题</w:t>
      </w:r>
    </w:p>
    <w:p>
      <w:pPr>
        <w:spacing w:line="540" w:lineRule="exact"/>
        <w:ind w:firstLine="567"/>
        <w:rPr>
          <w:rStyle w:val="18"/>
          <w:rFonts w:hint="eastAsia" w:ascii="楷体" w:hAnsi="楷体" w:eastAsia="楷体"/>
          <w:b w:val="0"/>
          <w:bCs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sectPr>
      <w:footerReference r:id="rId3" w:type="default"/>
      <w:pgSz w:w="11906" w:h="16838"/>
      <w:pgMar w:top="1440" w:right="1558" w:bottom="1440" w:left="175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 w:name="方正小标宋_GBK">
    <w:altName w:val="微软雅黑"/>
    <w:panose1 w:val="03000509000000000000"/>
    <w:charset w:val="86"/>
    <w:family w:val="script"/>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docPartObj>
        <w:docPartGallery w:val="autotext"/>
      </w:docPartObj>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56465"/>
    <w:rsid w:val="00102DFF"/>
    <w:rsid w:val="00121AE4"/>
    <w:rsid w:val="00146AAD"/>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7261865"/>
    <w:rsid w:val="0856517C"/>
    <w:rsid w:val="0BFB189F"/>
    <w:rsid w:val="11BD75F7"/>
    <w:rsid w:val="13BE561A"/>
    <w:rsid w:val="15392994"/>
    <w:rsid w:val="18FE139B"/>
    <w:rsid w:val="2A891760"/>
    <w:rsid w:val="2E775363"/>
    <w:rsid w:val="2EC62710"/>
    <w:rsid w:val="3029612C"/>
    <w:rsid w:val="32A221C5"/>
    <w:rsid w:val="33F20F2A"/>
    <w:rsid w:val="34C44675"/>
    <w:rsid w:val="3B5B5607"/>
    <w:rsid w:val="3CE21B3C"/>
    <w:rsid w:val="42654DD8"/>
    <w:rsid w:val="4D2606A1"/>
    <w:rsid w:val="51830480"/>
    <w:rsid w:val="53A616BE"/>
    <w:rsid w:val="54662BFB"/>
    <w:rsid w:val="62051CA5"/>
    <w:rsid w:val="6C3A69EF"/>
    <w:rsid w:val="7DB12889"/>
    <w:rsid w:val="7FD67F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semiHidden/>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273</Words>
  <Characters>597</Characters>
  <Lines>5</Lines>
  <Paragraphs>1</Paragraphs>
  <TotalTime>4</TotalTime>
  <ScaleCrop>false</ScaleCrop>
  <LinksUpToDate>false</LinksUpToDate>
  <CharactersWithSpaces>611</CharactersWithSpaces>
  <Application>WPS Office_11.8.2.12055_F1E327BC-269C-435d-A152-05C5408002CA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Administrator</cp:lastModifiedBy>
  <cp:lastPrinted>2018-12-31T10:56:00Z</cp:lastPrinted>
  <dcterms:modified xsi:type="dcterms:W3CDTF">2025-09-10T03:37:19Z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2052-11.8.2.12055</vt:lpwstr>
  </property>
  <property fmtid="{D5CDD505-2E9C-101B-9397-08002B2CF9AE}" pid="3" name="ICV">
    <vt:lpwstr>C734C92AAAF24344A0E4232D8EB3359B</vt:lpwstr>
  </property>
</Properties>
</file>