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专项业务费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伊犁哈萨克自治州塔城地区乡村振兴局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伊犁哈萨克自治州塔城地区乡村振兴局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冯涛</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2023年02月22日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2022年工作计划安排，继续使用专项业务费弥补办公经费不足，包含办公费、差费、公车运行维护费等，主要开展乡村振兴和扶贫工作的走访、调研等工作。《中央财政衔接推进乡村振兴补助资金管理办法》第一条"为健全防止返贫致贫监测和帮扶机制，加强监测预警,监测预警工作经费通过各级部门预算安排"； 按照相关文件的工作部署，我单位申请该项目资金主要用于开展脱贫攻坚和乡村振兴工作的衔接和弥补办公经费不足等。</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该项目主要用于开展乡村振兴和扶贫工作的转换、衔接工作，弥补办公经费，包含日常运行的各项经费支出。预算资金85万元。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资金投入情况：该项目年初预算数85.00万元，全年预算数85.00万元，实际总投入85.00万元，该项目资金已全部落实到位,资金来源为财政拨款资金。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情况：该项目年初预算数85.00万元，全年预算数85.00万元，全年执行数78.42万元，预算执行率为92.26%，用于主要开展乡村振兴和扶贫工作的走访、调研所产生的人员差旅费及弥补办公经费不足所产生的办公费、差费、公车运行维护费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按照工作要求，开展乡村振兴和扶贫的转换、衔接工作，预算资金85万元，主要用于弥补办公经费，包含办公支出等费用。保证各项工作顺利完成。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2、阶段性目标：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高位推动，强化党委总揽全局、协调各方的领导核心作用，地委、行署以上率下，主要负责同志亲自抓，把巩固拓展脱贫攻坚成果、全面推进乡村振兴，高度重视，强化责任抓落实，全面了解掌握工作进展，确保各项重点工作常态化推进，取得阶段性成效。 </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工作旨在落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乡村振兴专项业务费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本次评价从项目决策（包括绩效目标、决策过程）、项目管理（包括项目资金、项目实施）、项目产出（包括项目产出数量、产出质量、产出时效和产出成本）项目效益四个维度进行乡村振兴专项业务费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项目评价，评价核心为专项资金的支出完成情况和效果。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指标体系是根据《项目支出绩效评价管理办法》（财预〔2020〕10号）对于指标体系的要求和规范，结合项目特有属性和实际情况，考虑实用性、可操作性和可实现性，从决策、过程、产出、效益四个维度进行指标细化和分值设定。乡村振兴专项业务费项目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项目支出绩效评价管理办法》（财预〔2020〕10号）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·《中共中央国务院关于全面实施预算绩效管理的意见》（中发〔2018〕34号）；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·《项目支出绩效评价管理办法》（财预〔2020〕10号）；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·《自治区党委自治区人民政府关于全面实施预算绩效管理的实施意见》（新党发〔2018〕30号）；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·《2023年度推进塔城地区全面实施预算绩效管理工作规划》。</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结合项目特点，制定符合项目实际的绩效评价指标体系及评分标准，通过数据采集、问卷调查及访谈等形式，对2022年乡村振兴专项业务费进行客观评价。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 实际到位资金85万元，预算资金85万元，资金到位率100%。指标完成率100 %，偏差原因：无，综上，得3分。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2.预算执行率：年初预算数85万元，全年预算数85万元，全年执行数78.42万元，预算执行率为92.26%。指标完成率92.26 %，偏差原因：受疫情影响，部分资金未完成支付。综上，得9.23分。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4.管理制度健全性：已制定或具有相应的财务和业务管理制度，财务和业务管理制度合法、合规、完整。得2分。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5.管理制度健全性：乡村振兴专项业务费已制定相应的财务和业务管理制度，且制度合法、合规、完整，为项目顺利实施提供重要保障。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制度执行有效性：根据现场调研和资料抽查情况，塔城地区公共图书馆免费开放专项已制严格遵守相关法律法规和相关管理规定，项目调整及支出调整手续完备，整体管理合理有序，项目完成后，及时将会计凭证、固定资产入库单等相关资料分类归档，制度执行有效。得3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数量指标：指标1：服务工作类型 ，指标值：&gt;=2种 ，实际完成值6种，指标完成率100%（指标完成率=（实际完成值/指标值）*100%），偏差原因：无，得10分。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质量指标：指标1：衔接工作转换完成率，指标值：&gt;=85%，实际完成值 100%，指标完成率100%，偏差原因：无；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质量指标：指标2：工作完成量，指标值：&gt;=90% ，实际完成值 100% ，指标完成率 100%，偏差原因：无。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综上，该项指标分值10分，得10分。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时效指标：指标1：业务费拨付完成时限 ，指标值：2022年6月底前，实际完成值 2022年6月底前，指标完成率 100 %偏差原因：无，得10分。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成本指标：指标1：专项业务工作人员差旅费 ，指标值：&lt;=22.30万元，实际完成值 22.30万元，指标完成率 100 %，偏差原因：无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指标2：专项业务公车运行费用，指标值：&lt;=16万元万元，实际完成值16万元 ，指标完成率 100 %（指标完成率=（实际完成值/指标值）*100%），偏差原因：无；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指标3：专项运行工作办公费用 ，指标值&lt;=10.20万元 ，实际完成值10.2万元，指标完成率 100 %（指标完成率=（实际完成值/指标值）*100%），偏差原因：无；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指标4：其余费用，指标值：&lt;=35万元 ，实际完成值28.66万元，指标完成率100 %，偏差原因：无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指标5：会务费，指标值：&lt;=1.50万元 ，实际完成值1.26万元，指标完成率100%，偏差原因：无。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综上，该指标分值10分，得分10分。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社会效益指标：评价指标“提高乡村振兴工作水平”，指标值：有效提高，实际完成值：达成年度指标。高位推动，强化党委总揽全局、协调各方的领导核心作用，地委、行署以上率下，主要负责同志亲自抓，把巩固拓展脱贫攻坚成果、全面推进乡村振兴，高度重视，强化责任抓落实，全面了解掌握工作进展，确保各项重点工作常态化推进，取得阶段性成效。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评价指标“促进各项工作的发展”，指标值：&gt;=85%，实际完成值：达成年度指标。紧紧围绕实施乡村振兴战略产业兴旺、生态宜居、乡风文明、治理有效、生活富裕的总要求，在农村人居环境整治，乡村治理壮大村集体经济等方面开展工作，为实现全面建成小康社会奠定坚实基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综上，该指标分值10分，得10分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服务对象满意度指标：评价指标“群众满意度”，指标值：≥95%，实际完成值：≥100%。得10分。</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本项目预算执行率为92.26%，指标总体完成率为97.17%，二者之间的偏差值为4.91%。因此，本项目较好地完成了年度总体目标，财政资金使用效益和效率较高。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 xml:space="preserve">1.提高政治站位，持续增强对巩固拓展脱贫攻坚成果同乡村振兴有效衔接工作重要性认识。强化党委总揽全局、协调各方的领导核心作用，地委、行署以上率下，主要负责同志亲自抓，把巩固拓展脱贫攻坚成果、全面推进乡村振兴工作作为一项重要工程。健全领导小组议事规则，压紧压实工作责任，形成了组织构架严谨、机构运转有序、人员力量充足的工作态势，有序推进了各项工作的开展。高度重视，强化责任抓落实。地委、行署强化示范引领，坚持把学习领会习近平总书记关于乡村振兴工作的重要论述，学习中央、自治区农村工作等重要会议精神作为巩固拓展脱贫攻坚成果同乡村振兴有效衔接的重要举措，进一步统一思想，提高认识，地委农村工作领导小组暨乡村振兴领导小组召开专题会议3次，领导小组办公室召开专题会议及调度推进会9次，及时研究部署工作，深入研判分析问题，实时协调解决困难，全面了解掌握工作进展，确保各项重点工作常态化推进，取得阶段性成效。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明确目标任务，巩固拓展脱贫攻坚成果同乡村振兴有效衔接重点工作成效明显。强化监测预警，守住不发生规模性返贫底线。始终坚持动态监测、实时预警、未贫先防、突贫速扶、常态清零目标要求，常态化推进防返贫动态监测和帮扶。脱贫劳动力稳岗就业不断得到巩固提升。始终将抓好脱贫劳动力稳岗就业作为增收致富突破口，持续推进务工就业立足民生，厕所革命有序推进。始终坚持小厕所大革命，小厕所大民生发展理念，持续推进农村厕所革命工程，有效提升群众幸福感、获得感。助力增收，庭院经济发展取得实效。按照“宜农则农、宜牧则牧、宜林则林、宜合则合”的基本原则，坚持因地制宜，示范引领，充分发动群众，合理布局，科学利用现有庭院土地、圈舍、空间，在保障农牧民自食自用的前提下，以合作社、订单式种植销售为抓手，大力发展蔬菜林果种植、畜牧家禽养殖、庭院休闲旅游等，通过制定庭院经济示范创建标准，庭院经济加快发展任务书，召开地区庭院经济现场观摩会等措施，不断推动庭院经济发展规范提升上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看到巩固脱贫攻坚成果同乡村振兴工作取得成绩的同时，我们也清醒地认识到当前工作与自治区的要求还有一定差距，主要体现在：一是乡村建设存在短板弱项。农村基础设施建设仍然存在不足，在污水排放、垃圾处理及公共设施配套建设等方面，与新时期乡村振兴、美丽乡村建设仍有差距。特别是无脱贫任务的乡村基础设施投入不足，建设相对滞后，公共基础设施和村容村貌等建设差距较大。</w:t>
      </w:r>
      <w:r>
        <w:rPr>
          <w:rStyle w:val="18"/>
          <w:rFonts w:hint="eastAsia" w:ascii="楷体" w:hAnsi="楷体" w:eastAsia="楷体"/>
          <w:b w:val="0"/>
          <w:bCs w:val="0"/>
          <w:spacing w:val="-4"/>
          <w:sz w:val="32"/>
          <w:szCs w:val="32"/>
          <w:lang w:eastAsia="zh-CN"/>
        </w:rPr>
        <w:t>二</w:t>
      </w:r>
      <w:bookmarkStart w:id="0" w:name="_GoBack"/>
      <w:bookmarkEnd w:id="0"/>
      <w:r>
        <w:rPr>
          <w:rStyle w:val="18"/>
          <w:rFonts w:hint="eastAsia" w:ascii="楷体" w:hAnsi="楷体" w:eastAsia="楷体"/>
          <w:b w:val="0"/>
          <w:bCs w:val="0"/>
          <w:spacing w:val="-4"/>
          <w:sz w:val="32"/>
          <w:szCs w:val="32"/>
        </w:rPr>
        <w:t>是农村人居环境整治存在短板。虽然部分村队垃圾处理实现了集中堆放，但多为填埋自然消解，长时间堆放给环境带来极大污染，同时，不利于农村土地资源分配及村容村貌整治。</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5B149DF"/>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3</TotalTime>
  <ScaleCrop>false</ScaleCrop>
  <LinksUpToDate>false</LinksUpToDate>
  <CharactersWithSpaces>611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2025-09-10T03:42:48Z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C734C92AAAF24344A0E4232D8EB3359B</vt:lpwstr>
  </property>
</Properties>
</file>