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21DE7">
      <w:pPr>
        <w:spacing w:line="540" w:lineRule="exact"/>
        <w:jc w:val="center"/>
        <w:rPr>
          <w:rFonts w:ascii="华文中宋" w:hAnsi="华文中宋" w:eastAsia="华文中宋" w:cs="宋体"/>
          <w:b/>
          <w:kern w:val="0"/>
          <w:sz w:val="52"/>
          <w:szCs w:val="52"/>
        </w:rPr>
      </w:pPr>
    </w:p>
    <w:p w14:paraId="14972700">
      <w:pPr>
        <w:spacing w:line="540" w:lineRule="exact"/>
        <w:jc w:val="center"/>
        <w:rPr>
          <w:rFonts w:ascii="华文中宋" w:hAnsi="华文中宋" w:eastAsia="华文中宋" w:cs="宋体"/>
          <w:b/>
          <w:kern w:val="0"/>
          <w:sz w:val="52"/>
          <w:szCs w:val="52"/>
        </w:rPr>
      </w:pPr>
    </w:p>
    <w:p w14:paraId="5C4E857D">
      <w:pPr>
        <w:spacing w:line="540" w:lineRule="exact"/>
        <w:jc w:val="center"/>
        <w:rPr>
          <w:rFonts w:ascii="华文中宋" w:hAnsi="华文中宋" w:eastAsia="华文中宋" w:cs="宋体"/>
          <w:b/>
          <w:kern w:val="0"/>
          <w:sz w:val="52"/>
          <w:szCs w:val="52"/>
        </w:rPr>
      </w:pPr>
    </w:p>
    <w:p w14:paraId="3D1ACE54">
      <w:pPr>
        <w:spacing w:line="540" w:lineRule="exact"/>
        <w:jc w:val="center"/>
        <w:rPr>
          <w:rFonts w:ascii="华文中宋" w:hAnsi="华文中宋" w:eastAsia="华文中宋" w:cs="宋体"/>
          <w:b/>
          <w:kern w:val="0"/>
          <w:sz w:val="52"/>
          <w:szCs w:val="52"/>
        </w:rPr>
      </w:pPr>
    </w:p>
    <w:p w14:paraId="4C1A5828">
      <w:pPr>
        <w:spacing w:line="540" w:lineRule="exact"/>
        <w:jc w:val="center"/>
        <w:rPr>
          <w:rFonts w:ascii="华文中宋" w:hAnsi="华文中宋" w:eastAsia="华文中宋" w:cs="宋体"/>
          <w:b/>
          <w:kern w:val="0"/>
          <w:sz w:val="52"/>
          <w:szCs w:val="52"/>
        </w:rPr>
      </w:pPr>
    </w:p>
    <w:p w14:paraId="612C2DBD">
      <w:pPr>
        <w:spacing w:line="540" w:lineRule="exact"/>
        <w:jc w:val="center"/>
        <w:rPr>
          <w:rFonts w:hint="eastAsia" w:ascii="方正小标宋简体" w:hAnsi="方正小标宋简体" w:eastAsia="方正小标宋简体" w:cs="方正小标宋简体"/>
          <w:b/>
          <w:kern w:val="0"/>
          <w:sz w:val="44"/>
          <w:szCs w:val="44"/>
        </w:rPr>
      </w:pPr>
    </w:p>
    <w:p w14:paraId="732254C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bCs/>
          <w:kern w:val="0"/>
          <w:sz w:val="44"/>
          <w:szCs w:val="44"/>
        </w:rPr>
      </w:pPr>
      <w:r>
        <w:rPr>
          <w:rFonts w:hint="eastAsia" w:ascii="方正小标宋简体" w:hAnsi="方正小标宋简体" w:eastAsia="方正小标宋简体" w:cs="方正小标宋简体"/>
          <w:b/>
          <w:bCs/>
          <w:kern w:val="0"/>
          <w:sz w:val="44"/>
          <w:szCs w:val="44"/>
          <w:lang w:val="en-US" w:eastAsia="zh-CN"/>
        </w:rPr>
        <w:t>科普专项业务费</w:t>
      </w:r>
      <w:r>
        <w:rPr>
          <w:rFonts w:hint="eastAsia" w:ascii="方正小标宋简体" w:hAnsi="方正小标宋简体" w:eastAsia="方正小标宋简体" w:cs="方正小标宋简体"/>
          <w:b/>
          <w:bCs/>
          <w:kern w:val="0"/>
          <w:sz w:val="44"/>
          <w:szCs w:val="44"/>
        </w:rPr>
        <w:t>资金项目支出绩效评价</w:t>
      </w:r>
    </w:p>
    <w:p w14:paraId="3961673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bCs/>
          <w:kern w:val="0"/>
          <w:sz w:val="44"/>
          <w:szCs w:val="44"/>
        </w:rPr>
      </w:pPr>
      <w:r>
        <w:rPr>
          <w:rFonts w:hint="eastAsia" w:ascii="方正小标宋简体" w:hAnsi="方正小标宋简体" w:eastAsia="方正小标宋简体" w:cs="方正小标宋简体"/>
          <w:b/>
          <w:bCs/>
          <w:kern w:val="0"/>
          <w:sz w:val="44"/>
          <w:szCs w:val="44"/>
        </w:rPr>
        <w:t>报告</w:t>
      </w:r>
    </w:p>
    <w:p w14:paraId="42ED747D">
      <w:pPr>
        <w:spacing w:line="540" w:lineRule="exact"/>
        <w:jc w:val="center"/>
        <w:rPr>
          <w:rFonts w:ascii="华文中宋" w:hAnsi="华文中宋" w:eastAsia="华文中宋" w:cs="宋体"/>
          <w:b/>
          <w:kern w:val="0"/>
          <w:sz w:val="52"/>
          <w:szCs w:val="52"/>
        </w:rPr>
      </w:pPr>
    </w:p>
    <w:p w14:paraId="2C88A110">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14:paraId="77126DE3">
      <w:pPr>
        <w:spacing w:line="540" w:lineRule="exact"/>
        <w:jc w:val="center"/>
        <w:rPr>
          <w:rFonts w:hint="eastAsia" w:ascii="仿宋_GB2312" w:hAnsi="仿宋_GB2312" w:eastAsia="仿宋_GB2312" w:cs="仿宋_GB2312"/>
          <w:kern w:val="0"/>
          <w:sz w:val="36"/>
          <w:szCs w:val="36"/>
        </w:rPr>
      </w:pPr>
    </w:p>
    <w:p w14:paraId="18195E9A">
      <w:pPr>
        <w:spacing w:line="540" w:lineRule="exact"/>
        <w:jc w:val="center"/>
        <w:rPr>
          <w:rFonts w:hint="eastAsia" w:ascii="仿宋_GB2312" w:hAnsi="仿宋_GB2312" w:eastAsia="仿宋_GB2312" w:cs="仿宋_GB2312"/>
          <w:kern w:val="0"/>
          <w:sz w:val="36"/>
          <w:szCs w:val="36"/>
        </w:rPr>
      </w:pPr>
    </w:p>
    <w:p w14:paraId="1140966B">
      <w:pPr>
        <w:spacing w:line="540" w:lineRule="exact"/>
        <w:jc w:val="center"/>
        <w:rPr>
          <w:rFonts w:hint="eastAsia" w:ascii="仿宋_GB2312" w:hAnsi="仿宋_GB2312" w:eastAsia="仿宋_GB2312" w:cs="仿宋_GB2312"/>
          <w:kern w:val="0"/>
          <w:sz w:val="36"/>
          <w:szCs w:val="36"/>
        </w:rPr>
      </w:pPr>
    </w:p>
    <w:p w14:paraId="1469C56D">
      <w:pPr>
        <w:spacing w:line="540" w:lineRule="exact"/>
        <w:jc w:val="center"/>
        <w:rPr>
          <w:rFonts w:hint="eastAsia" w:ascii="仿宋_GB2312" w:hAnsi="仿宋_GB2312" w:eastAsia="仿宋_GB2312" w:cs="仿宋_GB2312"/>
          <w:kern w:val="0"/>
          <w:sz w:val="36"/>
          <w:szCs w:val="36"/>
        </w:rPr>
      </w:pPr>
    </w:p>
    <w:p w14:paraId="7C17C442">
      <w:pPr>
        <w:spacing w:line="540" w:lineRule="exact"/>
        <w:jc w:val="center"/>
        <w:rPr>
          <w:rFonts w:hint="eastAsia" w:ascii="仿宋_GB2312" w:hAnsi="仿宋_GB2312" w:eastAsia="仿宋_GB2312" w:cs="仿宋_GB2312"/>
          <w:kern w:val="0"/>
          <w:sz w:val="36"/>
          <w:szCs w:val="36"/>
        </w:rPr>
      </w:pPr>
    </w:p>
    <w:p w14:paraId="248ECAF9">
      <w:pPr>
        <w:spacing w:line="700" w:lineRule="exact"/>
        <w:ind w:firstLine="1800" w:firstLineChars="5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val="en-US" w:eastAsia="zh-CN"/>
        </w:rPr>
        <w:t>科普专项业务费</w:t>
      </w:r>
    </w:p>
    <w:p w14:paraId="65F1F101">
      <w:pPr>
        <w:spacing w:line="700" w:lineRule="exact"/>
        <w:ind w:firstLine="720" w:firstLineChars="2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val="en-US" w:eastAsia="zh-CN"/>
        </w:rPr>
        <w:t>塔城地区科学技术协会</w:t>
      </w:r>
    </w:p>
    <w:p w14:paraId="0EF6CF9F">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val="en-US" w:eastAsia="zh-CN"/>
        </w:rPr>
        <w:t>塔城地区科学技术协会</w:t>
      </w:r>
    </w:p>
    <w:p w14:paraId="148A7A2D">
      <w:pPr>
        <w:spacing w:line="700" w:lineRule="exact"/>
        <w:ind w:firstLine="720" w:firstLineChars="2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eastAsia="zh-CN"/>
        </w:rPr>
        <w:t>阿米利亚提</w:t>
      </w:r>
      <w:r>
        <w:rPr>
          <w:rFonts w:hint="eastAsia" w:ascii="仿宋_GB2312" w:hAnsi="仿宋_GB2312" w:eastAsia="仿宋_GB2312" w:cs="仿宋_GB2312"/>
          <w:kern w:val="0"/>
          <w:sz w:val="36"/>
          <w:szCs w:val="36"/>
          <w:lang w:val="en-US" w:eastAsia="zh-CN"/>
        </w:rPr>
        <w:t>·胡马什、</w:t>
      </w:r>
    </w:p>
    <w:p w14:paraId="0E216BF4">
      <w:pPr>
        <w:spacing w:line="700" w:lineRule="exact"/>
        <w:ind w:firstLine="4320" w:firstLineChars="12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达吾勒·托来乌汗</w:t>
      </w:r>
    </w:p>
    <w:p w14:paraId="0D270B76">
      <w:pPr>
        <w:spacing w:line="700" w:lineRule="exact"/>
        <w:ind w:firstLine="1800" w:firstLineChars="5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6</w:t>
      </w:r>
      <w:r>
        <w:rPr>
          <w:rFonts w:hint="eastAsia" w:ascii="仿宋_GB2312" w:hAnsi="仿宋_GB2312" w:eastAsia="仿宋_GB2312" w:cs="仿宋_GB2312"/>
          <w:kern w:val="0"/>
          <w:sz w:val="36"/>
          <w:szCs w:val="36"/>
        </w:rPr>
        <w:t>日</w:t>
      </w:r>
    </w:p>
    <w:p w14:paraId="783F4796">
      <w:pPr>
        <w:spacing w:line="540" w:lineRule="exact"/>
        <w:jc w:val="center"/>
        <w:rPr>
          <w:rFonts w:hAnsi="宋体" w:eastAsia="仿宋_GB2312" w:cs="宋体"/>
          <w:kern w:val="0"/>
          <w:sz w:val="30"/>
          <w:szCs w:val="30"/>
        </w:rPr>
      </w:pPr>
    </w:p>
    <w:p w14:paraId="01212011">
      <w:pPr>
        <w:spacing w:line="540" w:lineRule="exact"/>
        <w:rPr>
          <w:rStyle w:val="23"/>
          <w:rFonts w:ascii="黑体" w:hAnsi="黑体" w:eastAsia="黑体"/>
          <w:b w:val="0"/>
          <w:spacing w:val="-4"/>
          <w:sz w:val="32"/>
          <w:szCs w:val="32"/>
        </w:rPr>
      </w:pPr>
    </w:p>
    <w:p w14:paraId="055A4A47">
      <w:pPr>
        <w:spacing w:line="540" w:lineRule="exact"/>
        <w:ind w:firstLine="640"/>
        <w:rPr>
          <w:rStyle w:val="23"/>
          <w:rFonts w:ascii="黑体" w:hAnsi="黑体" w:eastAsia="黑体"/>
          <w:b w:val="0"/>
          <w:spacing w:val="-4"/>
          <w:sz w:val="32"/>
          <w:szCs w:val="32"/>
        </w:rPr>
      </w:pPr>
    </w:p>
    <w:p w14:paraId="100C9CCB">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14:paraId="3B46D75D">
      <w:pPr>
        <w:keepNext w:val="0"/>
        <w:keepLines w:val="0"/>
        <w:pageBreakBefore w:val="0"/>
        <w:kinsoku/>
        <w:wordWrap/>
        <w:overflowPunct/>
        <w:topLinePunct w:val="0"/>
        <w:autoSpaceDE/>
        <w:autoSpaceDN/>
        <w:bidi w:val="0"/>
        <w:adjustRightIn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411611D6">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14:paraId="72A34A41">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Style w:val="23"/>
          <w:rFonts w:hint="default" w:ascii="黑体" w:hAnsi="黑体" w:eastAsia="黑体"/>
          <w:bCs w:val="0"/>
          <w:spacing w:val="-4"/>
          <w:sz w:val="32"/>
          <w:szCs w:val="32"/>
          <w:lang w:val="en-US" w:eastAsia="zh-CN"/>
        </w:rPr>
      </w:pPr>
      <w:r>
        <w:rPr>
          <w:rFonts w:hint="eastAsia" w:ascii="仿宋_GB2312" w:hAnsi="Verdana" w:eastAsia="仿宋_GB2312" w:cs="楷体"/>
          <w:color w:val="000000"/>
          <w:kern w:val="0"/>
          <w:sz w:val="32"/>
          <w:szCs w:val="32"/>
          <w:shd w:val="clear" w:color="auto" w:fill="auto"/>
          <w:lang w:val="en-US" w:eastAsia="zh-CN"/>
        </w:rPr>
        <w:fldChar w:fldCharType="begin">
          <w:fldData xml:space="preserve">RAAyADQAOQA5ADMAMgA1ADIARAAwAEIANAA5ADIAOQBBADgAQgBCADkANwAzADYAMgBCADgAOQBG
AEQANwBEACwA
</w:fldData>
        </w:fldChar>
      </w:r>
      <w:r>
        <w:rPr>
          <w:rFonts w:hint="eastAsia" w:ascii="仿宋_GB2312" w:hAnsi="Verdana" w:eastAsia="仿宋_GB2312" w:cs="楷体"/>
          <w:color w:val="000000"/>
          <w:kern w:val="0"/>
          <w:sz w:val="32"/>
          <w:szCs w:val="32"/>
          <w:shd w:val="clear" w:color="auto" w:fill="auto"/>
          <w:lang w:val="en-US" w:eastAsia="zh-CN"/>
        </w:rPr>
        <w:instrText xml:space="preserve">Addin 领导批示或项目依据</w:instrText>
      </w:r>
      <w:r>
        <w:rPr>
          <w:rFonts w:hint="eastAsia" w:ascii="仿宋_GB2312" w:hAnsi="Verdana" w:eastAsia="仿宋_GB2312" w:cs="楷体"/>
          <w:color w:val="000000"/>
          <w:kern w:val="0"/>
          <w:sz w:val="32"/>
          <w:szCs w:val="32"/>
          <w:shd w:val="clear" w:color="auto" w:fill="auto"/>
          <w:lang w:val="en-US" w:eastAsia="zh-CN"/>
        </w:rPr>
        <w:fldChar w:fldCharType="separate"/>
      </w:r>
      <w:r>
        <w:rPr>
          <w:rFonts w:hint="eastAsia" w:ascii="仿宋_GB2312" w:hAnsi="Verdana" w:eastAsia="仿宋_GB2312" w:cs="楷体"/>
          <w:color w:val="000000"/>
          <w:kern w:val="0"/>
          <w:sz w:val="32"/>
          <w:szCs w:val="32"/>
          <w:shd w:val="clear" w:color="auto" w:fill="auto"/>
          <w:lang w:val="en-US" w:eastAsia="zh-CN"/>
        </w:rPr>
        <w:t>根据统计局调查，2020年本地区户籍人口90余万，2018年，经国家委托第三方调查结果，塔城地区具备科学素质的公民比例为5.7%。为让全区各族群众切实体会到公民科学素质建设的成效，在全社会形成讲科学、爱科学、学科学、用科学的良好风尚，根据《全民科学素质行动计划纲要》和自治区人民政府办公厅《关于进一步加强全民科学素质工作的意见》，经批复同意设立塔城地区科普专项业务费项目。</w:t>
      </w:r>
      <w:r>
        <w:rPr>
          <w:rFonts w:hint="eastAsia" w:ascii="仿宋_GB2312" w:hAnsi="Verdana" w:eastAsia="仿宋_GB2312" w:cs="楷体"/>
          <w:color w:val="000000"/>
          <w:kern w:val="0"/>
          <w:sz w:val="32"/>
          <w:szCs w:val="32"/>
          <w:shd w:val="clear" w:color="auto" w:fill="auto"/>
          <w:lang w:val="en-US" w:eastAsia="zh-CN"/>
        </w:rPr>
        <w:fldChar w:fldCharType="end"/>
      </w:r>
    </w:p>
    <w:p w14:paraId="2AC84FC9">
      <w:pPr>
        <w:keepNext w:val="0"/>
        <w:keepLines w:val="0"/>
        <w:pageBreakBefore w:val="0"/>
        <w:numPr>
          <w:ilvl w:val="0"/>
          <w:numId w:val="1"/>
        </w:numPr>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项目主要内容及实施情况</w:t>
      </w:r>
    </w:p>
    <w:p w14:paraId="6DD1737D">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项目主要内容：</w:t>
      </w:r>
      <w:r>
        <w:rPr>
          <w:rFonts w:hint="eastAsia" w:ascii="仿宋_GB2312" w:hAnsi="仿宋_GB2312" w:eastAsia="仿宋_GB2312" w:cs="仿宋_GB2312"/>
          <w:sz w:val="32"/>
          <w:szCs w:val="32"/>
          <w:lang w:eastAsia="zh-CN"/>
        </w:rPr>
        <w:t xml:space="preserve">围绕地区全民科学素质提升，以科普大篷车为载体，开展群众性科普宣传、科普教育等活动；借助现代新型传媒，加大科普传播力度；加强科协机关自身建设，保障科普工作日常办公设备购置和商品服务支出；加强科普信息化建设；充分发挥科协优势，致力于科技助力精准扶贫服务。 </w:t>
      </w:r>
      <w:r>
        <w:rPr>
          <w:rFonts w:hint="eastAsia" w:ascii="仿宋_GB2312" w:hAnsi="仿宋_GB2312" w:eastAsia="仿宋_GB2312" w:cs="仿宋_GB2312"/>
          <w:sz w:val="32"/>
          <w:szCs w:val="32"/>
        </w:rPr>
        <w:t xml:space="preserve"> </w:t>
      </w:r>
    </w:p>
    <w:p w14:paraId="44C1E097">
      <w:pPr>
        <w:keepNext w:val="0"/>
        <w:keepLines w:val="0"/>
        <w:pageBreakBefore w:val="0"/>
        <w:kinsoku/>
        <w:wordWrap/>
        <w:overflowPunct/>
        <w:topLinePunct w:val="0"/>
        <w:autoSpaceDE/>
        <w:autoSpaceDN/>
        <w:bidi w:val="0"/>
        <w:adjustRightInd/>
        <w:spacing w:line="560" w:lineRule="exact"/>
        <w:ind w:firstLine="640" w:firstLineChars="200"/>
        <w:textAlignment w:val="auto"/>
        <w:rPr>
          <w:color w:val="auto"/>
          <w:sz w:val="32"/>
          <w:szCs w:val="32"/>
          <w:highlight w:val="none"/>
        </w:rPr>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w:t>
      </w:r>
      <w:r>
        <w:rPr>
          <w:rFonts w:hint="eastAsia" w:ascii="仿宋_GB2312" w:hAnsi="仿宋_GB2312" w:eastAsia="仿宋_GB2312" w:cs="仿宋_GB2312"/>
          <w:color w:val="auto"/>
          <w:sz w:val="32"/>
          <w:szCs w:val="32"/>
          <w:highlight w:val="none"/>
        </w:rPr>
        <w:t>安全顺利进行。</w:t>
      </w:r>
    </w:p>
    <w:p w14:paraId="1758385A">
      <w:pPr>
        <w:keepNext w:val="0"/>
        <w:keepLines w:val="0"/>
        <w:pageBreakBefore w:val="0"/>
        <w:kinsoku/>
        <w:wordWrap/>
        <w:overflowPunct/>
        <w:topLinePunct w:val="0"/>
        <w:autoSpaceDE/>
        <w:autoSpaceDN/>
        <w:bidi w:val="0"/>
        <w:adjustRightInd/>
        <w:spacing w:line="560" w:lineRule="exact"/>
        <w:ind w:firstLine="579" w:firstLineChars="18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本项目总投资</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万元，其中：财政本级资金</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万元。项目实际支出</w:t>
      </w:r>
      <w:r>
        <w:rPr>
          <w:rFonts w:hint="eastAsia" w:ascii="仿宋_GB2312" w:hAnsi="仿宋_GB2312" w:eastAsia="仿宋_GB2312" w:cs="仿宋_GB2312"/>
          <w:color w:val="auto"/>
          <w:sz w:val="32"/>
          <w:szCs w:val="32"/>
          <w:highlight w:val="none"/>
          <w:lang w:val="en-US" w:eastAsia="zh-CN"/>
        </w:rPr>
        <w:t>27.84</w:t>
      </w:r>
      <w:r>
        <w:rPr>
          <w:rFonts w:hint="eastAsia" w:ascii="仿宋_GB2312" w:hAnsi="仿宋_GB2312" w:eastAsia="仿宋_GB2312" w:cs="仿宋_GB2312"/>
          <w:color w:val="auto"/>
          <w:sz w:val="32"/>
          <w:szCs w:val="32"/>
          <w:highlight w:val="none"/>
        </w:rPr>
        <w:t>万元， 支出率为</w:t>
      </w:r>
      <w:r>
        <w:rPr>
          <w:rFonts w:hint="eastAsia" w:ascii="仿宋_GB2312" w:hAnsi="仿宋_GB2312" w:eastAsia="仿宋_GB2312" w:cs="仿宋_GB2312"/>
          <w:color w:val="auto"/>
          <w:sz w:val="32"/>
          <w:szCs w:val="32"/>
          <w:highlight w:val="none"/>
          <w:lang w:val="en-US" w:eastAsia="zh-CN"/>
        </w:rPr>
        <w:t>93</w:t>
      </w:r>
      <w:r>
        <w:rPr>
          <w:rFonts w:hint="eastAsia" w:ascii="仿宋_GB2312" w:hAnsi="仿宋_GB2312" w:eastAsia="仿宋_GB2312" w:cs="仿宋_GB2312"/>
          <w:color w:val="auto"/>
          <w:sz w:val="32"/>
          <w:szCs w:val="32"/>
          <w:highlight w:val="none"/>
        </w:rPr>
        <w:t>%。</w:t>
      </w:r>
    </w:p>
    <w:p w14:paraId="623A1A09">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3、资金投入和使用情况</w:t>
      </w:r>
    </w:p>
    <w:p w14:paraId="02869785">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32"/>
          <w:szCs w:val="32"/>
          <w:highlight w:val="none"/>
        </w:rPr>
        <w:t>（1）资金安排</w:t>
      </w:r>
    </w:p>
    <w:p w14:paraId="3EC02CE1">
      <w:pPr>
        <w:keepNext w:val="0"/>
        <w:keepLines w:val="0"/>
        <w:pageBreakBefore w:val="0"/>
        <w:kinsoku/>
        <w:wordWrap/>
        <w:overflowPunct/>
        <w:topLinePunct w:val="0"/>
        <w:autoSpaceDE/>
        <w:autoSpaceDN/>
        <w:bidi w:val="0"/>
        <w:adjustRightInd/>
        <w:spacing w:line="560" w:lineRule="exact"/>
        <w:ind w:firstLine="579" w:firstLineChars="18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项目总投资</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万元，按照《</w:t>
      </w:r>
      <w:r>
        <w:rPr>
          <w:rFonts w:hint="eastAsia" w:ascii="仿宋_GB2312" w:hAnsi="仿宋_GB2312" w:eastAsia="仿宋_GB2312" w:cs="仿宋_GB2312"/>
          <w:color w:val="auto"/>
          <w:sz w:val="32"/>
          <w:szCs w:val="32"/>
          <w:highlight w:val="none"/>
          <w:lang w:val="en-US" w:eastAsia="zh-CN"/>
        </w:rPr>
        <w:t>科普专项业务费</w:t>
      </w:r>
      <w:r>
        <w:rPr>
          <w:rFonts w:hint="eastAsia" w:ascii="仿宋_GB2312" w:hAnsi="仿宋_GB2312" w:eastAsia="仿宋_GB2312" w:cs="仿宋_GB2312"/>
          <w:color w:val="auto"/>
          <w:sz w:val="32"/>
          <w:szCs w:val="32"/>
          <w:highlight w:val="none"/>
        </w:rPr>
        <w:t>资金管理办法》及单位财务制度等相关规定，资金支出符合</w:t>
      </w:r>
      <w:r>
        <w:rPr>
          <w:rFonts w:hint="eastAsia" w:ascii="仿宋_GB2312" w:hAnsi="仿宋_GB2312" w:eastAsia="仿宋_GB2312" w:cs="仿宋_GB2312"/>
          <w:color w:val="auto"/>
          <w:sz w:val="32"/>
          <w:szCs w:val="32"/>
          <w:highlight w:val="none"/>
          <w:lang w:val="en-US" w:eastAsia="zh-CN"/>
        </w:rPr>
        <w:t>科普专项业务费</w:t>
      </w:r>
      <w:r>
        <w:rPr>
          <w:rFonts w:hint="eastAsia" w:ascii="仿宋_GB2312" w:hAnsi="仿宋_GB2312" w:eastAsia="仿宋_GB2312" w:cs="仿宋_GB2312"/>
          <w:color w:val="auto"/>
          <w:sz w:val="32"/>
          <w:szCs w:val="32"/>
          <w:highlight w:val="none"/>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color w:val="auto"/>
          <w:sz w:val="32"/>
          <w:szCs w:val="32"/>
          <w:highlight w:val="none"/>
          <w:lang w:val="en-US" w:eastAsia="zh-CN"/>
        </w:rPr>
        <w:t>科普专项业务费</w:t>
      </w:r>
      <w:r>
        <w:rPr>
          <w:rFonts w:hint="eastAsia" w:ascii="仿宋_GB2312" w:hAnsi="仿宋_GB2312" w:eastAsia="仿宋_GB2312" w:cs="仿宋_GB2312"/>
          <w:color w:val="auto"/>
          <w:sz w:val="32"/>
          <w:szCs w:val="32"/>
          <w:highlight w:val="none"/>
        </w:rPr>
        <w:t>资金的拨付程序，认真审核项目实施各阶段的相关材料和手续，根据项目实施进展情况拨付资金。</w:t>
      </w:r>
    </w:p>
    <w:p w14:paraId="05FBC956">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（2）预算资金来源及使用情况</w:t>
      </w:r>
      <w:bookmarkStart w:id="0" w:name="page10"/>
      <w:bookmarkEnd w:id="0"/>
    </w:p>
    <w:p w14:paraId="4C32ED34">
      <w:pPr>
        <w:pStyle w:val="18"/>
        <w:keepNext w:val="0"/>
        <w:keepLines w:val="0"/>
        <w:pageBreakBefore w:val="0"/>
        <w:kinsoku/>
        <w:wordWrap/>
        <w:overflowPunct/>
        <w:topLinePunct w:val="0"/>
        <w:autoSpaceDE/>
        <w:autoSpaceDN/>
        <w:bidi w:val="0"/>
        <w:adjustRightInd/>
        <w:spacing w:before="0" w:after="0" w:line="560" w:lineRule="exact"/>
        <w:ind w:firstLine="640" w:firstLineChars="200"/>
        <w:jc w:val="both"/>
        <w:textAlignment w:val="auto"/>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项目资金到位</w:t>
      </w:r>
      <w:r>
        <w:rPr>
          <w:rFonts w:hint="eastAsia" w:ascii="仿宋_GB2312" w:hAnsi="仿宋_GB2312" w:eastAsia="仿宋_GB2312" w:cs="仿宋_GB2312"/>
          <w:b w:val="0"/>
          <w:bCs w:val="0"/>
          <w:color w:val="auto"/>
          <w:kern w:val="2"/>
          <w:highlight w:val="none"/>
          <w:lang w:val="en-US" w:eastAsia="zh-CN"/>
        </w:rPr>
        <w:t>30</w:t>
      </w:r>
      <w:r>
        <w:rPr>
          <w:rFonts w:hint="eastAsia" w:ascii="仿宋_GB2312" w:hAnsi="仿宋_GB2312" w:eastAsia="仿宋_GB2312" w:cs="仿宋_GB2312"/>
          <w:b w:val="0"/>
          <w:bCs w:val="0"/>
          <w:color w:val="auto"/>
          <w:kern w:val="2"/>
          <w:highlight w:val="none"/>
        </w:rPr>
        <w:t>万元，实际支出27.84万元，用于支付项目实施进程中的各项费用。</w:t>
      </w:r>
    </w:p>
    <w:p w14:paraId="665A5672">
      <w:pPr>
        <w:keepNext w:val="0"/>
        <w:keepLines w:val="0"/>
        <w:pageBreakBefore w:val="0"/>
        <w:kinsoku/>
        <w:wordWrap/>
        <w:overflowPunct/>
        <w:topLinePunct w:val="0"/>
        <w:autoSpaceDE/>
        <w:autoSpaceDN/>
        <w:bidi w:val="0"/>
        <w:adjustRightInd/>
        <w:spacing w:line="560" w:lineRule="exact"/>
        <w:ind w:firstLine="641"/>
        <w:textAlignment w:val="auto"/>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（二）项目绩效目标</w:t>
      </w:r>
    </w:p>
    <w:p w14:paraId="2C555168">
      <w:pPr>
        <w:keepNext w:val="0"/>
        <w:keepLines w:val="0"/>
        <w:pageBreakBefore w:val="0"/>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1、总体目标</w:t>
      </w:r>
    </w:p>
    <w:p w14:paraId="3776CE9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contextualSpacing/>
        <w:textAlignment w:val="auto"/>
        <w:rPr>
          <w:color w:val="auto"/>
          <w:highlight w:val="none"/>
        </w:rPr>
      </w:pPr>
      <w:r>
        <w:rPr>
          <w:rFonts w:hint="eastAsia" w:ascii="仿宋_GB2312" w:hAnsi="仿宋" w:eastAsia="仿宋_GB2312"/>
          <w:color w:val="auto"/>
          <w:sz w:val="32"/>
          <w:szCs w:val="32"/>
          <w:highlight w:val="none"/>
          <w:lang w:eastAsia="zh-CN"/>
        </w:rPr>
        <w:t>全面推动《全民科学素质行动计划纲要》实施，以未成年人、领导干部和公务员、农牧民、城镇劳动者、社区居民五大重点人群开展面向基层、服务民生</w:t>
      </w:r>
      <w:bookmarkStart w:id="2" w:name="_GoBack"/>
      <w:bookmarkEnd w:id="2"/>
      <w:r>
        <w:rPr>
          <w:rFonts w:hint="eastAsia" w:ascii="仿宋_GB2312" w:hAnsi="仿宋" w:eastAsia="仿宋_GB2312"/>
          <w:color w:val="auto"/>
          <w:sz w:val="32"/>
          <w:szCs w:val="32"/>
          <w:highlight w:val="none"/>
          <w:lang w:eastAsia="zh-CN"/>
        </w:rPr>
        <w:t>、服务基层系列科技服务活动；加强科普信息化建设，使科普基础设施的服务能力不断增强，科普传播与信息化水平显著提高，科普人才队伍不断发展壮大，区域科普公共服务差距不断缩小，公民提高科学素质的机会与途径显著增多；大力开展科学普及工作，讲好科学故事，倡导文明理性，帮助和引导各族人民群众提高科学认知能力，崇尚科学生活方式，树立科学发展理念，自觉</w:t>
      </w:r>
      <w:r>
        <w:rPr>
          <w:rFonts w:hint="eastAsia" w:ascii="仿宋_GB2312" w:hAnsi="仿宋" w:eastAsia="仿宋_GB2312"/>
          <w:color w:val="auto"/>
          <w:sz w:val="32"/>
          <w:szCs w:val="32"/>
          <w:highlight w:val="none"/>
          <w:lang w:val="en-US" w:eastAsia="zh-CN"/>
        </w:rPr>
        <w:t>抵御</w:t>
      </w:r>
      <w:r>
        <w:rPr>
          <w:rFonts w:hint="eastAsia" w:ascii="仿宋_GB2312" w:hAnsi="仿宋" w:eastAsia="仿宋_GB2312"/>
          <w:color w:val="auto"/>
          <w:sz w:val="32"/>
          <w:szCs w:val="32"/>
          <w:highlight w:val="none"/>
          <w:lang w:eastAsia="zh-CN"/>
        </w:rPr>
        <w:t>不良思想。</w:t>
      </w:r>
    </w:p>
    <w:p w14:paraId="22A61E3D">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2、阶段性目标</w:t>
      </w:r>
    </w:p>
    <w:p w14:paraId="48C87111">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（1）前期准备：根据《</w:t>
      </w:r>
      <w:r>
        <w:rPr>
          <w:rFonts w:hint="eastAsia" w:ascii="仿宋_GB2312" w:hAnsi="仿宋_GB2312" w:eastAsia="仿宋_GB2312" w:cs="仿宋_GB2312"/>
          <w:color w:val="auto"/>
          <w:sz w:val="32"/>
          <w:szCs w:val="32"/>
          <w:highlight w:val="none"/>
          <w:lang w:val="en-US" w:eastAsia="zh-CN"/>
        </w:rPr>
        <w:t>塔城地区科协预算绩效管理工作实施</w:t>
      </w:r>
      <w:r>
        <w:rPr>
          <w:rFonts w:hint="eastAsia" w:ascii="仿宋_GB2312" w:hAnsi="仿宋_GB2312" w:eastAsia="仿宋_GB2312" w:cs="仿宋_GB2312"/>
          <w:color w:val="auto"/>
          <w:sz w:val="32"/>
          <w:szCs w:val="32"/>
          <w:highlight w:val="none"/>
        </w:rPr>
        <w:t>方案》，通过制定项目实施方案，经项目负责人审核通过后，有序开展后续工程。</w:t>
      </w:r>
    </w:p>
    <w:p w14:paraId="3E2F24F7">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（2）组织实施：资金一到位，立即根据项目要求实施项目。项目责任人按照《</w:t>
      </w:r>
      <w:r>
        <w:rPr>
          <w:rFonts w:hint="eastAsia" w:ascii="仿宋_GB2312" w:hAnsi="仿宋_GB2312" w:eastAsia="仿宋_GB2312" w:cs="仿宋_GB2312"/>
          <w:color w:val="auto"/>
          <w:sz w:val="32"/>
          <w:szCs w:val="32"/>
          <w:highlight w:val="none"/>
          <w:lang w:val="en-US" w:eastAsia="zh-CN"/>
        </w:rPr>
        <w:t>塔城地区科协预算绩效管理工作实施</w:t>
      </w:r>
      <w:r>
        <w:rPr>
          <w:rFonts w:hint="eastAsia" w:ascii="仿宋_GB2312" w:hAnsi="仿宋_GB2312" w:eastAsia="仿宋_GB2312" w:cs="仿宋_GB2312"/>
          <w:color w:val="auto"/>
          <w:sz w:val="32"/>
          <w:szCs w:val="32"/>
          <w:highlight w:val="none"/>
        </w:rPr>
        <w:t>方案》要求逐一进行项目部署安排，提高项目质量及效率性。</w:t>
      </w:r>
    </w:p>
    <w:p w14:paraId="0C3F470D">
      <w:pPr>
        <w:keepNext w:val="0"/>
        <w:keepLines w:val="0"/>
        <w:pageBreakBefore w:val="0"/>
        <w:kinsoku/>
        <w:wordWrap/>
        <w:overflowPunct/>
        <w:topLinePunct w:val="0"/>
        <w:autoSpaceDE/>
        <w:autoSpaceDN/>
        <w:bidi w:val="0"/>
        <w:adjustRightIn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14:paraId="77DD7D8B">
      <w:pPr>
        <w:keepNext w:val="0"/>
        <w:keepLines w:val="0"/>
        <w:pageBreakBefore w:val="0"/>
        <w:kinsoku/>
        <w:wordWrap/>
        <w:overflowPunct/>
        <w:topLinePunct w:val="0"/>
        <w:autoSpaceDE/>
        <w:autoSpaceDN/>
        <w:bidi w:val="0"/>
        <w:adjustRightIn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14:paraId="12A75682">
      <w:pPr>
        <w:pStyle w:val="18"/>
        <w:keepNext w:val="0"/>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14:paraId="39159314">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46EF3538">
      <w:pPr>
        <w:keepNext w:val="0"/>
        <w:keepLines w:val="0"/>
        <w:pageBreakBefore w:val="0"/>
        <w:numPr>
          <w:ilvl w:val="0"/>
          <w:numId w:val="2"/>
        </w:numPr>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14:paraId="35647AA6">
      <w:pPr>
        <w:keepNext w:val="0"/>
        <w:keepLines w:val="0"/>
        <w:pageBreakBefore w:val="0"/>
        <w:widowControl w:val="0"/>
        <w:kinsoku/>
        <w:wordWrap/>
        <w:overflowPunct/>
        <w:topLinePunct w:val="0"/>
        <w:autoSpaceDE/>
        <w:autoSpaceDN/>
        <w:bidi w:val="0"/>
        <w:adjustRightInd/>
        <w:snapToGrid/>
        <w:spacing w:line="560" w:lineRule="exac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14:paraId="5316EEDA">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14:paraId="540AD910">
      <w:pPr>
        <w:pStyle w:val="18"/>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14:paraId="0A164102">
      <w:pPr>
        <w:pStyle w:val="18"/>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highlight w:val="none"/>
          <w:lang w:val="en-US" w:eastAsia="zh-CN"/>
        </w:rPr>
        <w:t>本次评价对象科普专项业务费项目。</w:t>
      </w:r>
    </w:p>
    <w:p w14:paraId="785DF78F">
      <w:pPr>
        <w:pStyle w:val="18"/>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14:paraId="0FDD6FD5">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进行评价，评价核心为专项资金的支出完成情况和效果。</w:t>
      </w:r>
    </w:p>
    <w:p w14:paraId="3E2EAF18">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14:paraId="7C7F5548">
      <w:pPr>
        <w:pStyle w:val="18"/>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14:paraId="5562BAA0">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3FB1C705">
      <w:pPr>
        <w:pStyle w:val="18"/>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14:paraId="6D312CB0">
      <w:pPr>
        <w:pStyle w:val="18"/>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14:paraId="672CDC10">
      <w:pPr>
        <w:pStyle w:val="18"/>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14:paraId="4AC03009">
      <w:pPr>
        <w:pStyle w:val="18"/>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14:paraId="2704F66F">
      <w:pPr>
        <w:pStyle w:val="18"/>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14:paraId="7BB18EB7">
      <w:pPr>
        <w:keepNext w:val="0"/>
        <w:keepLines w:val="0"/>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35AA7A34">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52C2346C">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14:paraId="26604BFA">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68233956">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highlight w:val="none"/>
        </w:rPr>
        <w:t>权重为</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w:t>
      </w:r>
    </w:p>
    <w:p w14:paraId="6CD58735">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5C549CB1">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194612E7">
      <w:pPr>
        <w:pStyle w:val="18"/>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14:paraId="5B6949FF">
      <w:pPr>
        <w:pStyle w:val="18"/>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14:paraId="270330B3">
      <w:pPr>
        <w:pStyle w:val="18"/>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14:paraId="78DBCA2A">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5E5635C">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AE0C602">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14:paraId="61C87462">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14:paraId="3A8E8E0A">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14:paraId="5D8974D6">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14:paraId="3FEC0B69">
      <w:pPr>
        <w:pStyle w:val="53"/>
        <w:keepNext w:val="0"/>
        <w:keepLines w:val="0"/>
        <w:pageBreakBefore w:val="0"/>
        <w:kinsoku/>
        <w:wordWrap/>
        <w:overflowPunct/>
        <w:topLinePunct w:val="0"/>
        <w:autoSpaceDE/>
        <w:autoSpaceDN/>
        <w:bidi w:val="0"/>
        <w:adjustRightInd/>
        <w:snapToGrid/>
        <w:spacing w:after="0" w:line="560" w:lineRule="exact"/>
        <w:textAlignment w:val="auto"/>
        <w:rPr>
          <w:rFonts w:hint="default" w:eastAsia="仿宋_GB2312"/>
          <w:b/>
          <w:bCs/>
          <w:lang w:val="en-US" w:eastAsia="zh-CN"/>
        </w:rPr>
      </w:pPr>
      <w:r>
        <w:rPr>
          <w:rFonts w:hint="eastAsia" w:ascii="仿宋_GB2312" w:hAnsi="仿宋_GB2312" w:eastAsia="仿宋_GB2312" w:cs="仿宋_GB2312"/>
          <w:b/>
          <w:bCs/>
          <w:color w:val="000000"/>
          <w:spacing w:val="17"/>
          <w:sz w:val="32"/>
          <w:szCs w:val="32"/>
          <w:lang w:val="en-US" w:eastAsia="zh-CN"/>
        </w:rPr>
        <w:t>4、评价标准</w:t>
      </w:r>
    </w:p>
    <w:p w14:paraId="43FD020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绩效评价标准通常包括计划标准、行业标准、历史标准等，用于对绩效指标完成情况进行比较。本次评价主要采用了计划标准和历史标准。</w:t>
      </w:r>
    </w:p>
    <w:p w14:paraId="38FD807D">
      <w:pPr>
        <w:pStyle w:val="18"/>
        <w:keepNext w:val="0"/>
        <w:keepLines w:val="0"/>
        <w:pageBreakBefore w:val="0"/>
        <w:numPr>
          <w:ilvl w:val="0"/>
          <w:numId w:val="3"/>
        </w:numPr>
        <w:kinsoku/>
        <w:wordWrap/>
        <w:overflowPunct/>
        <w:topLinePunct w:val="0"/>
        <w:autoSpaceDE/>
        <w:autoSpaceDN/>
        <w:bidi w:val="0"/>
        <w:adjustRightInd/>
        <w:snapToGrid/>
        <w:spacing w:before="0" w:after="0" w:line="560" w:lineRule="exact"/>
        <w:jc w:val="both"/>
        <w:textAlignment w:val="auto"/>
        <w:rPr>
          <w:rFonts w:hint="eastAsia" w:ascii="楷体" w:hAnsi="楷体" w:eastAsia="楷体" w:cs="楷体"/>
          <w:color w:val="000000"/>
          <w:spacing w:val="17"/>
          <w:sz w:val="32"/>
          <w:szCs w:val="32"/>
          <w:lang w:val="en-US" w:eastAsia="zh-CN"/>
        </w:rPr>
      </w:pPr>
      <w:r>
        <w:rPr>
          <w:rFonts w:hint="eastAsia" w:ascii="楷体" w:hAnsi="楷体" w:eastAsia="楷体" w:cs="楷体"/>
          <w:color w:val="000000"/>
          <w:spacing w:val="17"/>
          <w:sz w:val="32"/>
          <w:szCs w:val="32"/>
          <w:lang w:val="en-US" w:eastAsia="zh-CN"/>
        </w:rPr>
        <w:t>绩效评价工作过程</w:t>
      </w:r>
    </w:p>
    <w:p w14:paraId="7897748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3CA58EEB">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46DFA6BC">
      <w:pPr>
        <w:keepNext w:val="0"/>
        <w:keepLines w:val="0"/>
        <w:pageBreakBefore w:val="0"/>
        <w:kinsoku/>
        <w:wordWrap/>
        <w:overflowPunct/>
        <w:topLinePunct w:val="0"/>
        <w:autoSpaceDE/>
        <w:autoSpaceDN/>
        <w:bidi w:val="0"/>
        <w:adjustRightInd/>
        <w:spacing w:line="560" w:lineRule="exact"/>
        <w:ind w:firstLine="640" w:firstLineChars="200"/>
        <w:textAlignment w:val="auto"/>
      </w:pPr>
      <w:r>
        <w:rPr>
          <w:rFonts w:hint="eastAsia" w:ascii="仿宋_GB2312" w:hAnsi="仿宋_GB2312" w:eastAsia="仿宋_GB2312" w:cs="仿宋_GB2312"/>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26FF61C1">
      <w:pPr>
        <w:keepNext w:val="0"/>
        <w:keepLines w:val="0"/>
        <w:pageBreakBefore w:val="0"/>
        <w:numPr>
          <w:ilvl w:val="0"/>
          <w:numId w:val="0"/>
        </w:numPr>
        <w:kinsoku/>
        <w:wordWrap/>
        <w:overflowPunct/>
        <w:topLinePunct w:val="0"/>
        <w:autoSpaceDE/>
        <w:autoSpaceDN/>
        <w:bidi w:val="0"/>
        <w:adjustRightInd/>
        <w:snapToGrid/>
        <w:spacing w:line="560" w:lineRule="exact"/>
        <w:ind w:left="630" w:leftChars="0"/>
        <w:textAlignment w:val="auto"/>
        <w:rPr>
          <w:rFonts w:ascii="黑体" w:hAnsi="黑体" w:eastAsia="黑体" w:cs="黑体"/>
          <w:b/>
          <w:bCs/>
          <w:sz w:val="32"/>
          <w:szCs w:val="32"/>
        </w:rPr>
      </w:pPr>
      <w:r>
        <w:rPr>
          <w:rFonts w:hint="eastAsia" w:ascii="黑体" w:hAnsi="黑体" w:eastAsia="黑体" w:cs="黑体"/>
          <w:b/>
          <w:bCs/>
          <w:sz w:val="32"/>
          <w:szCs w:val="32"/>
          <w:lang w:val="en-US" w:eastAsia="zh-CN"/>
        </w:rPr>
        <w:t>三、</w:t>
      </w:r>
      <w:r>
        <w:rPr>
          <w:rFonts w:hint="eastAsia" w:ascii="黑体" w:hAnsi="黑体" w:eastAsia="黑体" w:cs="黑体"/>
          <w:b/>
          <w:bCs/>
          <w:sz w:val="32"/>
          <w:szCs w:val="32"/>
        </w:rPr>
        <w:t>综合评价情况及评价结论（附相关评分表）</w:t>
      </w:r>
    </w:p>
    <w:p w14:paraId="19899D37">
      <w:pPr>
        <w:pStyle w:val="18"/>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科普专项业务费</w:t>
      </w:r>
      <w:r>
        <w:rPr>
          <w:rFonts w:hint="eastAsia" w:ascii="仿宋_GB2312" w:hAnsi="仿宋_GB2312" w:eastAsia="仿宋_GB2312" w:cs="仿宋_GB2312"/>
          <w:b w:val="0"/>
          <w:bCs w:val="0"/>
          <w:highlight w:val="none"/>
        </w:rPr>
        <w:t>项目进行客观评价，最终评分结果：总得分为</w:t>
      </w:r>
      <w:r>
        <w:rPr>
          <w:rFonts w:hint="eastAsia" w:ascii="仿宋_GB2312" w:hAnsi="仿宋_GB2312" w:eastAsia="仿宋_GB2312" w:cs="仿宋_GB2312"/>
          <w:b w:val="0"/>
          <w:bCs w:val="0"/>
          <w:highlight w:val="none"/>
          <w:lang w:val="en-US" w:eastAsia="zh-CN"/>
        </w:rPr>
        <w:t>96.42</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w:t>
      </w:r>
      <w:r>
        <w:rPr>
          <w:rFonts w:hint="eastAsia" w:ascii="仿宋_GB2312" w:hAnsi="仿宋_GB2312" w:eastAsia="仿宋_GB2312" w:cs="仿宋_GB2312"/>
          <w:b w:val="0"/>
          <w:bCs w:val="0"/>
          <w:highlight w:val="none"/>
          <w:lang w:val="en-US" w:eastAsia="zh-CN"/>
        </w:rPr>
        <w:t>5</w:t>
      </w:r>
      <w:r>
        <w:rPr>
          <w:rFonts w:hint="eastAsia" w:ascii="仿宋_GB2312" w:hAnsi="仿宋_GB2312" w:eastAsia="仿宋_GB2312" w:cs="仿宋_GB2312"/>
          <w:b w:val="0"/>
          <w:bCs w:val="0"/>
          <w:highlight w:val="none"/>
        </w:rPr>
        <w:t>分，得分率为</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%。项目产出类指标权重为50分，得分为</w:t>
      </w:r>
      <w:r>
        <w:rPr>
          <w:rFonts w:hint="eastAsia" w:ascii="仿宋_GB2312" w:hAnsi="仿宋_GB2312" w:eastAsia="仿宋_GB2312" w:cs="仿宋_GB2312"/>
          <w:b w:val="0"/>
          <w:bCs w:val="0"/>
          <w:highlight w:val="none"/>
          <w:lang w:val="en-US" w:eastAsia="zh-CN"/>
        </w:rPr>
        <w:t>46.42</w:t>
      </w:r>
      <w:r>
        <w:rPr>
          <w:rFonts w:hint="eastAsia" w:ascii="仿宋_GB2312" w:hAnsi="仿宋_GB2312" w:eastAsia="仿宋_GB2312" w:cs="仿宋_GB2312"/>
          <w:b w:val="0"/>
          <w:bCs w:val="0"/>
          <w:highlight w:val="none"/>
        </w:rPr>
        <w:t>分，得分率为</w:t>
      </w:r>
      <w:r>
        <w:rPr>
          <w:rFonts w:hint="eastAsia" w:ascii="仿宋_GB2312" w:hAnsi="仿宋_GB2312" w:eastAsia="仿宋_GB2312" w:cs="仿宋_GB2312"/>
          <w:b w:val="0"/>
          <w:bCs w:val="0"/>
          <w:highlight w:val="none"/>
          <w:lang w:val="en-US" w:eastAsia="zh-CN"/>
        </w:rPr>
        <w:t>92.8</w:t>
      </w:r>
      <w:r>
        <w:rPr>
          <w:rFonts w:hint="eastAsia" w:ascii="仿宋_GB2312" w:hAnsi="仿宋_GB2312" w:eastAsia="仿宋_GB2312" w:cs="仿宋_GB2312"/>
          <w:b w:val="0"/>
          <w:bCs w:val="0"/>
          <w:highlight w:val="none"/>
        </w:rPr>
        <w:t>%。项目效益类指标权重为40分，得分为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w:t>
      </w:r>
    </w:p>
    <w:p w14:paraId="2D2C3E96">
      <w:pPr>
        <w:pStyle w:val="18"/>
        <w:keepNext w:val="0"/>
        <w:keepLines w:val="0"/>
        <w:pageBreakBefore w:val="0"/>
        <w:kinsoku/>
        <w:wordWrap/>
        <w:overflowPunct/>
        <w:topLinePunct w:val="0"/>
        <w:autoSpaceDE/>
        <w:autoSpaceDN/>
        <w:bidi w:val="0"/>
        <w:adjustRightInd/>
        <w:spacing w:before="0" w:after="0"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14:paraId="5D2FE85E">
      <w:pPr>
        <w:pageBreakBefore w:val="0"/>
        <w:kinsoku/>
        <w:wordWrap/>
        <w:overflowPunct/>
        <w:topLinePunct w:val="0"/>
        <w:autoSpaceDE/>
        <w:autoSpaceDN/>
        <w:bidi w:val="0"/>
        <w:adjustRightInd/>
        <w:spacing w:line="560" w:lineRule="exact"/>
        <w:textAlignment w:val="auto"/>
      </w:pPr>
    </w:p>
    <w:tbl>
      <w:tblPr>
        <w:tblStyle w:val="20"/>
        <w:tblpPr w:leftFromText="180" w:rightFromText="180" w:vertAnchor="text" w:horzAnchor="page" w:tblpX="1412" w:tblpY="-67"/>
        <w:tblOverlap w:val="never"/>
        <w:tblW w:w="9108"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28"/>
        <w:gridCol w:w="804"/>
        <w:gridCol w:w="1176"/>
        <w:gridCol w:w="1580"/>
        <w:gridCol w:w="727"/>
        <w:gridCol w:w="957"/>
        <w:gridCol w:w="924"/>
        <w:gridCol w:w="984"/>
        <w:gridCol w:w="828"/>
      </w:tblGrid>
      <w:tr w14:paraId="791E3D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28" w:type="dxa"/>
            <w:shd w:val="clear" w:color="auto" w:fill="BFBFBF"/>
            <w:vAlign w:val="center"/>
          </w:tcPr>
          <w:p w14:paraId="02EBD571">
            <w:pPr>
              <w:pageBreakBefore w:val="0"/>
              <w:widowControl/>
              <w:kinsoku/>
              <w:wordWrap/>
              <w:overflowPunct/>
              <w:topLinePunct w:val="0"/>
              <w:autoSpaceDE/>
              <w:autoSpaceDN/>
              <w:bidi w:val="0"/>
              <w:adjustRightIn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804" w:type="dxa"/>
            <w:shd w:val="clear" w:color="auto" w:fill="BFBFBF"/>
            <w:vAlign w:val="center"/>
          </w:tcPr>
          <w:p w14:paraId="055B48A1">
            <w:pPr>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176" w:type="dxa"/>
            <w:shd w:val="clear" w:color="auto" w:fill="BFBFBF"/>
            <w:vAlign w:val="center"/>
          </w:tcPr>
          <w:p w14:paraId="560426A3">
            <w:pPr>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580" w:type="dxa"/>
            <w:shd w:val="clear" w:color="auto" w:fill="BFBFBF"/>
            <w:vAlign w:val="center"/>
          </w:tcPr>
          <w:p w14:paraId="4ECC88EB">
            <w:pPr>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14:paraId="43A4D7B9">
            <w:pPr>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957" w:type="dxa"/>
            <w:shd w:val="clear" w:color="auto" w:fill="BFBFBF"/>
            <w:vAlign w:val="center"/>
          </w:tcPr>
          <w:p w14:paraId="0728B6CB">
            <w:pPr>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14:paraId="0F87F3DA">
            <w:pPr>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984" w:type="dxa"/>
            <w:shd w:val="clear" w:color="auto" w:fill="BFBFBF"/>
            <w:vAlign w:val="center"/>
          </w:tcPr>
          <w:p w14:paraId="768956A3">
            <w:pPr>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828" w:type="dxa"/>
            <w:shd w:val="clear" w:color="auto" w:fill="BFBFBF"/>
            <w:vAlign w:val="center"/>
          </w:tcPr>
          <w:p w14:paraId="5E825305">
            <w:pPr>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5DC2C7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restart"/>
            <w:shd w:val="clear" w:color="auto" w:fill="FFFFFF"/>
            <w:vAlign w:val="center"/>
          </w:tcPr>
          <w:p w14:paraId="6E323F2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14:paraId="77AF575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14:paraId="7BF1BD3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14:paraId="4A73814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804" w:type="dxa"/>
            <w:vMerge w:val="restart"/>
            <w:shd w:val="clear" w:color="auto" w:fill="FFFFFF"/>
            <w:vAlign w:val="center"/>
          </w:tcPr>
          <w:p w14:paraId="7120B0C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176" w:type="dxa"/>
            <w:vMerge w:val="restart"/>
            <w:shd w:val="clear" w:color="auto" w:fill="FFFFFF"/>
            <w:vAlign w:val="center"/>
          </w:tcPr>
          <w:p w14:paraId="09A61F4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580" w:type="dxa"/>
            <w:shd w:val="clear" w:color="auto" w:fill="FFFFFF"/>
            <w:vAlign w:val="center"/>
          </w:tcPr>
          <w:p w14:paraId="1EB3812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14:paraId="2342332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14:paraId="1FB7CD2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57" w:type="dxa"/>
            <w:shd w:val="clear" w:color="auto" w:fill="FFFFFF"/>
            <w:vAlign w:val="center"/>
          </w:tcPr>
          <w:p w14:paraId="53E872C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14:paraId="731E624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84" w:type="dxa"/>
            <w:shd w:val="clear" w:color="auto" w:fill="FFFFFF"/>
            <w:vAlign w:val="center"/>
          </w:tcPr>
          <w:p w14:paraId="3A7FBDF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auto" w:fill="FFFFFF"/>
            <w:vAlign w:val="center"/>
          </w:tcPr>
          <w:p w14:paraId="5E9967B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14:paraId="141D72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373D483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4EE9513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vMerge w:val="continue"/>
            <w:shd w:val="clear" w:color="auto" w:fill="FFFFFF"/>
            <w:vAlign w:val="center"/>
          </w:tcPr>
          <w:p w14:paraId="32E4337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580" w:type="dxa"/>
            <w:shd w:val="clear" w:color="auto" w:fill="FFFFFF"/>
            <w:vAlign w:val="center"/>
          </w:tcPr>
          <w:p w14:paraId="5FEBB1F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14:paraId="4F83FB5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14:paraId="42342D7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57" w:type="dxa"/>
            <w:shd w:val="clear" w:color="auto" w:fill="FFFFFF"/>
            <w:vAlign w:val="center"/>
          </w:tcPr>
          <w:p w14:paraId="58DDBEB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14:paraId="3B90633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84" w:type="dxa"/>
            <w:shd w:val="clear" w:color="auto" w:fill="FFFFFF"/>
            <w:vAlign w:val="center"/>
          </w:tcPr>
          <w:p w14:paraId="707E43C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auto" w:fill="FFFFFF"/>
            <w:vAlign w:val="center"/>
          </w:tcPr>
          <w:p w14:paraId="67425AA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14:paraId="769FF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23218DE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6EDFECF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vMerge w:val="restart"/>
            <w:shd w:val="clear" w:color="auto" w:fill="FFFFFF"/>
            <w:vAlign w:val="center"/>
          </w:tcPr>
          <w:p w14:paraId="2659787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580" w:type="dxa"/>
            <w:shd w:val="clear" w:color="auto" w:fill="FFFFFF"/>
            <w:vAlign w:val="center"/>
          </w:tcPr>
          <w:p w14:paraId="16DBB42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14:paraId="23C4015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14:paraId="5E2F344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57" w:type="dxa"/>
            <w:shd w:val="clear" w:color="000000" w:fill="FFFFFF"/>
            <w:vAlign w:val="center"/>
          </w:tcPr>
          <w:p w14:paraId="623EB18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p>
        </w:tc>
        <w:tc>
          <w:tcPr>
            <w:tcW w:w="924" w:type="dxa"/>
            <w:shd w:val="clear" w:color="000000" w:fill="FFFFFF"/>
            <w:vAlign w:val="center"/>
          </w:tcPr>
          <w:p w14:paraId="3362B83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p>
        </w:tc>
        <w:tc>
          <w:tcPr>
            <w:tcW w:w="984" w:type="dxa"/>
            <w:shd w:val="clear" w:color="000000" w:fill="FFFFFF"/>
            <w:vAlign w:val="center"/>
          </w:tcPr>
          <w:p w14:paraId="7590CB2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828" w:type="dxa"/>
            <w:shd w:val="clear" w:color="000000" w:fill="FFFFFF"/>
            <w:vAlign w:val="center"/>
          </w:tcPr>
          <w:p w14:paraId="632CA4D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04039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31BA74A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396881C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vMerge w:val="continue"/>
            <w:shd w:val="clear" w:color="auto" w:fill="FFFFFF"/>
            <w:vAlign w:val="center"/>
          </w:tcPr>
          <w:p w14:paraId="34D7BC6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580" w:type="dxa"/>
            <w:shd w:val="clear" w:color="auto" w:fill="FFFFFF"/>
            <w:vAlign w:val="center"/>
          </w:tcPr>
          <w:p w14:paraId="0D4DD15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14:paraId="49CEA3B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14:paraId="683D51A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57" w:type="dxa"/>
            <w:shd w:val="clear" w:color="000000" w:fill="FFFFFF"/>
            <w:vAlign w:val="center"/>
          </w:tcPr>
          <w:p w14:paraId="0C08C12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p>
        </w:tc>
        <w:tc>
          <w:tcPr>
            <w:tcW w:w="924" w:type="dxa"/>
            <w:shd w:val="clear" w:color="000000" w:fill="FFFFFF"/>
            <w:vAlign w:val="center"/>
          </w:tcPr>
          <w:p w14:paraId="6805618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p>
        </w:tc>
        <w:tc>
          <w:tcPr>
            <w:tcW w:w="984" w:type="dxa"/>
            <w:shd w:val="clear" w:color="000000" w:fill="FFFFFF"/>
            <w:vAlign w:val="center"/>
          </w:tcPr>
          <w:p w14:paraId="4811B36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828" w:type="dxa"/>
            <w:shd w:val="clear" w:color="000000" w:fill="FFFFFF"/>
            <w:vAlign w:val="center"/>
          </w:tcPr>
          <w:p w14:paraId="52369A6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08020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6F27994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2A919F8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vMerge w:val="restart"/>
            <w:shd w:val="clear" w:color="auto" w:fill="FFFFFF"/>
            <w:vAlign w:val="center"/>
          </w:tcPr>
          <w:p w14:paraId="3262D89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580" w:type="dxa"/>
            <w:shd w:val="clear" w:color="auto" w:fill="FFFFFF"/>
            <w:vAlign w:val="center"/>
          </w:tcPr>
          <w:p w14:paraId="71D2B82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14:paraId="638DF88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14:paraId="694849E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57" w:type="dxa"/>
            <w:shd w:val="clear" w:color="auto" w:fill="FFFFFF"/>
            <w:vAlign w:val="center"/>
          </w:tcPr>
          <w:p w14:paraId="22EF718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p>
        </w:tc>
        <w:tc>
          <w:tcPr>
            <w:tcW w:w="924" w:type="dxa"/>
            <w:shd w:val="clear" w:color="auto" w:fill="FFFFFF"/>
            <w:vAlign w:val="center"/>
          </w:tcPr>
          <w:p w14:paraId="3502CCD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84" w:type="dxa"/>
            <w:shd w:val="clear" w:color="auto" w:fill="FFFFFF"/>
            <w:vAlign w:val="center"/>
          </w:tcPr>
          <w:p w14:paraId="6BBB502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828" w:type="dxa"/>
            <w:shd w:val="clear" w:color="auto" w:fill="FFFFFF"/>
            <w:vAlign w:val="center"/>
          </w:tcPr>
          <w:p w14:paraId="7B2C610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55DA1D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07AEA11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63702AF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vMerge w:val="continue"/>
            <w:shd w:val="clear" w:color="auto" w:fill="FFFFFF"/>
            <w:vAlign w:val="center"/>
          </w:tcPr>
          <w:p w14:paraId="1B14118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580" w:type="dxa"/>
            <w:shd w:val="clear" w:color="auto" w:fill="FFFFFF"/>
            <w:vAlign w:val="center"/>
          </w:tcPr>
          <w:p w14:paraId="7E82C06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14:paraId="1488368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14:paraId="2A925A4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57" w:type="dxa"/>
            <w:shd w:val="clear" w:color="auto" w:fill="FFFFFF"/>
            <w:vAlign w:val="center"/>
          </w:tcPr>
          <w:p w14:paraId="7E0320B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14:paraId="3B64541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84" w:type="dxa"/>
            <w:shd w:val="clear" w:color="auto" w:fill="FFFFFF"/>
            <w:vAlign w:val="center"/>
          </w:tcPr>
          <w:p w14:paraId="5099349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828" w:type="dxa"/>
            <w:shd w:val="clear" w:color="auto" w:fill="FFFFFF"/>
            <w:vAlign w:val="center"/>
          </w:tcPr>
          <w:p w14:paraId="469F0F8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24D9D5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restart"/>
            <w:shd w:val="clear" w:color="auto" w:fill="FFFFFF"/>
            <w:vAlign w:val="center"/>
          </w:tcPr>
          <w:p w14:paraId="5418F0D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14:paraId="77B1D69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804" w:type="dxa"/>
            <w:vMerge w:val="restart"/>
            <w:shd w:val="clear" w:color="auto" w:fill="FFFFFF"/>
            <w:vAlign w:val="center"/>
          </w:tcPr>
          <w:p w14:paraId="0C8218D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176" w:type="dxa"/>
            <w:vMerge w:val="restart"/>
            <w:shd w:val="clear" w:color="auto" w:fill="FFFFFF"/>
            <w:vAlign w:val="center"/>
          </w:tcPr>
          <w:p w14:paraId="65E0777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580" w:type="dxa"/>
            <w:shd w:val="clear" w:color="auto" w:fill="FFFFFF"/>
            <w:vAlign w:val="center"/>
          </w:tcPr>
          <w:p w14:paraId="7969602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14:paraId="6D8FE9E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57" w:type="dxa"/>
            <w:shd w:val="clear" w:color="000000" w:fill="FFFFFF"/>
            <w:vAlign w:val="center"/>
          </w:tcPr>
          <w:p w14:paraId="5197D83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14:paraId="5799AA6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84" w:type="dxa"/>
            <w:shd w:val="clear" w:color="000000" w:fill="FFFFFF"/>
            <w:vAlign w:val="center"/>
          </w:tcPr>
          <w:p w14:paraId="0A6A2E5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828" w:type="dxa"/>
            <w:shd w:val="clear" w:color="000000" w:fill="FFFFFF"/>
            <w:vAlign w:val="center"/>
          </w:tcPr>
          <w:p w14:paraId="78D9CC8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7398C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5D981E3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607E1EA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vMerge w:val="continue"/>
            <w:shd w:val="clear" w:color="auto" w:fill="FFFFFF"/>
            <w:vAlign w:val="center"/>
          </w:tcPr>
          <w:p w14:paraId="5C8D336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580" w:type="dxa"/>
            <w:shd w:val="clear" w:color="auto" w:fill="FFFFFF"/>
            <w:vAlign w:val="center"/>
          </w:tcPr>
          <w:p w14:paraId="0C47307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14:paraId="5E2A8D0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57" w:type="dxa"/>
            <w:shd w:val="clear" w:color="auto" w:fill="FFFFFF"/>
            <w:vAlign w:val="center"/>
          </w:tcPr>
          <w:p w14:paraId="61C69E2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14:paraId="46CB2CE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84" w:type="dxa"/>
            <w:shd w:val="clear" w:color="auto" w:fill="FFFFFF"/>
            <w:vAlign w:val="center"/>
          </w:tcPr>
          <w:p w14:paraId="18FC83A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auto" w:fill="FFFFFF"/>
            <w:vAlign w:val="center"/>
          </w:tcPr>
          <w:p w14:paraId="5C1C4D0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r>
      <w:tr w14:paraId="34A0E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696C574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39C1A2C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shd w:val="clear" w:color="auto" w:fill="FFFFFF"/>
            <w:vAlign w:val="center"/>
          </w:tcPr>
          <w:p w14:paraId="6FD474A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580" w:type="dxa"/>
            <w:shd w:val="clear" w:color="auto" w:fill="FFFFFF"/>
            <w:vAlign w:val="center"/>
          </w:tcPr>
          <w:p w14:paraId="44B1C20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14:paraId="547372C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14:paraId="65D3525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57" w:type="dxa"/>
            <w:shd w:val="clear" w:color="000000" w:fill="FFFFFF"/>
            <w:vAlign w:val="center"/>
          </w:tcPr>
          <w:p w14:paraId="3B402FD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14:paraId="0764683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84" w:type="dxa"/>
            <w:shd w:val="clear" w:color="000000" w:fill="FFFFFF"/>
            <w:vAlign w:val="center"/>
          </w:tcPr>
          <w:p w14:paraId="519A4B0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000000" w:fill="FFFFFF"/>
            <w:vAlign w:val="center"/>
          </w:tcPr>
          <w:p w14:paraId="49208BB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77D6FB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5D8B2D5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2491D70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vMerge w:val="restart"/>
            <w:shd w:val="clear" w:color="auto" w:fill="FFFFFF"/>
            <w:vAlign w:val="center"/>
          </w:tcPr>
          <w:p w14:paraId="03FAF7A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580" w:type="dxa"/>
            <w:shd w:val="clear" w:color="auto" w:fill="FFFFFF"/>
            <w:vAlign w:val="center"/>
          </w:tcPr>
          <w:p w14:paraId="58170C7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14:paraId="35F5549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14:paraId="10CCF63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57" w:type="dxa"/>
            <w:shd w:val="clear" w:color="000000" w:fill="FFFFFF"/>
            <w:vAlign w:val="center"/>
          </w:tcPr>
          <w:p w14:paraId="4DD2490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14:paraId="0FF5993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84" w:type="dxa"/>
            <w:shd w:val="clear" w:color="000000" w:fill="FFFFFF"/>
            <w:vAlign w:val="center"/>
          </w:tcPr>
          <w:p w14:paraId="7C1A543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000000" w:fill="FFFFFF"/>
            <w:vAlign w:val="center"/>
          </w:tcPr>
          <w:p w14:paraId="0E1014C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730374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2C36B24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7FC6DFF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vMerge w:val="continue"/>
            <w:shd w:val="clear" w:color="auto" w:fill="FFFFFF"/>
            <w:vAlign w:val="center"/>
          </w:tcPr>
          <w:p w14:paraId="4A60F3D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580" w:type="dxa"/>
            <w:shd w:val="clear" w:color="auto" w:fill="FFFFFF"/>
            <w:vAlign w:val="center"/>
          </w:tcPr>
          <w:p w14:paraId="0D9221D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14:paraId="1FD8520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14:paraId="6F53F07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57" w:type="dxa"/>
            <w:shd w:val="clear" w:color="000000" w:fill="FFFFFF"/>
            <w:vAlign w:val="center"/>
          </w:tcPr>
          <w:p w14:paraId="0BC3D1E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14:paraId="1591DFF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84" w:type="dxa"/>
            <w:shd w:val="clear" w:color="000000" w:fill="FFFFFF"/>
            <w:vAlign w:val="center"/>
          </w:tcPr>
          <w:p w14:paraId="002D515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000000" w:fill="FFFFFF"/>
            <w:vAlign w:val="center"/>
          </w:tcPr>
          <w:p w14:paraId="51A4968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7F7A2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restart"/>
            <w:shd w:val="clear" w:color="auto" w:fill="FFFFFF"/>
            <w:vAlign w:val="center"/>
          </w:tcPr>
          <w:p w14:paraId="595ACE1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804" w:type="dxa"/>
            <w:vMerge w:val="restart"/>
            <w:shd w:val="clear" w:color="auto" w:fill="FFFFFF"/>
            <w:vAlign w:val="center"/>
          </w:tcPr>
          <w:p w14:paraId="15151DE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176" w:type="dxa"/>
            <w:shd w:val="clear" w:color="auto" w:fill="FFFFFF"/>
            <w:vAlign w:val="center"/>
          </w:tcPr>
          <w:p w14:paraId="0240FB9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580" w:type="dxa"/>
            <w:shd w:val="clear" w:color="auto" w:fill="FFFFFF"/>
            <w:vAlign w:val="center"/>
          </w:tcPr>
          <w:p w14:paraId="00EBA1D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14:paraId="3E06C66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57" w:type="dxa"/>
            <w:shd w:val="clear" w:color="000000" w:fill="FFFFFF"/>
            <w:vAlign w:val="center"/>
          </w:tcPr>
          <w:p w14:paraId="2381403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14:paraId="5725A49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11.42</w:t>
            </w:r>
          </w:p>
        </w:tc>
        <w:tc>
          <w:tcPr>
            <w:tcW w:w="984" w:type="dxa"/>
            <w:shd w:val="clear" w:color="000000" w:fill="FFFFFF"/>
            <w:vAlign w:val="center"/>
          </w:tcPr>
          <w:p w14:paraId="1E17A62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76.13%</w:t>
            </w:r>
          </w:p>
        </w:tc>
        <w:tc>
          <w:tcPr>
            <w:tcW w:w="828" w:type="dxa"/>
            <w:shd w:val="clear" w:color="000000" w:fill="FFFFFF"/>
            <w:vAlign w:val="center"/>
          </w:tcPr>
          <w:p w14:paraId="57950A0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11.42</w:t>
            </w:r>
          </w:p>
        </w:tc>
      </w:tr>
      <w:tr w14:paraId="14617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0379B06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3492C7C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shd w:val="clear" w:color="auto" w:fill="FFFFFF"/>
            <w:vAlign w:val="center"/>
          </w:tcPr>
          <w:p w14:paraId="5BCDF7E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580" w:type="dxa"/>
            <w:shd w:val="clear" w:color="auto" w:fill="FFFFFF"/>
            <w:vAlign w:val="center"/>
          </w:tcPr>
          <w:p w14:paraId="454CEDE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14:paraId="325607F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57" w:type="dxa"/>
            <w:shd w:val="clear" w:color="000000" w:fill="FFFFFF"/>
            <w:vAlign w:val="center"/>
          </w:tcPr>
          <w:p w14:paraId="5E386CA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14:paraId="5D76C94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84" w:type="dxa"/>
            <w:shd w:val="clear" w:color="000000" w:fill="FFFFFF"/>
            <w:vAlign w:val="center"/>
          </w:tcPr>
          <w:p w14:paraId="228FCD2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000000" w:fill="FFFFFF"/>
            <w:vAlign w:val="center"/>
          </w:tcPr>
          <w:p w14:paraId="25F30E1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14:paraId="61254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05B1FF7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5F8DDA6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shd w:val="clear" w:color="auto" w:fill="FFFFFF"/>
            <w:vAlign w:val="center"/>
          </w:tcPr>
          <w:p w14:paraId="6036A7C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580" w:type="dxa"/>
            <w:shd w:val="clear" w:color="auto" w:fill="FFFFFF"/>
            <w:vAlign w:val="center"/>
          </w:tcPr>
          <w:p w14:paraId="2444239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14:paraId="1FB2FBF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57" w:type="dxa"/>
            <w:shd w:val="clear" w:color="000000" w:fill="FFFFFF"/>
            <w:vAlign w:val="center"/>
          </w:tcPr>
          <w:p w14:paraId="0BA28C6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14:paraId="515552F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84" w:type="dxa"/>
            <w:shd w:val="clear" w:color="000000" w:fill="FFFFFF"/>
            <w:vAlign w:val="center"/>
          </w:tcPr>
          <w:p w14:paraId="54C9E10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000000" w:fill="FFFFFF"/>
            <w:vAlign w:val="center"/>
          </w:tcPr>
          <w:p w14:paraId="46CAB3D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14:paraId="23595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3850BAE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71B7A04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shd w:val="clear" w:color="auto" w:fill="FFFFFF"/>
            <w:vAlign w:val="center"/>
          </w:tcPr>
          <w:p w14:paraId="72CD816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580" w:type="dxa"/>
            <w:shd w:val="clear" w:color="auto" w:fill="FFFFFF"/>
            <w:vAlign w:val="center"/>
          </w:tcPr>
          <w:p w14:paraId="2E45074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14:paraId="101E78C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57" w:type="dxa"/>
            <w:shd w:val="clear" w:color="000000" w:fill="FFFFFF"/>
            <w:vAlign w:val="center"/>
          </w:tcPr>
          <w:p w14:paraId="58560B6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14:paraId="53F1FA4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84" w:type="dxa"/>
            <w:shd w:val="clear" w:color="000000" w:fill="FFFFFF"/>
            <w:vAlign w:val="center"/>
          </w:tcPr>
          <w:p w14:paraId="7C53D54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000000" w:fill="FFFFFF"/>
            <w:vAlign w:val="center"/>
          </w:tcPr>
          <w:p w14:paraId="048BF5D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w:t>
            </w:r>
          </w:p>
        </w:tc>
      </w:tr>
      <w:tr w14:paraId="2696D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restart"/>
            <w:shd w:val="clear" w:color="auto" w:fill="FFFFFF"/>
            <w:vAlign w:val="center"/>
          </w:tcPr>
          <w:p w14:paraId="54F8DC4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804" w:type="dxa"/>
            <w:vMerge w:val="restart"/>
            <w:shd w:val="clear" w:color="auto" w:fill="FFFFFF"/>
            <w:vAlign w:val="center"/>
          </w:tcPr>
          <w:p w14:paraId="13E67A3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176" w:type="dxa"/>
            <w:vMerge w:val="restart"/>
            <w:shd w:val="clear" w:color="auto" w:fill="FFFFFF"/>
            <w:vAlign w:val="center"/>
          </w:tcPr>
          <w:p w14:paraId="687AD93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580" w:type="dxa"/>
            <w:shd w:val="clear" w:color="auto" w:fill="FFFFFF"/>
            <w:vAlign w:val="center"/>
          </w:tcPr>
          <w:p w14:paraId="07009CD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14:paraId="7BE0DF7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14:paraId="24A763E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957" w:type="dxa"/>
            <w:shd w:val="clear" w:color="auto" w:fill="FFFFFF"/>
            <w:vAlign w:val="center"/>
          </w:tcPr>
          <w:p w14:paraId="20467B1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924" w:type="dxa"/>
            <w:shd w:val="clear" w:color="auto" w:fill="FFFFFF"/>
            <w:vAlign w:val="center"/>
          </w:tcPr>
          <w:p w14:paraId="729B65C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984" w:type="dxa"/>
            <w:shd w:val="clear" w:color="auto" w:fill="FFFFFF"/>
            <w:vAlign w:val="center"/>
          </w:tcPr>
          <w:p w14:paraId="2B1DF91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auto" w:fill="FFFFFF"/>
            <w:vAlign w:val="center"/>
          </w:tcPr>
          <w:p w14:paraId="7E1B2CB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r>
      <w:tr w14:paraId="46E69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28" w:type="dxa"/>
            <w:vMerge w:val="continue"/>
            <w:shd w:val="clear" w:color="auto" w:fill="FFFFFF"/>
            <w:vAlign w:val="center"/>
          </w:tcPr>
          <w:p w14:paraId="123426E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04" w:type="dxa"/>
            <w:vMerge w:val="continue"/>
            <w:shd w:val="clear" w:color="auto" w:fill="FFFFFF"/>
            <w:vAlign w:val="center"/>
          </w:tcPr>
          <w:p w14:paraId="1377BFA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76" w:type="dxa"/>
            <w:vMerge w:val="continue"/>
            <w:shd w:val="clear" w:color="auto" w:fill="FFFFFF"/>
            <w:vAlign w:val="center"/>
          </w:tcPr>
          <w:p w14:paraId="1159D00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580" w:type="dxa"/>
            <w:shd w:val="clear" w:color="auto" w:fill="FFFFFF"/>
            <w:vAlign w:val="center"/>
          </w:tcPr>
          <w:p w14:paraId="7BA434B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14:paraId="13321A6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57" w:type="dxa"/>
            <w:shd w:val="clear" w:color="000000" w:fill="FFFFFF"/>
            <w:vAlign w:val="center"/>
          </w:tcPr>
          <w:p w14:paraId="518E509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14:paraId="3D059C8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84" w:type="dxa"/>
            <w:shd w:val="clear" w:color="000000" w:fill="FFFFFF"/>
            <w:vAlign w:val="center"/>
          </w:tcPr>
          <w:p w14:paraId="704915C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28" w:type="dxa"/>
            <w:shd w:val="clear" w:color="000000" w:fill="FFFFFF"/>
            <w:vAlign w:val="center"/>
          </w:tcPr>
          <w:p w14:paraId="68300EE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bl>
    <w:p w14:paraId="3D46BD2E">
      <w:pPr>
        <w:pageBreakBefore w:val="0"/>
        <w:kinsoku/>
        <w:wordWrap/>
        <w:overflowPunct/>
        <w:topLinePunct w:val="0"/>
        <w:autoSpaceDE/>
        <w:autoSpaceDN/>
        <w:bidi w:val="0"/>
        <w:adjustRightInd/>
        <w:spacing w:line="560" w:lineRule="exact"/>
        <w:ind w:firstLine="321" w:firstLineChars="100"/>
        <w:textAlignment w:val="auto"/>
        <w:rPr>
          <w:rFonts w:ascii="黑体" w:hAnsi="黑体" w:eastAsia="黑体"/>
          <w:b/>
          <w:bCs/>
          <w:sz w:val="32"/>
          <w:szCs w:val="32"/>
        </w:rPr>
      </w:pPr>
      <w:r>
        <w:rPr>
          <w:rFonts w:hint="eastAsia" w:ascii="黑体" w:hAnsi="黑体" w:eastAsia="黑体"/>
          <w:b/>
          <w:bCs/>
          <w:sz w:val="32"/>
          <w:szCs w:val="32"/>
        </w:rPr>
        <w:t>四、绩效评价指标分析</w:t>
      </w:r>
    </w:p>
    <w:p w14:paraId="658A3649">
      <w:pPr>
        <w:pStyle w:val="18"/>
        <w:pageBreakBefore w:val="0"/>
        <w:kinsoku/>
        <w:wordWrap/>
        <w:overflowPunct/>
        <w:topLinePunct w:val="0"/>
        <w:autoSpaceDE/>
        <w:autoSpaceDN/>
        <w:bidi w:val="0"/>
        <w:adjustRightIn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14:paraId="4B9B414D">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项目决策指标从立项依据充分性、立项程序规范性、绩效目标合理性、绩效指标明确性、预算编制科学性、资金分配合理性</w:t>
      </w:r>
      <w:r>
        <w:rPr>
          <w:rFonts w:hint="eastAsia" w:ascii="仿宋_GB2312" w:hAnsi="仿宋" w:eastAsia="仿宋_GB2312" w:cstheme="minorBidi"/>
          <w:b w:val="0"/>
          <w:bCs w:val="0"/>
          <w:color w:val="000000" w:themeColor="text1"/>
          <w:kern w:val="2"/>
          <w:sz w:val="32"/>
          <w:szCs w:val="32"/>
          <w:lang w:val="en-US" w:eastAsia="zh-CN" w:bidi="ar-SA"/>
          <w14:textFill>
            <w14:solidFill>
              <w14:schemeClr w14:val="tx1"/>
            </w14:solidFill>
          </w14:textFill>
        </w:rPr>
        <w:t>等</w:t>
      </w:r>
      <w:r>
        <w:rPr>
          <w:rFonts w:hint="eastAsia" w:ascii="仿宋_GB2312" w:hAnsi="仿宋" w:eastAsia="仿宋_GB2312" w:cstheme="minorBidi"/>
          <w:b w:val="0"/>
          <w:bCs w:val="0"/>
          <w:kern w:val="2"/>
          <w:sz w:val="32"/>
          <w:szCs w:val="32"/>
          <w:lang w:val="en-US" w:eastAsia="zh-CN" w:bidi="ar-SA"/>
        </w:rPr>
        <w:t>6个方面对项目的立项决策目标完成情况进行考察，项目决策类指标分值5分，实际得分5分，得分率100%。项目决策指标得分情况如表所示。</w:t>
      </w:r>
    </w:p>
    <w:tbl>
      <w:tblPr>
        <w:tblStyle w:val="20"/>
        <w:tblW w:w="8522" w:type="dxa"/>
        <w:jc w:val="center"/>
        <w:tblLayout w:type="fixed"/>
        <w:tblCellMar>
          <w:top w:w="0" w:type="dxa"/>
          <w:left w:w="108" w:type="dxa"/>
          <w:bottom w:w="0" w:type="dxa"/>
          <w:right w:w="108" w:type="dxa"/>
        </w:tblCellMar>
      </w:tblPr>
      <w:tblGrid>
        <w:gridCol w:w="2517"/>
        <w:gridCol w:w="2269"/>
        <w:gridCol w:w="1986"/>
        <w:gridCol w:w="1750"/>
      </w:tblGrid>
      <w:tr w14:paraId="47CE3FB5">
        <w:tblPrEx>
          <w:tblCellMar>
            <w:top w:w="0" w:type="dxa"/>
            <w:left w:w="108" w:type="dxa"/>
            <w:bottom w:w="0" w:type="dxa"/>
            <w:right w:w="108" w:type="dxa"/>
          </w:tblCellMar>
        </w:tblPrEx>
        <w:trPr>
          <w:trHeight w:val="480" w:hRule="atLeast"/>
          <w:jc w:val="center"/>
        </w:trPr>
        <w:tc>
          <w:tcPr>
            <w:tcW w:w="8522" w:type="dxa"/>
            <w:gridSpan w:val="4"/>
            <w:tcBorders>
              <w:top w:val="nil"/>
              <w:left w:val="nil"/>
              <w:bottom w:val="single" w:color="auto" w:sz="8" w:space="0"/>
              <w:right w:val="nil"/>
            </w:tcBorders>
            <w:shd w:val="clear" w:color="auto" w:fill="auto"/>
            <w:noWrap/>
            <w:vAlign w:val="center"/>
          </w:tcPr>
          <w:p w14:paraId="1E9F717B">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color w:val="000000"/>
                <w:kern w:val="0"/>
                <w:sz w:val="28"/>
                <w:szCs w:val="28"/>
              </w:rPr>
            </w:pPr>
            <w:r>
              <w:rPr>
                <w:rFonts w:hint="eastAsia" w:ascii="方正仿宋_GBK" w:hAnsi="Tahoma" w:eastAsia="方正仿宋_GBK" w:cs="Tahoma"/>
                <w:color w:val="000000"/>
                <w:kern w:val="0"/>
                <w:sz w:val="28"/>
                <w:szCs w:val="28"/>
              </w:rPr>
              <w:t>项目决策指标得分情况</w:t>
            </w:r>
          </w:p>
        </w:tc>
      </w:tr>
      <w:tr w14:paraId="2DF30C09">
        <w:tblPrEx>
          <w:tblCellMar>
            <w:top w:w="0" w:type="dxa"/>
            <w:left w:w="108" w:type="dxa"/>
            <w:bottom w:w="0" w:type="dxa"/>
            <w:right w:w="108" w:type="dxa"/>
          </w:tblCellMar>
        </w:tblPrEx>
        <w:trPr>
          <w:trHeight w:val="510" w:hRule="exact"/>
          <w:jc w:val="center"/>
        </w:trPr>
        <w:tc>
          <w:tcPr>
            <w:tcW w:w="2517" w:type="dxa"/>
            <w:tcBorders>
              <w:top w:val="nil"/>
              <w:left w:val="single" w:color="auto" w:sz="8" w:space="0"/>
              <w:bottom w:val="single" w:color="auto" w:sz="8" w:space="0"/>
              <w:right w:val="single" w:color="auto" w:sz="8" w:space="0"/>
            </w:tcBorders>
            <w:shd w:val="clear" w:color="000000" w:fill="A6A6A6"/>
            <w:vAlign w:val="center"/>
          </w:tcPr>
          <w:p w14:paraId="0702B709">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2269" w:type="dxa"/>
            <w:tcBorders>
              <w:top w:val="nil"/>
              <w:left w:val="nil"/>
              <w:bottom w:val="single" w:color="auto" w:sz="8" w:space="0"/>
              <w:right w:val="single" w:color="auto" w:sz="8" w:space="0"/>
            </w:tcBorders>
            <w:shd w:val="clear" w:color="000000" w:fill="A6A6A6"/>
            <w:vAlign w:val="center"/>
          </w:tcPr>
          <w:p w14:paraId="05E87E80">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986" w:type="dxa"/>
            <w:tcBorders>
              <w:top w:val="nil"/>
              <w:left w:val="nil"/>
              <w:bottom w:val="single" w:color="auto" w:sz="8" w:space="0"/>
              <w:right w:val="single" w:color="auto" w:sz="8" w:space="0"/>
            </w:tcBorders>
            <w:shd w:val="clear" w:color="000000" w:fill="A6A6A6"/>
            <w:vAlign w:val="center"/>
          </w:tcPr>
          <w:p w14:paraId="2C99320C">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750" w:type="dxa"/>
            <w:tcBorders>
              <w:top w:val="nil"/>
              <w:left w:val="nil"/>
              <w:bottom w:val="single" w:color="auto" w:sz="8" w:space="0"/>
              <w:right w:val="single" w:color="auto" w:sz="8" w:space="0"/>
            </w:tcBorders>
            <w:shd w:val="clear" w:color="000000" w:fill="A6A6A6"/>
            <w:vAlign w:val="center"/>
          </w:tcPr>
          <w:p w14:paraId="589B1435">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14:paraId="6E7A448B">
        <w:tblPrEx>
          <w:tblCellMar>
            <w:top w:w="0" w:type="dxa"/>
            <w:left w:w="108" w:type="dxa"/>
            <w:bottom w:w="0" w:type="dxa"/>
            <w:right w:w="108" w:type="dxa"/>
          </w:tblCellMar>
        </w:tblPrEx>
        <w:trPr>
          <w:trHeight w:val="510" w:hRule="exact"/>
          <w:jc w:val="center"/>
        </w:trPr>
        <w:tc>
          <w:tcPr>
            <w:tcW w:w="2517" w:type="dxa"/>
            <w:tcBorders>
              <w:top w:val="nil"/>
              <w:left w:val="single" w:color="auto" w:sz="8" w:space="0"/>
              <w:bottom w:val="single" w:color="auto" w:sz="8" w:space="0"/>
              <w:right w:val="single" w:color="auto" w:sz="8" w:space="0"/>
            </w:tcBorders>
            <w:shd w:val="clear" w:color="auto" w:fill="auto"/>
            <w:vAlign w:val="center"/>
          </w:tcPr>
          <w:p w14:paraId="507378A4">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立项依据充分性</w:t>
            </w:r>
          </w:p>
        </w:tc>
        <w:tc>
          <w:tcPr>
            <w:tcW w:w="2269" w:type="dxa"/>
            <w:tcBorders>
              <w:top w:val="nil"/>
              <w:left w:val="nil"/>
              <w:bottom w:val="single" w:color="auto" w:sz="8" w:space="0"/>
              <w:right w:val="single" w:color="auto" w:sz="8" w:space="0"/>
            </w:tcBorders>
            <w:shd w:val="clear" w:color="auto" w:fill="auto"/>
            <w:vAlign w:val="center"/>
          </w:tcPr>
          <w:p w14:paraId="4E1040C8">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0.5</w:t>
            </w:r>
          </w:p>
        </w:tc>
        <w:tc>
          <w:tcPr>
            <w:tcW w:w="1986" w:type="dxa"/>
            <w:tcBorders>
              <w:top w:val="nil"/>
              <w:left w:val="nil"/>
              <w:bottom w:val="single" w:color="auto" w:sz="8" w:space="0"/>
              <w:right w:val="single" w:color="auto" w:sz="8" w:space="0"/>
            </w:tcBorders>
            <w:shd w:val="clear" w:color="auto" w:fill="auto"/>
            <w:vAlign w:val="center"/>
          </w:tcPr>
          <w:p w14:paraId="39B11B3C">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750" w:type="dxa"/>
            <w:tcBorders>
              <w:top w:val="nil"/>
              <w:left w:val="nil"/>
              <w:bottom w:val="single" w:color="auto" w:sz="8" w:space="0"/>
              <w:right w:val="single" w:color="auto" w:sz="8" w:space="0"/>
            </w:tcBorders>
            <w:shd w:val="clear" w:color="auto" w:fill="auto"/>
            <w:vAlign w:val="center"/>
          </w:tcPr>
          <w:p w14:paraId="4763B38E">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0.5</w:t>
            </w:r>
          </w:p>
        </w:tc>
      </w:tr>
      <w:tr w14:paraId="46A9167B">
        <w:tblPrEx>
          <w:tblCellMar>
            <w:top w:w="0" w:type="dxa"/>
            <w:left w:w="108" w:type="dxa"/>
            <w:bottom w:w="0" w:type="dxa"/>
            <w:right w:w="108" w:type="dxa"/>
          </w:tblCellMar>
        </w:tblPrEx>
        <w:trPr>
          <w:trHeight w:val="510" w:hRule="exact"/>
          <w:jc w:val="center"/>
        </w:trPr>
        <w:tc>
          <w:tcPr>
            <w:tcW w:w="2517" w:type="dxa"/>
            <w:tcBorders>
              <w:top w:val="nil"/>
              <w:left w:val="single" w:color="auto" w:sz="8" w:space="0"/>
              <w:bottom w:val="single" w:color="auto" w:sz="8" w:space="0"/>
              <w:right w:val="single" w:color="auto" w:sz="8" w:space="0"/>
            </w:tcBorders>
            <w:shd w:val="clear" w:color="auto" w:fill="auto"/>
            <w:vAlign w:val="center"/>
          </w:tcPr>
          <w:p w14:paraId="1BC224CF">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立项程序规范性</w:t>
            </w:r>
          </w:p>
        </w:tc>
        <w:tc>
          <w:tcPr>
            <w:tcW w:w="2269" w:type="dxa"/>
            <w:tcBorders>
              <w:top w:val="nil"/>
              <w:left w:val="nil"/>
              <w:bottom w:val="single" w:color="auto" w:sz="8" w:space="0"/>
              <w:right w:val="single" w:color="auto" w:sz="8" w:space="0"/>
            </w:tcBorders>
            <w:shd w:val="clear" w:color="auto" w:fill="auto"/>
            <w:vAlign w:val="center"/>
          </w:tcPr>
          <w:p w14:paraId="7690A49E">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986" w:type="dxa"/>
            <w:tcBorders>
              <w:top w:val="nil"/>
              <w:left w:val="nil"/>
              <w:bottom w:val="single" w:color="auto" w:sz="8" w:space="0"/>
              <w:right w:val="single" w:color="auto" w:sz="8" w:space="0"/>
            </w:tcBorders>
            <w:shd w:val="clear" w:color="auto" w:fill="auto"/>
            <w:vAlign w:val="center"/>
          </w:tcPr>
          <w:p w14:paraId="040D5508">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750" w:type="dxa"/>
            <w:tcBorders>
              <w:top w:val="nil"/>
              <w:left w:val="nil"/>
              <w:bottom w:val="single" w:color="auto" w:sz="8" w:space="0"/>
              <w:right w:val="single" w:color="auto" w:sz="8" w:space="0"/>
            </w:tcBorders>
            <w:shd w:val="clear" w:color="auto" w:fill="auto"/>
            <w:vAlign w:val="center"/>
          </w:tcPr>
          <w:p w14:paraId="067EEDB6">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14:paraId="56D25B08">
        <w:tblPrEx>
          <w:tblCellMar>
            <w:top w:w="0" w:type="dxa"/>
            <w:left w:w="108" w:type="dxa"/>
            <w:bottom w:w="0" w:type="dxa"/>
            <w:right w:w="108" w:type="dxa"/>
          </w:tblCellMar>
        </w:tblPrEx>
        <w:trPr>
          <w:trHeight w:val="510" w:hRule="exact"/>
          <w:jc w:val="center"/>
        </w:trPr>
        <w:tc>
          <w:tcPr>
            <w:tcW w:w="2517" w:type="dxa"/>
            <w:tcBorders>
              <w:top w:val="nil"/>
              <w:left w:val="single" w:color="auto" w:sz="8" w:space="0"/>
              <w:bottom w:val="single" w:color="auto" w:sz="8" w:space="0"/>
              <w:right w:val="single" w:color="auto" w:sz="8" w:space="0"/>
            </w:tcBorders>
            <w:shd w:val="clear" w:color="auto" w:fill="auto"/>
            <w:vAlign w:val="center"/>
          </w:tcPr>
          <w:p w14:paraId="09EBC432">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绩效目标合理性</w:t>
            </w:r>
          </w:p>
        </w:tc>
        <w:tc>
          <w:tcPr>
            <w:tcW w:w="2269" w:type="dxa"/>
            <w:tcBorders>
              <w:top w:val="nil"/>
              <w:left w:val="nil"/>
              <w:bottom w:val="single" w:color="auto" w:sz="8" w:space="0"/>
              <w:right w:val="single" w:color="auto" w:sz="8" w:space="0"/>
            </w:tcBorders>
            <w:shd w:val="clear" w:color="auto" w:fill="auto"/>
            <w:vAlign w:val="center"/>
          </w:tcPr>
          <w:p w14:paraId="54F961E0">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986" w:type="dxa"/>
            <w:tcBorders>
              <w:top w:val="nil"/>
              <w:left w:val="nil"/>
              <w:bottom w:val="single" w:color="auto" w:sz="8" w:space="0"/>
              <w:right w:val="single" w:color="auto" w:sz="8" w:space="0"/>
            </w:tcBorders>
            <w:shd w:val="clear" w:color="auto" w:fill="auto"/>
            <w:vAlign w:val="center"/>
          </w:tcPr>
          <w:p w14:paraId="09FCC5F4">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750" w:type="dxa"/>
            <w:tcBorders>
              <w:top w:val="nil"/>
              <w:left w:val="nil"/>
              <w:bottom w:val="single" w:color="auto" w:sz="8" w:space="0"/>
              <w:right w:val="single" w:color="auto" w:sz="8" w:space="0"/>
            </w:tcBorders>
            <w:shd w:val="clear" w:color="auto" w:fill="auto"/>
            <w:vAlign w:val="center"/>
          </w:tcPr>
          <w:p w14:paraId="375D02C2">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5F794B01">
        <w:tblPrEx>
          <w:tblCellMar>
            <w:top w:w="0" w:type="dxa"/>
            <w:left w:w="108" w:type="dxa"/>
            <w:bottom w:w="0" w:type="dxa"/>
            <w:right w:w="108" w:type="dxa"/>
          </w:tblCellMar>
        </w:tblPrEx>
        <w:trPr>
          <w:trHeight w:val="510" w:hRule="exact"/>
          <w:jc w:val="center"/>
        </w:trPr>
        <w:tc>
          <w:tcPr>
            <w:tcW w:w="2517" w:type="dxa"/>
            <w:tcBorders>
              <w:top w:val="single" w:color="auto" w:sz="8" w:space="0"/>
              <w:left w:val="single" w:color="auto" w:sz="8" w:space="0"/>
              <w:bottom w:val="single" w:color="auto" w:sz="8" w:space="0"/>
              <w:right w:val="single" w:color="auto" w:sz="8" w:space="0"/>
            </w:tcBorders>
            <w:shd w:val="clear" w:color="auto" w:fill="auto"/>
            <w:vAlign w:val="center"/>
          </w:tcPr>
          <w:p w14:paraId="207696BB">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绩效指标明确性</w:t>
            </w:r>
          </w:p>
        </w:tc>
        <w:tc>
          <w:tcPr>
            <w:tcW w:w="2269" w:type="dxa"/>
            <w:tcBorders>
              <w:top w:val="single" w:color="auto" w:sz="8" w:space="0"/>
              <w:left w:val="nil"/>
              <w:bottom w:val="single" w:color="auto" w:sz="8" w:space="0"/>
              <w:right w:val="single" w:color="auto" w:sz="8" w:space="0"/>
            </w:tcBorders>
            <w:shd w:val="clear" w:color="auto" w:fill="auto"/>
            <w:vAlign w:val="center"/>
          </w:tcPr>
          <w:p w14:paraId="33DF0598">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1986" w:type="dxa"/>
            <w:tcBorders>
              <w:top w:val="single" w:color="auto" w:sz="8" w:space="0"/>
              <w:left w:val="nil"/>
              <w:bottom w:val="single" w:color="auto" w:sz="8" w:space="0"/>
              <w:right w:val="single" w:color="auto" w:sz="8" w:space="0"/>
            </w:tcBorders>
            <w:shd w:val="clear" w:color="auto" w:fill="auto"/>
            <w:vAlign w:val="center"/>
          </w:tcPr>
          <w:p w14:paraId="415CDAD6">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750" w:type="dxa"/>
            <w:tcBorders>
              <w:top w:val="single" w:color="auto" w:sz="8" w:space="0"/>
              <w:left w:val="nil"/>
              <w:bottom w:val="single" w:color="auto" w:sz="8" w:space="0"/>
              <w:right w:val="single" w:color="auto" w:sz="8" w:space="0"/>
            </w:tcBorders>
            <w:shd w:val="clear" w:color="auto" w:fill="auto"/>
            <w:vAlign w:val="center"/>
          </w:tcPr>
          <w:p w14:paraId="0B856F91">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r>
      <w:tr w14:paraId="2EAE923B">
        <w:tblPrEx>
          <w:tblCellMar>
            <w:top w:w="0" w:type="dxa"/>
            <w:left w:w="108" w:type="dxa"/>
            <w:bottom w:w="0" w:type="dxa"/>
            <w:right w:w="108" w:type="dxa"/>
          </w:tblCellMar>
        </w:tblPrEx>
        <w:trPr>
          <w:trHeight w:val="510" w:hRule="exact"/>
          <w:jc w:val="center"/>
        </w:trPr>
        <w:tc>
          <w:tcPr>
            <w:tcW w:w="2517" w:type="dxa"/>
            <w:tcBorders>
              <w:top w:val="single" w:color="auto" w:sz="8" w:space="0"/>
              <w:left w:val="single" w:color="auto" w:sz="8" w:space="0"/>
              <w:bottom w:val="single" w:color="auto" w:sz="8" w:space="0"/>
              <w:right w:val="single" w:color="auto" w:sz="8" w:space="0"/>
            </w:tcBorders>
            <w:shd w:val="clear" w:color="auto" w:fill="auto"/>
            <w:vAlign w:val="center"/>
          </w:tcPr>
          <w:p w14:paraId="6A6064F8">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预算编制科学性</w:t>
            </w:r>
          </w:p>
        </w:tc>
        <w:tc>
          <w:tcPr>
            <w:tcW w:w="2269" w:type="dxa"/>
            <w:tcBorders>
              <w:top w:val="single" w:color="auto" w:sz="8" w:space="0"/>
              <w:left w:val="nil"/>
              <w:bottom w:val="single" w:color="auto" w:sz="8" w:space="0"/>
              <w:right w:val="single" w:color="auto" w:sz="8" w:space="0"/>
            </w:tcBorders>
            <w:shd w:val="clear" w:color="auto" w:fill="auto"/>
            <w:vAlign w:val="center"/>
          </w:tcPr>
          <w:p w14:paraId="1EE1C502">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1986" w:type="dxa"/>
            <w:tcBorders>
              <w:top w:val="single" w:color="auto" w:sz="8" w:space="0"/>
              <w:left w:val="nil"/>
              <w:bottom w:val="single" w:color="auto" w:sz="8" w:space="0"/>
              <w:right w:val="single" w:color="auto" w:sz="8" w:space="0"/>
            </w:tcBorders>
            <w:shd w:val="clear" w:color="auto" w:fill="auto"/>
            <w:vAlign w:val="center"/>
          </w:tcPr>
          <w:p w14:paraId="5812D62C">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750" w:type="dxa"/>
            <w:tcBorders>
              <w:top w:val="single" w:color="auto" w:sz="8" w:space="0"/>
              <w:left w:val="nil"/>
              <w:bottom w:val="single" w:color="auto" w:sz="8" w:space="0"/>
              <w:right w:val="single" w:color="auto" w:sz="8" w:space="0"/>
            </w:tcBorders>
            <w:shd w:val="clear" w:color="auto" w:fill="auto"/>
            <w:vAlign w:val="center"/>
          </w:tcPr>
          <w:p w14:paraId="5D509D24">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r>
      <w:tr w14:paraId="1B364175">
        <w:tblPrEx>
          <w:tblCellMar>
            <w:top w:w="0" w:type="dxa"/>
            <w:left w:w="108" w:type="dxa"/>
            <w:bottom w:w="0" w:type="dxa"/>
            <w:right w:w="108" w:type="dxa"/>
          </w:tblCellMar>
        </w:tblPrEx>
        <w:trPr>
          <w:trHeight w:val="510" w:hRule="exact"/>
          <w:jc w:val="center"/>
        </w:trPr>
        <w:tc>
          <w:tcPr>
            <w:tcW w:w="2517" w:type="dxa"/>
            <w:tcBorders>
              <w:top w:val="single" w:color="auto" w:sz="8" w:space="0"/>
              <w:left w:val="single" w:color="auto" w:sz="8" w:space="0"/>
              <w:bottom w:val="single" w:color="auto" w:sz="8" w:space="0"/>
              <w:right w:val="single" w:color="auto" w:sz="8" w:space="0"/>
            </w:tcBorders>
            <w:shd w:val="clear" w:color="auto" w:fill="auto"/>
            <w:vAlign w:val="center"/>
          </w:tcPr>
          <w:p w14:paraId="3D06BBED">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资金分配合理性</w:t>
            </w:r>
          </w:p>
        </w:tc>
        <w:tc>
          <w:tcPr>
            <w:tcW w:w="2269" w:type="dxa"/>
            <w:tcBorders>
              <w:top w:val="single" w:color="auto" w:sz="8" w:space="0"/>
              <w:left w:val="nil"/>
              <w:bottom w:val="single" w:color="auto" w:sz="8" w:space="0"/>
              <w:right w:val="single" w:color="auto" w:sz="8" w:space="0"/>
            </w:tcBorders>
            <w:shd w:val="clear" w:color="auto" w:fill="auto"/>
            <w:vAlign w:val="center"/>
          </w:tcPr>
          <w:p w14:paraId="0F293DB0">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1986" w:type="dxa"/>
            <w:tcBorders>
              <w:top w:val="single" w:color="auto" w:sz="8" w:space="0"/>
              <w:left w:val="nil"/>
              <w:bottom w:val="single" w:color="auto" w:sz="8" w:space="0"/>
              <w:right w:val="single" w:color="auto" w:sz="8" w:space="0"/>
            </w:tcBorders>
            <w:shd w:val="clear" w:color="auto" w:fill="auto"/>
            <w:vAlign w:val="center"/>
          </w:tcPr>
          <w:p w14:paraId="0ACC784A">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750" w:type="dxa"/>
            <w:tcBorders>
              <w:top w:val="single" w:color="auto" w:sz="8" w:space="0"/>
              <w:left w:val="nil"/>
              <w:bottom w:val="single" w:color="auto" w:sz="8" w:space="0"/>
              <w:right w:val="single" w:color="auto" w:sz="8" w:space="0"/>
            </w:tcBorders>
            <w:shd w:val="clear" w:color="auto" w:fill="auto"/>
            <w:vAlign w:val="center"/>
          </w:tcPr>
          <w:p w14:paraId="3D4B7603">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r>
      <w:tr w14:paraId="392FE28E">
        <w:tblPrEx>
          <w:tblCellMar>
            <w:top w:w="0" w:type="dxa"/>
            <w:left w:w="108" w:type="dxa"/>
            <w:bottom w:w="0" w:type="dxa"/>
            <w:right w:w="108" w:type="dxa"/>
          </w:tblCellMar>
        </w:tblPrEx>
        <w:trPr>
          <w:trHeight w:val="510" w:hRule="exact"/>
          <w:jc w:val="center"/>
        </w:trPr>
        <w:tc>
          <w:tcPr>
            <w:tcW w:w="2517" w:type="dxa"/>
            <w:tcBorders>
              <w:top w:val="single" w:color="auto" w:sz="8" w:space="0"/>
              <w:left w:val="single" w:color="auto" w:sz="8" w:space="0"/>
              <w:bottom w:val="single" w:color="auto" w:sz="8" w:space="0"/>
              <w:right w:val="single" w:color="auto" w:sz="8" w:space="0"/>
            </w:tcBorders>
            <w:shd w:val="clear" w:color="auto" w:fill="auto"/>
            <w:vAlign w:val="center"/>
          </w:tcPr>
          <w:p w14:paraId="7F78F409">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2269" w:type="dxa"/>
            <w:tcBorders>
              <w:top w:val="single" w:color="auto" w:sz="8" w:space="0"/>
              <w:left w:val="nil"/>
              <w:bottom w:val="single" w:color="auto" w:sz="8" w:space="0"/>
              <w:right w:val="single" w:color="auto" w:sz="8" w:space="0"/>
            </w:tcBorders>
            <w:shd w:val="clear" w:color="auto" w:fill="auto"/>
            <w:vAlign w:val="center"/>
          </w:tcPr>
          <w:p w14:paraId="1467177B">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986" w:type="dxa"/>
            <w:tcBorders>
              <w:top w:val="single" w:color="auto" w:sz="8" w:space="0"/>
              <w:left w:val="nil"/>
              <w:bottom w:val="single" w:color="auto" w:sz="8" w:space="0"/>
              <w:right w:val="single" w:color="auto" w:sz="8" w:space="0"/>
            </w:tcBorders>
            <w:shd w:val="clear" w:color="auto" w:fill="auto"/>
            <w:vAlign w:val="center"/>
          </w:tcPr>
          <w:p w14:paraId="73D25F00">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100%</w:t>
            </w:r>
          </w:p>
        </w:tc>
        <w:tc>
          <w:tcPr>
            <w:tcW w:w="1750" w:type="dxa"/>
            <w:tcBorders>
              <w:top w:val="single" w:color="auto" w:sz="8" w:space="0"/>
              <w:left w:val="nil"/>
              <w:bottom w:val="single" w:color="auto" w:sz="8" w:space="0"/>
              <w:right w:val="single" w:color="auto" w:sz="8" w:space="0"/>
            </w:tcBorders>
            <w:shd w:val="clear" w:color="auto" w:fill="auto"/>
            <w:vAlign w:val="center"/>
          </w:tcPr>
          <w:p w14:paraId="4D0F6CCC">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r>
    </w:tbl>
    <w:p w14:paraId="584043E7">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对于“项目立项”的依据充分性和程序规范性，我们了解到科普专项业务费是经自治区人民政府决定，由科协、财政局共同组织实施的一项重大科普工程，项目自实施以来，项目的立项依据充分，立项程序规范。根据评分标准，该指标不扣分。但项目单位的绩效指标设置存在设置不合理、指标设置不完整。具体为设置的社会效益指标和生态效益指标不可衡量。根据评分标准，实际得分率为90%。</w:t>
      </w:r>
    </w:p>
    <w:p w14:paraId="5D5C9AC7">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对于“绩效目标”的合理性和绩效指标明确性，科普专项业务费是由科协、财政局共同组织实施的一项重大科普工程，项目年度计划方案完整，符合单位职能分工，项目资金申请文件齐全，申报材料审批完整，绩效目标设置合理、明确。根据评分标准，该指标不扣分。</w:t>
      </w:r>
    </w:p>
    <w:p w14:paraId="7A1BCF6F">
      <w:pPr>
        <w:pageBreakBefore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rPr>
      </w:pPr>
      <w:r>
        <w:rPr>
          <w:rFonts w:hint="eastAsia" w:ascii="仿宋_GB2312" w:hAnsi="仿宋" w:eastAsia="仿宋_GB2312" w:cstheme="minorBidi"/>
          <w:b w:val="0"/>
          <w:bCs w:val="0"/>
          <w:kern w:val="2"/>
          <w:sz w:val="32"/>
          <w:szCs w:val="32"/>
          <w:lang w:val="en-US" w:eastAsia="zh-CN" w:bidi="ar-SA"/>
        </w:rPr>
        <w:t>对于“资金投入”预算编制科学性和资金分配合理性，科普专项业务费符合申报条件，申报程序合规合法，预算编制科学、资金分配合理，项目未进行调整，根据评分标准，该指标不扣分。</w:t>
      </w:r>
    </w:p>
    <w:p w14:paraId="4B8937B7">
      <w:pPr>
        <w:pStyle w:val="18"/>
        <w:pageBreakBefore w:val="0"/>
        <w:numPr>
          <w:ilvl w:val="0"/>
          <w:numId w:val="0"/>
        </w:numPr>
        <w:kinsoku/>
        <w:wordWrap/>
        <w:overflowPunct/>
        <w:topLinePunct w:val="0"/>
        <w:autoSpaceDE/>
        <w:autoSpaceDN/>
        <w:bidi w:val="0"/>
        <w:adjustRightInd/>
        <w:spacing w:before="0" w:after="0" w:line="560" w:lineRule="exact"/>
        <w:ind w:firstLine="643" w:firstLineChars="200"/>
        <w:jc w:val="both"/>
        <w:textAlignment w:val="auto"/>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14:paraId="59A9E923">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14:textFill>
            <w14:solidFill>
              <w14:schemeClr w14:val="tx1"/>
            </w14:solidFill>
          </w14:textFill>
        </w:rPr>
        <w:t>项目管理指标从项目</w:t>
      </w:r>
      <w:r>
        <w:rPr>
          <w:rFonts w:hint="eastAsia" w:ascii="仿宋_GB2312" w:hAnsi="仿宋" w:eastAsia="仿宋_GB2312" w:cstheme="minorBidi"/>
          <w:b w:val="0"/>
          <w:bCs w:val="0"/>
          <w:kern w:val="2"/>
          <w:sz w:val="32"/>
          <w:szCs w:val="32"/>
          <w:lang w:val="en-US" w:eastAsia="zh-CN" w:bidi="ar-SA"/>
        </w:rPr>
        <w:t>资金的资金到位率、预算执行率、资金使用合规性、管理制度健全性、制度执行有效性5个方面对项目的管理情况进行考察。项目过程类指标分值5分，实际得分5分，得分率为100%。项目管理指标得分情况如表所示。</w:t>
      </w:r>
    </w:p>
    <w:tbl>
      <w:tblPr>
        <w:tblStyle w:val="20"/>
        <w:tblW w:w="8522" w:type="dxa"/>
        <w:jc w:val="center"/>
        <w:tblLayout w:type="fixed"/>
        <w:tblCellMar>
          <w:top w:w="0" w:type="dxa"/>
          <w:left w:w="108" w:type="dxa"/>
          <w:bottom w:w="0" w:type="dxa"/>
          <w:right w:w="108" w:type="dxa"/>
        </w:tblCellMar>
      </w:tblPr>
      <w:tblGrid>
        <w:gridCol w:w="2234"/>
        <w:gridCol w:w="2408"/>
        <w:gridCol w:w="1986"/>
        <w:gridCol w:w="1894"/>
      </w:tblGrid>
      <w:tr w14:paraId="03CCEC2A">
        <w:tblPrEx>
          <w:tblCellMar>
            <w:top w:w="0" w:type="dxa"/>
            <w:left w:w="108" w:type="dxa"/>
            <w:bottom w:w="0" w:type="dxa"/>
            <w:right w:w="108" w:type="dxa"/>
          </w:tblCellMar>
        </w:tblPrEx>
        <w:trPr>
          <w:trHeight w:val="495" w:hRule="atLeast"/>
          <w:tblHeader/>
          <w:jc w:val="center"/>
        </w:trPr>
        <w:tc>
          <w:tcPr>
            <w:tcW w:w="8522" w:type="dxa"/>
            <w:gridSpan w:val="4"/>
            <w:tcBorders>
              <w:top w:val="nil"/>
              <w:left w:val="nil"/>
              <w:bottom w:val="single" w:color="auto" w:sz="8" w:space="0"/>
              <w:right w:val="nil"/>
            </w:tcBorders>
            <w:shd w:val="clear" w:color="auto" w:fill="auto"/>
            <w:noWrap/>
            <w:vAlign w:val="center"/>
          </w:tcPr>
          <w:p w14:paraId="29DC660D">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color w:val="000000"/>
                <w:kern w:val="0"/>
                <w:sz w:val="28"/>
                <w:szCs w:val="28"/>
              </w:rPr>
            </w:pPr>
            <w:r>
              <w:rPr>
                <w:rFonts w:hint="eastAsia" w:ascii="方正仿宋_GBK" w:hAnsi="Tahoma" w:eastAsia="方正仿宋_GBK" w:cs="Tahoma"/>
                <w:color w:val="000000"/>
                <w:kern w:val="0"/>
                <w:sz w:val="28"/>
                <w:szCs w:val="28"/>
              </w:rPr>
              <w:t>项目管理指标得分情况</w:t>
            </w:r>
          </w:p>
        </w:tc>
      </w:tr>
      <w:tr w14:paraId="437DBA69">
        <w:tblPrEx>
          <w:tblCellMar>
            <w:top w:w="0" w:type="dxa"/>
            <w:left w:w="108" w:type="dxa"/>
            <w:bottom w:w="0" w:type="dxa"/>
            <w:right w:w="108" w:type="dxa"/>
          </w:tblCellMar>
        </w:tblPrEx>
        <w:trPr>
          <w:trHeight w:val="510" w:hRule="exact"/>
          <w:tblHeader/>
          <w:jc w:val="center"/>
        </w:trPr>
        <w:tc>
          <w:tcPr>
            <w:tcW w:w="2234" w:type="dxa"/>
            <w:tcBorders>
              <w:top w:val="nil"/>
              <w:left w:val="single" w:color="auto" w:sz="8" w:space="0"/>
              <w:bottom w:val="nil"/>
              <w:right w:val="single" w:color="auto" w:sz="8" w:space="0"/>
            </w:tcBorders>
            <w:shd w:val="clear" w:color="000000" w:fill="A6A6A6"/>
            <w:vAlign w:val="center"/>
          </w:tcPr>
          <w:p w14:paraId="4BF2C27D">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2408" w:type="dxa"/>
            <w:tcBorders>
              <w:top w:val="nil"/>
              <w:left w:val="nil"/>
              <w:bottom w:val="nil"/>
              <w:right w:val="single" w:color="auto" w:sz="8" w:space="0"/>
            </w:tcBorders>
            <w:shd w:val="clear" w:color="000000" w:fill="A6A6A6"/>
            <w:vAlign w:val="center"/>
          </w:tcPr>
          <w:p w14:paraId="72878B80">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986" w:type="dxa"/>
            <w:tcBorders>
              <w:top w:val="nil"/>
              <w:left w:val="nil"/>
              <w:bottom w:val="nil"/>
              <w:right w:val="single" w:color="auto" w:sz="8" w:space="0"/>
            </w:tcBorders>
            <w:shd w:val="clear" w:color="000000" w:fill="A6A6A6"/>
            <w:vAlign w:val="center"/>
          </w:tcPr>
          <w:p w14:paraId="0B83F415">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894" w:type="dxa"/>
            <w:tcBorders>
              <w:top w:val="nil"/>
              <w:left w:val="nil"/>
              <w:bottom w:val="nil"/>
              <w:right w:val="single" w:color="auto" w:sz="8" w:space="0"/>
            </w:tcBorders>
            <w:shd w:val="clear" w:color="000000" w:fill="A6A6A6"/>
            <w:vAlign w:val="center"/>
          </w:tcPr>
          <w:p w14:paraId="36B4143B">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14:paraId="464FDCC0">
        <w:tblPrEx>
          <w:tblCellMar>
            <w:top w:w="0" w:type="dxa"/>
            <w:left w:w="108" w:type="dxa"/>
            <w:bottom w:w="0" w:type="dxa"/>
            <w:right w:w="108" w:type="dxa"/>
          </w:tblCellMar>
        </w:tblPrEx>
        <w:trPr>
          <w:trHeight w:val="510" w:hRule="exact"/>
          <w:jc w:val="center"/>
        </w:trPr>
        <w:tc>
          <w:tcPr>
            <w:tcW w:w="22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B4F49A">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资金到位率</w:t>
            </w:r>
          </w:p>
        </w:tc>
        <w:tc>
          <w:tcPr>
            <w:tcW w:w="2408" w:type="dxa"/>
            <w:tcBorders>
              <w:top w:val="single" w:color="auto" w:sz="4" w:space="0"/>
              <w:left w:val="nil"/>
              <w:bottom w:val="single" w:color="auto" w:sz="4" w:space="0"/>
              <w:right w:val="single" w:color="auto" w:sz="4" w:space="0"/>
            </w:tcBorders>
            <w:shd w:val="clear" w:color="auto" w:fill="auto"/>
            <w:noWrap/>
            <w:vAlign w:val="center"/>
          </w:tcPr>
          <w:p w14:paraId="633A7C9C">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1986" w:type="dxa"/>
            <w:tcBorders>
              <w:top w:val="single" w:color="auto" w:sz="4" w:space="0"/>
              <w:left w:val="nil"/>
              <w:bottom w:val="single" w:color="auto" w:sz="4" w:space="0"/>
              <w:right w:val="single" w:color="auto" w:sz="4" w:space="0"/>
            </w:tcBorders>
            <w:shd w:val="clear" w:color="auto" w:fill="auto"/>
            <w:vAlign w:val="center"/>
          </w:tcPr>
          <w:p w14:paraId="78C712D6">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100%</w:t>
            </w:r>
          </w:p>
        </w:tc>
        <w:tc>
          <w:tcPr>
            <w:tcW w:w="1894" w:type="dxa"/>
            <w:tcBorders>
              <w:top w:val="single" w:color="auto" w:sz="4" w:space="0"/>
              <w:left w:val="nil"/>
              <w:bottom w:val="single" w:color="auto" w:sz="4" w:space="0"/>
              <w:right w:val="single" w:color="auto" w:sz="4" w:space="0"/>
            </w:tcBorders>
            <w:shd w:val="clear" w:color="auto" w:fill="auto"/>
            <w:noWrap/>
            <w:vAlign w:val="center"/>
          </w:tcPr>
          <w:p w14:paraId="6C8A10E3">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4627FFC6">
        <w:tblPrEx>
          <w:tblCellMar>
            <w:top w:w="0" w:type="dxa"/>
            <w:left w:w="108" w:type="dxa"/>
            <w:bottom w:w="0" w:type="dxa"/>
            <w:right w:w="108" w:type="dxa"/>
          </w:tblCellMar>
        </w:tblPrEx>
        <w:trPr>
          <w:trHeight w:val="510" w:hRule="exact"/>
          <w:jc w:val="center"/>
        </w:trPr>
        <w:tc>
          <w:tcPr>
            <w:tcW w:w="2234" w:type="dxa"/>
            <w:tcBorders>
              <w:top w:val="nil"/>
              <w:left w:val="single" w:color="auto" w:sz="4" w:space="0"/>
              <w:bottom w:val="single" w:color="auto" w:sz="4" w:space="0"/>
              <w:right w:val="single" w:color="auto" w:sz="4" w:space="0"/>
            </w:tcBorders>
            <w:shd w:val="clear" w:color="auto" w:fill="auto"/>
            <w:noWrap/>
            <w:vAlign w:val="center"/>
          </w:tcPr>
          <w:p w14:paraId="4CE4E609">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预算执行率</w:t>
            </w:r>
          </w:p>
        </w:tc>
        <w:tc>
          <w:tcPr>
            <w:tcW w:w="2408" w:type="dxa"/>
            <w:tcBorders>
              <w:top w:val="nil"/>
              <w:left w:val="nil"/>
              <w:bottom w:val="single" w:color="auto" w:sz="4" w:space="0"/>
              <w:right w:val="single" w:color="auto" w:sz="4" w:space="0"/>
            </w:tcBorders>
            <w:shd w:val="clear" w:color="auto" w:fill="auto"/>
            <w:noWrap/>
            <w:vAlign w:val="center"/>
          </w:tcPr>
          <w:p w14:paraId="35827A92">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1986" w:type="dxa"/>
            <w:tcBorders>
              <w:top w:val="nil"/>
              <w:left w:val="nil"/>
              <w:bottom w:val="single" w:color="auto" w:sz="4" w:space="0"/>
              <w:right w:val="single" w:color="auto" w:sz="4" w:space="0"/>
            </w:tcBorders>
            <w:shd w:val="clear" w:color="auto" w:fill="auto"/>
            <w:vAlign w:val="center"/>
          </w:tcPr>
          <w:p w14:paraId="7A8E2E91">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894" w:type="dxa"/>
            <w:tcBorders>
              <w:top w:val="nil"/>
              <w:left w:val="nil"/>
              <w:bottom w:val="single" w:color="auto" w:sz="4" w:space="0"/>
              <w:right w:val="single" w:color="auto" w:sz="4" w:space="0"/>
            </w:tcBorders>
            <w:shd w:val="clear" w:color="auto" w:fill="auto"/>
            <w:noWrap/>
            <w:vAlign w:val="center"/>
          </w:tcPr>
          <w:p w14:paraId="3FDE2AC6">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2400C993">
        <w:tblPrEx>
          <w:tblCellMar>
            <w:top w:w="0" w:type="dxa"/>
            <w:left w:w="108" w:type="dxa"/>
            <w:bottom w:w="0" w:type="dxa"/>
            <w:right w:w="108" w:type="dxa"/>
          </w:tblCellMar>
        </w:tblPrEx>
        <w:trPr>
          <w:trHeight w:val="510" w:hRule="exact"/>
          <w:jc w:val="center"/>
        </w:trPr>
        <w:tc>
          <w:tcPr>
            <w:tcW w:w="2234" w:type="dxa"/>
            <w:tcBorders>
              <w:top w:val="nil"/>
              <w:left w:val="single" w:color="auto" w:sz="4" w:space="0"/>
              <w:bottom w:val="single" w:color="auto" w:sz="4" w:space="0"/>
              <w:right w:val="single" w:color="auto" w:sz="4" w:space="0"/>
            </w:tcBorders>
            <w:shd w:val="clear" w:color="auto" w:fill="auto"/>
            <w:noWrap/>
            <w:vAlign w:val="center"/>
          </w:tcPr>
          <w:p w14:paraId="336A3B1E">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资金使用合规性</w:t>
            </w:r>
          </w:p>
        </w:tc>
        <w:tc>
          <w:tcPr>
            <w:tcW w:w="2408" w:type="dxa"/>
            <w:tcBorders>
              <w:top w:val="nil"/>
              <w:left w:val="nil"/>
              <w:bottom w:val="single" w:color="auto" w:sz="4" w:space="0"/>
              <w:right w:val="single" w:color="auto" w:sz="4" w:space="0"/>
            </w:tcBorders>
            <w:shd w:val="clear" w:color="auto" w:fill="auto"/>
            <w:noWrap/>
            <w:vAlign w:val="center"/>
          </w:tcPr>
          <w:p w14:paraId="4F0F5B14">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1986" w:type="dxa"/>
            <w:tcBorders>
              <w:top w:val="nil"/>
              <w:left w:val="nil"/>
              <w:bottom w:val="single" w:color="auto" w:sz="4" w:space="0"/>
              <w:right w:val="single" w:color="auto" w:sz="4" w:space="0"/>
            </w:tcBorders>
            <w:shd w:val="clear" w:color="auto" w:fill="auto"/>
            <w:vAlign w:val="center"/>
          </w:tcPr>
          <w:p w14:paraId="0E3E474F">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894" w:type="dxa"/>
            <w:tcBorders>
              <w:top w:val="nil"/>
              <w:left w:val="nil"/>
              <w:bottom w:val="single" w:color="auto" w:sz="4" w:space="0"/>
              <w:right w:val="single" w:color="auto" w:sz="4" w:space="0"/>
            </w:tcBorders>
            <w:shd w:val="clear" w:color="auto" w:fill="auto"/>
            <w:noWrap/>
            <w:vAlign w:val="center"/>
          </w:tcPr>
          <w:p w14:paraId="060FB4CB">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00A9A29B">
        <w:tblPrEx>
          <w:tblCellMar>
            <w:top w:w="0" w:type="dxa"/>
            <w:left w:w="108" w:type="dxa"/>
            <w:bottom w:w="0" w:type="dxa"/>
            <w:right w:w="108" w:type="dxa"/>
          </w:tblCellMar>
        </w:tblPrEx>
        <w:trPr>
          <w:trHeight w:val="510" w:hRule="exact"/>
          <w:jc w:val="center"/>
        </w:trPr>
        <w:tc>
          <w:tcPr>
            <w:tcW w:w="2234" w:type="dxa"/>
            <w:tcBorders>
              <w:top w:val="nil"/>
              <w:left w:val="single" w:color="auto" w:sz="4" w:space="0"/>
              <w:bottom w:val="single" w:color="auto" w:sz="4" w:space="0"/>
              <w:right w:val="single" w:color="auto" w:sz="4" w:space="0"/>
            </w:tcBorders>
            <w:shd w:val="clear" w:color="auto" w:fill="auto"/>
            <w:noWrap/>
            <w:vAlign w:val="center"/>
          </w:tcPr>
          <w:p w14:paraId="7C5C9C85">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管理制度健全性</w:t>
            </w:r>
          </w:p>
        </w:tc>
        <w:tc>
          <w:tcPr>
            <w:tcW w:w="2408" w:type="dxa"/>
            <w:tcBorders>
              <w:top w:val="nil"/>
              <w:left w:val="nil"/>
              <w:bottom w:val="single" w:color="auto" w:sz="4" w:space="0"/>
              <w:right w:val="single" w:color="auto" w:sz="4" w:space="0"/>
            </w:tcBorders>
            <w:shd w:val="clear" w:color="auto" w:fill="auto"/>
            <w:noWrap/>
            <w:vAlign w:val="center"/>
          </w:tcPr>
          <w:p w14:paraId="56C3266B">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1986" w:type="dxa"/>
            <w:tcBorders>
              <w:top w:val="nil"/>
              <w:left w:val="nil"/>
              <w:bottom w:val="single" w:color="auto" w:sz="4" w:space="0"/>
              <w:right w:val="single" w:color="auto" w:sz="4" w:space="0"/>
            </w:tcBorders>
            <w:shd w:val="clear" w:color="auto" w:fill="auto"/>
            <w:vAlign w:val="center"/>
          </w:tcPr>
          <w:p w14:paraId="5421F16B">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4" w:type="dxa"/>
            <w:tcBorders>
              <w:top w:val="nil"/>
              <w:left w:val="nil"/>
              <w:bottom w:val="single" w:color="auto" w:sz="4" w:space="0"/>
              <w:right w:val="single" w:color="auto" w:sz="4" w:space="0"/>
            </w:tcBorders>
            <w:shd w:val="clear" w:color="auto" w:fill="auto"/>
            <w:noWrap/>
            <w:vAlign w:val="center"/>
          </w:tcPr>
          <w:p w14:paraId="7FDC91F6">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331AC99A">
        <w:tblPrEx>
          <w:tblCellMar>
            <w:top w:w="0" w:type="dxa"/>
            <w:left w:w="108" w:type="dxa"/>
            <w:bottom w:w="0" w:type="dxa"/>
            <w:right w:w="108" w:type="dxa"/>
          </w:tblCellMar>
        </w:tblPrEx>
        <w:trPr>
          <w:trHeight w:val="510" w:hRule="exact"/>
          <w:jc w:val="center"/>
        </w:trPr>
        <w:tc>
          <w:tcPr>
            <w:tcW w:w="2234" w:type="dxa"/>
            <w:tcBorders>
              <w:top w:val="nil"/>
              <w:left w:val="single" w:color="auto" w:sz="4" w:space="0"/>
              <w:bottom w:val="single" w:color="auto" w:sz="4" w:space="0"/>
              <w:right w:val="single" w:color="auto" w:sz="4" w:space="0"/>
            </w:tcBorders>
            <w:shd w:val="clear" w:color="auto" w:fill="auto"/>
            <w:noWrap/>
            <w:vAlign w:val="center"/>
          </w:tcPr>
          <w:p w14:paraId="469B046E">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制度执行有效性</w:t>
            </w:r>
          </w:p>
        </w:tc>
        <w:tc>
          <w:tcPr>
            <w:tcW w:w="2408" w:type="dxa"/>
            <w:tcBorders>
              <w:top w:val="nil"/>
              <w:left w:val="nil"/>
              <w:bottom w:val="single" w:color="auto" w:sz="4" w:space="0"/>
              <w:right w:val="single" w:color="auto" w:sz="4" w:space="0"/>
            </w:tcBorders>
            <w:shd w:val="clear" w:color="auto" w:fill="auto"/>
            <w:noWrap/>
            <w:vAlign w:val="center"/>
          </w:tcPr>
          <w:p w14:paraId="79038CB0">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1</w:t>
            </w:r>
          </w:p>
        </w:tc>
        <w:tc>
          <w:tcPr>
            <w:tcW w:w="1986" w:type="dxa"/>
            <w:tcBorders>
              <w:top w:val="nil"/>
              <w:left w:val="nil"/>
              <w:bottom w:val="single" w:color="auto" w:sz="4" w:space="0"/>
              <w:right w:val="single" w:color="auto" w:sz="4" w:space="0"/>
            </w:tcBorders>
            <w:shd w:val="clear" w:color="auto" w:fill="auto"/>
            <w:vAlign w:val="center"/>
          </w:tcPr>
          <w:p w14:paraId="21FCE7D0">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894" w:type="dxa"/>
            <w:tcBorders>
              <w:top w:val="nil"/>
              <w:left w:val="nil"/>
              <w:bottom w:val="single" w:color="auto" w:sz="4" w:space="0"/>
              <w:right w:val="single" w:color="auto" w:sz="4" w:space="0"/>
            </w:tcBorders>
            <w:shd w:val="clear" w:color="auto" w:fill="auto"/>
            <w:noWrap/>
            <w:vAlign w:val="center"/>
          </w:tcPr>
          <w:p w14:paraId="6179FA79">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61FA7C80">
        <w:tblPrEx>
          <w:tblCellMar>
            <w:top w:w="0" w:type="dxa"/>
            <w:left w:w="108" w:type="dxa"/>
            <w:bottom w:w="0" w:type="dxa"/>
            <w:right w:w="108" w:type="dxa"/>
          </w:tblCellMar>
        </w:tblPrEx>
        <w:trPr>
          <w:trHeight w:val="510" w:hRule="exact"/>
          <w:jc w:val="center"/>
        </w:trPr>
        <w:tc>
          <w:tcPr>
            <w:tcW w:w="22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BE8906">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2408" w:type="dxa"/>
            <w:tcBorders>
              <w:top w:val="single" w:color="auto" w:sz="4" w:space="0"/>
              <w:left w:val="nil"/>
              <w:bottom w:val="single" w:color="auto" w:sz="4" w:space="0"/>
              <w:right w:val="single" w:color="auto" w:sz="4" w:space="0"/>
            </w:tcBorders>
            <w:shd w:val="clear" w:color="auto" w:fill="auto"/>
            <w:noWrap/>
            <w:vAlign w:val="center"/>
          </w:tcPr>
          <w:p w14:paraId="1ADC6AE0">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986" w:type="dxa"/>
            <w:tcBorders>
              <w:top w:val="single" w:color="auto" w:sz="4" w:space="0"/>
              <w:left w:val="nil"/>
              <w:bottom w:val="single" w:color="auto" w:sz="4" w:space="0"/>
              <w:right w:val="single" w:color="auto" w:sz="4" w:space="0"/>
            </w:tcBorders>
            <w:shd w:val="clear" w:color="auto" w:fill="auto"/>
            <w:vAlign w:val="center"/>
          </w:tcPr>
          <w:p w14:paraId="420F06E1">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894" w:type="dxa"/>
            <w:tcBorders>
              <w:top w:val="single" w:color="auto" w:sz="4" w:space="0"/>
              <w:left w:val="nil"/>
              <w:bottom w:val="single" w:color="auto" w:sz="4" w:space="0"/>
              <w:right w:val="single" w:color="auto" w:sz="4" w:space="0"/>
            </w:tcBorders>
            <w:shd w:val="clear" w:color="auto" w:fill="auto"/>
            <w:noWrap/>
            <w:vAlign w:val="center"/>
          </w:tcPr>
          <w:p w14:paraId="271EB464">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r>
    </w:tbl>
    <w:p w14:paraId="0B0D890F">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对于“资金到位率”，科普专项业务费到位及时，到位率为100%。根据评分标准，该指标不扣分。</w:t>
      </w:r>
    </w:p>
    <w:p w14:paraId="4C2806CC">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对于“预算执行率”，项目经过申报2020年取得财政拨款资金27.84万元，项目资金预算经过集体讨论、</w:t>
      </w:r>
      <w:r>
        <w:rPr>
          <w:rFonts w:hint="eastAsia" w:ascii="仿宋_GB2312" w:hAnsi="仿宋" w:eastAsia="仿宋_GB2312" w:cstheme="minorBidi"/>
          <w:b w:val="0"/>
          <w:bCs w:val="0"/>
          <w:kern w:val="2"/>
          <w:sz w:val="32"/>
          <w:szCs w:val="32"/>
          <w:highlight w:val="none"/>
          <w:lang w:val="en-US" w:eastAsia="zh-CN" w:bidi="ar-SA"/>
        </w:rPr>
        <w:t>批复。</w:t>
      </w:r>
      <w:r>
        <w:rPr>
          <w:rFonts w:hint="eastAsia" w:ascii="仿宋_GB2312" w:hAnsi="仿宋" w:eastAsia="仿宋_GB2312" w:cstheme="minorBidi"/>
          <w:b w:val="0"/>
          <w:bCs w:val="0"/>
          <w:kern w:val="2"/>
          <w:sz w:val="32"/>
          <w:szCs w:val="32"/>
          <w:lang w:val="en-US" w:eastAsia="zh-CN" w:bidi="ar-SA"/>
        </w:rPr>
        <w:t>项目预算编制为小于等于30万元，实际使用27.84万元。按评分标准，指标实际得分率100%。</w:t>
      </w:r>
    </w:p>
    <w:p w14:paraId="0E33693B">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对于“资金使用合规性”，地区科协基本能按照专项资金列支的范围使用资金，支出范围基本合规；资金支出能按财务制度执行，并能按国库集中支付制度规定执行，不存在资金违纪违规使用情况；按评分标准，指标实际得分率100%。</w:t>
      </w:r>
    </w:p>
    <w:p w14:paraId="3B4F1AEE">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对于“管理制度健全性”，地区科协制定了制度汇编手册，制度汇编手册包括预算、资产、采购等管理办法；对项目资金使用方向严格按照政策规定执行。根据评分标准，指标实际得分率100%。</w:t>
      </w:r>
    </w:p>
    <w:p w14:paraId="526030F5">
      <w:pPr>
        <w:pageBreakBefore w:val="0"/>
        <w:kinsoku/>
        <w:wordWrap/>
        <w:overflowPunct/>
        <w:topLinePunct w:val="0"/>
        <w:autoSpaceDE/>
        <w:autoSpaceDN/>
        <w:bidi w:val="0"/>
        <w:adjustRightInd/>
        <w:spacing w:line="560" w:lineRule="exact"/>
        <w:ind w:firstLine="640" w:firstLineChars="200"/>
        <w:textAlignment w:val="auto"/>
        <w:rPr>
          <w:rFonts w:hint="default" w:eastAsia="楷体_GB2312"/>
          <w:sz w:val="36"/>
          <w:szCs w:val="44"/>
          <w:highlight w:val="yellow"/>
          <w:lang w:val="en-US" w:eastAsia="zh-CN"/>
        </w:rPr>
      </w:pPr>
      <w:r>
        <w:rPr>
          <w:rFonts w:hint="eastAsia" w:ascii="仿宋_GB2312" w:hAnsi="仿宋" w:eastAsia="仿宋_GB2312" w:cstheme="minorBidi"/>
          <w:b w:val="0"/>
          <w:bCs w:val="0"/>
          <w:kern w:val="2"/>
          <w:sz w:val="32"/>
          <w:szCs w:val="32"/>
          <w:lang w:val="en-US" w:eastAsia="zh-CN" w:bidi="ar-SA"/>
        </w:rPr>
        <w:t>对于“制度执行有效性”，科普专项业务费执行符合业务管理的规定；项目管理、实施人员均落实到位，能按照方案和计划执行；项目无调整，资料齐全；项目建立了监控结果反馈和应用机制，合同管理执行到位；资金使用依据合格，无虚列套取项目支出，无超标准开支。按评分标准，该指标实际得分率100%。</w:t>
      </w:r>
    </w:p>
    <w:p w14:paraId="4FEDE185">
      <w:pPr>
        <w:pStyle w:val="19"/>
        <w:pageBreakBefore w:val="0"/>
        <w:numPr>
          <w:ilvl w:val="0"/>
          <w:numId w:val="0"/>
        </w:numPr>
        <w:kinsoku/>
        <w:wordWrap/>
        <w:overflowPunct/>
        <w:topLinePunct w:val="0"/>
        <w:autoSpaceDE/>
        <w:autoSpaceDN/>
        <w:bidi w:val="0"/>
        <w:adjustRightInd/>
        <w:spacing w:after="0" w:line="560" w:lineRule="exact"/>
        <w:ind w:left="420" w:leftChars="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rPr>
        <w:t>项目产出</w:t>
      </w:r>
    </w:p>
    <w:p w14:paraId="44561568">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项目产出指标从产出数量、产出质量、产出时效、成本情况4个方面对项目的管理情况进行考察。项目产出类指标分值50分，实际得分46.42分，得分率为92.8%。项目产出指标得分情况如表所示。</w:t>
      </w:r>
    </w:p>
    <w:tbl>
      <w:tblPr>
        <w:tblStyle w:val="20"/>
        <w:tblW w:w="8473" w:type="dxa"/>
        <w:jc w:val="center"/>
        <w:tblLayout w:type="fixed"/>
        <w:tblCellMar>
          <w:top w:w="0" w:type="dxa"/>
          <w:left w:w="108" w:type="dxa"/>
          <w:bottom w:w="0" w:type="dxa"/>
          <w:right w:w="108" w:type="dxa"/>
        </w:tblCellMar>
      </w:tblPr>
      <w:tblGrid>
        <w:gridCol w:w="2516"/>
        <w:gridCol w:w="1986"/>
        <w:gridCol w:w="1984"/>
        <w:gridCol w:w="1987"/>
      </w:tblGrid>
      <w:tr w14:paraId="1A1CF46C">
        <w:tblPrEx>
          <w:tblCellMar>
            <w:top w:w="0" w:type="dxa"/>
            <w:left w:w="108" w:type="dxa"/>
            <w:bottom w:w="0" w:type="dxa"/>
            <w:right w:w="108" w:type="dxa"/>
          </w:tblCellMar>
        </w:tblPrEx>
        <w:trPr>
          <w:trHeight w:val="510" w:hRule="exact"/>
          <w:tblHeader/>
          <w:jc w:val="center"/>
        </w:trPr>
        <w:tc>
          <w:tcPr>
            <w:tcW w:w="2516" w:type="dxa"/>
            <w:tcBorders>
              <w:top w:val="single" w:color="auto" w:sz="4" w:space="0"/>
              <w:left w:val="single" w:color="auto" w:sz="8" w:space="0"/>
              <w:bottom w:val="single" w:color="auto" w:sz="4" w:space="0"/>
              <w:right w:val="single" w:color="auto" w:sz="8" w:space="0"/>
            </w:tcBorders>
            <w:shd w:val="clear" w:color="000000" w:fill="A6A6A6"/>
            <w:vAlign w:val="center"/>
          </w:tcPr>
          <w:p w14:paraId="2E92E787">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14:paraId="5DCF8812">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14:paraId="572584F7">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987" w:type="dxa"/>
            <w:tcBorders>
              <w:top w:val="single" w:color="auto" w:sz="4" w:space="0"/>
              <w:left w:val="nil"/>
              <w:bottom w:val="single" w:color="auto" w:sz="4" w:space="0"/>
              <w:right w:val="single" w:color="auto" w:sz="8" w:space="0"/>
            </w:tcBorders>
            <w:shd w:val="clear" w:color="000000" w:fill="A6A6A6"/>
            <w:vAlign w:val="center"/>
          </w:tcPr>
          <w:p w14:paraId="6C7031EB">
            <w:pPr>
              <w:pageBreakBefore w:val="0"/>
              <w:widowControl/>
              <w:kinsoku/>
              <w:wordWrap/>
              <w:overflowPunct/>
              <w:topLinePunct w:val="0"/>
              <w:autoSpaceDE/>
              <w:autoSpaceDN/>
              <w:bidi w:val="0"/>
              <w:adjustRightIn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14:paraId="7401E2C9">
        <w:tblPrEx>
          <w:tblCellMar>
            <w:top w:w="0" w:type="dxa"/>
            <w:left w:w="108" w:type="dxa"/>
            <w:bottom w:w="0" w:type="dxa"/>
            <w:right w:w="108" w:type="dxa"/>
          </w:tblCellMar>
        </w:tblPrEx>
        <w:trPr>
          <w:trHeight w:val="510" w:hRule="exact"/>
          <w:jc w:val="center"/>
        </w:trPr>
        <w:tc>
          <w:tcPr>
            <w:tcW w:w="25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759252">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1986" w:type="dxa"/>
            <w:tcBorders>
              <w:top w:val="single" w:color="auto" w:sz="4" w:space="0"/>
              <w:left w:val="nil"/>
              <w:bottom w:val="single" w:color="auto" w:sz="4" w:space="0"/>
              <w:right w:val="single" w:color="auto" w:sz="4" w:space="0"/>
            </w:tcBorders>
            <w:shd w:val="clear" w:color="auto" w:fill="auto"/>
            <w:noWrap/>
            <w:vAlign w:val="center"/>
          </w:tcPr>
          <w:p w14:paraId="23497203">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73DA5A3">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76.13</w:t>
            </w:r>
            <w:r>
              <w:rPr>
                <w:rFonts w:hint="eastAsia" w:ascii="宋体" w:hAnsi="宋体" w:eastAsia="宋体" w:cs="宋体"/>
                <w:color w:val="000000"/>
                <w:kern w:val="0"/>
                <w:sz w:val="18"/>
                <w:szCs w:val="18"/>
              </w:rPr>
              <w:t>%</w:t>
            </w:r>
          </w:p>
        </w:tc>
        <w:tc>
          <w:tcPr>
            <w:tcW w:w="1987" w:type="dxa"/>
            <w:tcBorders>
              <w:top w:val="single" w:color="auto" w:sz="4" w:space="0"/>
              <w:left w:val="nil"/>
              <w:bottom w:val="single" w:color="auto" w:sz="4" w:space="0"/>
              <w:right w:val="single" w:color="auto" w:sz="4" w:space="0"/>
            </w:tcBorders>
            <w:shd w:val="clear" w:color="auto" w:fill="auto"/>
            <w:noWrap/>
            <w:vAlign w:val="center"/>
          </w:tcPr>
          <w:p w14:paraId="20A7B19C">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11.42</w:t>
            </w:r>
          </w:p>
        </w:tc>
      </w:tr>
      <w:tr w14:paraId="6255B97E">
        <w:tblPrEx>
          <w:tblCellMar>
            <w:top w:w="0" w:type="dxa"/>
            <w:left w:w="108" w:type="dxa"/>
            <w:bottom w:w="0" w:type="dxa"/>
            <w:right w:w="108" w:type="dxa"/>
          </w:tblCellMar>
        </w:tblPrEx>
        <w:trPr>
          <w:trHeight w:val="510" w:hRule="exact"/>
          <w:jc w:val="center"/>
        </w:trPr>
        <w:tc>
          <w:tcPr>
            <w:tcW w:w="25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904B63">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1986" w:type="dxa"/>
            <w:tcBorders>
              <w:top w:val="single" w:color="auto" w:sz="4" w:space="0"/>
              <w:left w:val="nil"/>
              <w:bottom w:val="single" w:color="auto" w:sz="4" w:space="0"/>
              <w:right w:val="single" w:color="auto" w:sz="4" w:space="0"/>
            </w:tcBorders>
            <w:shd w:val="clear" w:color="auto" w:fill="auto"/>
            <w:noWrap/>
            <w:vAlign w:val="center"/>
          </w:tcPr>
          <w:p w14:paraId="4447646A">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CB928F4">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987" w:type="dxa"/>
            <w:tcBorders>
              <w:top w:val="single" w:color="auto" w:sz="4" w:space="0"/>
              <w:left w:val="nil"/>
              <w:bottom w:val="single" w:color="auto" w:sz="4" w:space="0"/>
              <w:right w:val="single" w:color="auto" w:sz="4" w:space="0"/>
            </w:tcBorders>
            <w:shd w:val="clear" w:color="auto" w:fill="auto"/>
            <w:noWrap/>
            <w:vAlign w:val="center"/>
          </w:tcPr>
          <w:p w14:paraId="28674798">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14:paraId="2E3A8B37">
        <w:tblPrEx>
          <w:tblCellMar>
            <w:top w:w="0" w:type="dxa"/>
            <w:left w:w="108" w:type="dxa"/>
            <w:bottom w:w="0" w:type="dxa"/>
            <w:right w:w="108" w:type="dxa"/>
          </w:tblCellMar>
        </w:tblPrEx>
        <w:trPr>
          <w:trHeight w:val="510" w:hRule="exact"/>
          <w:jc w:val="center"/>
        </w:trPr>
        <w:tc>
          <w:tcPr>
            <w:tcW w:w="2516" w:type="dxa"/>
            <w:tcBorders>
              <w:top w:val="nil"/>
              <w:left w:val="single" w:color="auto" w:sz="4" w:space="0"/>
              <w:bottom w:val="single" w:color="auto" w:sz="4" w:space="0"/>
              <w:right w:val="single" w:color="auto" w:sz="4" w:space="0"/>
            </w:tcBorders>
            <w:shd w:val="clear" w:color="auto" w:fill="auto"/>
            <w:noWrap/>
            <w:vAlign w:val="center"/>
          </w:tcPr>
          <w:p w14:paraId="1B05AC5D">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1986" w:type="dxa"/>
            <w:tcBorders>
              <w:top w:val="nil"/>
              <w:left w:val="nil"/>
              <w:bottom w:val="single" w:color="auto" w:sz="4" w:space="0"/>
              <w:right w:val="single" w:color="auto" w:sz="4" w:space="0"/>
            </w:tcBorders>
            <w:shd w:val="clear" w:color="auto" w:fill="auto"/>
            <w:noWrap/>
            <w:vAlign w:val="center"/>
          </w:tcPr>
          <w:p w14:paraId="6EDE6716">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984" w:type="dxa"/>
            <w:tcBorders>
              <w:top w:val="nil"/>
              <w:left w:val="nil"/>
              <w:bottom w:val="single" w:color="auto" w:sz="4" w:space="0"/>
              <w:right w:val="single" w:color="auto" w:sz="4" w:space="0"/>
            </w:tcBorders>
            <w:shd w:val="clear" w:color="auto" w:fill="auto"/>
            <w:noWrap/>
            <w:vAlign w:val="center"/>
          </w:tcPr>
          <w:p w14:paraId="2BD5E649">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987" w:type="dxa"/>
            <w:tcBorders>
              <w:top w:val="nil"/>
              <w:left w:val="nil"/>
              <w:bottom w:val="single" w:color="auto" w:sz="4" w:space="0"/>
              <w:right w:val="single" w:color="auto" w:sz="4" w:space="0"/>
            </w:tcBorders>
            <w:shd w:val="clear" w:color="auto" w:fill="auto"/>
            <w:noWrap/>
            <w:vAlign w:val="center"/>
          </w:tcPr>
          <w:p w14:paraId="7C49D700">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14:paraId="3886E9B4">
        <w:tblPrEx>
          <w:tblCellMar>
            <w:top w:w="0" w:type="dxa"/>
            <w:left w:w="108" w:type="dxa"/>
            <w:bottom w:w="0" w:type="dxa"/>
            <w:right w:w="108" w:type="dxa"/>
          </w:tblCellMar>
        </w:tblPrEx>
        <w:trPr>
          <w:trHeight w:val="510" w:hRule="exact"/>
          <w:jc w:val="center"/>
        </w:trPr>
        <w:tc>
          <w:tcPr>
            <w:tcW w:w="2516" w:type="dxa"/>
            <w:tcBorders>
              <w:top w:val="nil"/>
              <w:left w:val="single" w:color="auto" w:sz="4" w:space="0"/>
              <w:bottom w:val="single" w:color="auto" w:sz="4" w:space="0"/>
              <w:right w:val="single" w:color="auto" w:sz="4" w:space="0"/>
            </w:tcBorders>
            <w:shd w:val="clear" w:color="auto" w:fill="auto"/>
            <w:noWrap/>
            <w:vAlign w:val="center"/>
          </w:tcPr>
          <w:p w14:paraId="5A4BF7BD">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成本情况</w:t>
            </w:r>
          </w:p>
        </w:tc>
        <w:tc>
          <w:tcPr>
            <w:tcW w:w="1986" w:type="dxa"/>
            <w:tcBorders>
              <w:top w:val="nil"/>
              <w:left w:val="nil"/>
              <w:bottom w:val="single" w:color="auto" w:sz="4" w:space="0"/>
              <w:right w:val="single" w:color="auto" w:sz="4" w:space="0"/>
            </w:tcBorders>
            <w:shd w:val="clear" w:color="auto" w:fill="auto"/>
            <w:noWrap/>
            <w:vAlign w:val="center"/>
          </w:tcPr>
          <w:p w14:paraId="015581C3">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984" w:type="dxa"/>
            <w:tcBorders>
              <w:top w:val="nil"/>
              <w:left w:val="nil"/>
              <w:bottom w:val="single" w:color="auto" w:sz="4" w:space="0"/>
              <w:right w:val="single" w:color="auto" w:sz="4" w:space="0"/>
            </w:tcBorders>
            <w:shd w:val="clear" w:color="auto" w:fill="auto"/>
            <w:noWrap/>
            <w:vAlign w:val="center"/>
          </w:tcPr>
          <w:p w14:paraId="17B8F971">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987" w:type="dxa"/>
            <w:tcBorders>
              <w:top w:val="nil"/>
              <w:left w:val="nil"/>
              <w:bottom w:val="single" w:color="auto" w:sz="4" w:space="0"/>
              <w:right w:val="single" w:color="auto" w:sz="4" w:space="0"/>
            </w:tcBorders>
            <w:shd w:val="clear" w:color="auto" w:fill="auto"/>
            <w:noWrap/>
            <w:vAlign w:val="center"/>
          </w:tcPr>
          <w:p w14:paraId="4AD3AA25">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14:paraId="7B72E7DE">
        <w:tblPrEx>
          <w:tblCellMar>
            <w:top w:w="0" w:type="dxa"/>
            <w:left w:w="108" w:type="dxa"/>
            <w:bottom w:w="0" w:type="dxa"/>
            <w:right w:w="108" w:type="dxa"/>
          </w:tblCellMar>
        </w:tblPrEx>
        <w:trPr>
          <w:trHeight w:val="510" w:hRule="exact"/>
          <w:jc w:val="center"/>
        </w:trPr>
        <w:tc>
          <w:tcPr>
            <w:tcW w:w="2516" w:type="dxa"/>
            <w:tcBorders>
              <w:top w:val="nil"/>
              <w:left w:val="single" w:color="auto" w:sz="4" w:space="0"/>
              <w:bottom w:val="single" w:color="auto" w:sz="4" w:space="0"/>
              <w:right w:val="single" w:color="auto" w:sz="4" w:space="0"/>
            </w:tcBorders>
            <w:shd w:val="clear" w:color="auto" w:fill="auto"/>
            <w:noWrap/>
            <w:vAlign w:val="center"/>
          </w:tcPr>
          <w:p w14:paraId="2A239655">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1986" w:type="dxa"/>
            <w:tcBorders>
              <w:top w:val="nil"/>
              <w:left w:val="nil"/>
              <w:bottom w:val="single" w:color="auto" w:sz="4" w:space="0"/>
              <w:right w:val="single" w:color="auto" w:sz="4" w:space="0"/>
            </w:tcBorders>
            <w:shd w:val="clear" w:color="auto" w:fill="auto"/>
            <w:noWrap/>
            <w:vAlign w:val="center"/>
          </w:tcPr>
          <w:p w14:paraId="74198067">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w:t>
            </w:r>
          </w:p>
        </w:tc>
        <w:tc>
          <w:tcPr>
            <w:tcW w:w="1984" w:type="dxa"/>
            <w:tcBorders>
              <w:top w:val="nil"/>
              <w:left w:val="nil"/>
              <w:bottom w:val="single" w:color="auto" w:sz="4" w:space="0"/>
              <w:right w:val="single" w:color="auto" w:sz="4" w:space="0"/>
            </w:tcBorders>
            <w:shd w:val="clear" w:color="auto" w:fill="auto"/>
            <w:noWrap/>
            <w:vAlign w:val="center"/>
          </w:tcPr>
          <w:p w14:paraId="6356F440">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92.8</w:t>
            </w:r>
            <w:r>
              <w:rPr>
                <w:rFonts w:hint="eastAsia" w:ascii="宋体" w:hAnsi="宋体" w:eastAsia="宋体" w:cs="宋体"/>
                <w:color w:val="000000"/>
                <w:kern w:val="0"/>
                <w:sz w:val="18"/>
                <w:szCs w:val="18"/>
              </w:rPr>
              <w:t>%</w:t>
            </w:r>
          </w:p>
        </w:tc>
        <w:tc>
          <w:tcPr>
            <w:tcW w:w="1987" w:type="dxa"/>
            <w:tcBorders>
              <w:top w:val="nil"/>
              <w:left w:val="nil"/>
              <w:bottom w:val="single" w:color="auto" w:sz="4" w:space="0"/>
              <w:right w:val="single" w:color="auto" w:sz="4" w:space="0"/>
            </w:tcBorders>
            <w:shd w:val="clear" w:color="auto" w:fill="auto"/>
            <w:noWrap/>
            <w:vAlign w:val="center"/>
          </w:tcPr>
          <w:p w14:paraId="1E2FD404">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46.42</w:t>
            </w:r>
          </w:p>
        </w:tc>
      </w:tr>
    </w:tbl>
    <w:p w14:paraId="14A3FDE5">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对“产出数量”三级指标：</w:t>
      </w:r>
    </w:p>
    <w:p w14:paraId="43ED1F1B">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both"/>
        <w:textAlignment w:val="auto"/>
        <w:rPr>
          <w:rFonts w:hint="eastAsia" w:ascii="仿宋_GB2312" w:eastAsia="仿宋_GB2312" w:cs="仿宋_GB2312"/>
          <w:sz w:val="32"/>
          <w:szCs w:val="32"/>
        </w:rPr>
      </w:pPr>
      <w:r>
        <w:rPr>
          <w:rFonts w:hint="eastAsia" w:ascii="仿宋_GB2312" w:eastAsia="仿宋_GB2312" w:cs="仿宋_GB2312"/>
          <w:b/>
          <w:bCs/>
          <w:sz w:val="32"/>
          <w:szCs w:val="32"/>
          <w:lang w:eastAsia="zh-CN"/>
        </w:rPr>
        <w:t>青少年科技创新大赛参与人数</w:t>
      </w:r>
      <w:r>
        <w:rPr>
          <w:rFonts w:hint="eastAsia" w:ascii="仿宋_GB2312" w:eastAsia="仿宋_GB2312" w:cs="仿宋_GB2312"/>
          <w:sz w:val="32"/>
          <w:szCs w:val="32"/>
        </w:rPr>
        <w:t>，预期指标值</w:t>
      </w:r>
      <w:r>
        <w:rPr>
          <w:rFonts w:hint="eastAsia" w:ascii="仿宋_GB2312" w:eastAsia="仿宋_GB2312" w:cs="仿宋_GB2312"/>
          <w:sz w:val="32"/>
          <w:szCs w:val="32"/>
          <w:lang w:eastAsia="zh-CN"/>
        </w:rPr>
        <w:t>大于</w:t>
      </w:r>
      <w:r>
        <w:rPr>
          <w:rFonts w:ascii="仿宋_GB2312" w:eastAsia="仿宋_GB2312" w:cs="仿宋_GB2312"/>
          <w:sz w:val="32"/>
          <w:szCs w:val="32"/>
        </w:rPr>
        <w:t>等于</w:t>
      </w:r>
      <w:r>
        <w:rPr>
          <w:rFonts w:hint="eastAsia" w:ascii="仿宋_GB2312" w:eastAsia="仿宋_GB2312" w:cs="仿宋_GB2312"/>
          <w:sz w:val="32"/>
          <w:szCs w:val="32"/>
          <w:lang w:val="en-US" w:eastAsia="zh-CN"/>
        </w:rPr>
        <w:t>100人次</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110人次</w:t>
      </w:r>
      <w:r>
        <w:rPr>
          <w:rFonts w:hint="eastAsia" w:ascii="仿宋_GB2312" w:eastAsia="仿宋_GB2312" w:cs="仿宋_GB2312"/>
          <w:sz w:val="32"/>
          <w:szCs w:val="32"/>
        </w:rPr>
        <w:t>，指标完成率</w:t>
      </w:r>
      <w:r>
        <w:rPr>
          <w:rFonts w:ascii="仿宋_GB2312" w:eastAsia="仿宋_GB2312" w:cs="仿宋_GB2312"/>
          <w:sz w:val="32"/>
          <w:szCs w:val="32"/>
          <w:lang w:val="en-US" w:eastAsia="zh-CN"/>
        </w:rPr>
        <w:t>100</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w:t>
      </w:r>
    </w:p>
    <w:p w14:paraId="07A23C04">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eastAsia="仿宋_GB2312" w:cs="仿宋_GB2312"/>
          <w:sz w:val="32"/>
          <w:szCs w:val="32"/>
        </w:rPr>
      </w:pPr>
      <w:r>
        <w:rPr>
          <w:rFonts w:hint="eastAsia" w:ascii="仿宋_GB2312" w:eastAsia="仿宋_GB2312" w:cs="仿宋_GB2312"/>
          <w:b/>
          <w:bCs/>
          <w:sz w:val="32"/>
          <w:szCs w:val="32"/>
          <w:lang w:eastAsia="zh-CN"/>
        </w:rPr>
        <w:t>科普宣传活动受益人次</w:t>
      </w:r>
      <w:r>
        <w:rPr>
          <w:rFonts w:hint="eastAsia" w:ascii="仿宋_GB2312" w:eastAsia="仿宋_GB2312" w:cs="仿宋_GB2312"/>
          <w:b/>
          <w:bCs/>
          <w:sz w:val="32"/>
          <w:szCs w:val="32"/>
        </w:rPr>
        <w:t>，</w:t>
      </w:r>
      <w:r>
        <w:rPr>
          <w:rFonts w:hint="eastAsia" w:ascii="仿宋_GB2312" w:eastAsia="仿宋_GB2312" w:cs="仿宋_GB2312"/>
          <w:sz w:val="32"/>
          <w:szCs w:val="32"/>
        </w:rPr>
        <w:t>预期指标值</w:t>
      </w:r>
      <w:r>
        <w:rPr>
          <w:rFonts w:hint="eastAsia" w:ascii="仿宋_GB2312" w:eastAsia="仿宋_GB2312" w:cs="仿宋_GB2312"/>
          <w:sz w:val="32"/>
          <w:szCs w:val="32"/>
          <w:lang w:eastAsia="zh-CN"/>
        </w:rPr>
        <w:t>大于</w:t>
      </w:r>
      <w:r>
        <w:rPr>
          <w:rFonts w:ascii="仿宋_GB2312" w:eastAsia="仿宋_GB2312" w:cs="仿宋_GB2312"/>
          <w:sz w:val="32"/>
          <w:szCs w:val="32"/>
          <w:lang w:val="en-US" w:eastAsia="zh-CN"/>
        </w:rPr>
        <w:t>等于</w:t>
      </w:r>
      <w:r>
        <w:rPr>
          <w:rFonts w:hint="eastAsia" w:ascii="仿宋_GB2312" w:eastAsia="仿宋_GB2312" w:cs="仿宋_GB2312"/>
          <w:sz w:val="32"/>
          <w:szCs w:val="32"/>
          <w:lang w:val="en-US" w:eastAsia="zh-CN"/>
        </w:rPr>
        <w:t>6000人次</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930人次</w:t>
      </w:r>
      <w:r>
        <w:rPr>
          <w:rFonts w:hint="eastAsia" w:ascii="仿宋_GB2312" w:eastAsia="仿宋_GB2312" w:cs="仿宋_GB2312"/>
          <w:sz w:val="32"/>
          <w:szCs w:val="32"/>
        </w:rPr>
        <w:t>，指标完成率</w:t>
      </w:r>
      <w:r>
        <w:rPr>
          <w:rFonts w:hint="eastAsia" w:ascii="仿宋_GB2312" w:eastAsia="仿宋_GB2312" w:cs="仿宋_GB2312"/>
          <w:sz w:val="32"/>
          <w:szCs w:val="32"/>
          <w:lang w:val="en-US" w:eastAsia="zh-CN"/>
        </w:rPr>
        <w:t>16%</w:t>
      </w:r>
      <w:r>
        <w:rPr>
          <w:rFonts w:hint="eastAsia" w:ascii="仿宋_GB2312" w:eastAsia="仿宋_GB2312" w:cs="仿宋_GB2312"/>
          <w:sz w:val="32"/>
          <w:szCs w:val="32"/>
        </w:rPr>
        <w:t>；</w:t>
      </w:r>
    </w:p>
    <w:p w14:paraId="4CAE6D62">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eastAsia="仿宋_GB2312" w:cs="仿宋_GB2312"/>
          <w:sz w:val="32"/>
          <w:szCs w:val="32"/>
          <w:lang w:val="en-US" w:eastAsia="zh-CN"/>
        </w:rPr>
      </w:pPr>
      <w:r>
        <w:rPr>
          <w:rFonts w:hint="eastAsia" w:ascii="仿宋_GB2312" w:eastAsia="仿宋_GB2312" w:cs="仿宋_GB2312"/>
          <w:b/>
          <w:bCs/>
          <w:sz w:val="32"/>
          <w:szCs w:val="32"/>
          <w:lang w:eastAsia="zh-CN"/>
        </w:rPr>
        <w:t>科普宣传活动场次</w:t>
      </w:r>
      <w:r>
        <w:rPr>
          <w:rFonts w:hint="eastAsia" w:ascii="仿宋_GB2312" w:eastAsia="仿宋_GB2312" w:cs="仿宋_GB2312"/>
          <w:sz w:val="32"/>
          <w:szCs w:val="32"/>
          <w:lang w:eastAsia="zh-CN"/>
        </w:rPr>
        <w:t>，预期指标值大于等于</w:t>
      </w:r>
      <w:r>
        <w:rPr>
          <w:rFonts w:hint="eastAsia" w:ascii="仿宋_GB2312" w:eastAsia="仿宋_GB2312" w:cs="仿宋_GB2312"/>
          <w:sz w:val="32"/>
          <w:szCs w:val="32"/>
          <w:lang w:val="en-US" w:eastAsia="zh-CN"/>
        </w:rPr>
        <w:t>30场次，指标完成值6场次，指标完成率20%；</w:t>
      </w:r>
    </w:p>
    <w:p w14:paraId="1DC8ABF0">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eastAsia="仿宋_GB2312" w:cs="仿宋_GB2312"/>
          <w:sz w:val="32"/>
          <w:szCs w:val="32"/>
          <w:lang w:val="en-US" w:eastAsia="zh-CN"/>
        </w:rPr>
      </w:pPr>
      <w:r>
        <w:rPr>
          <w:rFonts w:hint="eastAsia" w:ascii="仿宋_GB2312" w:eastAsia="仿宋_GB2312" w:cs="仿宋_GB2312"/>
          <w:b/>
          <w:bCs/>
          <w:sz w:val="32"/>
          <w:szCs w:val="32"/>
          <w:lang w:eastAsia="zh-CN"/>
        </w:rPr>
        <w:t>借助现代新型传媒推送优质科普资源</w:t>
      </w:r>
      <w:r>
        <w:rPr>
          <w:rFonts w:hint="eastAsia" w:ascii="仿宋_GB2312" w:eastAsia="仿宋_GB2312" w:cs="仿宋_GB2312"/>
          <w:sz w:val="32"/>
          <w:szCs w:val="32"/>
          <w:lang w:eastAsia="zh-CN"/>
        </w:rPr>
        <w:t>，预期指标值大于等于</w:t>
      </w:r>
      <w:r>
        <w:rPr>
          <w:rFonts w:hint="eastAsia" w:ascii="仿宋_GB2312" w:eastAsia="仿宋_GB2312" w:cs="仿宋_GB2312"/>
          <w:sz w:val="32"/>
          <w:szCs w:val="32"/>
          <w:lang w:val="en-US" w:eastAsia="zh-CN"/>
        </w:rPr>
        <w:t>96期，指标完成值96期，指标完成率100%；</w:t>
      </w:r>
    </w:p>
    <w:p w14:paraId="0FD0D0F5">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default" w:ascii="仿宋_GB2312" w:eastAsia="仿宋_GB2312" w:cs="仿宋_GB2312"/>
          <w:sz w:val="32"/>
          <w:szCs w:val="32"/>
          <w:lang w:val="en-US" w:eastAsia="zh-CN"/>
        </w:rPr>
      </w:pPr>
      <w:r>
        <w:rPr>
          <w:rFonts w:hint="eastAsia" w:ascii="仿宋_GB2312" w:eastAsia="仿宋_GB2312" w:cs="仿宋_GB2312"/>
          <w:b/>
          <w:bCs/>
          <w:sz w:val="32"/>
          <w:szCs w:val="32"/>
          <w:lang w:eastAsia="zh-CN"/>
        </w:rPr>
        <w:t>采购科普宣传口袋书</w:t>
      </w:r>
      <w:r>
        <w:rPr>
          <w:rFonts w:hint="eastAsia" w:ascii="仿宋_GB2312" w:eastAsia="仿宋_GB2312" w:cs="仿宋_GB2312"/>
          <w:sz w:val="32"/>
          <w:szCs w:val="32"/>
          <w:lang w:eastAsia="zh-CN"/>
        </w:rPr>
        <w:t>，预期指标值大于等于</w:t>
      </w:r>
      <w:r>
        <w:rPr>
          <w:rFonts w:hint="eastAsia" w:ascii="仿宋_GB2312" w:eastAsia="仿宋_GB2312" w:cs="仿宋_GB2312"/>
          <w:sz w:val="32"/>
          <w:szCs w:val="32"/>
          <w:lang w:val="en-US" w:eastAsia="zh-CN"/>
        </w:rPr>
        <w:t>5000套，指标完成值6200套，指标完成率120%；</w:t>
      </w:r>
    </w:p>
    <w:p w14:paraId="06084B5E">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default" w:ascii="仿宋_GB2312" w:eastAsia="仿宋_GB2312" w:cs="仿宋_GB2312"/>
          <w:sz w:val="32"/>
          <w:szCs w:val="32"/>
          <w:lang w:val="en-US" w:eastAsia="zh-CN"/>
        </w:rPr>
      </w:pPr>
      <w:r>
        <w:rPr>
          <w:rFonts w:hint="eastAsia" w:ascii="仿宋_GB2312" w:eastAsia="仿宋_GB2312" w:cs="仿宋_GB2312"/>
          <w:b/>
          <w:bCs/>
          <w:sz w:val="32"/>
          <w:szCs w:val="32"/>
          <w:lang w:eastAsia="zh-CN"/>
        </w:rPr>
        <w:t>保障“科普</w:t>
      </w:r>
      <w:r>
        <w:rPr>
          <w:rFonts w:hint="eastAsia" w:ascii="仿宋_GB2312" w:eastAsia="仿宋_GB2312" w:cs="仿宋_GB2312"/>
          <w:b/>
          <w:bCs/>
          <w:sz w:val="32"/>
          <w:szCs w:val="32"/>
          <w:lang w:val="en-US" w:eastAsia="zh-CN"/>
        </w:rPr>
        <w:t>e站”</w:t>
      </w:r>
      <w:r>
        <w:rPr>
          <w:rFonts w:hint="eastAsia" w:ascii="仿宋_GB2312" w:eastAsia="仿宋_GB2312" w:cs="仿宋_GB2312"/>
          <w:sz w:val="32"/>
          <w:szCs w:val="32"/>
          <w:lang w:eastAsia="zh-CN"/>
        </w:rPr>
        <w:t>，预期指标值大于等于</w:t>
      </w:r>
      <w:r>
        <w:rPr>
          <w:rFonts w:hint="eastAsia" w:ascii="仿宋_GB2312" w:eastAsia="仿宋_GB2312" w:cs="仿宋_GB2312"/>
          <w:sz w:val="32"/>
          <w:szCs w:val="32"/>
          <w:lang w:val="en-US" w:eastAsia="zh-CN"/>
        </w:rPr>
        <w:t>9个，指标完成值9个，指标完成率100%；</w:t>
      </w:r>
    </w:p>
    <w:p w14:paraId="59ABDD9C">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default" w:ascii="仿宋_GB2312" w:eastAsia="仿宋_GB2312" w:cs="仿宋_GB2312"/>
          <w:sz w:val="32"/>
          <w:szCs w:val="32"/>
          <w:lang w:val="en-US" w:eastAsia="zh-CN"/>
        </w:rPr>
      </w:pPr>
      <w:r>
        <w:rPr>
          <w:rFonts w:hint="eastAsia" w:ascii="仿宋_GB2312" w:eastAsia="仿宋_GB2312" w:cs="仿宋_GB2312"/>
          <w:b/>
          <w:bCs/>
          <w:sz w:val="32"/>
          <w:szCs w:val="32"/>
          <w:lang w:eastAsia="zh-CN"/>
        </w:rPr>
        <w:t>保障科普宣传车辆</w:t>
      </w:r>
      <w:r>
        <w:rPr>
          <w:rFonts w:hint="eastAsia" w:ascii="仿宋_GB2312" w:eastAsia="仿宋_GB2312" w:cs="仿宋_GB2312"/>
          <w:sz w:val="32"/>
          <w:szCs w:val="32"/>
          <w:lang w:eastAsia="zh-CN"/>
        </w:rPr>
        <w:t>，预期指标值小于等于</w:t>
      </w:r>
      <w:r>
        <w:rPr>
          <w:rFonts w:hint="eastAsia" w:ascii="仿宋_GB2312" w:eastAsia="仿宋_GB2312" w:cs="仿宋_GB2312"/>
          <w:sz w:val="32"/>
          <w:szCs w:val="32"/>
          <w:lang w:val="en-US" w:eastAsia="zh-CN"/>
        </w:rPr>
        <w:t>2辆，指标完成值2辆，指标完成率100%；</w:t>
      </w:r>
    </w:p>
    <w:p w14:paraId="7834D074">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3"/>
        <w:jc w:val="both"/>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对“产出质量”三级指标：</w:t>
      </w:r>
    </w:p>
    <w:p w14:paraId="505BB748">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3"/>
        <w:jc w:val="both"/>
        <w:textAlignment w:val="auto"/>
        <w:rPr>
          <w:rFonts w:ascii="仿宋_GB2312" w:eastAsia="仿宋_GB2312" w:cs="仿宋_GB2312"/>
          <w:sz w:val="32"/>
          <w:szCs w:val="32"/>
        </w:rPr>
      </w:pPr>
      <w:r>
        <w:rPr>
          <w:rFonts w:hint="eastAsia" w:ascii="仿宋_GB2312" w:eastAsia="仿宋_GB2312" w:cs="仿宋_GB2312"/>
          <w:b/>
          <w:bCs/>
          <w:sz w:val="32"/>
          <w:szCs w:val="32"/>
          <w:lang w:eastAsia="zh-CN"/>
        </w:rPr>
        <w:t>政府采购</w:t>
      </w:r>
      <w:r>
        <w:rPr>
          <w:rFonts w:ascii="仿宋_GB2312" w:eastAsia="仿宋_GB2312" w:cs="仿宋_GB2312"/>
          <w:b/>
          <w:bCs/>
          <w:sz w:val="32"/>
          <w:szCs w:val="32"/>
        </w:rPr>
        <w:t>率</w:t>
      </w:r>
      <w:r>
        <w:rPr>
          <w:rFonts w:hint="eastAsia" w:ascii="仿宋_GB2312" w:eastAsia="仿宋_GB2312" w:cs="仿宋_GB2312"/>
          <w:sz w:val="32"/>
          <w:szCs w:val="32"/>
        </w:rPr>
        <w:t>，预期指标</w:t>
      </w:r>
      <w:r>
        <w:rPr>
          <w:rFonts w:ascii="仿宋_GB2312" w:eastAsia="仿宋_GB2312" w:cs="仿宋_GB2312"/>
          <w:sz w:val="32"/>
          <w:szCs w:val="32"/>
        </w:rPr>
        <w:t>值等于100%</w:t>
      </w:r>
      <w:r>
        <w:rPr>
          <w:rFonts w:hint="eastAsia" w:ascii="仿宋_GB2312" w:eastAsia="仿宋_GB2312" w:cs="仿宋_GB2312"/>
          <w:sz w:val="32"/>
          <w:szCs w:val="32"/>
        </w:rPr>
        <w:t>，指标完成值</w:t>
      </w:r>
      <w:r>
        <w:rPr>
          <w:rFonts w:ascii="仿宋_GB2312" w:eastAsia="仿宋_GB2312" w:cs="仿宋_GB2312"/>
          <w:sz w:val="32"/>
          <w:szCs w:val="32"/>
          <w:lang w:val="en-US" w:eastAsia="zh-CN"/>
        </w:rPr>
        <w:t>100%</w:t>
      </w:r>
      <w:r>
        <w:rPr>
          <w:rFonts w:hint="eastAsia" w:ascii="仿宋_GB2312" w:eastAsia="仿宋_GB2312" w:cs="仿宋_GB2312"/>
          <w:sz w:val="32"/>
          <w:szCs w:val="32"/>
        </w:rPr>
        <w:t>，指标完成率</w:t>
      </w:r>
      <w:r>
        <w:rPr>
          <w:rFonts w:ascii="仿宋_GB2312" w:eastAsia="仿宋_GB2312" w:cs="仿宋_GB2312"/>
          <w:sz w:val="32"/>
          <w:szCs w:val="32"/>
          <w:lang w:val="en-US" w:eastAsia="zh-CN"/>
        </w:rPr>
        <w:t>100</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w:t>
      </w:r>
    </w:p>
    <w:p w14:paraId="38F2D5C9">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eastAsia="仿宋_GB2312" w:cs="仿宋_GB2312"/>
          <w:sz w:val="32"/>
          <w:szCs w:val="32"/>
        </w:rPr>
      </w:pPr>
      <w:r>
        <w:rPr>
          <w:rFonts w:hint="eastAsia" w:ascii="仿宋_GB2312" w:eastAsia="仿宋_GB2312" w:cs="仿宋_GB2312"/>
          <w:b/>
          <w:bCs/>
          <w:sz w:val="32"/>
          <w:szCs w:val="32"/>
          <w:lang w:eastAsia="zh-CN"/>
        </w:rPr>
        <w:t>验收通过率</w:t>
      </w:r>
      <w:r>
        <w:rPr>
          <w:rFonts w:ascii="仿宋_GB2312" w:eastAsia="仿宋_GB2312" w:cs="仿宋_GB2312"/>
          <w:b/>
          <w:bCs/>
          <w:sz w:val="32"/>
          <w:szCs w:val="32"/>
        </w:rPr>
        <w:t>，</w:t>
      </w:r>
      <w:r>
        <w:rPr>
          <w:rFonts w:hint="eastAsia" w:ascii="仿宋_GB2312" w:eastAsia="仿宋_GB2312" w:cs="仿宋_GB2312"/>
          <w:sz w:val="32"/>
          <w:szCs w:val="32"/>
        </w:rPr>
        <w:t>预期指标</w:t>
      </w:r>
      <w:r>
        <w:rPr>
          <w:rFonts w:ascii="仿宋_GB2312" w:eastAsia="仿宋_GB2312" w:cs="仿宋_GB2312"/>
          <w:sz w:val="32"/>
          <w:szCs w:val="32"/>
        </w:rPr>
        <w:t>值等于100%</w:t>
      </w:r>
      <w:r>
        <w:rPr>
          <w:rFonts w:hint="eastAsia" w:ascii="仿宋_GB2312" w:eastAsia="仿宋_GB2312" w:cs="仿宋_GB2312"/>
          <w:sz w:val="32"/>
          <w:szCs w:val="32"/>
        </w:rPr>
        <w:t>，指标完成值</w:t>
      </w:r>
      <w:r>
        <w:rPr>
          <w:rFonts w:ascii="仿宋_GB2312" w:eastAsia="仿宋_GB2312" w:cs="仿宋_GB2312"/>
          <w:sz w:val="32"/>
          <w:szCs w:val="32"/>
          <w:lang w:val="en-US" w:eastAsia="zh-CN"/>
        </w:rPr>
        <w:t>100%</w:t>
      </w:r>
      <w:r>
        <w:rPr>
          <w:rFonts w:hint="eastAsia" w:ascii="仿宋_GB2312" w:eastAsia="仿宋_GB2312" w:cs="仿宋_GB2312"/>
          <w:sz w:val="32"/>
          <w:szCs w:val="32"/>
        </w:rPr>
        <w:t>，指标完成率</w:t>
      </w:r>
      <w:r>
        <w:rPr>
          <w:rFonts w:ascii="仿宋_GB2312" w:eastAsia="仿宋_GB2312" w:cs="仿宋_GB2312"/>
          <w:sz w:val="32"/>
          <w:szCs w:val="32"/>
          <w:lang w:val="en-US" w:eastAsia="zh-CN"/>
        </w:rPr>
        <w:t>100</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w:t>
      </w:r>
    </w:p>
    <w:p w14:paraId="09EC3832">
      <w:pPr>
        <w:pStyle w:val="17"/>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仿宋_GB2312" w:eastAsia="仿宋_GB2312" w:cs="仿宋_GB2312"/>
          <w:sz w:val="32"/>
          <w:szCs w:val="32"/>
        </w:rPr>
      </w:pPr>
      <w:r>
        <w:rPr>
          <w:rFonts w:hint="eastAsia" w:ascii="仿宋_GB2312" w:eastAsia="仿宋_GB2312" w:cs="仿宋_GB2312"/>
          <w:b/>
          <w:bCs/>
          <w:sz w:val="32"/>
          <w:szCs w:val="32"/>
          <w:lang w:eastAsia="zh-CN"/>
        </w:rPr>
        <w:t>优质科普资源推送率</w:t>
      </w:r>
      <w:r>
        <w:rPr>
          <w:rFonts w:ascii="仿宋_GB2312" w:eastAsia="仿宋_GB2312" w:cs="仿宋_GB2312"/>
          <w:b/>
          <w:bCs/>
          <w:sz w:val="32"/>
          <w:szCs w:val="32"/>
        </w:rPr>
        <w:t>，</w:t>
      </w:r>
      <w:r>
        <w:rPr>
          <w:rFonts w:hint="eastAsia" w:ascii="仿宋_GB2312" w:eastAsia="仿宋_GB2312" w:cs="仿宋_GB2312"/>
          <w:sz w:val="32"/>
          <w:szCs w:val="32"/>
        </w:rPr>
        <w:t>预期指标</w:t>
      </w:r>
      <w:r>
        <w:rPr>
          <w:rFonts w:ascii="仿宋_GB2312" w:eastAsia="仿宋_GB2312" w:cs="仿宋_GB2312"/>
          <w:sz w:val="32"/>
          <w:szCs w:val="32"/>
        </w:rPr>
        <w:t>值等于100%</w:t>
      </w:r>
      <w:r>
        <w:rPr>
          <w:rFonts w:hint="eastAsia" w:ascii="仿宋_GB2312" w:eastAsia="仿宋_GB2312" w:cs="仿宋_GB2312"/>
          <w:sz w:val="32"/>
          <w:szCs w:val="32"/>
        </w:rPr>
        <w:t>，指标完成值</w:t>
      </w:r>
      <w:r>
        <w:rPr>
          <w:rFonts w:ascii="仿宋_GB2312" w:eastAsia="仿宋_GB2312" w:cs="仿宋_GB2312"/>
          <w:sz w:val="32"/>
          <w:szCs w:val="32"/>
          <w:lang w:val="en-US" w:eastAsia="zh-CN"/>
        </w:rPr>
        <w:t>100%</w:t>
      </w:r>
      <w:r>
        <w:rPr>
          <w:rFonts w:hint="eastAsia" w:ascii="仿宋_GB2312" w:eastAsia="仿宋_GB2312" w:cs="仿宋_GB2312"/>
          <w:sz w:val="32"/>
          <w:szCs w:val="32"/>
        </w:rPr>
        <w:t>，指标完成率</w:t>
      </w:r>
      <w:r>
        <w:rPr>
          <w:rFonts w:ascii="仿宋_GB2312" w:eastAsia="仿宋_GB2312" w:cs="仿宋_GB2312"/>
          <w:sz w:val="32"/>
          <w:szCs w:val="32"/>
          <w:lang w:val="en-US" w:eastAsia="zh-CN"/>
        </w:rPr>
        <w:t>100</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w:t>
      </w:r>
    </w:p>
    <w:p w14:paraId="06403009">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kern w:val="2"/>
          <w:sz w:val="32"/>
          <w:szCs w:val="32"/>
          <w:highlight w:val="none"/>
          <w:lang w:val="en-US" w:eastAsia="zh-CN" w:bidi="ar-SA"/>
        </w:rPr>
      </w:pPr>
      <w:r>
        <w:rPr>
          <w:rFonts w:hint="eastAsia" w:ascii="仿宋_GB2312" w:hAnsi="仿宋" w:eastAsia="仿宋_GB2312" w:cstheme="minorBidi"/>
          <w:b w:val="0"/>
          <w:bCs w:val="0"/>
          <w:kern w:val="2"/>
          <w:sz w:val="32"/>
          <w:szCs w:val="32"/>
          <w:highlight w:val="none"/>
          <w:lang w:val="en-US" w:eastAsia="zh-CN" w:bidi="ar-SA"/>
        </w:rPr>
        <w:t>对“产出时效”三级指标：</w:t>
      </w:r>
    </w:p>
    <w:p w14:paraId="1AE450E1">
      <w:pPr>
        <w:pageBreakBefore w:val="0"/>
        <w:kinsoku/>
        <w:wordWrap/>
        <w:overflowPunct/>
        <w:topLinePunct w:val="0"/>
        <w:autoSpaceDE/>
        <w:autoSpaceDN/>
        <w:bidi w:val="0"/>
        <w:adjustRightInd/>
        <w:snapToGrid/>
        <w:spacing w:line="560" w:lineRule="exact"/>
        <w:ind w:firstLine="643" w:firstLineChars="200"/>
        <w:textAlignment w:val="auto"/>
        <w:rPr>
          <w:rFonts w:hint="default"/>
          <w:highlight w:val="none"/>
          <w:lang w:val="en-US" w:eastAsia="zh-CN"/>
        </w:rPr>
      </w:pPr>
      <w:r>
        <w:rPr>
          <w:rFonts w:hint="eastAsia" w:ascii="仿宋_GB2312" w:eastAsia="仿宋_GB2312" w:cs="仿宋_GB2312"/>
          <w:b/>
          <w:bCs/>
          <w:sz w:val="32"/>
          <w:szCs w:val="32"/>
          <w:highlight w:val="none"/>
          <w:lang w:eastAsia="zh-CN"/>
        </w:rPr>
        <w:t>项目实施完成时间</w:t>
      </w:r>
      <w:r>
        <w:rPr>
          <w:rFonts w:ascii="仿宋_GB2312" w:eastAsia="仿宋_GB2312" w:cs="仿宋_GB2312"/>
          <w:b/>
          <w:bCs/>
          <w:sz w:val="32"/>
          <w:szCs w:val="32"/>
          <w:highlight w:val="none"/>
        </w:rPr>
        <w:t>，</w:t>
      </w:r>
      <w:r>
        <w:rPr>
          <w:rFonts w:hint="eastAsia" w:ascii="仿宋_GB2312" w:eastAsia="仿宋_GB2312" w:cs="仿宋_GB2312"/>
          <w:sz w:val="32"/>
          <w:szCs w:val="32"/>
          <w:highlight w:val="none"/>
        </w:rPr>
        <w:t>预期指标</w:t>
      </w:r>
      <w:r>
        <w:rPr>
          <w:rFonts w:ascii="仿宋_GB2312" w:eastAsia="仿宋_GB2312" w:cs="仿宋_GB2312"/>
          <w:sz w:val="32"/>
          <w:szCs w:val="32"/>
          <w:highlight w:val="none"/>
        </w:rPr>
        <w:t>值等于</w:t>
      </w:r>
      <w:r>
        <w:rPr>
          <w:rFonts w:hint="eastAsia" w:ascii="仿宋_GB2312" w:eastAsia="仿宋_GB2312" w:cs="仿宋_GB2312"/>
          <w:sz w:val="32"/>
          <w:szCs w:val="32"/>
          <w:highlight w:val="none"/>
          <w:lang w:val="en-US" w:eastAsia="zh-CN"/>
        </w:rPr>
        <w:t>1年</w:t>
      </w:r>
      <w:r>
        <w:rPr>
          <w:rFonts w:hint="eastAsia" w:ascii="仿宋_GB2312" w:eastAsia="仿宋_GB2312" w:cs="仿宋_GB2312"/>
          <w:sz w:val="32"/>
          <w:szCs w:val="32"/>
          <w:highlight w:val="none"/>
        </w:rPr>
        <w:t>，指标完成值</w:t>
      </w:r>
      <w:r>
        <w:rPr>
          <w:rFonts w:hint="eastAsia" w:ascii="仿宋_GB2312" w:eastAsia="仿宋_GB2312" w:cs="仿宋_GB2312"/>
          <w:sz w:val="32"/>
          <w:szCs w:val="32"/>
          <w:highlight w:val="none"/>
          <w:lang w:val="en-US" w:eastAsia="zh-CN"/>
        </w:rPr>
        <w:t>1年</w:t>
      </w:r>
      <w:r>
        <w:rPr>
          <w:rFonts w:hint="eastAsia" w:ascii="仿宋_GB2312" w:eastAsia="仿宋_GB2312" w:cs="仿宋_GB2312"/>
          <w:sz w:val="32"/>
          <w:szCs w:val="32"/>
          <w:highlight w:val="none"/>
        </w:rPr>
        <w:t>，指标完成率</w:t>
      </w:r>
      <w:r>
        <w:rPr>
          <w:rFonts w:hint="eastAsia" w:ascii="仿宋_GB2312" w:eastAsia="仿宋_GB2312" w:cs="仿宋_GB2312"/>
          <w:sz w:val="32"/>
          <w:szCs w:val="32"/>
          <w:highlight w:val="none"/>
          <w:lang w:val="en-US" w:eastAsia="zh-CN"/>
        </w:rPr>
        <w:t>100%</w:t>
      </w:r>
      <w:r>
        <w:rPr>
          <w:rFonts w:hint="eastAsia" w:ascii="仿宋_GB2312" w:hAnsi="仿宋" w:eastAsia="仿宋_GB2312" w:cstheme="minorBidi"/>
          <w:b w:val="0"/>
          <w:bCs w:val="0"/>
          <w:kern w:val="2"/>
          <w:sz w:val="32"/>
          <w:szCs w:val="32"/>
          <w:highlight w:val="none"/>
          <w:lang w:val="en-US" w:eastAsia="zh-CN" w:bidi="ar-SA"/>
        </w:rPr>
        <w:t>。</w:t>
      </w:r>
    </w:p>
    <w:p w14:paraId="0D96D250">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kern w:val="2"/>
          <w:sz w:val="32"/>
          <w:szCs w:val="32"/>
          <w:highlight w:val="none"/>
          <w:lang w:val="en-US" w:eastAsia="zh-CN" w:bidi="ar-SA"/>
        </w:rPr>
      </w:pPr>
      <w:r>
        <w:rPr>
          <w:rFonts w:hint="eastAsia" w:ascii="仿宋_GB2312" w:hAnsi="仿宋" w:eastAsia="仿宋_GB2312" w:cstheme="minorBidi"/>
          <w:b w:val="0"/>
          <w:bCs w:val="0"/>
          <w:kern w:val="2"/>
          <w:sz w:val="32"/>
          <w:szCs w:val="32"/>
          <w:highlight w:val="none"/>
          <w:lang w:val="en-US" w:eastAsia="zh-CN" w:bidi="ar-SA"/>
        </w:rPr>
        <w:t>对“产出成本”三级指标：</w:t>
      </w:r>
    </w:p>
    <w:p w14:paraId="33BB734B">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theme="minorBidi"/>
          <w:b w:val="0"/>
          <w:bCs w:val="0"/>
          <w:kern w:val="2"/>
          <w:sz w:val="32"/>
          <w:szCs w:val="32"/>
          <w:highlight w:val="none"/>
          <w:lang w:val="en-US" w:eastAsia="zh-CN" w:bidi="ar-SA"/>
        </w:rPr>
      </w:pPr>
      <w:r>
        <w:rPr>
          <w:rFonts w:hint="eastAsia" w:ascii="仿宋_GB2312" w:eastAsia="仿宋_GB2312" w:cs="仿宋_GB2312"/>
          <w:b/>
          <w:bCs/>
          <w:sz w:val="32"/>
          <w:szCs w:val="32"/>
          <w:highlight w:val="none"/>
          <w:lang w:eastAsia="zh-CN"/>
        </w:rPr>
        <w:t>科普专项业务费</w:t>
      </w:r>
      <w:r>
        <w:rPr>
          <w:rFonts w:hint="eastAsia" w:ascii="仿宋_GB2312" w:eastAsia="仿宋_GB2312" w:cs="仿宋_GB2312"/>
          <w:sz w:val="32"/>
          <w:szCs w:val="32"/>
          <w:highlight w:val="none"/>
        </w:rPr>
        <w:t>，预期指标值</w:t>
      </w:r>
      <w:r>
        <w:rPr>
          <w:rFonts w:ascii="仿宋_GB2312" w:eastAsia="仿宋_GB2312" w:cs="仿宋_GB2312"/>
          <w:sz w:val="32"/>
          <w:szCs w:val="32"/>
          <w:highlight w:val="none"/>
        </w:rPr>
        <w:t>小于等于</w:t>
      </w:r>
      <w:r>
        <w:rPr>
          <w:rFonts w:hint="eastAsia" w:ascii="仿宋_GB2312" w:eastAsia="仿宋_GB2312" w:cs="仿宋_GB2312"/>
          <w:sz w:val="32"/>
          <w:szCs w:val="32"/>
          <w:highlight w:val="none"/>
          <w:lang w:val="en-US" w:eastAsia="zh-CN"/>
        </w:rPr>
        <w:t>30</w:t>
      </w:r>
      <w:r>
        <w:rPr>
          <w:rFonts w:ascii="仿宋_GB2312" w:eastAsia="仿宋_GB2312" w:cs="仿宋_GB2312"/>
          <w:sz w:val="32"/>
          <w:szCs w:val="32"/>
          <w:highlight w:val="none"/>
        </w:rPr>
        <w:t>万元</w:t>
      </w:r>
      <w:r>
        <w:rPr>
          <w:rFonts w:hint="eastAsia" w:ascii="仿宋_GB2312" w:eastAsia="仿宋_GB2312" w:cs="仿宋_GB2312"/>
          <w:sz w:val="32"/>
          <w:szCs w:val="32"/>
          <w:highlight w:val="none"/>
        </w:rPr>
        <w:t>，指标完成值</w:t>
      </w:r>
      <w:r>
        <w:rPr>
          <w:rFonts w:hint="eastAsia" w:ascii="仿宋_GB2312" w:eastAsia="仿宋_GB2312" w:cs="仿宋_GB2312"/>
          <w:sz w:val="32"/>
          <w:szCs w:val="32"/>
          <w:highlight w:val="none"/>
          <w:lang w:val="en-US" w:eastAsia="zh-CN"/>
        </w:rPr>
        <w:t>27.84</w:t>
      </w:r>
      <w:r>
        <w:rPr>
          <w:rFonts w:ascii="仿宋_GB2312" w:eastAsia="仿宋_GB2312" w:cs="仿宋_GB2312"/>
          <w:sz w:val="32"/>
          <w:szCs w:val="32"/>
          <w:highlight w:val="none"/>
          <w:lang w:val="en-US" w:eastAsia="zh-CN"/>
        </w:rPr>
        <w:t>万元</w:t>
      </w:r>
      <w:r>
        <w:rPr>
          <w:rFonts w:hint="eastAsia" w:ascii="仿宋_GB2312" w:eastAsia="仿宋_GB2312" w:cs="仿宋_GB2312"/>
          <w:sz w:val="32"/>
          <w:szCs w:val="32"/>
          <w:highlight w:val="none"/>
        </w:rPr>
        <w:t>，指标完成率</w:t>
      </w:r>
      <w:r>
        <w:rPr>
          <w:rFonts w:hint="eastAsia" w:ascii="仿宋_GB2312" w:eastAsia="仿宋_GB2312" w:cs="仿宋_GB2312"/>
          <w:sz w:val="32"/>
          <w:szCs w:val="32"/>
          <w:highlight w:val="none"/>
          <w:lang w:val="en-US" w:eastAsia="zh-CN"/>
        </w:rPr>
        <w:t>92.8%</w:t>
      </w:r>
      <w:r>
        <w:rPr>
          <w:rFonts w:hint="eastAsia" w:ascii="仿宋_GB2312" w:hAnsi="仿宋" w:eastAsia="仿宋_GB2312" w:cstheme="minorBidi"/>
          <w:b w:val="0"/>
          <w:bCs w:val="0"/>
          <w:kern w:val="2"/>
          <w:sz w:val="32"/>
          <w:szCs w:val="32"/>
          <w:highlight w:val="none"/>
          <w:lang w:val="en-US" w:eastAsia="zh-CN" w:bidi="ar-SA"/>
        </w:rPr>
        <w:t>。</w:t>
      </w:r>
    </w:p>
    <w:p w14:paraId="6852445E">
      <w:pPr>
        <w:pStyle w:val="19"/>
        <w:pageBreakBefore w:val="0"/>
        <w:numPr>
          <w:ilvl w:val="0"/>
          <w:numId w:val="0"/>
        </w:numPr>
        <w:kinsoku/>
        <w:wordWrap/>
        <w:overflowPunct/>
        <w:topLinePunct w:val="0"/>
        <w:autoSpaceDE/>
        <w:autoSpaceDN/>
        <w:bidi w:val="0"/>
        <w:adjustRightInd/>
        <w:snapToGrid/>
        <w:spacing w:after="0" w:line="560" w:lineRule="exact"/>
        <w:ind w:left="420" w:leftChars="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rPr>
        <w:t>效益情况</w:t>
      </w:r>
    </w:p>
    <w:p w14:paraId="310C8D5A">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项目效益指标从社会效益、可持续影响、服务对象满意度3个方面对项目效益情况进行考察。项目效益类指标分值30分，实际得分30分，得分率为100%。项目产出指标得分情况如表所示。</w:t>
      </w:r>
    </w:p>
    <w:tbl>
      <w:tblPr>
        <w:tblStyle w:val="20"/>
        <w:tblW w:w="8473" w:type="dxa"/>
        <w:jc w:val="center"/>
        <w:tblLayout w:type="fixed"/>
        <w:tblCellMar>
          <w:top w:w="0" w:type="dxa"/>
          <w:left w:w="108" w:type="dxa"/>
          <w:bottom w:w="0" w:type="dxa"/>
          <w:right w:w="108" w:type="dxa"/>
        </w:tblCellMar>
      </w:tblPr>
      <w:tblGrid>
        <w:gridCol w:w="2516"/>
        <w:gridCol w:w="1986"/>
        <w:gridCol w:w="1984"/>
        <w:gridCol w:w="1987"/>
      </w:tblGrid>
      <w:tr w14:paraId="2ACD3ED6">
        <w:tblPrEx>
          <w:tblCellMar>
            <w:top w:w="0" w:type="dxa"/>
            <w:left w:w="108" w:type="dxa"/>
            <w:bottom w:w="0" w:type="dxa"/>
            <w:right w:w="108" w:type="dxa"/>
          </w:tblCellMar>
        </w:tblPrEx>
        <w:trPr>
          <w:trHeight w:val="510" w:hRule="exact"/>
          <w:tblHeader/>
          <w:jc w:val="center"/>
        </w:trPr>
        <w:tc>
          <w:tcPr>
            <w:tcW w:w="2516" w:type="dxa"/>
            <w:tcBorders>
              <w:top w:val="single" w:color="auto" w:sz="4" w:space="0"/>
              <w:left w:val="single" w:color="auto" w:sz="8" w:space="0"/>
              <w:bottom w:val="single" w:color="auto" w:sz="4" w:space="0"/>
              <w:right w:val="single" w:color="auto" w:sz="8" w:space="0"/>
            </w:tcBorders>
            <w:shd w:val="clear" w:color="000000" w:fill="A6A6A6"/>
            <w:vAlign w:val="center"/>
          </w:tcPr>
          <w:p w14:paraId="49FE1A71">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14:paraId="40C4CF9B">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14:paraId="5A44EE10">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987" w:type="dxa"/>
            <w:tcBorders>
              <w:top w:val="single" w:color="auto" w:sz="4" w:space="0"/>
              <w:left w:val="nil"/>
              <w:bottom w:val="single" w:color="auto" w:sz="4" w:space="0"/>
              <w:right w:val="single" w:color="auto" w:sz="8" w:space="0"/>
            </w:tcBorders>
            <w:shd w:val="clear" w:color="000000" w:fill="A6A6A6"/>
            <w:vAlign w:val="center"/>
          </w:tcPr>
          <w:p w14:paraId="5CEE2034">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14:paraId="60FB38F0">
        <w:tblPrEx>
          <w:tblCellMar>
            <w:top w:w="0" w:type="dxa"/>
            <w:left w:w="108" w:type="dxa"/>
            <w:bottom w:w="0" w:type="dxa"/>
            <w:right w:w="108" w:type="dxa"/>
          </w:tblCellMar>
        </w:tblPrEx>
        <w:trPr>
          <w:trHeight w:val="510" w:hRule="exact"/>
          <w:jc w:val="center"/>
        </w:trPr>
        <w:tc>
          <w:tcPr>
            <w:tcW w:w="2516" w:type="dxa"/>
            <w:tcBorders>
              <w:top w:val="nil"/>
              <w:left w:val="single" w:color="auto" w:sz="4" w:space="0"/>
              <w:bottom w:val="single" w:color="auto" w:sz="4" w:space="0"/>
              <w:right w:val="single" w:color="auto" w:sz="4" w:space="0"/>
            </w:tcBorders>
            <w:shd w:val="clear" w:color="auto" w:fill="auto"/>
            <w:noWrap/>
            <w:vAlign w:val="center"/>
          </w:tcPr>
          <w:p w14:paraId="439FA65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w:t>
            </w:r>
          </w:p>
        </w:tc>
        <w:tc>
          <w:tcPr>
            <w:tcW w:w="1986" w:type="dxa"/>
            <w:tcBorders>
              <w:top w:val="nil"/>
              <w:left w:val="nil"/>
              <w:bottom w:val="single" w:color="auto" w:sz="4" w:space="0"/>
              <w:right w:val="single" w:color="auto" w:sz="4" w:space="0"/>
            </w:tcBorders>
            <w:shd w:val="clear" w:color="auto" w:fill="auto"/>
            <w:noWrap/>
            <w:vAlign w:val="center"/>
          </w:tcPr>
          <w:p w14:paraId="144DAE5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984" w:type="dxa"/>
            <w:tcBorders>
              <w:top w:val="nil"/>
              <w:left w:val="nil"/>
              <w:bottom w:val="single" w:color="auto" w:sz="4" w:space="0"/>
              <w:right w:val="single" w:color="auto" w:sz="4" w:space="0"/>
            </w:tcBorders>
            <w:shd w:val="clear" w:color="auto" w:fill="auto"/>
            <w:noWrap/>
            <w:vAlign w:val="center"/>
          </w:tcPr>
          <w:p w14:paraId="45AAF00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987" w:type="dxa"/>
            <w:tcBorders>
              <w:top w:val="nil"/>
              <w:left w:val="nil"/>
              <w:bottom w:val="single" w:color="auto" w:sz="4" w:space="0"/>
              <w:right w:val="single" w:color="auto" w:sz="4" w:space="0"/>
            </w:tcBorders>
            <w:shd w:val="clear" w:color="auto" w:fill="auto"/>
            <w:noWrap/>
            <w:vAlign w:val="center"/>
          </w:tcPr>
          <w:p w14:paraId="69224FB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14:paraId="640BE6B6">
        <w:tblPrEx>
          <w:tblCellMar>
            <w:top w:w="0" w:type="dxa"/>
            <w:left w:w="108" w:type="dxa"/>
            <w:bottom w:w="0" w:type="dxa"/>
            <w:right w:w="108" w:type="dxa"/>
          </w:tblCellMar>
        </w:tblPrEx>
        <w:trPr>
          <w:trHeight w:val="464" w:hRule="exact"/>
          <w:jc w:val="center"/>
        </w:trPr>
        <w:tc>
          <w:tcPr>
            <w:tcW w:w="2516" w:type="dxa"/>
            <w:tcBorders>
              <w:top w:val="nil"/>
              <w:left w:val="single" w:color="auto" w:sz="4" w:space="0"/>
              <w:bottom w:val="single" w:color="auto" w:sz="4" w:space="0"/>
              <w:right w:val="single" w:color="auto" w:sz="4" w:space="0"/>
            </w:tcBorders>
            <w:shd w:val="clear" w:color="auto" w:fill="auto"/>
            <w:noWrap/>
            <w:vAlign w:val="center"/>
          </w:tcPr>
          <w:p w14:paraId="3917509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可持续影响</w:t>
            </w:r>
          </w:p>
        </w:tc>
        <w:tc>
          <w:tcPr>
            <w:tcW w:w="1986" w:type="dxa"/>
            <w:tcBorders>
              <w:top w:val="nil"/>
              <w:left w:val="nil"/>
              <w:bottom w:val="single" w:color="auto" w:sz="4" w:space="0"/>
              <w:right w:val="single" w:color="auto" w:sz="4" w:space="0"/>
            </w:tcBorders>
            <w:shd w:val="clear" w:color="auto" w:fill="auto"/>
            <w:noWrap/>
            <w:vAlign w:val="center"/>
          </w:tcPr>
          <w:p w14:paraId="1B0A432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984" w:type="dxa"/>
            <w:tcBorders>
              <w:top w:val="nil"/>
              <w:left w:val="nil"/>
              <w:bottom w:val="single" w:color="auto" w:sz="4" w:space="0"/>
              <w:right w:val="single" w:color="auto" w:sz="4" w:space="0"/>
            </w:tcBorders>
            <w:shd w:val="clear" w:color="auto" w:fill="auto"/>
            <w:noWrap/>
            <w:vAlign w:val="center"/>
          </w:tcPr>
          <w:p w14:paraId="18F1F73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987" w:type="dxa"/>
            <w:tcBorders>
              <w:top w:val="nil"/>
              <w:left w:val="nil"/>
              <w:bottom w:val="single" w:color="auto" w:sz="4" w:space="0"/>
              <w:right w:val="single" w:color="auto" w:sz="4" w:space="0"/>
            </w:tcBorders>
            <w:shd w:val="clear" w:color="auto" w:fill="auto"/>
            <w:noWrap/>
            <w:vAlign w:val="center"/>
          </w:tcPr>
          <w:p w14:paraId="7C55B28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14:paraId="120249DD">
        <w:tblPrEx>
          <w:tblCellMar>
            <w:top w:w="0" w:type="dxa"/>
            <w:left w:w="108" w:type="dxa"/>
            <w:bottom w:w="0" w:type="dxa"/>
            <w:right w:w="108" w:type="dxa"/>
          </w:tblCellMar>
        </w:tblPrEx>
        <w:trPr>
          <w:trHeight w:val="510" w:hRule="exact"/>
          <w:jc w:val="center"/>
        </w:trPr>
        <w:tc>
          <w:tcPr>
            <w:tcW w:w="2516" w:type="dxa"/>
            <w:tcBorders>
              <w:top w:val="nil"/>
              <w:left w:val="single" w:color="auto" w:sz="4" w:space="0"/>
              <w:bottom w:val="single" w:color="auto" w:sz="4" w:space="0"/>
              <w:right w:val="single" w:color="auto" w:sz="4" w:space="0"/>
            </w:tcBorders>
            <w:shd w:val="clear" w:color="auto" w:fill="auto"/>
            <w:noWrap/>
            <w:vAlign w:val="center"/>
          </w:tcPr>
          <w:p w14:paraId="6F239F6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w:t>
            </w:r>
          </w:p>
        </w:tc>
        <w:tc>
          <w:tcPr>
            <w:tcW w:w="1986" w:type="dxa"/>
            <w:tcBorders>
              <w:top w:val="nil"/>
              <w:left w:val="nil"/>
              <w:bottom w:val="single" w:color="auto" w:sz="4" w:space="0"/>
              <w:right w:val="single" w:color="auto" w:sz="4" w:space="0"/>
            </w:tcBorders>
            <w:shd w:val="clear" w:color="auto" w:fill="auto"/>
            <w:noWrap/>
            <w:vAlign w:val="center"/>
          </w:tcPr>
          <w:p w14:paraId="3F82CE4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984" w:type="dxa"/>
            <w:tcBorders>
              <w:top w:val="nil"/>
              <w:left w:val="nil"/>
              <w:bottom w:val="single" w:color="auto" w:sz="4" w:space="0"/>
              <w:right w:val="single" w:color="auto" w:sz="4" w:space="0"/>
            </w:tcBorders>
            <w:shd w:val="clear" w:color="auto" w:fill="auto"/>
            <w:noWrap/>
            <w:vAlign w:val="center"/>
          </w:tcPr>
          <w:p w14:paraId="54F3047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987" w:type="dxa"/>
            <w:tcBorders>
              <w:top w:val="nil"/>
              <w:left w:val="nil"/>
              <w:bottom w:val="single" w:color="auto" w:sz="4" w:space="0"/>
              <w:right w:val="single" w:color="auto" w:sz="4" w:space="0"/>
            </w:tcBorders>
            <w:shd w:val="clear" w:color="auto" w:fill="auto"/>
            <w:noWrap/>
            <w:vAlign w:val="center"/>
          </w:tcPr>
          <w:p w14:paraId="4C88275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14:paraId="6C6D6E84">
        <w:tblPrEx>
          <w:tblCellMar>
            <w:top w:w="0" w:type="dxa"/>
            <w:left w:w="108" w:type="dxa"/>
            <w:bottom w:w="0" w:type="dxa"/>
            <w:right w:w="108" w:type="dxa"/>
          </w:tblCellMar>
        </w:tblPrEx>
        <w:trPr>
          <w:trHeight w:val="510" w:hRule="exact"/>
          <w:jc w:val="center"/>
        </w:trPr>
        <w:tc>
          <w:tcPr>
            <w:tcW w:w="2516" w:type="dxa"/>
            <w:tcBorders>
              <w:top w:val="nil"/>
              <w:left w:val="single" w:color="auto" w:sz="4" w:space="0"/>
              <w:bottom w:val="single" w:color="auto" w:sz="4" w:space="0"/>
              <w:right w:val="single" w:color="auto" w:sz="4" w:space="0"/>
            </w:tcBorders>
            <w:shd w:val="clear" w:color="auto" w:fill="auto"/>
            <w:noWrap/>
            <w:vAlign w:val="center"/>
          </w:tcPr>
          <w:p w14:paraId="3A2B93B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1986" w:type="dxa"/>
            <w:tcBorders>
              <w:top w:val="nil"/>
              <w:left w:val="nil"/>
              <w:bottom w:val="single" w:color="auto" w:sz="4" w:space="0"/>
              <w:right w:val="single" w:color="auto" w:sz="4" w:space="0"/>
            </w:tcBorders>
            <w:shd w:val="clear" w:color="auto" w:fill="auto"/>
            <w:noWrap/>
            <w:vAlign w:val="center"/>
          </w:tcPr>
          <w:p w14:paraId="3302698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40</w:t>
            </w:r>
          </w:p>
        </w:tc>
        <w:tc>
          <w:tcPr>
            <w:tcW w:w="1984" w:type="dxa"/>
            <w:tcBorders>
              <w:top w:val="nil"/>
              <w:left w:val="nil"/>
              <w:bottom w:val="single" w:color="auto" w:sz="4" w:space="0"/>
              <w:right w:val="single" w:color="auto" w:sz="4" w:space="0"/>
            </w:tcBorders>
            <w:shd w:val="clear" w:color="auto" w:fill="auto"/>
            <w:noWrap/>
            <w:vAlign w:val="center"/>
          </w:tcPr>
          <w:p w14:paraId="1D67155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987" w:type="dxa"/>
            <w:tcBorders>
              <w:top w:val="nil"/>
              <w:left w:val="nil"/>
              <w:bottom w:val="single" w:color="auto" w:sz="4" w:space="0"/>
              <w:right w:val="single" w:color="auto" w:sz="4" w:space="0"/>
            </w:tcBorders>
            <w:shd w:val="clear" w:color="auto" w:fill="auto"/>
            <w:noWrap/>
            <w:vAlign w:val="center"/>
          </w:tcPr>
          <w:p w14:paraId="6089699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40</w:t>
            </w:r>
          </w:p>
        </w:tc>
      </w:tr>
    </w:tbl>
    <w:p w14:paraId="51836886">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kern w:val="2"/>
          <w:sz w:val="32"/>
          <w:szCs w:val="32"/>
          <w:lang w:val="en-US" w:eastAsia="zh-CN" w:bidi="ar-SA"/>
        </w:rPr>
      </w:pPr>
      <w:r>
        <w:rPr>
          <w:rFonts w:hint="eastAsia" w:ascii="仿宋_GB2312" w:hAnsi="仿宋" w:eastAsia="仿宋_GB2312" w:cstheme="minorBidi"/>
          <w:b w:val="0"/>
          <w:bCs w:val="0"/>
          <w:kern w:val="2"/>
          <w:sz w:val="32"/>
          <w:szCs w:val="32"/>
          <w:lang w:val="en-US" w:eastAsia="zh-CN" w:bidi="ar-SA"/>
        </w:rPr>
        <w:t>对“社会效益”三级指标：</w:t>
      </w:r>
    </w:p>
    <w:p w14:paraId="0740C53D">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theme="minorBidi"/>
          <w:b w:val="0"/>
          <w:bCs w:val="0"/>
          <w:kern w:val="2"/>
          <w:sz w:val="32"/>
          <w:szCs w:val="32"/>
          <w:highlight w:val="none"/>
          <w:lang w:val="en-US" w:eastAsia="zh-CN" w:bidi="ar-SA"/>
        </w:rPr>
      </w:pPr>
      <w:r>
        <w:rPr>
          <w:rFonts w:hint="eastAsia" w:ascii="仿宋_GB2312" w:eastAsia="仿宋_GB2312" w:cs="仿宋_GB2312"/>
          <w:b/>
          <w:bCs/>
          <w:sz w:val="32"/>
          <w:szCs w:val="32"/>
          <w:highlight w:val="none"/>
          <w:lang w:eastAsia="zh-CN"/>
        </w:rPr>
        <w:t>参加活动群众科普知识水平</w:t>
      </w:r>
      <w:r>
        <w:rPr>
          <w:rFonts w:hint="eastAsia" w:ascii="仿宋_GB2312" w:eastAsia="仿宋_GB2312" w:cs="仿宋_GB2312"/>
          <w:sz w:val="32"/>
          <w:szCs w:val="32"/>
          <w:highlight w:val="none"/>
        </w:rPr>
        <w:t>，预期指标值</w:t>
      </w:r>
      <w:r>
        <w:rPr>
          <w:rFonts w:hint="eastAsia" w:ascii="仿宋_GB2312" w:eastAsia="仿宋_GB2312" w:cs="仿宋_GB2312"/>
          <w:sz w:val="32"/>
          <w:szCs w:val="32"/>
          <w:highlight w:val="none"/>
          <w:lang w:val="en-US" w:eastAsia="zh-CN"/>
        </w:rPr>
        <w:t>为有所提高</w:t>
      </w:r>
      <w:r>
        <w:rPr>
          <w:rFonts w:hint="eastAsia" w:ascii="仿宋_GB2312" w:eastAsia="仿宋_GB2312" w:cs="仿宋_GB2312"/>
          <w:sz w:val="32"/>
          <w:szCs w:val="32"/>
          <w:highlight w:val="none"/>
        </w:rPr>
        <w:t>，指标完成值</w:t>
      </w:r>
      <w:r>
        <w:rPr>
          <w:rFonts w:hint="eastAsia" w:ascii="仿宋_GB2312" w:eastAsia="仿宋_GB2312" w:cs="仿宋_GB2312"/>
          <w:sz w:val="32"/>
          <w:szCs w:val="32"/>
          <w:highlight w:val="none"/>
          <w:lang w:val="en-US" w:eastAsia="zh-CN"/>
        </w:rPr>
        <w:t>有所提高</w:t>
      </w:r>
      <w:r>
        <w:rPr>
          <w:rFonts w:hint="eastAsia" w:ascii="仿宋_GB2312" w:eastAsia="仿宋_GB2312" w:cs="仿宋_GB2312"/>
          <w:sz w:val="32"/>
          <w:szCs w:val="32"/>
          <w:highlight w:val="none"/>
        </w:rPr>
        <w:t>，指标完成率</w:t>
      </w:r>
      <w:r>
        <w:rPr>
          <w:rFonts w:hint="eastAsia" w:ascii="仿宋_GB2312" w:eastAsia="仿宋_GB2312" w:cs="仿宋_GB2312"/>
          <w:sz w:val="32"/>
          <w:szCs w:val="32"/>
          <w:highlight w:val="none"/>
          <w:lang w:val="en-US" w:eastAsia="zh-CN"/>
        </w:rPr>
        <w:t>100%</w:t>
      </w:r>
      <w:r>
        <w:rPr>
          <w:rFonts w:hint="eastAsia" w:ascii="仿宋_GB2312" w:eastAsia="仿宋_GB2312" w:cs="仿宋_GB2312"/>
          <w:sz w:val="32"/>
          <w:szCs w:val="32"/>
          <w:highlight w:val="none"/>
          <w:lang w:eastAsia="zh-CN"/>
        </w:rPr>
        <w:t>。</w:t>
      </w:r>
    </w:p>
    <w:p w14:paraId="03785CF9">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kern w:val="2"/>
          <w:sz w:val="32"/>
          <w:szCs w:val="32"/>
          <w:highlight w:val="none"/>
          <w:lang w:val="en-US" w:eastAsia="zh-CN" w:bidi="ar-SA"/>
        </w:rPr>
      </w:pPr>
      <w:r>
        <w:rPr>
          <w:rFonts w:hint="eastAsia" w:ascii="仿宋_GB2312" w:hAnsi="仿宋" w:eastAsia="仿宋_GB2312" w:cstheme="minorBidi"/>
          <w:b w:val="0"/>
          <w:bCs w:val="0"/>
          <w:kern w:val="2"/>
          <w:sz w:val="32"/>
          <w:szCs w:val="32"/>
          <w:highlight w:val="none"/>
          <w:lang w:val="en-US" w:eastAsia="zh-CN" w:bidi="ar-SA"/>
        </w:rPr>
        <w:t>对“可持续效益”三级指标：</w:t>
      </w:r>
    </w:p>
    <w:p w14:paraId="169CBBDB">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theme="minorBidi"/>
          <w:b w:val="0"/>
          <w:bCs w:val="0"/>
          <w:kern w:val="2"/>
          <w:sz w:val="32"/>
          <w:szCs w:val="32"/>
          <w:highlight w:val="none"/>
          <w:lang w:val="en-US" w:eastAsia="zh-CN" w:bidi="ar-SA"/>
        </w:rPr>
      </w:pPr>
      <w:r>
        <w:rPr>
          <w:rFonts w:hint="eastAsia" w:ascii="仿宋_GB2312" w:eastAsia="仿宋_GB2312" w:cs="仿宋_GB2312"/>
          <w:b/>
          <w:bCs/>
          <w:sz w:val="32"/>
          <w:szCs w:val="32"/>
          <w:highlight w:val="none"/>
          <w:lang w:eastAsia="zh-CN"/>
        </w:rPr>
        <w:t>使全民科学素质得到不断提升</w:t>
      </w:r>
      <w:r>
        <w:rPr>
          <w:rFonts w:hint="eastAsia" w:ascii="仿宋_GB2312" w:eastAsia="仿宋_GB2312" w:cs="仿宋_GB2312"/>
          <w:sz w:val="32"/>
          <w:szCs w:val="32"/>
          <w:highlight w:val="none"/>
        </w:rPr>
        <w:t>，预期指标值</w:t>
      </w:r>
      <w:r>
        <w:rPr>
          <w:rFonts w:ascii="仿宋_GB2312" w:eastAsia="仿宋_GB2312" w:cs="仿宋_GB2312"/>
          <w:sz w:val="32"/>
          <w:szCs w:val="32"/>
          <w:highlight w:val="none"/>
        </w:rPr>
        <w:t>有所提升</w:t>
      </w:r>
      <w:r>
        <w:rPr>
          <w:rFonts w:hint="eastAsia" w:ascii="仿宋_GB2312" w:eastAsia="仿宋_GB2312" w:cs="仿宋_GB2312"/>
          <w:sz w:val="32"/>
          <w:szCs w:val="32"/>
          <w:highlight w:val="none"/>
        </w:rPr>
        <w:t>，指标完成值</w:t>
      </w:r>
      <w:r>
        <w:rPr>
          <w:rFonts w:hint="eastAsia" w:ascii="仿宋_GB2312" w:eastAsia="仿宋_GB2312" w:cs="仿宋_GB2312"/>
          <w:sz w:val="32"/>
          <w:szCs w:val="32"/>
          <w:highlight w:val="none"/>
          <w:lang w:eastAsia="zh-CN"/>
        </w:rPr>
        <w:t>所有</w:t>
      </w:r>
      <w:r>
        <w:rPr>
          <w:rFonts w:ascii="仿宋_GB2312" w:eastAsia="仿宋_GB2312" w:cs="仿宋_GB2312"/>
          <w:sz w:val="32"/>
          <w:szCs w:val="32"/>
          <w:highlight w:val="none"/>
        </w:rPr>
        <w:t>提升</w:t>
      </w:r>
      <w:r>
        <w:rPr>
          <w:rFonts w:hint="eastAsia" w:ascii="仿宋_GB2312" w:eastAsia="仿宋_GB2312" w:cs="仿宋_GB2312"/>
          <w:sz w:val="32"/>
          <w:szCs w:val="32"/>
          <w:highlight w:val="none"/>
          <w:lang w:eastAsia="zh-CN"/>
        </w:rPr>
        <w:t>，指标完成率</w:t>
      </w:r>
      <w:r>
        <w:rPr>
          <w:rFonts w:hint="eastAsia" w:ascii="仿宋_GB2312" w:eastAsia="仿宋_GB2312" w:cs="仿宋_GB2312"/>
          <w:sz w:val="32"/>
          <w:szCs w:val="32"/>
          <w:highlight w:val="none"/>
          <w:lang w:val="en-US" w:eastAsia="zh-CN"/>
        </w:rPr>
        <w:t>100%</w:t>
      </w:r>
      <w:r>
        <w:rPr>
          <w:rFonts w:hint="eastAsia" w:ascii="仿宋_GB2312" w:eastAsia="仿宋_GB2312" w:cs="仿宋_GB2312"/>
          <w:sz w:val="32"/>
          <w:szCs w:val="32"/>
          <w:highlight w:val="none"/>
          <w:lang w:eastAsia="zh-CN"/>
        </w:rPr>
        <w:t>。</w:t>
      </w:r>
    </w:p>
    <w:p w14:paraId="22FCE2D0">
      <w:pPr>
        <w:pStyle w:val="17"/>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 w:eastAsia="仿宋_GB2312" w:cstheme="minorBidi"/>
          <w:b w:val="0"/>
          <w:bCs w:val="0"/>
          <w:kern w:val="2"/>
          <w:sz w:val="32"/>
          <w:szCs w:val="32"/>
          <w:highlight w:val="yellow"/>
          <w:lang w:val="en-US" w:eastAsia="zh-CN" w:bidi="ar-SA"/>
        </w:rPr>
      </w:pPr>
      <w:r>
        <w:rPr>
          <w:rFonts w:hint="eastAsia" w:ascii="仿宋_GB2312" w:hAnsi="仿宋" w:eastAsia="仿宋_GB2312" w:cstheme="minorBidi"/>
          <w:b w:val="0"/>
          <w:bCs w:val="0"/>
          <w:kern w:val="2"/>
          <w:sz w:val="32"/>
          <w:szCs w:val="32"/>
          <w:highlight w:val="none"/>
          <w:lang w:val="en-US" w:eastAsia="zh-CN" w:bidi="ar-SA"/>
        </w:rPr>
        <w:t>对“服务对象满意度”三级指标：</w:t>
      </w:r>
    </w:p>
    <w:p w14:paraId="42F3783B">
      <w:pPr>
        <w:pStyle w:val="17"/>
        <w:pageBreakBefore w:val="0"/>
        <w:widowControl/>
        <w:kinsoku/>
        <w:wordWrap/>
        <w:overflowPunct/>
        <w:topLinePunct w:val="0"/>
        <w:autoSpaceDE/>
        <w:autoSpaceDN/>
        <w:bidi w:val="0"/>
        <w:adjustRightInd/>
        <w:snapToGrid/>
        <w:spacing w:before="0" w:beforeAutospacing="0" w:after="0" w:afterAutospacing="0" w:line="560" w:lineRule="exact"/>
        <w:ind w:left="0" w:firstLine="643" w:firstLineChars="200"/>
        <w:jc w:val="both"/>
        <w:textAlignment w:val="auto"/>
        <w:rPr>
          <w:rFonts w:hint="eastAsia" w:ascii="仿宋_GB2312" w:eastAsia="仿宋_GB2312" w:cs="仿宋_GB2312"/>
          <w:sz w:val="32"/>
          <w:szCs w:val="32"/>
        </w:rPr>
      </w:pPr>
      <w:r>
        <w:rPr>
          <w:rFonts w:hint="eastAsia" w:ascii="仿宋_GB2312" w:eastAsia="仿宋_GB2312" w:cs="仿宋_GB2312"/>
          <w:b/>
          <w:bCs/>
          <w:sz w:val="32"/>
          <w:szCs w:val="32"/>
          <w:lang w:eastAsia="zh-CN"/>
        </w:rPr>
        <w:t>科普活动参与者满意度</w:t>
      </w:r>
      <w:r>
        <w:rPr>
          <w:rFonts w:hint="eastAsia" w:ascii="仿宋_GB2312" w:eastAsia="仿宋_GB2312" w:cs="仿宋_GB2312"/>
          <w:sz w:val="32"/>
          <w:szCs w:val="32"/>
        </w:rPr>
        <w:t>，预期指标值</w:t>
      </w:r>
      <w:r>
        <w:rPr>
          <w:rFonts w:ascii="仿宋_GB2312" w:eastAsia="仿宋_GB2312" w:cs="仿宋_GB2312"/>
          <w:sz w:val="32"/>
          <w:szCs w:val="32"/>
          <w:lang w:val="en-US" w:eastAsia="zh-CN"/>
        </w:rPr>
        <w:t>大于等</w:t>
      </w:r>
      <w:r>
        <w:rPr>
          <w:rFonts w:hint="eastAsia" w:ascii="仿宋_GB2312" w:eastAsia="仿宋_GB2312" w:cs="仿宋_GB2312"/>
          <w:sz w:val="32"/>
          <w:szCs w:val="32"/>
          <w:lang w:val="en-US" w:eastAsia="zh-CN"/>
        </w:rPr>
        <w:t>于</w:t>
      </w:r>
      <w:r>
        <w:rPr>
          <w:rFonts w:ascii="仿宋_GB2312" w:eastAsia="仿宋_GB2312" w:cs="仿宋_GB2312"/>
          <w:sz w:val="32"/>
          <w:szCs w:val="32"/>
          <w:lang w:val="en-US" w:eastAsia="zh-CN"/>
        </w:rPr>
        <w:t>90%</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100</w:t>
      </w:r>
      <w:r>
        <w:rPr>
          <w:rFonts w:ascii="仿宋_GB2312" w:eastAsia="仿宋_GB2312" w:cs="仿宋_GB2312"/>
          <w:sz w:val="32"/>
          <w:szCs w:val="32"/>
          <w:lang w:val="en-US" w:eastAsia="zh-CN"/>
        </w:rPr>
        <w:t>%</w:t>
      </w:r>
      <w:r>
        <w:rPr>
          <w:rFonts w:hint="eastAsia" w:ascii="仿宋_GB2312" w:eastAsia="仿宋_GB2312" w:cs="仿宋_GB2312"/>
          <w:sz w:val="32"/>
          <w:szCs w:val="32"/>
        </w:rPr>
        <w:t>，指标完成率</w:t>
      </w:r>
      <w:r>
        <w:rPr>
          <w:rFonts w:ascii="仿宋_GB2312" w:eastAsia="仿宋_GB2312" w:cs="仿宋_GB2312"/>
          <w:sz w:val="32"/>
          <w:szCs w:val="32"/>
          <w:lang w:val="en-US" w:eastAsia="zh-CN"/>
        </w:rPr>
        <w:t>100</w:t>
      </w:r>
      <w:r>
        <w:rPr>
          <w:rFonts w:hint="eastAsia" w:ascii="仿宋_GB2312" w:eastAsia="仿宋_GB2312" w:cs="仿宋_GB2312"/>
          <w:sz w:val="32"/>
          <w:szCs w:val="32"/>
          <w:lang w:val="en-US" w:eastAsia="zh-CN"/>
        </w:rPr>
        <w:t>%。</w:t>
      </w:r>
    </w:p>
    <w:p w14:paraId="4B72887E">
      <w:pPr>
        <w:pageBreakBefore w:val="0"/>
        <w:kinsoku/>
        <w:wordWrap/>
        <w:overflowPunct/>
        <w:topLinePunct w:val="0"/>
        <w:autoSpaceDE/>
        <w:autoSpaceDN/>
        <w:bidi w:val="0"/>
        <w:adjustRightInd/>
        <w:snapToGrid/>
        <w:spacing w:line="560" w:lineRule="exact"/>
        <w:ind w:firstLine="641"/>
        <w:textAlignment w:val="auto"/>
        <w:rPr>
          <w:rStyle w:val="52"/>
          <w:b/>
          <w:bCs/>
          <w:color w:val="auto"/>
        </w:rPr>
      </w:pPr>
      <w:r>
        <w:rPr>
          <w:rFonts w:hint="eastAsia" w:ascii="黑体" w:hAnsi="黑体" w:eastAsia="黑体"/>
          <w:b/>
          <w:bCs/>
          <w:sz w:val="32"/>
          <w:szCs w:val="32"/>
        </w:rPr>
        <w:t>五、主要经验及做法、存在的问题及原因分析</w:t>
      </w:r>
    </w:p>
    <w:p w14:paraId="03D7E9D0">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14:paraId="214CCBDC">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9BE1E53">
      <w:pPr>
        <w:pStyle w:val="18"/>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7124F68">
      <w:pPr>
        <w:keepNext/>
        <w:keepLines/>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rPr>
        <w:t>存在的问题及原因分析</w:t>
      </w:r>
    </w:p>
    <w:p w14:paraId="6B850711">
      <w:pPr>
        <w:pStyle w:val="18"/>
        <w:pageBreakBefore w:val="0"/>
        <w:numPr>
          <w:ilvl w:val="0"/>
          <w:numId w:val="4"/>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rPr>
        <w:t>存在的问题</w:t>
      </w:r>
    </w:p>
    <w:p w14:paraId="02832B7D">
      <w:pPr>
        <w:pStyle w:val="18"/>
        <w:pageBreakBefore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科普宣传活动受益人次和科普宣传活动场次目标值未完成。</w:t>
      </w:r>
    </w:p>
    <w:p w14:paraId="011A5AC8">
      <w:pPr>
        <w:pageBreakBefore w:val="0"/>
        <w:numPr>
          <w:ilvl w:val="0"/>
          <w:numId w:val="0"/>
        </w:numPr>
        <w:kinsoku/>
        <w:wordWrap/>
        <w:overflowPunct/>
        <w:topLinePunct w:val="0"/>
        <w:autoSpaceDE/>
        <w:autoSpaceDN/>
        <w:bidi w:val="0"/>
        <w:adjustRightInd/>
        <w:snapToGrid/>
        <w:spacing w:line="560" w:lineRule="exact"/>
        <w:ind w:leftChars="200" w:firstLine="321" w:firstLineChars="1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原因分析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防控工作影响。</w:t>
      </w:r>
    </w:p>
    <w:p w14:paraId="3F5308C7">
      <w:pPr>
        <w:pageBreakBefore w:val="0"/>
        <w:numPr>
          <w:ilvl w:val="0"/>
          <w:numId w:val="5"/>
        </w:numPr>
        <w:kinsoku/>
        <w:wordWrap/>
        <w:overflowPunct/>
        <w:topLinePunct w:val="0"/>
        <w:autoSpaceDE/>
        <w:autoSpaceDN/>
        <w:bidi w:val="0"/>
        <w:adjustRightInd/>
        <w:snapToGrid/>
        <w:spacing w:line="560" w:lineRule="exact"/>
        <w:ind w:left="199" w:leftChars="0" w:firstLine="641" w:firstLineChars="0"/>
        <w:textAlignment w:val="auto"/>
        <w:rPr>
          <w:rFonts w:ascii="黑体" w:hAnsi="黑体" w:eastAsia="黑体"/>
          <w:b/>
          <w:bCs/>
          <w:sz w:val="32"/>
          <w:szCs w:val="32"/>
        </w:rPr>
      </w:pPr>
      <w:r>
        <w:rPr>
          <w:rFonts w:hint="eastAsia" w:ascii="黑体" w:hAnsi="黑体" w:eastAsia="黑体"/>
          <w:b/>
          <w:bCs/>
          <w:sz w:val="32"/>
          <w:szCs w:val="32"/>
        </w:rPr>
        <w:t>有关建议</w:t>
      </w:r>
    </w:p>
    <w:p w14:paraId="46D2DC57">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54165255">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，从而确保专项资金专款专用，有效地防止了截留、挤占和挪用。</w:t>
      </w:r>
    </w:p>
    <w:p w14:paraId="3201406E">
      <w:pPr>
        <w:pageBreakBefore w:val="0"/>
        <w:numPr>
          <w:ilvl w:val="0"/>
          <w:numId w:val="5"/>
        </w:numPr>
        <w:kinsoku/>
        <w:wordWrap/>
        <w:overflowPunct/>
        <w:topLinePunct w:val="0"/>
        <w:autoSpaceDE/>
        <w:autoSpaceDN/>
        <w:bidi w:val="0"/>
        <w:adjustRightInd/>
        <w:snapToGrid/>
        <w:spacing w:line="560" w:lineRule="exact"/>
        <w:ind w:left="199" w:leftChars="0" w:firstLine="641" w:firstLineChars="0"/>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14:paraId="2EFBE8CA">
      <w:pPr>
        <w:pStyle w:val="18"/>
        <w:pageBreakBefore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b w:val="0"/>
          <w:bCs w:val="0"/>
          <w:kern w:val="2"/>
          <w:sz w:val="32"/>
          <w:szCs w:val="32"/>
          <w:lang w:val="en-US" w:eastAsia="zh-CN" w:bidi="ar-SA"/>
        </w:rPr>
        <w:t>无。</w:t>
      </w:r>
    </w:p>
    <w:tbl>
      <w:tblPr>
        <w:tblStyle w:val="20"/>
        <w:tblW w:w="9766" w:type="dxa"/>
        <w:tblInd w:w="0" w:type="dxa"/>
        <w:shd w:val="clear" w:color="auto" w:fill="auto"/>
        <w:tblLayout w:type="fixed"/>
        <w:tblCellMar>
          <w:top w:w="0" w:type="dxa"/>
          <w:left w:w="0" w:type="dxa"/>
          <w:bottom w:w="0" w:type="dxa"/>
          <w:right w:w="0" w:type="dxa"/>
        </w:tblCellMar>
      </w:tblPr>
      <w:tblGrid>
        <w:gridCol w:w="750"/>
        <w:gridCol w:w="751"/>
        <w:gridCol w:w="750"/>
        <w:gridCol w:w="751"/>
        <w:gridCol w:w="751"/>
        <w:gridCol w:w="751"/>
        <w:gridCol w:w="2164"/>
        <w:gridCol w:w="1327"/>
        <w:gridCol w:w="443"/>
        <w:gridCol w:w="1328"/>
      </w:tblGrid>
      <w:tr w14:paraId="62770F50">
        <w:tblPrEx>
          <w:shd w:val="clear" w:color="auto" w:fill="auto"/>
          <w:tblCellMar>
            <w:top w:w="0" w:type="dxa"/>
            <w:left w:w="0" w:type="dxa"/>
            <w:bottom w:w="0" w:type="dxa"/>
            <w:right w:w="0" w:type="dxa"/>
          </w:tblCellMar>
        </w:tblPrEx>
        <w:trPr>
          <w:trHeight w:val="405" w:hRule="atLeast"/>
        </w:trPr>
        <w:tc>
          <w:tcPr>
            <w:tcW w:w="9766" w:type="dxa"/>
            <w:gridSpan w:val="10"/>
            <w:tcBorders>
              <w:top w:val="nil"/>
              <w:left w:val="nil"/>
              <w:bottom w:val="nil"/>
              <w:right w:val="nil"/>
            </w:tcBorders>
            <w:shd w:val="clear" w:color="auto" w:fill="auto"/>
            <w:tcMar>
              <w:top w:w="15" w:type="dxa"/>
              <w:left w:w="15" w:type="dxa"/>
              <w:right w:w="15" w:type="dxa"/>
            </w:tcMar>
            <w:vAlign w:val="center"/>
          </w:tcPr>
          <w:p w14:paraId="0FAD810B">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14:paraId="07D83DC8">
        <w:tblPrEx>
          <w:shd w:val="clear" w:color="auto" w:fill="auto"/>
          <w:tblCellMar>
            <w:top w:w="0" w:type="dxa"/>
            <w:left w:w="0" w:type="dxa"/>
            <w:bottom w:w="0" w:type="dxa"/>
            <w:right w:w="0" w:type="dxa"/>
          </w:tblCellMar>
        </w:tblPrEx>
        <w:trPr>
          <w:trHeight w:val="270" w:hRule="atLeast"/>
        </w:trPr>
        <w:tc>
          <w:tcPr>
            <w:tcW w:w="9766" w:type="dxa"/>
            <w:gridSpan w:val="10"/>
            <w:tcBorders>
              <w:top w:val="nil"/>
              <w:left w:val="nil"/>
              <w:bottom w:val="nil"/>
              <w:right w:val="nil"/>
            </w:tcBorders>
            <w:shd w:val="clear" w:color="auto" w:fill="auto"/>
            <w:tcMar>
              <w:top w:w="15" w:type="dxa"/>
              <w:left w:w="15" w:type="dxa"/>
              <w:right w:w="15" w:type="dxa"/>
            </w:tcMar>
            <w:vAlign w:val="center"/>
          </w:tcPr>
          <w:p w14:paraId="28B5876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32"/>
                <w:szCs w:val="32"/>
                <w:u w:val="none"/>
                <w:lang w:val="en-US" w:eastAsia="zh-CN" w:bidi="ar"/>
              </w:rPr>
              <w:t>（   2020 年度）</w:t>
            </w:r>
          </w:p>
        </w:tc>
      </w:tr>
      <w:tr w14:paraId="40EA5FC4">
        <w:tblPrEx>
          <w:shd w:val="clear" w:color="auto" w:fill="auto"/>
          <w:tblCellMar>
            <w:top w:w="0" w:type="dxa"/>
            <w:left w:w="0" w:type="dxa"/>
            <w:bottom w:w="0" w:type="dxa"/>
            <w:right w:w="0" w:type="dxa"/>
          </w:tblCellMar>
        </w:tblPrEx>
        <w:trPr>
          <w:trHeight w:val="220" w:hRule="atLeast"/>
        </w:trPr>
        <w:tc>
          <w:tcPr>
            <w:tcW w:w="976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89D3E">
            <w:pPr>
              <w:jc w:val="center"/>
              <w:rPr>
                <w:rFonts w:hint="eastAsia" w:ascii="宋体" w:hAnsi="宋体" w:eastAsia="宋体" w:cs="宋体"/>
                <w:i w:val="0"/>
                <w:color w:val="000000"/>
                <w:sz w:val="18"/>
                <w:szCs w:val="18"/>
                <w:u w:val="none"/>
              </w:rPr>
            </w:pPr>
          </w:p>
        </w:tc>
      </w:tr>
      <w:tr w14:paraId="18725065">
        <w:tblPrEx>
          <w:shd w:val="clear" w:color="auto" w:fill="auto"/>
          <w:tblCellMar>
            <w:top w:w="0" w:type="dxa"/>
            <w:left w:w="0" w:type="dxa"/>
            <w:bottom w:w="0" w:type="dxa"/>
            <w:right w:w="0" w:type="dxa"/>
          </w:tblCellMar>
        </w:tblPrEx>
        <w:trPr>
          <w:trHeight w:val="220" w:hRule="atLeast"/>
        </w:trPr>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E90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26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3EE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科普专项业务费</w:t>
            </w:r>
          </w:p>
        </w:tc>
      </w:tr>
      <w:tr w14:paraId="402B5EE2">
        <w:tblPrEx>
          <w:shd w:val="clear" w:color="auto" w:fill="auto"/>
          <w:tblCellMar>
            <w:top w:w="0" w:type="dxa"/>
            <w:left w:w="0" w:type="dxa"/>
            <w:bottom w:w="0" w:type="dxa"/>
            <w:right w:w="0" w:type="dxa"/>
          </w:tblCellMar>
        </w:tblPrEx>
        <w:trPr>
          <w:trHeight w:val="220" w:hRule="atLeast"/>
        </w:trPr>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3D6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16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708A4">
            <w:pPr>
              <w:jc w:val="center"/>
              <w:rPr>
                <w:rFonts w:hint="eastAsia" w:ascii="宋体" w:hAnsi="宋体" w:eastAsia="宋体" w:cs="宋体"/>
                <w:i w:val="0"/>
                <w:color w:val="000000"/>
                <w:sz w:val="18"/>
                <w:szCs w:val="18"/>
                <w:u w:val="none"/>
              </w:rPr>
            </w:pP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3A7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0D6A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塔城地区科学技术协会</w:t>
            </w:r>
          </w:p>
        </w:tc>
      </w:tr>
      <w:tr w14:paraId="338E3B36">
        <w:tblPrEx>
          <w:shd w:val="clear" w:color="auto" w:fill="auto"/>
          <w:tblCellMar>
            <w:top w:w="0" w:type="dxa"/>
            <w:left w:w="0" w:type="dxa"/>
            <w:bottom w:w="0" w:type="dxa"/>
            <w:right w:w="0" w:type="dxa"/>
          </w:tblCellMar>
        </w:tblPrEx>
        <w:trPr>
          <w:trHeight w:val="220" w:hRule="atLeast"/>
        </w:trPr>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38F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7F14881">
            <w:pPr>
              <w:rPr>
                <w:rFonts w:hint="eastAsia" w:ascii="宋体" w:hAnsi="宋体" w:eastAsia="宋体" w:cs="宋体"/>
                <w:i w:val="0"/>
                <w:color w:val="000000"/>
                <w:sz w:val="18"/>
                <w:szCs w:val="18"/>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AA71AEA"/>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FBC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E72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155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C614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14:paraId="268DF263">
        <w:tblPrEx>
          <w:shd w:val="clear" w:color="auto" w:fill="auto"/>
          <w:tblCellMar>
            <w:top w:w="0" w:type="dxa"/>
            <w:left w:w="0" w:type="dxa"/>
            <w:bottom w:w="0" w:type="dxa"/>
            <w:right w:w="0" w:type="dxa"/>
          </w:tblCellMar>
        </w:tblPrEx>
        <w:trPr>
          <w:trHeight w:val="220" w:hRule="atLeast"/>
        </w:trPr>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F5D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E16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255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2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5FC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553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27.84</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F8A51">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92.80%</w:t>
            </w:r>
          </w:p>
        </w:tc>
      </w:tr>
      <w:tr w14:paraId="7149269D">
        <w:tblPrEx>
          <w:shd w:val="clear" w:color="auto" w:fill="auto"/>
          <w:tblCellMar>
            <w:top w:w="0" w:type="dxa"/>
            <w:left w:w="0" w:type="dxa"/>
            <w:bottom w:w="0" w:type="dxa"/>
            <w:right w:w="0" w:type="dxa"/>
          </w:tblCellMar>
        </w:tblPrEx>
        <w:trPr>
          <w:trHeight w:val="220" w:hRule="atLeast"/>
        </w:trPr>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E7255">
            <w:pPr>
              <w:jc w:val="center"/>
              <w:rPr>
                <w:rFonts w:hint="eastAsia" w:ascii="宋体" w:hAnsi="宋体" w:eastAsia="宋体" w:cs="宋体"/>
                <w:i w:val="0"/>
                <w:color w:val="000000"/>
                <w:sz w:val="18"/>
                <w:szCs w:val="18"/>
                <w:u w:val="none"/>
              </w:rPr>
            </w:pPr>
          </w:p>
        </w:tc>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08F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BDD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w:t>
            </w:r>
          </w:p>
        </w:tc>
        <w:tc>
          <w:tcPr>
            <w:tcW w:w="2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576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CE4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27.84</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D7C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6A423A60">
        <w:tblPrEx>
          <w:shd w:val="clear" w:color="auto" w:fill="auto"/>
          <w:tblCellMar>
            <w:top w:w="0" w:type="dxa"/>
            <w:left w:w="0" w:type="dxa"/>
            <w:bottom w:w="0" w:type="dxa"/>
            <w:right w:w="0" w:type="dxa"/>
          </w:tblCellMar>
        </w:tblPrEx>
        <w:trPr>
          <w:trHeight w:val="220" w:hRule="atLeast"/>
        </w:trPr>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A6798">
            <w:pPr>
              <w:jc w:val="center"/>
              <w:rPr>
                <w:rFonts w:hint="eastAsia" w:ascii="宋体" w:hAnsi="宋体" w:eastAsia="宋体" w:cs="宋体"/>
                <w:i w:val="0"/>
                <w:color w:val="000000"/>
                <w:sz w:val="18"/>
                <w:szCs w:val="18"/>
                <w:u w:val="none"/>
              </w:rPr>
            </w:pPr>
          </w:p>
        </w:tc>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7E6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302C6">
            <w:pPr>
              <w:jc w:val="center"/>
              <w:rPr>
                <w:rFonts w:hint="eastAsia" w:ascii="宋体" w:hAnsi="宋体" w:eastAsia="宋体" w:cs="宋体"/>
                <w:i w:val="0"/>
                <w:color w:val="000000"/>
                <w:sz w:val="18"/>
                <w:szCs w:val="18"/>
                <w:u w:val="none"/>
              </w:rPr>
            </w:pPr>
          </w:p>
        </w:tc>
        <w:tc>
          <w:tcPr>
            <w:tcW w:w="2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3EB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6A1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0F0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88B8B90">
        <w:tblPrEx>
          <w:shd w:val="clear" w:color="auto" w:fill="auto"/>
          <w:tblCellMar>
            <w:top w:w="0" w:type="dxa"/>
            <w:left w:w="0" w:type="dxa"/>
            <w:bottom w:w="0" w:type="dxa"/>
            <w:right w:w="0" w:type="dxa"/>
          </w:tblCellMar>
        </w:tblPrEx>
        <w:trPr>
          <w:trHeight w:val="220" w:hRule="atLeast"/>
        </w:trPr>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69E4A">
            <w:pPr>
              <w:jc w:val="center"/>
              <w:rPr>
                <w:rFonts w:hint="eastAsia" w:ascii="宋体" w:hAnsi="宋体" w:eastAsia="宋体" w:cs="宋体"/>
                <w:i w:val="0"/>
                <w:color w:val="000000"/>
                <w:sz w:val="18"/>
                <w:szCs w:val="18"/>
                <w:u w:val="none"/>
              </w:rPr>
            </w:pPr>
          </w:p>
        </w:tc>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34D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338C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5BCE3">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DC9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28B26">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14:paraId="129AC102">
        <w:tblPrEx>
          <w:shd w:val="clear" w:color="auto" w:fill="auto"/>
          <w:tblCellMar>
            <w:top w:w="0" w:type="dxa"/>
            <w:left w:w="0" w:type="dxa"/>
            <w:bottom w:w="0" w:type="dxa"/>
            <w:right w:w="0" w:type="dxa"/>
          </w:tblCellMar>
        </w:tblPrEx>
        <w:trPr>
          <w:trHeight w:val="2000"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248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9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2A7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09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544C7">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实际完成情况</w:t>
            </w:r>
          </w:p>
        </w:tc>
      </w:tr>
      <w:tr w14:paraId="6AA1701B">
        <w:tblPrEx>
          <w:shd w:val="clear" w:color="auto" w:fill="auto"/>
          <w:tblCellMar>
            <w:top w:w="0" w:type="dxa"/>
            <w:left w:w="0" w:type="dxa"/>
            <w:bottom w:w="0" w:type="dxa"/>
            <w:right w:w="0" w:type="dxa"/>
          </w:tblCellMar>
        </w:tblPrEx>
        <w:trPr>
          <w:trHeight w:val="32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5C567">
            <w:pPr>
              <w:jc w:val="center"/>
              <w:rPr>
                <w:rFonts w:hint="eastAsia" w:ascii="宋体" w:hAnsi="宋体" w:eastAsia="宋体" w:cs="宋体"/>
                <w:i w:val="0"/>
                <w:color w:val="000000"/>
                <w:sz w:val="18"/>
                <w:szCs w:val="18"/>
                <w:u w:val="none"/>
              </w:rPr>
            </w:pPr>
          </w:p>
        </w:tc>
        <w:tc>
          <w:tcPr>
            <w:tcW w:w="59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E96A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1、围绕地区全民科学素质提升，以科普大篷车为载体，开展群众性科普宣传、科普教育等活动；</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2、借助现代新型传媒，加大科普传播力度；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3、加强科协机关自身建设，保障科普工作日常商品服务支出。</w:t>
            </w:r>
          </w:p>
        </w:tc>
        <w:tc>
          <w:tcPr>
            <w:tcW w:w="309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F35A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1、围绕地区全民科学素质提升，以科普大篷车为载体，开展群众性科普宣传、科普教育等活动；</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2、借助现代新型传媒，加大科普传播力度；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3、加强科协机关自身建设，保障科普工作日常商品服务支出。</w:t>
            </w:r>
          </w:p>
        </w:tc>
      </w:tr>
      <w:tr w14:paraId="48DDA758">
        <w:tblPrEx>
          <w:shd w:val="clear" w:color="auto" w:fill="auto"/>
          <w:tblCellMar>
            <w:top w:w="0" w:type="dxa"/>
            <w:left w:w="0" w:type="dxa"/>
            <w:bottom w:w="0" w:type="dxa"/>
            <w:right w:w="0" w:type="dxa"/>
          </w:tblCellMar>
        </w:tblPrEx>
        <w:trPr>
          <w:trHeight w:val="340"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1A7CD">
            <w:pPr>
              <w:jc w:val="center"/>
              <w:rPr>
                <w:rFonts w:hint="eastAsia" w:ascii="宋体" w:hAnsi="宋体" w:eastAsia="宋体" w:cs="宋体"/>
                <w:i w:val="0"/>
                <w:color w:val="000000"/>
                <w:sz w:val="18"/>
                <w:szCs w:val="18"/>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AC9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C19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D11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9C9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03E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CA7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49D30235">
        <w:tblPrEx>
          <w:shd w:val="clear" w:color="auto" w:fill="auto"/>
          <w:tblCellMar>
            <w:top w:w="0" w:type="dxa"/>
            <w:left w:w="0" w:type="dxa"/>
            <w:bottom w:w="0" w:type="dxa"/>
            <w:right w:w="0" w:type="dxa"/>
          </w:tblCellMar>
        </w:tblPrEx>
        <w:trPr>
          <w:trHeight w:val="500"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48E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D5A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BF1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796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青少年科技创新大赛参与人数</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57119">
            <w:pPr>
              <w:keepNext w:val="0"/>
              <w:keepLines w:val="0"/>
              <w:widowControl/>
              <w:suppressLineNumbers w:val="0"/>
              <w:jc w:val="center"/>
              <w:textAlignment w:val="center"/>
              <w:rPr>
                <w:rFonts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≥100人次</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885A5">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110人次</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9FA17">
            <w:pPr>
              <w:jc w:val="left"/>
              <w:rPr>
                <w:rFonts w:hint="eastAsia" w:ascii="宋体" w:hAnsi="宋体" w:eastAsia="宋体" w:cs="宋体"/>
                <w:i w:val="0"/>
                <w:color w:val="000000"/>
                <w:sz w:val="18"/>
                <w:szCs w:val="18"/>
                <w:u w:val="none"/>
              </w:rPr>
            </w:pPr>
          </w:p>
        </w:tc>
      </w:tr>
      <w:tr w14:paraId="364FA20F">
        <w:tblPrEx>
          <w:shd w:val="clear" w:color="auto" w:fill="auto"/>
          <w:tblCellMar>
            <w:top w:w="0" w:type="dxa"/>
            <w:left w:w="0" w:type="dxa"/>
            <w:bottom w:w="0" w:type="dxa"/>
            <w:right w:w="0" w:type="dxa"/>
          </w:tblCellMar>
        </w:tblPrEx>
        <w:trPr>
          <w:trHeight w:val="50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C27BF">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16B96">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68967">
            <w:pPr>
              <w:jc w:val="center"/>
              <w:rPr>
                <w:rFonts w:hint="eastAsia" w:ascii="宋体" w:hAnsi="宋体" w:eastAsia="宋体" w:cs="宋体"/>
                <w:i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482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科普宣传活动受益人次</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8D264">
            <w:pPr>
              <w:keepNext w:val="0"/>
              <w:keepLines w:val="0"/>
              <w:widowControl/>
              <w:suppressLineNumbers w:val="0"/>
              <w:jc w:val="center"/>
              <w:textAlignment w:val="center"/>
              <w:rPr>
                <w:rFonts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≥6000人次</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451CC">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930人次</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B418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防控工作</w:t>
            </w:r>
            <w:r>
              <w:rPr>
                <w:rFonts w:hint="eastAsia" w:ascii="宋体" w:hAnsi="宋体" w:eastAsia="宋体" w:cs="宋体"/>
                <w:i w:val="0"/>
                <w:color w:val="000000"/>
                <w:kern w:val="0"/>
                <w:sz w:val="18"/>
                <w:szCs w:val="18"/>
                <w:u w:val="none"/>
                <w:lang w:val="en-US" w:eastAsia="zh-CN" w:bidi="ar"/>
              </w:rPr>
              <w:t>影响</w:t>
            </w:r>
          </w:p>
        </w:tc>
      </w:tr>
      <w:tr w14:paraId="35D4DBEE">
        <w:tblPrEx>
          <w:shd w:val="clear" w:color="auto" w:fill="auto"/>
          <w:tblCellMar>
            <w:top w:w="0" w:type="dxa"/>
            <w:left w:w="0" w:type="dxa"/>
            <w:bottom w:w="0" w:type="dxa"/>
            <w:right w:w="0" w:type="dxa"/>
          </w:tblCellMar>
        </w:tblPrEx>
        <w:trPr>
          <w:trHeight w:val="74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F35AD">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F8E38">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E8A34">
            <w:pPr>
              <w:jc w:val="center"/>
              <w:rPr>
                <w:rFonts w:hint="eastAsia" w:ascii="宋体" w:hAnsi="宋体" w:eastAsia="宋体" w:cs="宋体"/>
                <w:i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1D9B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科普宣传活动场次</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4E0EB">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≥30场次</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84C10">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6场次</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65921">
            <w:pPr>
              <w:keepNext w:val="0"/>
              <w:keepLines w:val="0"/>
              <w:widowControl/>
              <w:suppressLineNumbers w:val="0"/>
              <w:jc w:val="left"/>
              <w:textAlignment w:val="center"/>
              <w:rPr>
                <w:rFonts w:hint="eastAsia" w:ascii="宋体" w:hAnsi="宋体" w:eastAsia="宋体" w:cs="宋体"/>
                <w:i w:val="0"/>
                <w:color w:val="000000"/>
                <w:sz w:val="18"/>
                <w:szCs w:val="18"/>
                <w:u w:val="none"/>
                <w:lang w:eastAsia="zh-CN"/>
              </w:rPr>
            </w:pPr>
            <w:r>
              <w:rPr>
                <w:rFonts w:hint="eastAsia" w:ascii="宋体" w:hAnsi="宋体" w:cs="宋体"/>
                <w:i w:val="0"/>
                <w:color w:val="000000"/>
                <w:kern w:val="0"/>
                <w:sz w:val="18"/>
                <w:szCs w:val="18"/>
                <w:u w:val="none"/>
                <w:lang w:val="en-US" w:eastAsia="zh-CN" w:bidi="ar"/>
              </w:rPr>
              <w:t>防控工作</w:t>
            </w:r>
            <w:r>
              <w:rPr>
                <w:rFonts w:hint="eastAsia" w:ascii="宋体" w:hAnsi="宋体" w:eastAsia="宋体" w:cs="宋体"/>
                <w:i w:val="0"/>
                <w:color w:val="000000"/>
                <w:kern w:val="0"/>
                <w:sz w:val="18"/>
                <w:szCs w:val="18"/>
                <w:u w:val="none"/>
                <w:lang w:val="en-US" w:eastAsia="zh-CN" w:bidi="ar"/>
              </w:rPr>
              <w:t>影响</w:t>
            </w:r>
          </w:p>
        </w:tc>
      </w:tr>
      <w:tr w14:paraId="23A593FA">
        <w:tblPrEx>
          <w:shd w:val="clear" w:color="auto" w:fill="auto"/>
          <w:tblCellMar>
            <w:top w:w="0" w:type="dxa"/>
            <w:left w:w="0" w:type="dxa"/>
            <w:bottom w:w="0" w:type="dxa"/>
            <w:right w:w="0" w:type="dxa"/>
          </w:tblCellMar>
        </w:tblPrEx>
        <w:trPr>
          <w:trHeight w:val="58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7602C">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C671">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5F2D9">
            <w:pPr>
              <w:jc w:val="center"/>
              <w:rPr>
                <w:rFonts w:hint="eastAsia" w:ascii="宋体" w:hAnsi="宋体" w:eastAsia="宋体" w:cs="宋体"/>
                <w:i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B674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借助现代新型传媒，在“塔城零距离”等微信平台推送“科普中国”优质科普资源</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7E5E4">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≥96期</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F4FFF">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96期</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23CA8">
            <w:pPr>
              <w:jc w:val="left"/>
              <w:rPr>
                <w:rFonts w:hint="eastAsia" w:ascii="宋体" w:hAnsi="宋体" w:eastAsia="宋体" w:cs="宋体"/>
                <w:i w:val="0"/>
                <w:color w:val="000000"/>
                <w:sz w:val="18"/>
                <w:szCs w:val="18"/>
                <w:u w:val="none"/>
              </w:rPr>
            </w:pPr>
          </w:p>
        </w:tc>
      </w:tr>
      <w:tr w14:paraId="4A3846E4">
        <w:tblPrEx>
          <w:shd w:val="clear" w:color="auto" w:fill="auto"/>
          <w:tblCellMar>
            <w:top w:w="0" w:type="dxa"/>
            <w:left w:w="0" w:type="dxa"/>
            <w:bottom w:w="0" w:type="dxa"/>
            <w:right w:w="0" w:type="dxa"/>
          </w:tblCellMar>
        </w:tblPrEx>
        <w:trPr>
          <w:trHeight w:val="26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3D2F4">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FE932">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C0982">
            <w:pPr>
              <w:jc w:val="center"/>
              <w:rPr>
                <w:rFonts w:hint="eastAsia" w:ascii="宋体" w:hAnsi="宋体" w:eastAsia="宋体" w:cs="宋体"/>
                <w:i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43F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采购科普宣传口袋书</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01D8E">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≥5000册</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533A2">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6200册</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6EC5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采购成本比预期成本低，所以采购数量增加</w:t>
            </w:r>
          </w:p>
        </w:tc>
      </w:tr>
      <w:tr w14:paraId="35FAEDA5">
        <w:tblPrEx>
          <w:shd w:val="clear" w:color="auto" w:fill="auto"/>
          <w:tblCellMar>
            <w:top w:w="0" w:type="dxa"/>
            <w:left w:w="0" w:type="dxa"/>
            <w:bottom w:w="0" w:type="dxa"/>
            <w:right w:w="0" w:type="dxa"/>
          </w:tblCellMar>
        </w:tblPrEx>
        <w:trPr>
          <w:trHeight w:val="26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0AD95">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E1FCD">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0F186">
            <w:pPr>
              <w:jc w:val="center"/>
              <w:rPr>
                <w:rFonts w:hint="eastAsia" w:ascii="宋体" w:hAnsi="宋体" w:eastAsia="宋体" w:cs="宋体"/>
                <w:i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448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保障“科普e站”</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7E5B7">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≥9个</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F912D">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9个</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21CBD">
            <w:pPr>
              <w:jc w:val="left"/>
              <w:rPr>
                <w:rFonts w:hint="eastAsia" w:ascii="宋体" w:hAnsi="宋体" w:eastAsia="宋体" w:cs="宋体"/>
                <w:i w:val="0"/>
                <w:color w:val="000000"/>
                <w:sz w:val="18"/>
                <w:szCs w:val="18"/>
                <w:u w:val="none"/>
              </w:rPr>
            </w:pPr>
          </w:p>
        </w:tc>
      </w:tr>
      <w:tr w14:paraId="3AAD8253">
        <w:tblPrEx>
          <w:shd w:val="clear" w:color="auto" w:fill="auto"/>
          <w:tblCellMar>
            <w:top w:w="0" w:type="dxa"/>
            <w:left w:w="0" w:type="dxa"/>
            <w:bottom w:w="0" w:type="dxa"/>
            <w:right w:w="0" w:type="dxa"/>
          </w:tblCellMar>
        </w:tblPrEx>
        <w:trPr>
          <w:trHeight w:val="48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057F2">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FE28B">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D0FFE">
            <w:pPr>
              <w:jc w:val="center"/>
              <w:rPr>
                <w:rFonts w:hint="eastAsia" w:ascii="宋体" w:hAnsi="宋体" w:eastAsia="宋体" w:cs="宋体"/>
                <w:i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1E5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保障科普宣传车辆</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6889F">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≤2辆</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8AC9D">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2辆</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82B91">
            <w:pPr>
              <w:jc w:val="left"/>
              <w:rPr>
                <w:rFonts w:hint="eastAsia" w:ascii="宋体" w:hAnsi="宋体" w:eastAsia="宋体" w:cs="宋体"/>
                <w:i w:val="0"/>
                <w:color w:val="000000"/>
                <w:sz w:val="18"/>
                <w:szCs w:val="18"/>
                <w:u w:val="none"/>
              </w:rPr>
            </w:pPr>
          </w:p>
        </w:tc>
      </w:tr>
      <w:tr w14:paraId="2925666A">
        <w:tblPrEx>
          <w:shd w:val="clear" w:color="auto" w:fill="auto"/>
          <w:tblCellMar>
            <w:top w:w="0" w:type="dxa"/>
            <w:left w:w="0" w:type="dxa"/>
            <w:bottom w:w="0" w:type="dxa"/>
            <w:right w:w="0" w:type="dxa"/>
          </w:tblCellMar>
        </w:tblPrEx>
        <w:trPr>
          <w:trHeight w:val="24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D46F8">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504BF">
            <w:pPr>
              <w:jc w:val="center"/>
              <w:rPr>
                <w:rFonts w:hint="eastAsia" w:ascii="宋体" w:hAnsi="宋体" w:eastAsia="宋体" w:cs="宋体"/>
                <w:i w:val="0"/>
                <w:color w:val="000000"/>
                <w:sz w:val="18"/>
                <w:szCs w:val="18"/>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79C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2B8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政府采购率</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44642">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=100%</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08AD2">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100%</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C968E">
            <w:pPr>
              <w:jc w:val="left"/>
              <w:rPr>
                <w:rFonts w:hint="eastAsia" w:ascii="宋体" w:hAnsi="宋体" w:eastAsia="宋体" w:cs="宋体"/>
                <w:i w:val="0"/>
                <w:color w:val="000000"/>
                <w:sz w:val="18"/>
                <w:szCs w:val="18"/>
                <w:u w:val="none"/>
              </w:rPr>
            </w:pPr>
          </w:p>
        </w:tc>
      </w:tr>
      <w:tr w14:paraId="12E37AF1">
        <w:tblPrEx>
          <w:shd w:val="clear" w:color="auto" w:fill="auto"/>
          <w:tblCellMar>
            <w:top w:w="0" w:type="dxa"/>
            <w:left w:w="0" w:type="dxa"/>
            <w:bottom w:w="0" w:type="dxa"/>
            <w:right w:w="0" w:type="dxa"/>
          </w:tblCellMar>
        </w:tblPrEx>
        <w:trPr>
          <w:trHeight w:val="24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6FE87">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6E5A7">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22C5B">
            <w:pPr>
              <w:jc w:val="center"/>
              <w:rPr>
                <w:rFonts w:hint="eastAsia" w:ascii="宋体" w:hAnsi="宋体" w:eastAsia="宋体" w:cs="宋体"/>
                <w:i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BD5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验收通过率</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E6959">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=100%</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E4671">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100%</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BD36F">
            <w:pPr>
              <w:jc w:val="left"/>
              <w:rPr>
                <w:rFonts w:hint="eastAsia" w:ascii="宋体" w:hAnsi="宋体" w:eastAsia="宋体" w:cs="宋体"/>
                <w:i w:val="0"/>
                <w:color w:val="000000"/>
                <w:sz w:val="18"/>
                <w:szCs w:val="18"/>
                <w:u w:val="none"/>
              </w:rPr>
            </w:pPr>
          </w:p>
        </w:tc>
      </w:tr>
      <w:tr w14:paraId="172F4C56">
        <w:tblPrEx>
          <w:shd w:val="clear" w:color="auto" w:fill="auto"/>
          <w:tblCellMar>
            <w:top w:w="0" w:type="dxa"/>
            <w:left w:w="0" w:type="dxa"/>
            <w:bottom w:w="0" w:type="dxa"/>
            <w:right w:w="0" w:type="dxa"/>
          </w:tblCellMar>
        </w:tblPrEx>
        <w:trPr>
          <w:trHeight w:val="24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7C3CA">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35F31">
            <w:pPr>
              <w:jc w:val="center"/>
              <w:rPr>
                <w:rFonts w:hint="eastAsia" w:ascii="宋体" w:hAnsi="宋体" w:eastAsia="宋体" w:cs="宋体"/>
                <w:i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30296">
            <w:pPr>
              <w:jc w:val="center"/>
              <w:rPr>
                <w:rFonts w:hint="eastAsia" w:ascii="宋体" w:hAnsi="宋体" w:eastAsia="宋体" w:cs="宋体"/>
                <w:i w:val="0"/>
                <w:color w:val="000000"/>
                <w:sz w:val="18"/>
                <w:szCs w:val="18"/>
                <w:u w:val="none"/>
              </w:rPr>
            </w:pP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6A1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优质科普资源推送率</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1EF3B">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=100%</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4DF45">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100%</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D5204">
            <w:pPr>
              <w:jc w:val="left"/>
              <w:rPr>
                <w:rFonts w:hint="eastAsia" w:ascii="宋体" w:hAnsi="宋体" w:eastAsia="宋体" w:cs="宋体"/>
                <w:i w:val="0"/>
                <w:color w:val="000000"/>
                <w:sz w:val="18"/>
                <w:szCs w:val="18"/>
                <w:u w:val="none"/>
              </w:rPr>
            </w:pPr>
          </w:p>
        </w:tc>
      </w:tr>
      <w:tr w14:paraId="1CEB0614">
        <w:tblPrEx>
          <w:shd w:val="clear" w:color="auto" w:fill="auto"/>
          <w:tblCellMar>
            <w:top w:w="0" w:type="dxa"/>
            <w:left w:w="0" w:type="dxa"/>
            <w:bottom w:w="0" w:type="dxa"/>
            <w:right w:w="0" w:type="dxa"/>
          </w:tblCellMar>
        </w:tblPrEx>
        <w:trPr>
          <w:trHeight w:val="24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2764E">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1EFB0">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0CB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E60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项目实施完成时间</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3A727">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=1年</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9B5F8">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1年</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C0385">
            <w:pPr>
              <w:jc w:val="left"/>
              <w:rPr>
                <w:rFonts w:hint="eastAsia" w:ascii="宋体" w:hAnsi="宋体" w:eastAsia="宋体" w:cs="宋体"/>
                <w:i w:val="0"/>
                <w:color w:val="000000"/>
                <w:sz w:val="18"/>
                <w:szCs w:val="18"/>
                <w:u w:val="none"/>
              </w:rPr>
            </w:pPr>
          </w:p>
        </w:tc>
      </w:tr>
      <w:tr w14:paraId="6A459330">
        <w:tblPrEx>
          <w:shd w:val="clear" w:color="auto" w:fill="auto"/>
          <w:tblCellMar>
            <w:top w:w="0" w:type="dxa"/>
            <w:left w:w="0" w:type="dxa"/>
            <w:bottom w:w="0" w:type="dxa"/>
            <w:right w:w="0" w:type="dxa"/>
          </w:tblCellMar>
        </w:tblPrEx>
        <w:trPr>
          <w:trHeight w:val="62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5E563">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A0E2F">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8A2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D00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科普专项业务费</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DC0FD">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≤30万元</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38739">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27.84万元</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91FA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防控工作</w:t>
            </w:r>
            <w:r>
              <w:rPr>
                <w:rFonts w:hint="eastAsia" w:ascii="宋体" w:hAnsi="宋体" w:eastAsia="宋体" w:cs="宋体"/>
                <w:i w:val="0"/>
                <w:color w:val="000000"/>
                <w:kern w:val="0"/>
                <w:sz w:val="18"/>
                <w:szCs w:val="18"/>
                <w:u w:val="none"/>
                <w:lang w:val="en-US" w:eastAsia="zh-CN" w:bidi="ar"/>
              </w:rPr>
              <w:t>影响，大篷车基层行活动减少，剩余资金财政收回。</w:t>
            </w:r>
          </w:p>
        </w:tc>
      </w:tr>
      <w:tr w14:paraId="6DC3D09F">
        <w:tblPrEx>
          <w:shd w:val="clear" w:color="auto" w:fill="auto"/>
          <w:tblCellMar>
            <w:top w:w="0" w:type="dxa"/>
            <w:left w:w="0" w:type="dxa"/>
            <w:bottom w:w="0" w:type="dxa"/>
            <w:right w:w="0" w:type="dxa"/>
          </w:tblCellMar>
        </w:tblPrEx>
        <w:trPr>
          <w:trHeight w:val="118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F0D8A">
            <w:pPr>
              <w:jc w:val="center"/>
              <w:rPr>
                <w:rFonts w:hint="eastAsia" w:ascii="宋体" w:hAnsi="宋体" w:eastAsia="宋体" w:cs="宋体"/>
                <w:i w:val="0"/>
                <w:color w:val="000000"/>
                <w:sz w:val="18"/>
                <w:szCs w:val="18"/>
                <w:u w:val="none"/>
              </w:rPr>
            </w:pPr>
          </w:p>
        </w:tc>
        <w:tc>
          <w:tcPr>
            <w:tcW w:w="7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DF57C">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B55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579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参加活动群众科普知识水平</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78EB9">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有所提高</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12843">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有所提高</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A24D7">
            <w:pPr>
              <w:jc w:val="left"/>
              <w:rPr>
                <w:rFonts w:hint="eastAsia" w:ascii="宋体" w:hAnsi="宋体" w:eastAsia="宋体" w:cs="宋体"/>
                <w:i w:val="0"/>
                <w:color w:val="000000"/>
                <w:sz w:val="18"/>
                <w:szCs w:val="18"/>
                <w:u w:val="none"/>
              </w:rPr>
            </w:pPr>
          </w:p>
        </w:tc>
      </w:tr>
      <w:tr w14:paraId="67B41097">
        <w:tblPrEx>
          <w:shd w:val="clear" w:color="auto" w:fill="auto"/>
          <w:tblCellMar>
            <w:top w:w="0" w:type="dxa"/>
            <w:left w:w="0" w:type="dxa"/>
            <w:bottom w:w="0" w:type="dxa"/>
            <w:right w:w="0" w:type="dxa"/>
          </w:tblCellMar>
        </w:tblPrEx>
        <w:trPr>
          <w:trHeight w:val="56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878C3">
            <w:pPr>
              <w:jc w:val="center"/>
              <w:rPr>
                <w:rFonts w:hint="eastAsia" w:ascii="宋体" w:hAnsi="宋体" w:eastAsia="宋体" w:cs="宋体"/>
                <w:i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64A91">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DDF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A9C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使全民科学素质得到不断提升</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799F0">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有所提升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6AFD3">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有所提升</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39C93">
            <w:pPr>
              <w:jc w:val="left"/>
              <w:rPr>
                <w:rFonts w:hint="eastAsia" w:ascii="宋体" w:hAnsi="宋体" w:eastAsia="宋体" w:cs="宋体"/>
                <w:i w:val="0"/>
                <w:color w:val="000000"/>
                <w:sz w:val="18"/>
                <w:szCs w:val="18"/>
                <w:u w:val="none"/>
              </w:rPr>
            </w:pPr>
          </w:p>
        </w:tc>
      </w:tr>
      <w:tr w14:paraId="7D12532F">
        <w:tblPrEx>
          <w:shd w:val="clear" w:color="auto" w:fill="auto"/>
          <w:tblCellMar>
            <w:top w:w="0" w:type="dxa"/>
            <w:left w:w="0" w:type="dxa"/>
            <w:bottom w:w="0" w:type="dxa"/>
            <w:right w:w="0" w:type="dxa"/>
          </w:tblCellMar>
        </w:tblPrEx>
        <w:trPr>
          <w:trHeight w:val="940"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D8DDB">
            <w:pPr>
              <w:jc w:val="center"/>
              <w:rPr>
                <w:rFonts w:hint="eastAsia" w:ascii="宋体" w:hAnsi="宋体" w:eastAsia="宋体" w:cs="宋体"/>
                <w:i w:val="0"/>
                <w:color w:val="000000"/>
                <w:sz w:val="18"/>
                <w:szCs w:val="18"/>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E1D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0D2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2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082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科普活动参与者满意度</w:t>
            </w:r>
          </w:p>
        </w:tc>
        <w:tc>
          <w:tcPr>
            <w:tcW w:w="21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554DD">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≥90%</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6602B">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8"/>
                <w:szCs w:val="18"/>
                <w:u w:val="none"/>
                <w:lang w:val="en-US" w:eastAsia="zh-CN" w:bidi="ar"/>
              </w:rPr>
              <w:t>100%</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1FD00">
            <w:pPr>
              <w:jc w:val="left"/>
              <w:rPr>
                <w:rFonts w:hint="eastAsia" w:ascii="宋体" w:hAnsi="宋体" w:eastAsia="宋体" w:cs="宋体"/>
                <w:i w:val="0"/>
                <w:color w:val="000000"/>
                <w:sz w:val="18"/>
                <w:szCs w:val="18"/>
                <w:u w:val="none"/>
              </w:rPr>
            </w:pPr>
          </w:p>
        </w:tc>
      </w:tr>
    </w:tbl>
    <w:p w14:paraId="178EB933">
      <w:pPr>
        <w:pStyle w:val="18"/>
        <w:pageBreakBefore w:val="0"/>
        <w:kinsoku/>
        <w:wordWrap/>
        <w:overflowPunct/>
        <w:topLinePunct w:val="0"/>
        <w:autoSpaceDE/>
        <w:autoSpaceDN/>
        <w:bidi w:val="0"/>
        <w:adjustRightInd/>
        <w:snapToGrid/>
        <w:spacing w:before="0" w:line="560" w:lineRule="exact"/>
        <w:jc w:val="both"/>
        <w:textAlignment w:val="auto"/>
        <w:rPr>
          <w:rFonts w:hint="eastAsia" w:ascii="黑体" w:hAnsi="黑体" w:eastAsia="黑体"/>
          <w:sz w:val="32"/>
          <w:szCs w:val="32"/>
        </w:rPr>
      </w:pPr>
    </w:p>
    <w:p w14:paraId="76D5B2A8">
      <w:pPr>
        <w:pageBreakBefore w:val="0"/>
        <w:kinsoku/>
        <w:wordWrap/>
        <w:overflowPunct/>
        <w:topLinePunct w:val="0"/>
        <w:autoSpaceDE/>
        <w:autoSpaceDN/>
        <w:bidi w:val="0"/>
        <w:adjustRightInd/>
        <w:snapToGrid/>
        <w:spacing w:line="560" w:lineRule="exact"/>
        <w:textAlignment w:val="auto"/>
        <w:rPr>
          <w:rFonts w:hint="eastAsia" w:ascii="黑体" w:hAnsi="黑体" w:eastAsia="黑体"/>
          <w:sz w:val="32"/>
          <w:szCs w:val="32"/>
        </w:rPr>
      </w:pPr>
    </w:p>
    <w:p w14:paraId="2F38AA5E">
      <w:pPr>
        <w:pStyle w:val="18"/>
        <w:pageBreakBefore w:val="0"/>
        <w:kinsoku/>
        <w:wordWrap/>
        <w:overflowPunct/>
        <w:topLinePunct w:val="0"/>
        <w:autoSpaceDE/>
        <w:autoSpaceDN/>
        <w:bidi w:val="0"/>
        <w:adjustRightInd/>
        <w:snapToGrid/>
        <w:spacing w:before="0" w:line="560" w:lineRule="exact"/>
        <w:textAlignment w:val="auto"/>
        <w:rPr>
          <w:rFonts w:hint="eastAsia" w:ascii="黑体" w:hAnsi="黑体" w:eastAsia="黑体"/>
          <w:sz w:val="32"/>
          <w:szCs w:val="32"/>
        </w:rPr>
      </w:pPr>
    </w:p>
    <w:p w14:paraId="0B08D845">
      <w:pPr>
        <w:pageBreakBefore w:val="0"/>
        <w:kinsoku/>
        <w:wordWrap/>
        <w:overflowPunct/>
        <w:topLinePunct w:val="0"/>
        <w:autoSpaceDE/>
        <w:autoSpaceDN/>
        <w:bidi w:val="0"/>
        <w:adjustRightInd/>
        <w:snapToGrid/>
        <w:spacing w:line="560" w:lineRule="exact"/>
        <w:textAlignment w:val="auto"/>
      </w:pPr>
    </w:p>
    <w:p w14:paraId="2057CB1E">
      <w:pPr>
        <w:pStyle w:val="18"/>
        <w:rPr>
          <w:rFonts w:hint="eastAsia" w:ascii="黑体" w:hAnsi="黑体" w:eastAsia="黑体"/>
          <w:sz w:val="32"/>
          <w:szCs w:val="32"/>
        </w:rPr>
      </w:pPr>
    </w:p>
    <w:p w14:paraId="2D0F2ACD">
      <w:pPr>
        <w:rPr>
          <w:rFonts w:hint="eastAsia" w:ascii="黑体" w:hAnsi="黑体" w:eastAsia="黑体"/>
          <w:sz w:val="32"/>
          <w:szCs w:val="32"/>
        </w:rPr>
      </w:pPr>
    </w:p>
    <w:p w14:paraId="37BE8175">
      <w:pPr>
        <w:pStyle w:val="18"/>
        <w:jc w:val="both"/>
        <w:sectPr>
          <w:pgSz w:w="11906" w:h="16838"/>
          <w:pgMar w:top="1440" w:right="1558" w:bottom="1440" w:left="1800" w:header="851" w:footer="992" w:gutter="0"/>
          <w:cols w:space="425" w:num="1"/>
          <w:docGrid w:type="lines" w:linePitch="312" w:charSpace="0"/>
        </w:sectPr>
      </w:pPr>
    </w:p>
    <w:p w14:paraId="56FB8941">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0"/>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14:paraId="7B8B3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14:paraId="3F7659F7">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14:paraId="5055FCAC">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14:paraId="15E841E0">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14:paraId="6E0D4A6D">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14:paraId="72645C1E">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14:paraId="509AA9A5">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14:paraId="59E84731">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14:paraId="24935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14:paraId="7F33C9B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14:paraId="4E53230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5437825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14:paraId="0DB2221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14:paraId="4E23DDF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14:paraId="21BFAFC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noWrap w:val="0"/>
            <w:vAlign w:val="center"/>
          </w:tcPr>
          <w:p w14:paraId="7F4F580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noWrap w:val="0"/>
            <w:vAlign w:val="center"/>
          </w:tcPr>
          <w:p w14:paraId="08ACC1E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14:paraId="4F136D22">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14:paraId="53F0E47F">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14:paraId="093422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14:paraId="4E294052">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023ADD8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0820AE2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14:paraId="0F0E7A5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noWrap w:val="0"/>
            <w:vAlign w:val="center"/>
          </w:tcPr>
          <w:p w14:paraId="6A7A39B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noWrap w:val="0"/>
            <w:vAlign w:val="center"/>
          </w:tcPr>
          <w:p w14:paraId="3E5056DF">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14:paraId="77297D62">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14:paraId="5C47F217">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14:paraId="4815E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14:paraId="17C9565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14:paraId="63A38DA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14:paraId="0055BE1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14:paraId="034577A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noWrap w:val="0"/>
            <w:vAlign w:val="center"/>
          </w:tcPr>
          <w:p w14:paraId="51AD163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noWrap w:val="0"/>
            <w:vAlign w:val="center"/>
          </w:tcPr>
          <w:p w14:paraId="0B3A788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14:paraId="2AB7583C">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noWrap w:val="0"/>
            <w:vAlign w:val="center"/>
          </w:tcPr>
          <w:p w14:paraId="31549EE6">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3582A49D">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565F3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14:paraId="572E95D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14:paraId="0DD1F8F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14:paraId="21F846D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14:paraId="2D0598F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noWrap w:val="0"/>
            <w:vAlign w:val="center"/>
          </w:tcPr>
          <w:p w14:paraId="03DA165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noWrap w:val="0"/>
            <w:vAlign w:val="center"/>
          </w:tcPr>
          <w:p w14:paraId="31FC886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14:paraId="0850FE8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63A75C8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323F11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14:paraId="7DEAF5B6">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14:paraId="0F12EC8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14:paraId="43308C2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14:paraId="40D1E71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14:paraId="33BB814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noWrap w:val="0"/>
            <w:vAlign w:val="center"/>
          </w:tcPr>
          <w:p w14:paraId="60E0F4D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14:paraId="6F9A07F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14:paraId="3EF725B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14:paraId="67B2AAD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59BE2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14:paraId="1877A0A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2FC998A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6B35716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14:paraId="43E9CE9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noWrap w:val="0"/>
            <w:vAlign w:val="center"/>
          </w:tcPr>
          <w:p w14:paraId="6A0E5CD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14:paraId="4798122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14:paraId="457E6D3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14:paraId="52E7050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39F8F0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14:paraId="01508E1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14:paraId="21FF321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14:paraId="7A11C1E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noWrap w:val="0"/>
            <w:vAlign w:val="center"/>
          </w:tcPr>
          <w:p w14:paraId="4B73825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noWrap w:val="0"/>
            <w:vAlign w:val="center"/>
          </w:tcPr>
          <w:p w14:paraId="341D739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14:paraId="789BE14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14:paraId="39CC7E9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14:paraId="152F34A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133CBE6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27334F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14:paraId="7FF94B5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379304BD">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42A1DB2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noWrap w:val="0"/>
            <w:vAlign w:val="center"/>
          </w:tcPr>
          <w:p w14:paraId="649E7E4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noWrap w:val="0"/>
            <w:vAlign w:val="center"/>
          </w:tcPr>
          <w:p w14:paraId="3902B67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14:paraId="52852B7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14:paraId="2F6F805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4AA47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14:paraId="4183046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64ECEE46">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14:paraId="743C249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14:paraId="6B89EFA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14:paraId="08F1F45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noWrap w:val="0"/>
            <w:vAlign w:val="center"/>
          </w:tcPr>
          <w:p w14:paraId="37F6E0F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noWrap w:val="0"/>
            <w:vAlign w:val="center"/>
          </w:tcPr>
          <w:p w14:paraId="4A28A32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14:paraId="7C47FD6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3F74EE5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5626D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14:paraId="5CAC5E29">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14:paraId="2AA5B43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14:paraId="4A5F2D18">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14:paraId="54B90B2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14:paraId="56E9A9D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noWrap w:val="0"/>
            <w:vAlign w:val="center"/>
          </w:tcPr>
          <w:p w14:paraId="238B64C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noWrap w:val="0"/>
            <w:vAlign w:val="center"/>
          </w:tcPr>
          <w:p w14:paraId="7D8770B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14:paraId="1106D2A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7A40CEC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10A5EB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14:paraId="457BD80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3572A7F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41557D2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14:paraId="682FF42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noWrap w:val="0"/>
            <w:vAlign w:val="center"/>
          </w:tcPr>
          <w:p w14:paraId="28F60C8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noWrap w:val="0"/>
            <w:vAlign w:val="center"/>
          </w:tcPr>
          <w:p w14:paraId="2BA518F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14:paraId="6265BC8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35BD780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4EDD7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14:paraId="2434332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14:paraId="51790D8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14:paraId="7BA3349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noWrap w:val="0"/>
            <w:vAlign w:val="center"/>
          </w:tcPr>
          <w:p w14:paraId="21FC61F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noWrap w:val="0"/>
            <w:vAlign w:val="center"/>
          </w:tcPr>
          <w:p w14:paraId="7FF12F1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14:paraId="2B897EC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14:paraId="6CFC488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11.42</w:t>
            </w:r>
          </w:p>
        </w:tc>
      </w:tr>
      <w:tr w14:paraId="46E53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14:paraId="5D3388C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14:paraId="380411D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14:paraId="309EA51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noWrap w:val="0"/>
            <w:vAlign w:val="center"/>
          </w:tcPr>
          <w:p w14:paraId="2FC992A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noWrap w:val="0"/>
            <w:vAlign w:val="center"/>
          </w:tcPr>
          <w:p w14:paraId="6B17194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14:paraId="38B293E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14:paraId="59CEEC4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14:paraId="5291524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14:paraId="62884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14:paraId="687DAC69">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14:paraId="72F12F2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14:paraId="1017934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noWrap w:val="0"/>
            <w:vAlign w:val="center"/>
          </w:tcPr>
          <w:p w14:paraId="00C9225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noWrap w:val="0"/>
            <w:vAlign w:val="center"/>
          </w:tcPr>
          <w:p w14:paraId="10198F9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14:paraId="43FA76E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14:paraId="3F768B8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14:paraId="38CB8C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14:paraId="22B3DA6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14:paraId="2E6FEA7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14:paraId="7EB67BB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noWrap w:val="0"/>
            <w:vAlign w:val="center"/>
          </w:tcPr>
          <w:p w14:paraId="0183811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noWrap w:val="0"/>
            <w:vAlign w:val="center"/>
          </w:tcPr>
          <w:p w14:paraId="6E56D8A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14:paraId="0C51B16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14:paraId="1DB18E5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14:paraId="57518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14:paraId="2A42351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14:paraId="53DF794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14:paraId="313BB74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noWrap w:val="0"/>
            <w:vAlign w:val="center"/>
          </w:tcPr>
          <w:p w14:paraId="52CED176">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noWrap w:val="0"/>
            <w:vAlign w:val="center"/>
          </w:tcPr>
          <w:p w14:paraId="6D2B6C8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noWrap w:val="0"/>
            <w:vAlign w:val="center"/>
          </w:tcPr>
          <w:p w14:paraId="5DBE72F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1363" w:type="dxa"/>
            <w:shd w:val="clear" w:color="auto" w:fill="FFFFFF"/>
            <w:noWrap w:val="0"/>
            <w:vAlign w:val="center"/>
          </w:tcPr>
          <w:p w14:paraId="5B9363D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14:paraId="0D438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14:paraId="4C49DBA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22E72DC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3D000C1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noWrap w:val="0"/>
            <w:vAlign w:val="center"/>
          </w:tcPr>
          <w:p w14:paraId="69DB103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noWrap w:val="0"/>
            <w:vAlign w:val="center"/>
          </w:tcPr>
          <w:p w14:paraId="3F412DC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noWrap w:val="0"/>
            <w:vAlign w:val="center"/>
          </w:tcPr>
          <w:p w14:paraId="0E5A442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14:paraId="6789271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14:paraId="0F0B8F4C">
      <w:pPr>
        <w:pStyle w:val="18"/>
        <w:keepNext w:val="0"/>
        <w:keepLines w:val="0"/>
        <w:pageBreakBefore w:val="0"/>
        <w:kinsoku/>
        <w:wordWrap/>
        <w:overflowPunct/>
        <w:topLinePunct w:val="0"/>
        <w:autoSpaceDE/>
        <w:autoSpaceDN/>
        <w:bidi w:val="0"/>
        <w:adjustRightInd/>
        <w:snapToGrid/>
        <w:spacing w:before="0" w:after="0" w:line="560" w:lineRule="exact"/>
        <w:textAlignment w:val="auto"/>
        <w:rPr>
          <w:rFonts w:hint="eastAsia" w:ascii="宋体" w:hAnsi="宋体" w:eastAsia="宋体" w:cs="宋体"/>
          <w:sz w:val="18"/>
          <w:szCs w:val="18"/>
          <w:lang w:val="en-US" w:eastAsia="zh-CN"/>
        </w:rPr>
      </w:pPr>
    </w:p>
    <w:p w14:paraId="2AE7A030">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p w14:paraId="105B4582">
      <w:pPr>
        <w:spacing w:line="540" w:lineRule="exact"/>
        <w:ind w:firstLine="640"/>
        <w:rPr>
          <w:rStyle w:val="23"/>
          <w:rFonts w:ascii="黑体" w:hAnsi="黑体" w:eastAsia="黑体"/>
          <w:bCs w:val="0"/>
          <w:spacing w:val="-4"/>
          <w:sz w:val="32"/>
          <w:szCs w:val="32"/>
        </w:rPr>
      </w:pPr>
    </w:p>
    <w:p w14:paraId="0609CB1E">
      <w:pPr>
        <w:spacing w:line="540" w:lineRule="exact"/>
        <w:ind w:firstLine="640"/>
        <w:rPr>
          <w:rStyle w:val="23"/>
          <w:rFonts w:ascii="黑体" w:hAnsi="黑体" w:eastAsia="黑体"/>
          <w:bCs w:val="0"/>
          <w:spacing w:val="-4"/>
          <w:sz w:val="32"/>
          <w:szCs w:val="32"/>
        </w:rPr>
      </w:pPr>
    </w:p>
    <w:p w14:paraId="4F4A6203">
      <w:pPr>
        <w:spacing w:line="540" w:lineRule="exact"/>
        <w:ind w:firstLine="640"/>
        <w:rPr>
          <w:rStyle w:val="23"/>
          <w:rFonts w:ascii="黑体" w:hAnsi="黑体" w:eastAsia="黑体"/>
          <w:bCs w:val="0"/>
          <w:spacing w:val="-4"/>
          <w:sz w:val="32"/>
          <w:szCs w:val="32"/>
        </w:rPr>
      </w:pPr>
    </w:p>
    <w:p w14:paraId="64CB2E1E">
      <w:pPr>
        <w:spacing w:line="540" w:lineRule="exact"/>
        <w:ind w:firstLine="640"/>
        <w:rPr>
          <w:rStyle w:val="23"/>
          <w:rFonts w:ascii="黑体" w:hAnsi="黑体" w:eastAsia="黑体"/>
          <w:bCs w:val="0"/>
          <w:spacing w:val="-4"/>
          <w:sz w:val="32"/>
          <w:szCs w:val="32"/>
        </w:rPr>
      </w:pPr>
    </w:p>
    <w:p w14:paraId="5AC21216">
      <w:pPr>
        <w:spacing w:line="540" w:lineRule="exact"/>
        <w:ind w:firstLine="640"/>
        <w:rPr>
          <w:rStyle w:val="23"/>
          <w:rFonts w:ascii="黑体" w:hAnsi="黑体" w:eastAsia="黑体"/>
          <w:bCs w:val="0"/>
          <w:spacing w:val="-4"/>
          <w:sz w:val="32"/>
          <w:szCs w:val="32"/>
        </w:rPr>
      </w:pPr>
    </w:p>
    <w:p w14:paraId="77DDBB01">
      <w:pPr>
        <w:spacing w:line="540" w:lineRule="exact"/>
        <w:ind w:firstLine="640"/>
        <w:rPr>
          <w:rStyle w:val="23"/>
          <w:rFonts w:ascii="黑体" w:hAnsi="黑体" w:eastAsia="黑体"/>
          <w:bCs w:val="0"/>
          <w:spacing w:val="-4"/>
          <w:sz w:val="32"/>
          <w:szCs w:val="32"/>
        </w:rPr>
      </w:pPr>
    </w:p>
    <w:p w14:paraId="74E4755A">
      <w:pPr>
        <w:spacing w:line="540" w:lineRule="exact"/>
        <w:rPr>
          <w:rStyle w:val="23"/>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5F9FA6-9AD8-4951-90FF-9D662C2519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A8B0996E-C8F9-4320-B4C3-51A3D6F75604}"/>
  </w:font>
  <w:font w:name="华文中宋">
    <w:panose1 w:val="02010600040101010101"/>
    <w:charset w:val="86"/>
    <w:family w:val="auto"/>
    <w:pitch w:val="default"/>
    <w:sig w:usb0="00000287" w:usb1="080F0000" w:usb2="00000000" w:usb3="00000000" w:csb0="0004009F" w:csb1="DFD70000"/>
    <w:embedRegular r:id="rId3" w:fontKey="{88346C1A-EBD9-4A0E-A622-CDA310B006E7}"/>
  </w:font>
  <w:font w:name="方正小标宋简体">
    <w:panose1 w:val="02000000000000000000"/>
    <w:charset w:val="86"/>
    <w:family w:val="auto"/>
    <w:pitch w:val="default"/>
    <w:sig w:usb0="00000001" w:usb1="08000000" w:usb2="00000000" w:usb3="00000000" w:csb0="00040000" w:csb1="00000000"/>
    <w:embedRegular r:id="rId4" w:fontKey="{A2A72ABC-D76A-4774-90D3-E9F5BD200E23}"/>
  </w:font>
  <w:font w:name="楷体_GB2312">
    <w:altName w:val="楷体"/>
    <w:panose1 w:val="02010609030101010101"/>
    <w:charset w:val="86"/>
    <w:family w:val="auto"/>
    <w:pitch w:val="default"/>
    <w:sig w:usb0="00000000" w:usb1="00000000" w:usb2="00000000" w:usb3="00000000" w:csb0="00040000" w:csb1="00000000"/>
    <w:embedRegular r:id="rId5" w:fontKey="{1E5EA10A-7BD0-4134-8633-6100011ABD18}"/>
  </w:font>
  <w:font w:name="楷体">
    <w:panose1 w:val="02010609060101010101"/>
    <w:charset w:val="86"/>
    <w:family w:val="auto"/>
    <w:pitch w:val="default"/>
    <w:sig w:usb0="800002BF" w:usb1="38CF7CFA" w:usb2="00000016" w:usb3="00000000" w:csb0="00040001" w:csb1="00000000"/>
    <w:embedRegular r:id="rId6" w:fontKey="{49D91C59-1117-4AEF-8B42-10A6A24C78F8}"/>
  </w:font>
  <w:font w:name="Verdana">
    <w:panose1 w:val="020B0604030504040204"/>
    <w:charset w:val="00"/>
    <w:family w:val="swiss"/>
    <w:pitch w:val="default"/>
    <w:sig w:usb0="A00006FF" w:usb1="4000205B" w:usb2="00000010" w:usb3="00000000" w:csb0="2000019F" w:csb1="00000000"/>
    <w:embedRegular r:id="rId7" w:fontKey="{1F102571-EC20-4E31-9DF1-A25AC3BE8FE7}"/>
  </w:font>
  <w:font w:name="仿宋">
    <w:panose1 w:val="02010609060101010101"/>
    <w:charset w:val="86"/>
    <w:family w:val="modern"/>
    <w:pitch w:val="default"/>
    <w:sig w:usb0="800002BF" w:usb1="38CF7CFA" w:usb2="00000016" w:usb3="00000000" w:csb0="00040001" w:csb1="00000000"/>
    <w:embedRegular r:id="rId8" w:fontKey="{6E92A54C-74FB-457C-9F60-078AB3AD683C}"/>
  </w:font>
  <w:font w:name="方正仿宋_GBK">
    <w:panose1 w:val="02000000000000000000"/>
    <w:charset w:val="86"/>
    <w:family w:val="script"/>
    <w:pitch w:val="default"/>
    <w:sig w:usb0="A00002BF" w:usb1="38CF7CFA" w:usb2="00082016" w:usb3="00000000" w:csb0="00040001" w:csb1="00000000"/>
    <w:embedRegular r:id="rId9" w:fontKey="{E4BC788D-1C95-41D9-AE59-39135EFEF706}"/>
  </w:font>
  <w:font w:name="Tahoma">
    <w:panose1 w:val="020B0604030504040204"/>
    <w:charset w:val="00"/>
    <w:family w:val="swiss"/>
    <w:pitch w:val="default"/>
    <w:sig w:usb0="E1002EFF" w:usb1="C000605B" w:usb2="00000029" w:usb3="00000000" w:csb0="200101FF" w:csb1="20280000"/>
    <w:embedRegular r:id="rId10" w:fontKey="{37EC19C0-C6C3-4D1C-A056-52A8BE755E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CF4666B">
        <w:pPr>
          <w:pStyle w:val="14"/>
          <w:jc w:val="center"/>
        </w:pPr>
        <w:r>
          <w:fldChar w:fldCharType="begin"/>
        </w:r>
        <w:r>
          <w:instrText xml:space="preserve">PAGE   \* MERGEFORMAT</w:instrText>
        </w:r>
        <w:r>
          <w:fldChar w:fldCharType="separate"/>
        </w:r>
        <w:r>
          <w:rPr>
            <w:lang w:val="zh-CN"/>
          </w:rPr>
          <w:t>2</w:t>
        </w:r>
        <w:r>
          <w:fldChar w:fldCharType="end"/>
        </w:r>
      </w:p>
    </w:sdtContent>
  </w:sdt>
  <w:p w14:paraId="12CE8681">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pPr>
        <w:ind w:left="199"/>
      </w:pPr>
      <w:rPr>
        <w:rFonts w:hint="eastAsia"/>
      </w:rPr>
    </w:lvl>
  </w:abstractNum>
  <w:abstractNum w:abstractNumId="1">
    <w:nsid w:val="CE894E70"/>
    <w:multiLevelType w:val="singleLevel"/>
    <w:tmpl w:val="CE894E70"/>
    <w:lvl w:ilvl="0" w:tentative="0">
      <w:start w:val="1"/>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E5C6BF8"/>
    <w:multiLevelType w:val="singleLevel"/>
    <w:tmpl w:val="EE5C6BF8"/>
    <w:lvl w:ilvl="0" w:tentative="0">
      <w:start w:val="2"/>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100BB4"/>
    <w:rsid w:val="04A802E4"/>
    <w:rsid w:val="051A56F5"/>
    <w:rsid w:val="066D6EAA"/>
    <w:rsid w:val="06C6221B"/>
    <w:rsid w:val="080224EB"/>
    <w:rsid w:val="08C662D4"/>
    <w:rsid w:val="09BD4D95"/>
    <w:rsid w:val="0C0D0858"/>
    <w:rsid w:val="0C7B7904"/>
    <w:rsid w:val="0E434D90"/>
    <w:rsid w:val="0F8D41CB"/>
    <w:rsid w:val="10DC4654"/>
    <w:rsid w:val="11870276"/>
    <w:rsid w:val="118A669D"/>
    <w:rsid w:val="11C75270"/>
    <w:rsid w:val="12637CC3"/>
    <w:rsid w:val="12E657C5"/>
    <w:rsid w:val="148E7BBA"/>
    <w:rsid w:val="167C7687"/>
    <w:rsid w:val="168B3546"/>
    <w:rsid w:val="1A065A49"/>
    <w:rsid w:val="1A2374E0"/>
    <w:rsid w:val="1C317CE2"/>
    <w:rsid w:val="1DD45808"/>
    <w:rsid w:val="1DEB13B6"/>
    <w:rsid w:val="1DED42AC"/>
    <w:rsid w:val="20005763"/>
    <w:rsid w:val="20FB313D"/>
    <w:rsid w:val="220B4804"/>
    <w:rsid w:val="244542EE"/>
    <w:rsid w:val="282475E3"/>
    <w:rsid w:val="2BC379B6"/>
    <w:rsid w:val="2C6100C1"/>
    <w:rsid w:val="2F5F446A"/>
    <w:rsid w:val="31F75E46"/>
    <w:rsid w:val="3264220D"/>
    <w:rsid w:val="32A4492E"/>
    <w:rsid w:val="335F3418"/>
    <w:rsid w:val="34F76F34"/>
    <w:rsid w:val="3963178C"/>
    <w:rsid w:val="3F250949"/>
    <w:rsid w:val="40F83D66"/>
    <w:rsid w:val="41CC2676"/>
    <w:rsid w:val="46B21672"/>
    <w:rsid w:val="4BA71647"/>
    <w:rsid w:val="4EC6760F"/>
    <w:rsid w:val="4F552460"/>
    <w:rsid w:val="4FCC6863"/>
    <w:rsid w:val="500A214A"/>
    <w:rsid w:val="522D604D"/>
    <w:rsid w:val="5297585E"/>
    <w:rsid w:val="52AD7D6F"/>
    <w:rsid w:val="5549519D"/>
    <w:rsid w:val="5557596B"/>
    <w:rsid w:val="56D6266D"/>
    <w:rsid w:val="5B596DFC"/>
    <w:rsid w:val="5C8410DC"/>
    <w:rsid w:val="5D0B3FE3"/>
    <w:rsid w:val="5DAD76C6"/>
    <w:rsid w:val="5DF03945"/>
    <w:rsid w:val="6063374E"/>
    <w:rsid w:val="637C2815"/>
    <w:rsid w:val="679F403B"/>
    <w:rsid w:val="77150D08"/>
    <w:rsid w:val="788B77E3"/>
    <w:rsid w:val="7A353D0B"/>
    <w:rsid w:val="7B17224E"/>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link w:val="22"/>
    <w:semiHidden/>
    <w:unhideWhenUsed/>
    <w:qFormat/>
    <w:uiPriority w:val="1"/>
    <w:rPr>
      <w:rFonts w:ascii="黑体" w:hAnsi="Arial" w:eastAsia="黑体"/>
      <w:kern w:val="2"/>
      <w:sz w:val="30"/>
      <w:szCs w:val="30"/>
      <w:lang w:val="en-US" w:eastAsia="zh-CN" w:bidi="ar-SA"/>
    </w:rPr>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Body Text"/>
    <w:basedOn w:val="1"/>
    <w:qFormat/>
    <w:uiPriority w:val="0"/>
    <w:pPr>
      <w:spacing w:after="120"/>
    </w:pPr>
  </w:style>
  <w:style w:type="paragraph" w:styleId="13">
    <w:name w:val="Balloon Text"/>
    <w:basedOn w:val="1"/>
    <w:link w:val="50"/>
    <w:semiHidden/>
    <w:unhideWhenUsed/>
    <w:qFormat/>
    <w:uiPriority w:val="99"/>
    <w:rPr>
      <w:sz w:val="18"/>
      <w:szCs w:val="18"/>
    </w:rPr>
  </w:style>
  <w:style w:type="paragraph" w:styleId="14">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qFormat/>
    <w:uiPriority w:val="0"/>
    <w:pPr>
      <w:spacing w:before="100" w:beforeAutospacing="1" w:after="100" w:afterAutospacing="1"/>
      <w:jc w:val="left"/>
    </w:pPr>
    <w:rPr>
      <w:sz w:val="24"/>
    </w:rPr>
  </w:style>
  <w:style w:type="paragraph" w:styleId="18">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w:basedOn w:val="12"/>
    <w:qFormat/>
    <w:uiPriority w:val="0"/>
    <w:pPr>
      <w:spacing w:after="0"/>
      <w:ind w:firstLine="200" w:firstLineChars="200"/>
    </w:pPr>
  </w:style>
  <w:style w:type="paragraph" w:customStyle="1" w:styleId="22">
    <w:name w:val=" Char Char Char Char Char Char Char"/>
    <w:basedOn w:val="1"/>
    <w:link w:val="21"/>
    <w:qFormat/>
    <w:uiPriority w:val="0"/>
    <w:pPr>
      <w:widowControl/>
      <w:spacing w:after="160" w:afterLines="0" w:line="240" w:lineRule="exact"/>
      <w:jc w:val="left"/>
    </w:pPr>
    <w:rPr>
      <w:rFonts w:ascii="黑体" w:hAnsi="Arial" w:eastAsia="黑体"/>
      <w:kern w:val="2"/>
      <w:sz w:val="30"/>
      <w:szCs w:val="30"/>
      <w:lang w:val="en-US" w:eastAsia="zh-CN" w:bidi="ar-SA"/>
    </w:rPr>
  </w:style>
  <w:style w:type="character" w:styleId="23">
    <w:name w:val="Strong"/>
    <w:basedOn w:val="21"/>
    <w:qFormat/>
    <w:uiPriority w:val="0"/>
    <w:rPr>
      <w:b/>
      <w:bCs/>
    </w:rPr>
  </w:style>
  <w:style w:type="character" w:styleId="24">
    <w:name w:val="Emphasis"/>
    <w:basedOn w:val="21"/>
    <w:qFormat/>
    <w:uiPriority w:val="20"/>
    <w:rPr>
      <w:rFonts w:asciiTheme="minorHAnsi" w:hAnsiTheme="minorHAnsi"/>
      <w:b/>
      <w:i/>
      <w:iCs/>
    </w:rPr>
  </w:style>
  <w:style w:type="character" w:customStyle="1" w:styleId="25">
    <w:name w:val="标题 1 字符"/>
    <w:basedOn w:val="21"/>
    <w:link w:val="3"/>
    <w:qFormat/>
    <w:uiPriority w:val="9"/>
    <w:rPr>
      <w:rFonts w:asciiTheme="majorHAnsi" w:hAnsiTheme="majorHAnsi" w:eastAsiaTheme="majorEastAsia"/>
      <w:b/>
      <w:bCs/>
      <w:kern w:val="32"/>
      <w:sz w:val="32"/>
      <w:szCs w:val="32"/>
    </w:rPr>
  </w:style>
  <w:style w:type="character" w:customStyle="1" w:styleId="26">
    <w:name w:val="标题 2 字符"/>
    <w:basedOn w:val="21"/>
    <w:link w:val="4"/>
    <w:semiHidden/>
    <w:qFormat/>
    <w:uiPriority w:val="9"/>
    <w:rPr>
      <w:rFonts w:asciiTheme="majorHAnsi" w:hAnsiTheme="majorHAnsi" w:eastAsiaTheme="majorEastAsia"/>
      <w:b/>
      <w:bCs/>
      <w:i/>
      <w:iCs/>
      <w:sz w:val="28"/>
      <w:szCs w:val="28"/>
    </w:rPr>
  </w:style>
  <w:style w:type="character" w:customStyle="1" w:styleId="27">
    <w:name w:val="标题 3 字符"/>
    <w:basedOn w:val="21"/>
    <w:link w:val="5"/>
    <w:semiHidden/>
    <w:qFormat/>
    <w:uiPriority w:val="9"/>
    <w:rPr>
      <w:rFonts w:asciiTheme="majorHAnsi" w:hAnsiTheme="majorHAnsi" w:eastAsiaTheme="majorEastAsia"/>
      <w:b/>
      <w:bCs/>
      <w:sz w:val="26"/>
      <w:szCs w:val="26"/>
    </w:rPr>
  </w:style>
  <w:style w:type="character" w:customStyle="1" w:styleId="28">
    <w:name w:val="标题 4 字符"/>
    <w:basedOn w:val="21"/>
    <w:link w:val="6"/>
    <w:semiHidden/>
    <w:qFormat/>
    <w:uiPriority w:val="9"/>
    <w:rPr>
      <w:b/>
      <w:bCs/>
      <w:sz w:val="28"/>
      <w:szCs w:val="28"/>
    </w:rPr>
  </w:style>
  <w:style w:type="character" w:customStyle="1" w:styleId="29">
    <w:name w:val="标题 5 字符"/>
    <w:basedOn w:val="21"/>
    <w:link w:val="7"/>
    <w:semiHidden/>
    <w:qFormat/>
    <w:uiPriority w:val="9"/>
    <w:rPr>
      <w:b/>
      <w:bCs/>
      <w:i/>
      <w:iCs/>
      <w:sz w:val="26"/>
      <w:szCs w:val="26"/>
    </w:rPr>
  </w:style>
  <w:style w:type="character" w:customStyle="1" w:styleId="30">
    <w:name w:val="标题 6 字符"/>
    <w:basedOn w:val="21"/>
    <w:link w:val="8"/>
    <w:semiHidden/>
    <w:qFormat/>
    <w:uiPriority w:val="9"/>
    <w:rPr>
      <w:b/>
      <w:bCs/>
    </w:rPr>
  </w:style>
  <w:style w:type="character" w:customStyle="1" w:styleId="31">
    <w:name w:val="标题 7 字符"/>
    <w:basedOn w:val="21"/>
    <w:link w:val="9"/>
    <w:semiHidden/>
    <w:qFormat/>
    <w:uiPriority w:val="9"/>
    <w:rPr>
      <w:sz w:val="24"/>
      <w:szCs w:val="24"/>
    </w:rPr>
  </w:style>
  <w:style w:type="character" w:customStyle="1" w:styleId="32">
    <w:name w:val="标题 8 字符"/>
    <w:basedOn w:val="21"/>
    <w:link w:val="10"/>
    <w:semiHidden/>
    <w:qFormat/>
    <w:uiPriority w:val="9"/>
    <w:rPr>
      <w:i/>
      <w:iCs/>
      <w:sz w:val="24"/>
      <w:szCs w:val="24"/>
    </w:rPr>
  </w:style>
  <w:style w:type="character" w:customStyle="1" w:styleId="33">
    <w:name w:val="标题 9 字符"/>
    <w:basedOn w:val="21"/>
    <w:link w:val="11"/>
    <w:semiHidden/>
    <w:qFormat/>
    <w:uiPriority w:val="9"/>
    <w:rPr>
      <w:rFonts w:asciiTheme="majorHAnsi" w:hAnsiTheme="majorHAnsi" w:eastAsiaTheme="majorEastAsia"/>
    </w:rPr>
  </w:style>
  <w:style w:type="character" w:customStyle="1" w:styleId="34">
    <w:name w:val="标题 字符"/>
    <w:basedOn w:val="21"/>
    <w:link w:val="18"/>
    <w:qFormat/>
    <w:uiPriority w:val="10"/>
    <w:rPr>
      <w:rFonts w:asciiTheme="majorHAnsi" w:hAnsiTheme="majorHAnsi" w:eastAsiaTheme="majorEastAsia"/>
      <w:b/>
      <w:bCs/>
      <w:kern w:val="28"/>
      <w:sz w:val="32"/>
      <w:szCs w:val="32"/>
    </w:rPr>
  </w:style>
  <w:style w:type="character" w:customStyle="1" w:styleId="35">
    <w:name w:val="副标题 字符"/>
    <w:basedOn w:val="21"/>
    <w:link w:val="16"/>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1"/>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1"/>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1"/>
    <w:qFormat/>
    <w:uiPriority w:val="21"/>
    <w:rPr>
      <w:b/>
      <w:i/>
      <w:sz w:val="24"/>
      <w:szCs w:val="24"/>
      <w:u w:val="single"/>
    </w:rPr>
  </w:style>
  <w:style w:type="character" w:customStyle="1" w:styleId="44">
    <w:name w:val="不明显参考1"/>
    <w:basedOn w:val="21"/>
    <w:qFormat/>
    <w:uiPriority w:val="31"/>
    <w:rPr>
      <w:sz w:val="24"/>
      <w:szCs w:val="24"/>
      <w:u w:val="single"/>
    </w:rPr>
  </w:style>
  <w:style w:type="character" w:customStyle="1" w:styleId="45">
    <w:name w:val="明显参考1"/>
    <w:basedOn w:val="21"/>
    <w:qFormat/>
    <w:uiPriority w:val="32"/>
    <w:rPr>
      <w:b/>
      <w:sz w:val="24"/>
      <w:u w:val="single"/>
    </w:rPr>
  </w:style>
  <w:style w:type="character" w:customStyle="1" w:styleId="46">
    <w:name w:val="书籍标题1"/>
    <w:basedOn w:val="21"/>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1"/>
    <w:link w:val="15"/>
    <w:qFormat/>
    <w:uiPriority w:val="99"/>
    <w:rPr>
      <w:rFonts w:ascii="Calibri" w:hAnsi="Calibri" w:eastAsia="宋体"/>
      <w:kern w:val="2"/>
      <w:sz w:val="18"/>
      <w:szCs w:val="18"/>
    </w:rPr>
  </w:style>
  <w:style w:type="character" w:customStyle="1" w:styleId="49">
    <w:name w:val="页脚 字符"/>
    <w:basedOn w:val="21"/>
    <w:link w:val="14"/>
    <w:qFormat/>
    <w:uiPriority w:val="99"/>
    <w:rPr>
      <w:rFonts w:ascii="Calibri" w:hAnsi="Calibri" w:eastAsia="宋体"/>
      <w:kern w:val="2"/>
      <w:sz w:val="18"/>
      <w:szCs w:val="18"/>
    </w:rPr>
  </w:style>
  <w:style w:type="character" w:customStyle="1" w:styleId="50">
    <w:name w:val="批注框文本 字符"/>
    <w:basedOn w:val="21"/>
    <w:link w:val="13"/>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paragraph" w:customStyle="1" w:styleId="53">
    <w:name w:val="Body Text First Indent 21"/>
    <w:basedOn w:val="54"/>
    <w:qFormat/>
    <w:uiPriority w:val="0"/>
    <w:pPr>
      <w:ind w:firstLine="200"/>
    </w:pPr>
  </w:style>
  <w:style w:type="paragraph" w:customStyle="1" w:styleId="54">
    <w:name w:val="Body Text Indent1"/>
    <w:basedOn w:val="1"/>
    <w:qFormat/>
    <w:uiPriority w:val="0"/>
    <w:pPr>
      <w:spacing w:after="120"/>
      <w:ind w:left="420" w:leftChars="200"/>
    </w:pPr>
  </w:style>
  <w:style w:type="character" w:customStyle="1" w:styleId="55">
    <w:name w:val="font71"/>
    <w:basedOn w:val="21"/>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6434</Words>
  <Characters>6889</Characters>
  <Lines>63</Lines>
  <Paragraphs>17</Paragraphs>
  <TotalTime>3</TotalTime>
  <ScaleCrop>false</ScaleCrop>
  <LinksUpToDate>false</LinksUpToDate>
  <CharactersWithSpaces>6938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2019-12-31T08:02:00Z</cp:lastPrinted>
  <dcterms:modified xsi:type="dcterms:W3CDTF">2025-09-03T03:31:34Z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E25DA8B7FA7844DD8D837B4369FFC8D5</vt:lpwstr>
  </property>
  <property fmtid="{D5CDD505-2E9C-101B-9397-08002B2CF9AE}" pid="4" name="KSOSaveFontToCloudKey">
    <vt:lpwstr>229835342_cloud</vt:lpwstr>
  </property>
  <property fmtid="{D5CDD505-2E9C-101B-9397-08002B2CF9AE}" pid="5" name="KSOTemplateDocerSaveRecord">
    <vt:lpwstr>eyJoZGlkIjoiN2VjMGM4YTNmZTY1NDFjMWFjNmVmZmU0NDA2ZTk0ZmMiLCJ1c2VySWQiOiI4NjI1NDMxNDkifQ==</vt:lpwstr>
  </property>
</Properties>
</file>