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hint="eastAsia" w:ascii="方正小标宋简体" w:hAnsi="方正小标宋简体" w:eastAsia="方正小标宋简体" w:cs="方正小标宋简体"/>
          <w:b/>
          <w:kern w:val="0"/>
          <w:sz w:val="44"/>
          <w:szCs w:val="44"/>
          <w:highlight w:val="none"/>
        </w:rPr>
      </w:pPr>
    </w:p>
    <w:p>
      <w:pPr>
        <w:spacing w:line="54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棉花生产全程机械化技术集成与示范推广项目资金项目支出绩效评价</w:t>
      </w:r>
    </w:p>
    <w:p>
      <w:pPr>
        <w:spacing w:line="54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报告</w:t>
      </w: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 20</w:t>
      </w:r>
      <w:r>
        <w:rPr>
          <w:rFonts w:hint="eastAsia" w:hAnsi="宋体" w:eastAsia="仿宋_GB2312" w:cs="宋体"/>
          <w:kern w:val="0"/>
          <w:sz w:val="36"/>
          <w:szCs w:val="36"/>
          <w:highlight w:val="none"/>
          <w:lang w:val="en-US" w:eastAsia="zh-CN"/>
        </w:rPr>
        <w:t>20</w:t>
      </w:r>
      <w:r>
        <w:rPr>
          <w:rFonts w:hint="eastAsia" w:hAnsi="宋体" w:eastAsia="仿宋_GB2312" w:cs="宋体"/>
          <w:kern w:val="0"/>
          <w:sz w:val="36"/>
          <w:szCs w:val="36"/>
          <w:highlight w:val="none"/>
        </w:rPr>
        <w:t>年度）</w:t>
      </w: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rPr>
          <w:rFonts w:hAnsi="宋体" w:eastAsia="仿宋_GB2312" w:cs="宋体"/>
          <w:kern w:val="0"/>
          <w:sz w:val="30"/>
          <w:szCs w:val="30"/>
          <w:highlight w:val="none"/>
        </w:rPr>
      </w:pPr>
    </w:p>
    <w:p>
      <w:pPr>
        <w:spacing w:line="700" w:lineRule="exact"/>
        <w:ind w:left="2518" w:leftChars="342" w:hanging="1800" w:hangingChars="500"/>
        <w:jc w:val="left"/>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项目名称：棉花生产全程机械化技术集成与示范推广项目</w:t>
      </w:r>
    </w:p>
    <w:p>
      <w:pPr>
        <w:spacing w:line="700" w:lineRule="exact"/>
        <w:ind w:firstLine="720" w:firstLineChars="200"/>
        <w:jc w:val="left"/>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实施单位（公章）：</w:t>
      </w:r>
      <w:r>
        <w:rPr>
          <w:rFonts w:hint="eastAsia" w:ascii="仿宋_GB2312" w:hAnsi="仿宋_GB2312" w:eastAsia="仿宋_GB2312" w:cs="仿宋_GB2312"/>
          <w:kern w:val="0"/>
          <w:sz w:val="36"/>
          <w:szCs w:val="36"/>
          <w:highlight w:val="none"/>
          <w:lang w:val="en-US" w:eastAsia="zh-CN"/>
        </w:rPr>
        <w:t>塔城地区农牧机械技术推广站</w:t>
      </w:r>
    </w:p>
    <w:p>
      <w:pPr>
        <w:spacing w:line="700" w:lineRule="exact"/>
        <w:ind w:firstLine="720" w:firstLineChars="200"/>
        <w:jc w:val="left"/>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主管部门（公章）：</w:t>
      </w:r>
      <w:r>
        <w:rPr>
          <w:rFonts w:hint="eastAsia" w:ascii="仿宋_GB2312" w:hAnsi="仿宋_GB2312" w:eastAsia="仿宋_GB2312" w:cs="仿宋_GB2312"/>
          <w:kern w:val="0"/>
          <w:sz w:val="36"/>
          <w:szCs w:val="36"/>
          <w:highlight w:val="none"/>
          <w:lang w:val="en-US" w:eastAsia="zh-CN"/>
        </w:rPr>
        <w:t>塔城地区农业农村局</w:t>
      </w:r>
    </w:p>
    <w:p>
      <w:pPr>
        <w:spacing w:line="700" w:lineRule="exact"/>
        <w:ind w:firstLine="720" w:firstLineChars="200"/>
        <w:jc w:val="left"/>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项目负责人（签章）：</w:t>
      </w:r>
      <w:r>
        <w:rPr>
          <w:rFonts w:hint="eastAsia" w:ascii="仿宋_GB2312" w:hAnsi="仿宋_GB2312" w:eastAsia="仿宋_GB2312" w:cs="仿宋_GB2312"/>
          <w:kern w:val="0"/>
          <w:sz w:val="36"/>
          <w:szCs w:val="36"/>
          <w:highlight w:val="none"/>
          <w:lang w:val="en-US" w:eastAsia="zh-CN"/>
        </w:rPr>
        <w:t>苏鲁坦·巴达克</w:t>
      </w:r>
    </w:p>
    <w:p>
      <w:pPr>
        <w:spacing w:line="700" w:lineRule="exact"/>
        <w:ind w:firstLine="720" w:firstLineChars="200"/>
        <w:jc w:val="left"/>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highlight w:val="none"/>
        </w:rPr>
        <w:t>填报时间：</w:t>
      </w:r>
      <w:r>
        <w:rPr>
          <w:rFonts w:hint="eastAsia" w:ascii="仿宋_GB2312" w:hAnsi="仿宋_GB2312" w:eastAsia="仿宋_GB2312" w:cs="仿宋_GB2312"/>
          <w:kern w:val="0"/>
          <w:sz w:val="36"/>
          <w:szCs w:val="36"/>
          <w:highlight w:val="none"/>
          <w:lang w:val="en-US" w:eastAsia="zh-CN"/>
        </w:rPr>
        <w:t>2021</w:t>
      </w:r>
      <w:r>
        <w:rPr>
          <w:rFonts w:hint="eastAsia" w:ascii="仿宋_GB2312" w:hAnsi="仿宋_GB2312" w:eastAsia="仿宋_GB2312" w:cs="仿宋_GB2312"/>
          <w:kern w:val="0"/>
          <w:sz w:val="36"/>
          <w:szCs w:val="36"/>
          <w:highlight w:val="none"/>
        </w:rPr>
        <w:t>年</w:t>
      </w:r>
      <w:r>
        <w:rPr>
          <w:rFonts w:hint="eastAsia" w:ascii="仿宋_GB2312" w:hAnsi="仿宋_GB2312" w:eastAsia="仿宋_GB2312" w:cs="仿宋_GB2312"/>
          <w:kern w:val="0"/>
          <w:sz w:val="36"/>
          <w:szCs w:val="36"/>
          <w:highlight w:val="none"/>
          <w:lang w:val="en-US" w:eastAsia="zh-CN"/>
        </w:rPr>
        <w:t>4</w:t>
      </w:r>
      <w:r>
        <w:rPr>
          <w:rFonts w:hint="eastAsia" w:ascii="仿宋_GB2312" w:hAnsi="仿宋_GB2312" w:eastAsia="仿宋_GB2312" w:cs="仿宋_GB2312"/>
          <w:kern w:val="0"/>
          <w:sz w:val="36"/>
          <w:szCs w:val="36"/>
          <w:highlight w:val="none"/>
        </w:rPr>
        <w:t>月</w:t>
      </w:r>
      <w:r>
        <w:rPr>
          <w:rFonts w:hint="eastAsia" w:ascii="仿宋_GB2312" w:hAnsi="仿宋_GB2312" w:eastAsia="仿宋_GB2312" w:cs="仿宋_GB2312"/>
          <w:kern w:val="0"/>
          <w:sz w:val="36"/>
          <w:szCs w:val="36"/>
          <w:highlight w:val="none"/>
          <w:lang w:val="en-US" w:eastAsia="zh-CN"/>
        </w:rPr>
        <w:t>7</w:t>
      </w:r>
      <w:r>
        <w:rPr>
          <w:rFonts w:hint="eastAsia" w:ascii="仿宋_GB2312" w:hAnsi="仿宋_GB2312" w:eastAsia="仿宋_GB2312" w:cs="仿宋_GB2312"/>
          <w:kern w:val="0"/>
          <w:sz w:val="36"/>
          <w:szCs w:val="36"/>
          <w:highlight w:val="none"/>
        </w:rPr>
        <w:t>日</w:t>
      </w:r>
    </w:p>
    <w:p>
      <w:pPr>
        <w:spacing w:line="54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atLeast"/>
        <w:textAlignment w:val="auto"/>
        <w:rPr>
          <w:rFonts w:hint="eastAsia" w:ascii="黑体" w:hAnsi="黑体" w:eastAsia="黑体" w:cs="黑体"/>
          <w:bCs/>
          <w:sz w:val="32"/>
          <w:szCs w:val="32"/>
          <w:highlight w:val="none"/>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highlight w:val="none"/>
        </w:rPr>
      </w:pPr>
      <w:r>
        <w:rPr>
          <w:rFonts w:hint="eastAsia" w:ascii="黑体" w:hAnsi="黑体" w:eastAsia="黑体" w:cs="黑体"/>
          <w:bCs/>
          <w:sz w:val="32"/>
          <w:szCs w:val="32"/>
          <w:highlight w:val="none"/>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（1）项目实施的政策背景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大泉乡紧邻沙湾县城西、北方向,地理位置东经82°50´--83°58´，北纬47°23´--46°35´，海拔高度约480米左右,属山前冲积扇平原区,东邻金沟河镇，南与安集海接壤，西接石河子142团接壤，北接144团接壤。南北距离约28公里,东西距离约20公里。行政辖区总面积26000公顷,下辖13个行政村,耕地面积 8133公顷,草场4766公顷。以棉花种植为主,番茄、辣椒、小麦、玉米、瓜果蔬菜为辅。稳定保持10万亩机采棉全程机械化规模。2020年，大泉乡春播面积预计13.58万亩，其中棉花13.07万亩。各类农机具共计3630台套，现全面完成农机检修工作。</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大泉乡东泉村位于沙湾县域219线7公里处，全村土地13169.75亩，其中耕地11509.32亩，棉花种植11356.7亩，属温带干旱气候，积温高，日照时间长，无霜期长。棉花是该村的支柱产业，农业生产基础条件完善，节水滴灌设施齐全，适合大型先进农业机械作业，2020年拟改建高标准高新节水农田3500亩，新建蓄水池4座。现土地整合已平整连片，条田格局好，农机装备作业水平较高，种植棉花历史悠久，种植经验丰富，农户科学种田的意识强，对周边具有较强的辐射带动作用。</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大泉乡农胜农业专业合作社成立于2013年4月27日，注册资金200万元，现拥有耕地4700亩。</w:t>
      </w:r>
    </w:p>
    <w:p>
      <w:pPr>
        <w:pStyle w:val="2"/>
        <w:pageBreakBefore w:val="0"/>
        <w:numPr>
          <w:ilvl w:val="0"/>
          <w:numId w:val="1"/>
        </w:numPr>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0"/>
          <w:highlight w:val="none"/>
        </w:rPr>
      </w:pPr>
      <w:r>
        <w:rPr>
          <w:rFonts w:hint="eastAsia" w:ascii="仿宋_GB2312" w:hAnsi="仿宋_GB2312" w:eastAsia="仿宋_GB2312" w:cs="仿宋_GB2312"/>
          <w:b w:val="0"/>
          <w:bCs w:val="0"/>
          <w:kern w:val="0"/>
          <w:highlight w:val="none"/>
        </w:rPr>
        <w:t>项目实施的历史概况</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 xml:space="preserve">通过两年的项目实施，建立棉花全程机械化技术示范基地面积 </w:t>
      </w:r>
      <w:r>
        <w:rPr>
          <w:rFonts w:hint="eastAsia" w:ascii="仿宋_GB2312" w:eastAsia="仿宋_GB2312"/>
          <w:sz w:val="32"/>
          <w:szCs w:val="32"/>
          <w:highlight w:val="none"/>
          <w:lang w:val="en-US" w:eastAsia="zh-CN"/>
        </w:rPr>
        <w:t>2.12</w:t>
      </w:r>
      <w:r>
        <w:rPr>
          <w:rFonts w:hint="eastAsia" w:ascii="仿宋_GB2312" w:eastAsia="仿宋_GB2312"/>
          <w:sz w:val="32"/>
          <w:szCs w:val="32"/>
          <w:highlight w:val="none"/>
        </w:rPr>
        <w:t>万亩，项目区棉花平均产量达350公斤/亩以上。</w:t>
      </w:r>
    </w:p>
    <w:p>
      <w:pPr>
        <w:pageBreakBefore w:val="0"/>
        <w:kinsoku/>
        <w:wordWrap/>
        <w:overflowPunct/>
        <w:topLinePunct w:val="0"/>
        <w:autoSpaceDE/>
        <w:autoSpaceDN/>
        <w:bidi w:val="0"/>
        <w:adjustRightInd/>
        <w:snapToGrid/>
        <w:spacing w:line="560" w:lineRule="atLeast"/>
        <w:ind w:firstLine="480" w:firstLineChars="150"/>
        <w:textAlignment w:val="auto"/>
        <w:rPr>
          <w:rStyle w:val="21"/>
          <w:rFonts w:ascii="黑体" w:hAnsi="黑体" w:eastAsia="黑体"/>
          <w:bCs w:val="0"/>
          <w:spacing w:val="-4"/>
          <w:sz w:val="32"/>
          <w:szCs w:val="32"/>
          <w:highlight w:val="none"/>
        </w:rPr>
      </w:pPr>
      <w:r>
        <w:rPr>
          <w:rFonts w:hint="eastAsia" w:ascii="仿宋_GB2312" w:eastAsia="仿宋_GB2312"/>
          <w:sz w:val="32"/>
          <w:szCs w:val="32"/>
          <w:highlight w:val="none"/>
        </w:rPr>
        <w:t>示范区棉花生产全程机械化生产技术节本增效达</w:t>
      </w:r>
      <w:r>
        <w:rPr>
          <w:rFonts w:hint="eastAsia" w:ascii="仿宋_GB2312" w:eastAsia="仿宋_GB2312"/>
          <w:sz w:val="32"/>
          <w:szCs w:val="32"/>
          <w:highlight w:val="none"/>
          <w:lang w:val="en-US" w:eastAsia="zh-CN"/>
        </w:rPr>
        <w:t>45</w:t>
      </w:r>
      <w:r>
        <w:rPr>
          <w:rFonts w:hint="eastAsia" w:ascii="仿宋_GB2312" w:eastAsia="仿宋_GB2312"/>
          <w:sz w:val="32"/>
          <w:szCs w:val="32"/>
          <w:highlight w:val="none"/>
        </w:rPr>
        <w:t>0元/亩以上。形成棉花生产全程机械化技术操作规程一套，完成培训种植农民、种植大户、农民专业合作社从业者技术人员600 人次。</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项目主要内容及实施情况</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项目主要内容：</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 xml:space="preserve">（1）3 月：制定项目实施方案，确定项目实施示范基地，做好前期棉花种植农民、种植大户、农民专业合作社从业者技术骨干技术培训。 </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 xml:space="preserve">（2）4 月-5 月：结合示范区实情，分别进行机械整地和精量播种作业，并对部分推广机型进行作业对比试验，获取作业消耗、作业质量、作业效益等技术数据。建立棉花生产全程机械化技术1200亩示范基地。 </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（3）5 月—7月：实施示范区田间管理机械技术作业，示范推广机械化控、精准植保技术（包括无人机飞防和智能变量打药机、水肥一体化机械技术）、机械打顶整枝作业等技术，以达到机械采收要求。并组织邻近乡镇的棉花种植大户、棉花种植合作社等，召开新技术、新机具作业现场会。</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（4）8月-9月初，进行化学脱叶催熟。示范区棉田吐絮率达到30%</w:t>
      </w:r>
      <w:r>
        <w:rPr>
          <w:rFonts w:hint="eastAsia" w:ascii="仿宋_GB2312" w:eastAsia="仿宋_GB2312"/>
          <w:sz w:val="32"/>
          <w:szCs w:val="32"/>
          <w:highlight w:val="none"/>
          <w:lang w:val="en-US" w:eastAsia="zh-CN"/>
        </w:rPr>
        <w:t>时，</w:t>
      </w:r>
      <w:r>
        <w:rPr>
          <w:rFonts w:hint="eastAsia" w:ascii="仿宋_GB2312" w:eastAsia="仿宋_GB2312"/>
          <w:sz w:val="32"/>
          <w:szCs w:val="32"/>
          <w:highlight w:val="none"/>
        </w:rPr>
        <w:t>选用804-904型马力的高地隙拖拉机配带高地隙、高弹力吊杆式喷施化学脱叶剂专用机械（或自走式高地隙喷杆喷雾机）进行脱叶剂喷洒作业，采取两遍作业，中间间隔5-7天， 9月15日前必须完成第二遍脱叶剂喷洒作业。</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5）9月中旬至10月中旬，实施机采棉采收作业及储运及清理加工。选用约翰迪尔CP690型采棉机进行采收作业，并召开两种采棉机作业现场会，进行对比分析试验，直接用CP690型带打包功能的采棉机边采收作业边打包，直接将籽棉包送到加工厂清花线，按照标准的机采棉清理加工工艺进行加工处理，在示范区进行机采棉收获作业，示范推广。</w:t>
      </w:r>
    </w:p>
    <w:p>
      <w:pPr>
        <w:pageBreakBefore w:val="0"/>
        <w:kinsoku/>
        <w:wordWrap/>
        <w:overflowPunct/>
        <w:topLinePunct w:val="0"/>
        <w:autoSpaceDE/>
        <w:autoSpaceDN/>
        <w:bidi w:val="0"/>
        <w:adjustRightInd/>
        <w:snapToGrid/>
        <w:spacing w:line="560" w:lineRule="atLeast"/>
        <w:ind w:firstLine="480" w:firstLineChars="150"/>
        <w:textAlignment w:val="auto"/>
        <w:rPr>
          <w:rFonts w:hint="eastAsia" w:ascii="仿宋_GB2312" w:eastAsia="仿宋_GB2312"/>
          <w:sz w:val="32"/>
          <w:szCs w:val="32"/>
          <w:highlight w:val="none"/>
        </w:rPr>
      </w:pPr>
      <w:r>
        <w:rPr>
          <w:rFonts w:hint="eastAsia" w:ascii="仿宋_GB2312" w:eastAsia="仿宋_GB2312"/>
          <w:sz w:val="32"/>
          <w:szCs w:val="32"/>
          <w:highlight w:val="none"/>
        </w:rPr>
        <w:t>在各阶段，完成主要机具作业的田间对比试验、机具作业消耗、作业质量、作业效益等技术数据的收集、整理工作，做好项目档案资料整理、总结，形成棉花生产全程机械化技术规程。</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项目实施情况：</w:t>
      </w:r>
    </w:p>
    <w:p>
      <w:pPr>
        <w:pageBreakBefore w:val="0"/>
        <w:kinsoku/>
        <w:wordWrap/>
        <w:overflowPunct/>
        <w:topLinePunct w:val="0"/>
        <w:autoSpaceDE/>
        <w:autoSpaceDN/>
        <w:bidi w:val="0"/>
        <w:adjustRightInd/>
        <w:snapToGrid/>
        <w:spacing w:line="560" w:lineRule="atLeast"/>
        <w:ind w:firstLine="640" w:firstLineChars="200"/>
        <w:textAlignment w:val="auto"/>
        <w:rPr>
          <w:highlight w:val="none"/>
        </w:rPr>
      </w:pPr>
      <w:r>
        <w:rPr>
          <w:rFonts w:hint="eastAsia" w:ascii="仿宋_GB2312" w:hAnsi="仿宋_GB2312" w:eastAsia="仿宋_GB2312" w:cs="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本项目总投资</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30</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万元，其中：财政本级资金</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30</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万元。项目实际支出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28.95</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万元， 支出率为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96.49</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新疆维吾尔自治区农业科技推广与服务专项</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（塔地农财[2020]10号）</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（塔地农财[2020]10号）专项</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sz w:val="32"/>
          <w:szCs w:val="32"/>
          <w:highlight w:val="none"/>
          <w:lang w:val="en-US" w:eastAsia="zh-CN" w:bidi="ar-SA"/>
        </w:rPr>
        <w:t>项目预算资金来源于（塔地农财[2020]10号）文件中批复的资金，项目资金到位30万元，实际支出28.95万元，用于支付项目实施进程中的各项费用。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良种选择技术：选择适合机械采收的品种，生育期在120天左右的早熟品种，纤维长度≥30毫米、吐絮集中、含絮好、衣分大于40、抗倒伏、抗枯耐黄、丰产性好、对脱叶剂敏感的Ⅰ式果枝的棉花品种。示范区主栽品种新陆早61、新陆中41。</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测土配方精准配肥施肥技术：示范区耕地前一年秋季已进行秸秆粉碎还田、残膜回收、全方位深松机械作业；并完成测土配方精准配肥工作。用2204型拖拉机配带546型液压翻转犁进行秋翻作业，再用平土框进行平整保墒作业。</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棉花GPS导航自动驾驶机械铺膜精量播种技术：为提高机采棉花品质，采用机采模式栽培种植，适时播种，采用一穴一粒精量播种，亩用种量2kg/亩左右。最晚4月25日以前，要完成播种作业，并滴完出苗水，最佳亩理论株数18000株—19000株。</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棉花田管综合化控、植保技术：按照“四月苗，五月蕾，六月花，七月铃，八月絮”的技术要求，将科学化控、综合植保、打顶整枝等技术措施综合应用，合理控制棉株高度和结铃位置，满足机械采收作业需求，棉株高度75-85cm，最低结铃高度20cm以上，棉铃在棉株上分布均匀，吐絮期相对集中。化控原则;“早、轻、勤”，因苗施调，分类指导，一般全程化学调控3～5次，确保棉田通风透光，增加铃重，提高产量，促进早熟。</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化学脱叶催熟机械技术：当示范区棉田吐絮率达到30%左右时（8月底9月初），选用80-90马力的高地隙拖拉机配带高地隙、高弹力吊杆式喷施化学脱叶剂（或自走式高地隙喷杆喷雾机）进行脱叶剂喷洒作业，中间间隔5-7天，采取两遍作业，达到最佳脱叶效果。</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采棉机收获技术：机采棉作业前进行平整和清理棉田地边地头，整理出采棉机采收通道。喷施脱叶剂20天左右，棉花脱叶率≥90%，棉铃吐絮率≥95%时，即可进行机械采收。要求采棉时间在无露水时采收，要求采净率达95%以上，总损失率≤6%，含杂率在≤8%，含水率在≤12%，要做好棉田清理准备工作。</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（1）前期准备：根据《棉花生产全程机械化技术集成与示范推广项目实施方案方案》，通过制定项目实施方案，经项目负责人审核通过后，有序开展后续工程。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（2）组织实施：资金一到位，立即根据项目要求实施项目。项目责任人按照《棉花生产全程机械化技术集成与示范推广项目实施方案方案方案》要求逐一进行项目部署安排，提高项目质量及效率性。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highlight w:val="none"/>
        </w:rPr>
      </w:pPr>
      <w:r>
        <w:rPr>
          <w:rFonts w:hint="eastAsia" w:ascii="黑体" w:hAnsi="黑体" w:eastAsia="黑体"/>
          <w:sz w:val="32"/>
          <w:szCs w:val="32"/>
          <w:highlight w:val="none"/>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pPr>
        <w:pStyle w:val="2"/>
        <w:pageBreakBefore w:val="0"/>
        <w:widowControl w:val="0"/>
        <w:numPr>
          <w:ilvl w:val="0"/>
          <w:numId w:val="2"/>
        </w:numPr>
        <w:kinsoku/>
        <w:wordWrap/>
        <w:overflowPunct/>
        <w:topLinePunct w:val="0"/>
        <w:autoSpaceDE/>
        <w:autoSpaceDN/>
        <w:bidi w:val="0"/>
        <w:adjustRightInd/>
        <w:snapToGrid/>
        <w:spacing w:before="0" w:after="0" w:line="560" w:lineRule="atLeast"/>
        <w:ind w:left="0" w:leftChars="0" w:firstLine="641" w:firstLineChars="0"/>
        <w:jc w:val="both"/>
        <w:textAlignment w:val="auto"/>
        <w:outlineLvl w:val="9"/>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绩效评价的对象</w:t>
      </w:r>
    </w:p>
    <w:p>
      <w:pPr>
        <w:pageBreakBefore w:val="0"/>
        <w:kinsoku/>
        <w:wordWrap/>
        <w:overflowPunct/>
        <w:topLinePunct w:val="0"/>
        <w:autoSpaceDE/>
        <w:autoSpaceDN/>
        <w:bidi w:val="0"/>
        <w:adjustRightInd/>
        <w:snapToGrid/>
        <w:spacing w:line="560" w:lineRule="atLeast"/>
        <w:ind w:firstLine="641"/>
        <w:textAlignment w:val="auto"/>
        <w:rPr>
          <w:rFonts w:hint="default" w:eastAsia="宋体"/>
          <w:highlight w:val="none"/>
          <w:lang w:val="en-US" w:eastAsia="zh-CN"/>
        </w:rPr>
      </w:pPr>
      <w:r>
        <w:rPr>
          <w:rFonts w:hint="eastAsia" w:ascii="仿宋_GB2312" w:hAnsi="仿宋_GB2312" w:eastAsia="仿宋_GB2312" w:cs="仿宋_GB2312"/>
          <w:sz w:val="32"/>
          <w:szCs w:val="32"/>
          <w:highlight w:val="none"/>
          <w:lang w:val="en-US" w:eastAsia="zh-CN"/>
        </w:rPr>
        <w:t>评价对象为</w:t>
      </w:r>
      <w:r>
        <w:rPr>
          <w:rFonts w:hint="eastAsia" w:ascii="仿宋_GB2312" w:hAnsi="仿宋_GB2312" w:eastAsia="仿宋_GB2312" w:cs="仿宋_GB2312"/>
          <w:sz w:val="32"/>
          <w:szCs w:val="32"/>
          <w:highlight w:val="none"/>
        </w:rPr>
        <w:t>棉花生产全程机械化技术集成与示范推广项目</w:t>
      </w:r>
      <w:r>
        <w:rPr>
          <w:rFonts w:hint="eastAsia" w:ascii="仿宋_GB2312" w:hAnsi="仿宋_GB2312" w:eastAsia="仿宋_GB2312" w:cs="仿宋_GB2312"/>
          <w:sz w:val="32"/>
          <w:szCs w:val="32"/>
          <w:highlight w:val="none"/>
          <w:lang w:eastAsia="zh-CN"/>
        </w:rPr>
        <w:t>。</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评价范围为</w:t>
      </w:r>
      <w:r>
        <w:rPr>
          <w:rFonts w:hint="eastAsia" w:ascii="仿宋_GB2312" w:hAnsi="仿宋_GB2312" w:eastAsia="仿宋_GB2312" w:cs="仿宋_GB2312"/>
          <w:sz w:val="32"/>
          <w:szCs w:val="32"/>
          <w:highlight w:val="none"/>
        </w:rPr>
        <w:t>棉花生产全程机械化技术集成与示范推广项目</w:t>
      </w:r>
      <w:r>
        <w:rPr>
          <w:rFonts w:hint="eastAsia" w:ascii="仿宋_GB2312" w:hAnsi="仿宋_GB2312" w:eastAsia="仿宋_GB2312" w:cs="仿宋_GB2312"/>
          <w:sz w:val="32"/>
          <w:szCs w:val="32"/>
          <w:highlight w:val="none"/>
          <w:lang w:val="en-US" w:eastAsia="zh-CN"/>
        </w:rPr>
        <w:t>的项目决策、项目过程、项目产出、项目效益等方面进行客观的评价。</w:t>
      </w:r>
    </w:p>
    <w:p>
      <w:pPr>
        <w:pageBreakBefore w:val="0"/>
        <w:kinsoku/>
        <w:wordWrap/>
        <w:overflowPunct/>
        <w:topLinePunct w:val="0"/>
        <w:autoSpaceDE/>
        <w:autoSpaceDN/>
        <w:bidi w:val="0"/>
        <w:adjustRightInd/>
        <w:snapToGrid/>
        <w:spacing w:line="560" w:lineRule="atLeast"/>
        <w:ind w:firstLine="641"/>
        <w:textAlignment w:val="auto"/>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、项目产出、项目效益标、项目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hint="eastAsia" w:ascii="仿宋_GB2312" w:hAnsi="仿宋_GB2312" w:eastAsia="仿宋_GB2312" w:cs="仿宋_GB2312"/>
          <w:b w:val="0"/>
          <w:bCs w:val="0"/>
          <w:color w:val="000000"/>
          <w:spacing w:val="17"/>
          <w:highlight w:val="none"/>
        </w:rPr>
      </w:pPr>
      <w:r>
        <w:rPr>
          <w:rFonts w:hint="eastAsia" w:ascii="仿宋_GB2312" w:hAnsi="仿宋_GB2312" w:eastAsia="仿宋_GB2312" w:cs="仿宋_GB2312"/>
          <w:b w:val="0"/>
          <w:bCs w:val="0"/>
          <w:color w:val="000000"/>
          <w:spacing w:val="17"/>
          <w:highlight w:val="none"/>
        </w:rPr>
        <w:t>具体评价指标体系详情见</w:t>
      </w:r>
      <w:r>
        <w:rPr>
          <w:rFonts w:hint="eastAsia" w:ascii="仿宋_GB2312" w:hAnsi="仿宋_GB2312" w:eastAsia="仿宋_GB2312" w:cs="仿宋_GB2312"/>
          <w:b w:val="0"/>
          <w:bCs w:val="0"/>
          <w:color w:val="000000"/>
          <w:spacing w:val="17"/>
          <w:highlight w:val="none"/>
          <w:lang w:val="en-US" w:eastAsia="zh-CN"/>
        </w:rPr>
        <w:t>附件</w:t>
      </w:r>
      <w:r>
        <w:rPr>
          <w:rFonts w:hint="eastAsia" w:ascii="仿宋_GB2312" w:hAnsi="仿宋_GB2312" w:eastAsia="仿宋_GB2312" w:cs="仿宋_GB2312"/>
          <w:b w:val="0"/>
          <w:bCs w:val="0"/>
          <w:color w:val="000000"/>
          <w:spacing w:val="17"/>
          <w:highlight w:val="none"/>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4、评价标准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4"/>
        </w:numPr>
        <w:kinsoku/>
        <w:wordWrap/>
        <w:overflowPunct/>
        <w:topLinePunct w:val="0"/>
        <w:autoSpaceDE/>
        <w:autoSpaceDN/>
        <w:bidi w:val="0"/>
        <w:adjustRightInd/>
        <w:snapToGrid/>
        <w:spacing w:before="0" w:after="0" w:line="560" w:lineRule="atLeast"/>
        <w:jc w:val="both"/>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highlight w:val="none"/>
        </w:rPr>
      </w:pPr>
      <w:r>
        <w:rPr>
          <w:rFonts w:hint="eastAsia" w:ascii="黑体" w:hAnsi="黑体" w:eastAsia="黑体" w:cs="黑体"/>
          <w:sz w:val="32"/>
          <w:szCs w:val="32"/>
          <w:highlight w:val="none"/>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sz w:val="30"/>
          <w:szCs w:val="30"/>
          <w:highlight w:val="none"/>
        </w:rPr>
      </w:pPr>
      <w:r>
        <w:rPr>
          <w:rFonts w:hint="eastAsia" w:ascii="仿宋_GB2312" w:hAnsi="仿宋_GB2312" w:eastAsia="仿宋_GB2312" w:cs="仿宋_GB2312"/>
          <w:b w:val="0"/>
          <w:bCs w:val="0"/>
          <w:highlight w:val="none"/>
        </w:rPr>
        <w:t xml:space="preserve">对棉花生产全程机械化技术集成与示范推广项目项目进行客观评价，最终评分结果：总得分为 </w:t>
      </w:r>
      <w:r>
        <w:rPr>
          <w:rFonts w:hint="eastAsia" w:ascii="仿宋_GB2312" w:hAnsi="仿宋_GB2312" w:eastAsia="仿宋_GB2312" w:cs="仿宋_GB2312"/>
          <w:b w:val="0"/>
          <w:bCs w:val="0"/>
          <w:highlight w:val="none"/>
          <w:lang w:val="en-US" w:eastAsia="zh-CN"/>
        </w:rPr>
        <w:t>89.6</w:t>
      </w:r>
      <w:r>
        <w:rPr>
          <w:rFonts w:hint="eastAsia" w:ascii="仿宋_GB2312" w:hAnsi="仿宋_GB2312" w:eastAsia="仿宋_GB2312" w:cs="仿宋_GB2312"/>
          <w:b w:val="0"/>
          <w:bCs w:val="0"/>
          <w:highlight w:val="none"/>
        </w:rPr>
        <w:t>分，属于“</w:t>
      </w:r>
      <w:r>
        <w:rPr>
          <w:rFonts w:hint="eastAsia" w:ascii="仿宋_GB2312" w:hAnsi="仿宋_GB2312" w:eastAsia="仿宋_GB2312" w:cs="仿宋_GB2312"/>
          <w:b w:val="0"/>
          <w:bCs w:val="0"/>
          <w:highlight w:val="none"/>
          <w:lang w:val="en-US" w:eastAsia="zh-CN"/>
        </w:rPr>
        <w:t>良</w:t>
      </w:r>
      <w:r>
        <w:rPr>
          <w:rFonts w:hint="eastAsia" w:ascii="仿宋_GB2312" w:hAnsi="仿宋_GB2312" w:eastAsia="仿宋_GB2312" w:cs="仿宋_GB2312"/>
          <w:b w:val="0"/>
          <w:bCs w:val="0"/>
          <w:highlight w:val="none"/>
        </w:rPr>
        <w:t xml:space="preserve">”。其中，项目决策类指标权重为5分，得分为 </w:t>
      </w:r>
      <w:r>
        <w:rPr>
          <w:rFonts w:hint="eastAsia" w:ascii="仿宋_GB2312" w:hAnsi="仿宋_GB2312" w:eastAsia="仿宋_GB2312" w:cs="仿宋_GB2312"/>
          <w:b w:val="0"/>
          <w:bCs w:val="0"/>
          <w:highlight w:val="none"/>
          <w:lang w:val="en-US" w:eastAsia="zh-CN"/>
        </w:rPr>
        <w:t>4.8</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96</w:t>
      </w:r>
      <w:r>
        <w:rPr>
          <w:rFonts w:hint="eastAsia" w:ascii="仿宋_GB2312" w:hAnsi="仿宋_GB2312" w:eastAsia="仿宋_GB2312" w:cs="仿宋_GB2312"/>
          <w:b w:val="0"/>
          <w:bCs w:val="0"/>
          <w:highlight w:val="none"/>
        </w:rPr>
        <w:t>%。项目过程类指标权重为5分，得分为</w:t>
      </w:r>
      <w:r>
        <w:rPr>
          <w:rFonts w:hint="eastAsia" w:ascii="仿宋_GB2312" w:hAnsi="仿宋_GB2312" w:eastAsia="仿宋_GB2312" w:cs="仿宋_GB2312"/>
          <w:b w:val="0"/>
          <w:bCs w:val="0"/>
          <w:highlight w:val="none"/>
          <w:lang w:val="en-US" w:eastAsia="zh-CN"/>
        </w:rPr>
        <w:t>4.8</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96</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41</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82</w:t>
      </w:r>
      <w:r>
        <w:rPr>
          <w:rFonts w:hint="eastAsia" w:ascii="仿宋_GB2312" w:hAnsi="仿宋_GB2312" w:eastAsia="仿宋_GB2312" w:cs="仿宋_GB2312"/>
          <w:b w:val="0"/>
          <w:bCs w:val="0"/>
          <w:highlight w:val="none"/>
        </w:rPr>
        <w:t>%。项目效益类指标权重为40分，得分为</w:t>
      </w:r>
      <w:r>
        <w:rPr>
          <w:rFonts w:hint="eastAsia" w:ascii="仿宋_GB2312" w:hAnsi="仿宋_GB2312" w:eastAsia="仿宋_GB2312" w:cs="仿宋_GB2312"/>
          <w:b w:val="0"/>
          <w:bCs w:val="0"/>
          <w:highlight w:val="none"/>
          <w:lang w:val="en-US" w:eastAsia="zh-CN"/>
        </w:rPr>
        <w:t>39</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97.5</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综合评分表</w:t>
      </w:r>
    </w:p>
    <w:p>
      <w:pPr>
        <w:pageBreakBefore w:val="0"/>
        <w:kinsoku/>
        <w:wordWrap/>
        <w:overflowPunct/>
        <w:topLinePunct w:val="0"/>
        <w:autoSpaceDE/>
        <w:autoSpaceDN/>
        <w:bidi w:val="0"/>
        <w:adjustRightInd/>
        <w:snapToGrid/>
        <w:spacing w:line="560" w:lineRule="atLeast"/>
        <w:textAlignment w:val="auto"/>
        <w:rPr>
          <w:highlight w:val="none"/>
        </w:rPr>
      </w:pPr>
    </w:p>
    <w:p>
      <w:pPr>
        <w:pageBreakBefore w:val="0"/>
        <w:kinsoku/>
        <w:wordWrap/>
        <w:overflowPunct/>
        <w:topLinePunct w:val="0"/>
        <w:autoSpaceDE/>
        <w:autoSpaceDN/>
        <w:bidi w:val="0"/>
        <w:adjustRightInd/>
        <w:snapToGrid/>
        <w:spacing w:line="560" w:lineRule="atLeast"/>
        <w:textAlignment w:val="auto"/>
        <w:rPr>
          <w:highlight w:val="none"/>
        </w:rPr>
      </w:pPr>
    </w:p>
    <w:tbl>
      <w:tblPr>
        <w:tblStyle w:val="19"/>
        <w:tblpPr w:leftFromText="180" w:rightFromText="180" w:vertAnchor="text" w:horzAnchor="page" w:tblpX="1016" w:tblpY="-67"/>
        <w:tblOverlap w:val="never"/>
        <w:tblW w:w="99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9"/>
        <w:gridCol w:w="994"/>
        <w:gridCol w:w="1288"/>
        <w:gridCol w:w="1714"/>
        <w:gridCol w:w="730"/>
        <w:gridCol w:w="1048"/>
        <w:gridCol w:w="928"/>
        <w:gridCol w:w="1220"/>
        <w:gridCol w:w="9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0" w:hRule="atLeast"/>
          <w:tblHeader/>
        </w:trPr>
        <w:tc>
          <w:tcPr>
            <w:tcW w:w="1109"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4"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88"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14"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3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8"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8"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2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3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c>
          <w:tcPr>
            <w:tcW w:w="92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c>
          <w:tcPr>
            <w:tcW w:w="122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3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c>
          <w:tcPr>
            <w:tcW w:w="92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c>
          <w:tcPr>
            <w:tcW w:w="122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0.8</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3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3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2" w:hRule="atLeast"/>
        </w:trPr>
        <w:tc>
          <w:tcPr>
            <w:tcW w:w="1109"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2"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3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0.8</w:t>
            </w:r>
          </w:p>
        </w:tc>
        <w:tc>
          <w:tcPr>
            <w:tcW w:w="122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80%</w:t>
            </w:r>
          </w:p>
        </w:tc>
        <w:tc>
          <w:tcPr>
            <w:tcW w:w="9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5" w:hRule="atLeast"/>
        </w:trPr>
        <w:tc>
          <w:tcPr>
            <w:tcW w:w="110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2" w:hRule="atLeast"/>
        </w:trPr>
        <w:tc>
          <w:tcPr>
            <w:tcW w:w="110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99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8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2" w:hRule="atLeast"/>
        </w:trPr>
        <w:tc>
          <w:tcPr>
            <w:tcW w:w="110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2" w:hRule="atLeast"/>
        </w:trPr>
        <w:tc>
          <w:tcPr>
            <w:tcW w:w="1109"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4</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2" w:hRule="atLeast"/>
        </w:trPr>
        <w:tc>
          <w:tcPr>
            <w:tcW w:w="110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24</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24</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83.3%</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91" w:hRule="atLeast"/>
        </w:trPr>
        <w:tc>
          <w:tcPr>
            <w:tcW w:w="110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40分</w:t>
            </w:r>
          </w:p>
        </w:tc>
        <w:tc>
          <w:tcPr>
            <w:tcW w:w="128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3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04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30</w:t>
            </w:r>
          </w:p>
        </w:tc>
        <w:tc>
          <w:tcPr>
            <w:tcW w:w="928"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29</w:t>
            </w:r>
          </w:p>
        </w:tc>
        <w:tc>
          <w:tcPr>
            <w:tcW w:w="122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96.6%</w:t>
            </w:r>
          </w:p>
        </w:tc>
        <w:tc>
          <w:tcPr>
            <w:tcW w:w="96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2" w:hRule="atLeast"/>
        </w:trPr>
        <w:tc>
          <w:tcPr>
            <w:tcW w:w="110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99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28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p>
        </w:tc>
        <w:tc>
          <w:tcPr>
            <w:tcW w:w="171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3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928"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22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hint="eastAsia" w:ascii="黑体" w:hAnsi="黑体" w:eastAsia="黑体"/>
          <w:sz w:val="32"/>
          <w:szCs w:val="32"/>
          <w:highlight w:val="none"/>
        </w:rPr>
      </w:pPr>
    </w:p>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highlight w:val="none"/>
        </w:rPr>
      </w:pPr>
      <w:r>
        <w:rPr>
          <w:rFonts w:hint="eastAsia" w:ascii="黑体" w:hAnsi="黑体" w:eastAsia="黑体"/>
          <w:sz w:val="32"/>
          <w:szCs w:val="32"/>
          <w:highlight w:val="none"/>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highlight w:val="none"/>
        </w:rPr>
      </w:pPr>
      <w:r>
        <w:rPr>
          <w:rFonts w:hint="eastAsia" w:ascii="楷体_GB2312" w:hAnsi="楷体_GB2312" w:eastAsia="楷体_GB2312" w:cs="楷体_GB2312"/>
          <w:highlight w:val="none"/>
        </w:rPr>
        <w:t>（一）项目决策情况</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atLeast"/>
        <w:ind w:left="210" w:leftChars="100" w:right="210" w:rightChars="100" w:firstLine="640" w:firstLineChars="200"/>
        <w:jc w:val="both"/>
        <w:textAlignment w:val="auto"/>
        <w:rPr>
          <w:rFonts w:hint="default"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zh-TW" w:eastAsia="zh-TW" w:bidi="ar-SA"/>
        </w:rPr>
        <w:t>棉花生产全程机械化技术集成与示范推广项目（塔地农财[2020]10号）</w:t>
      </w:r>
      <w:r>
        <w:rPr>
          <w:rFonts w:hint="eastAsia" w:ascii="仿宋_GB2312" w:hAnsi="仿宋_GB2312" w:eastAsia="仿宋_GB2312" w:cs="仿宋_GB2312"/>
          <w:b w:val="0"/>
          <w:bCs w:val="0"/>
          <w:kern w:val="28"/>
          <w:sz w:val="32"/>
          <w:szCs w:val="32"/>
          <w:highlight w:val="none"/>
          <w:lang w:val="en-US" w:eastAsia="zh-CN" w:bidi="ar-SA"/>
        </w:rPr>
        <w:t>项目立项与我单位部门职责范围相符，属于部门履职所需；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30万元，支出28.95万元。支付明细：</w:t>
      </w:r>
      <w:r>
        <w:rPr>
          <w:rFonts w:hint="eastAsia" w:ascii="仿宋_GB2312" w:hAnsi="仿宋_GB2312" w:eastAsia="仿宋_GB2312" w:cs="仿宋_GB2312"/>
          <w:b w:val="0"/>
          <w:bCs w:val="0"/>
          <w:kern w:val="28"/>
          <w:sz w:val="32"/>
          <w:szCs w:val="32"/>
          <w:highlight w:val="none"/>
          <w:lang w:val="zh-TW" w:eastAsia="zh-TW" w:bidi="ar-SA"/>
        </w:rPr>
        <w:t>办公费支出</w:t>
      </w:r>
      <w:r>
        <w:rPr>
          <w:rFonts w:hint="eastAsia" w:ascii="仿宋_GB2312" w:hAnsi="仿宋_GB2312" w:eastAsia="仿宋_GB2312" w:cs="仿宋_GB2312"/>
          <w:b w:val="0"/>
          <w:bCs w:val="0"/>
          <w:kern w:val="28"/>
          <w:sz w:val="32"/>
          <w:szCs w:val="32"/>
          <w:highlight w:val="none"/>
          <w:lang w:val="zh-TW" w:eastAsia="zh-CN" w:bidi="ar-SA"/>
        </w:rPr>
        <w:t>9210.50元</w:t>
      </w:r>
      <w:r>
        <w:rPr>
          <w:rFonts w:hint="eastAsia" w:ascii="仿宋_GB2312" w:hAnsi="仿宋_GB2312" w:eastAsia="仿宋_GB2312" w:cs="仿宋_GB2312"/>
          <w:b w:val="0"/>
          <w:bCs w:val="0"/>
          <w:kern w:val="28"/>
          <w:sz w:val="32"/>
          <w:szCs w:val="32"/>
          <w:highlight w:val="none"/>
          <w:lang w:val="en-US" w:eastAsia="zh-CN" w:bidi="ar-SA"/>
        </w:rPr>
        <w:t>;咨询费支出12000元；差旅费支出24720元；租赁费1500元；培训费支出9600元；公务用车维护费支出</w:t>
      </w:r>
      <w:r>
        <w:rPr>
          <w:rFonts w:hint="eastAsia" w:ascii="仿宋_GB2312" w:hAnsi="仿宋_GB2312" w:eastAsia="仿宋_GB2312" w:cs="仿宋_GB2312"/>
          <w:b w:val="0"/>
          <w:bCs w:val="0"/>
          <w:kern w:val="28"/>
          <w:sz w:val="32"/>
          <w:szCs w:val="32"/>
          <w:highlight w:val="none"/>
          <w:lang w:val="en-US" w:eastAsia="zh-CN" w:bidi="ar-SA"/>
        </w:rPr>
        <w:tab/>
      </w:r>
      <w:r>
        <w:rPr>
          <w:rFonts w:hint="eastAsia" w:ascii="仿宋_GB2312" w:hAnsi="仿宋_GB2312" w:eastAsia="仿宋_GB2312" w:cs="仿宋_GB2312"/>
          <w:b w:val="0"/>
          <w:bCs w:val="0"/>
          <w:kern w:val="28"/>
          <w:sz w:val="32"/>
          <w:szCs w:val="32"/>
          <w:highlight w:val="none"/>
          <w:lang w:val="en-US" w:eastAsia="zh-CN" w:bidi="ar-SA"/>
        </w:rPr>
        <w:t>15463元；个人农业生产补贴支出216985元；</w:t>
      </w:r>
    </w:p>
    <w:p>
      <w:pPr>
        <w:pStyle w:val="2"/>
        <w:pageBreakBefore w:val="0"/>
        <w:numPr>
          <w:ilvl w:val="0"/>
          <w:numId w:val="6"/>
        </w:numPr>
        <w:kinsoku/>
        <w:wordWrap/>
        <w:overflowPunct/>
        <w:topLinePunct w:val="0"/>
        <w:autoSpaceDE/>
        <w:autoSpaceDN/>
        <w:bidi w:val="0"/>
        <w:adjustRightInd/>
        <w:snapToGrid/>
        <w:spacing w:before="0" w:after="0" w:line="560" w:lineRule="atLeast"/>
        <w:ind w:firstLine="321" w:firstLineChars="100"/>
        <w:jc w:val="both"/>
        <w:textAlignment w:val="auto"/>
        <w:rPr>
          <w:highlight w:val="none"/>
        </w:rPr>
      </w:pPr>
      <w:r>
        <w:rPr>
          <w:rFonts w:hint="eastAsia" w:ascii="楷体_GB2312" w:hAnsi="楷体_GB2312" w:eastAsia="楷体_GB2312" w:cs="楷体_GB2312"/>
          <w:highlight w:val="none"/>
        </w:rPr>
        <w:t>项目过程情况</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（1）资金到位率：</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档案管理完整规范，数据全部实行信息化处理。资金到位率=100%</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实际到位资金：30万元。 预算资金：30万元。</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（2）资金执行率：资金执行率=96.49%</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实际到位资金：30万元。 执行资金：96.49万元（剩余资金2021年继续实施）。</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（3）资金管理情况：</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符合国家财经法规和财务管理制度以及有关专项资金管理办法的规定；资金的拨付有完整的审批程序和手续；符合项目预算批复或合同规定的用途；我单位不存在截留、挤占、挪用、虚列支出等情况。</w:t>
      </w:r>
    </w:p>
    <w:p>
      <w:pPr>
        <w:pStyle w:val="51"/>
        <w:pageBreakBefore w:val="0"/>
        <w:kinsoku/>
        <w:wordWrap/>
        <w:overflowPunct/>
        <w:topLinePunct w:val="0"/>
        <w:autoSpaceDE/>
        <w:autoSpaceDN/>
        <w:bidi w:val="0"/>
        <w:adjustRightInd/>
        <w:snapToGrid/>
        <w:spacing w:line="560" w:lineRule="atLeast"/>
        <w:ind w:left="210" w:leftChars="100" w:right="210" w:rightChars="100" w:firstLine="640" w:firstLineChars="200"/>
        <w:jc w:val="left"/>
        <w:textAlignment w:val="auto"/>
        <w:rPr>
          <w:rFonts w:hint="default"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（4）组织实施情况：己制定相应的财务和业务管理制度；财务和业务管理制度合法、合规、完整。符合相关法律法规和相关管理规定；项目调整及支出调整手续完备；</w:t>
      </w:r>
    </w:p>
    <w:p>
      <w:pPr>
        <w:pageBreakBefore w:val="0"/>
        <w:kinsoku/>
        <w:wordWrap/>
        <w:overflowPunct/>
        <w:topLinePunct w:val="0"/>
        <w:autoSpaceDE/>
        <w:autoSpaceDN/>
        <w:bidi w:val="0"/>
        <w:adjustRightInd/>
        <w:snapToGrid/>
        <w:spacing w:line="560" w:lineRule="atLeast"/>
        <w:textAlignment w:val="auto"/>
        <w:rPr>
          <w:highlight w:val="none"/>
        </w:rPr>
      </w:pPr>
    </w:p>
    <w:p>
      <w:pPr>
        <w:pStyle w:val="18"/>
        <w:pageBreakBefore w:val="0"/>
        <w:numPr>
          <w:ilvl w:val="0"/>
          <w:numId w:val="6"/>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项目产出</w:t>
      </w:r>
    </w:p>
    <w:p>
      <w:pPr>
        <w:pageBreakBefore w:val="0"/>
        <w:pBdr>
          <w:bottom w:val="single" w:color="FFFFFF" w:sz="4" w:space="30"/>
        </w:pBdr>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数量指标方面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专家技术指导、咨询，年度指标值=4次，实际完成值4次，</w:t>
      </w:r>
      <w:r>
        <w:rPr>
          <w:rFonts w:hint="eastAsia" w:ascii="仿宋_GB2312" w:hAnsi="仿宋_GB2312" w:eastAsia="仿宋_GB2312" w:cs="仿宋_GB2312"/>
          <w:color w:val="000000" w:themeColor="text1"/>
          <w:sz w:val="32"/>
          <w:szCs w:val="32"/>
          <w:highlight w:val="none"/>
          <w14:textFill>
            <w14:solidFill>
              <w14:schemeClr w14:val="tx1"/>
            </w14:solidFill>
          </w14:textFill>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租赁新型农机设备，年度指标值=1台，实际完成值1台，</w:t>
      </w:r>
      <w:r>
        <w:rPr>
          <w:rFonts w:hint="eastAsia" w:ascii="仿宋_GB2312" w:hAnsi="仿宋_GB2312" w:eastAsia="仿宋_GB2312" w:cs="仿宋_GB2312"/>
          <w:color w:val="000000" w:themeColor="text1"/>
          <w:sz w:val="32"/>
          <w:szCs w:val="32"/>
          <w:highlight w:val="none"/>
          <w14:textFill>
            <w14:solidFill>
              <w14:schemeClr w14:val="tx1"/>
            </w14:solidFill>
          </w14:textFill>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开展培训，年度指标值=1次，实际完成值1次，</w:t>
      </w:r>
      <w:r>
        <w:rPr>
          <w:rFonts w:hint="eastAsia" w:ascii="仿宋_GB2312" w:hAnsi="仿宋_GB2312" w:eastAsia="仿宋_GB2312" w:cs="仿宋_GB2312"/>
          <w:color w:val="000000" w:themeColor="text1"/>
          <w:sz w:val="32"/>
          <w:szCs w:val="32"/>
          <w:highlight w:val="none"/>
          <w14:textFill>
            <w14:solidFill>
              <w14:schemeClr w14:val="tx1"/>
            </w14:solidFill>
          </w14:textFill>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质量指标方面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购买设备合格率，年度指标值=100%，实际完成值0%，</w:t>
      </w:r>
      <w:r>
        <w:rPr>
          <w:rFonts w:hint="eastAsia" w:ascii="仿宋_GB2312" w:hAnsi="仿宋_GB2312" w:eastAsia="仿宋_GB2312" w:cs="仿宋_GB2312"/>
          <w:color w:val="000000" w:themeColor="text1"/>
          <w:sz w:val="32"/>
          <w:szCs w:val="32"/>
          <w:highlight w:val="none"/>
          <w14:textFill>
            <w14:solidFill>
              <w14:schemeClr w14:val="tx1"/>
            </w14:solidFill>
          </w14:textFill>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农牧民参加培训出勤率，年度指标值≥95%，实际完成值100%，</w:t>
      </w:r>
      <w:r>
        <w:rPr>
          <w:rFonts w:hint="eastAsia" w:ascii="仿宋_GB2312" w:hAnsi="仿宋_GB2312" w:eastAsia="仿宋_GB2312" w:cs="仿宋_GB2312"/>
          <w:color w:val="000000" w:themeColor="text1"/>
          <w:sz w:val="32"/>
          <w:szCs w:val="32"/>
          <w:highlight w:val="none"/>
          <w14:textFill>
            <w14:solidFill>
              <w14:schemeClr w14:val="tx1"/>
            </w14:solidFill>
          </w14:textFill>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105</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时效指标方面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租用设备使用及时率，年度指标值=100%，实际完成值100%，</w:t>
      </w:r>
      <w:r>
        <w:rPr>
          <w:rFonts w:hint="eastAsia" w:ascii="仿宋_GB2312" w:hAnsi="仿宋_GB2312" w:eastAsia="仿宋_GB2312" w:cs="仿宋_GB2312"/>
          <w:color w:val="000000" w:themeColor="text1"/>
          <w:sz w:val="32"/>
          <w:szCs w:val="32"/>
          <w:highlight w:val="none"/>
          <w14:textFill>
            <w14:solidFill>
              <w14:schemeClr w14:val="tx1"/>
            </w14:solidFill>
          </w14:textFill>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成本指标方面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公务用车运行维护费，年度指标值=1.55万元，实际完成值1.55万元，指标完成率100%；</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租赁农机设备，年度指标值=1万元，实际完成值0.15万元指标完成率15%；</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培训费，年度指标值≤1万元，实际完成值0.96万元指标完成率96%；</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差旅费，年度指标值≤2.5万元，实际完成值2.47万元指标完成率98.8%；</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制作示范基地标志牌，年度指标值≤1万元，实际完成值0.92万元指标完成率92%；</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lang w:val="en-US" w:eastAsia="zh-CN"/>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个人农业生产补贴，年度指标值≤22万元，实际完成值21.70万元指标完成率98.64%；</w:t>
      </w:r>
    </w:p>
    <w:p>
      <w:pPr>
        <w:pageBreakBefore w:val="0"/>
        <w:pBdr>
          <w:bottom w:val="single" w:color="FFFFFF" w:sz="4" w:space="30"/>
        </w:pBdr>
        <w:kinsoku/>
        <w:wordWrap/>
        <w:overflowPunct/>
        <w:topLinePunct w:val="0"/>
        <w:autoSpaceDE/>
        <w:autoSpaceDN/>
        <w:bidi w:val="0"/>
        <w:adjustRightInd/>
        <w:snapToGrid/>
        <w:spacing w:line="560" w:lineRule="atLeast"/>
        <w:ind w:firstLine="420" w:firstLineChars="200"/>
        <w:textAlignment w:val="auto"/>
        <w:rPr>
          <w:rFonts w:hint="eastAsia"/>
          <w:lang w:val="en-US" w:eastAsia="zh-CN"/>
        </w:rPr>
      </w:pPr>
    </w:p>
    <w:p>
      <w:pPr>
        <w:pageBreakBefore w:val="0"/>
        <w:pBdr>
          <w:bottom w:val="single" w:color="FFFFFF" w:sz="4" w:space="30"/>
        </w:pBdr>
        <w:kinsoku/>
        <w:wordWrap/>
        <w:overflowPunct/>
        <w:topLinePunct w:val="0"/>
        <w:autoSpaceDE/>
        <w:autoSpaceDN/>
        <w:bidi w:val="0"/>
        <w:adjustRightInd/>
        <w:snapToGrid/>
        <w:spacing w:line="560" w:lineRule="atLeast"/>
        <w:ind w:firstLine="420" w:firstLineChars="200"/>
        <w:textAlignment w:val="auto"/>
        <w:rPr>
          <w:rFonts w:hint="default"/>
          <w:lang w:val="en-US" w:eastAsia="zh-CN"/>
        </w:rPr>
      </w:pPr>
    </w:p>
    <w:p>
      <w:pPr>
        <w:pStyle w:val="18"/>
        <w:pageBreakBefore w:val="0"/>
        <w:numPr>
          <w:ilvl w:val="0"/>
          <w:numId w:val="6"/>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效益情况</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经济效益指标方面：节约人力成本，年度指标值效果显著，实际完成值70%，指标完成率90%； 节约人力成本指标10分，我单位自评9分。预计示范区1200亩棉花机收比人工采收可节本增收44.4万元，辐射带动周边乡镇10万亩棉花机采，预计可节本增3700万元，棉花全程机械化技术推广，经济效益十分显著。</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社会效益指标方面：改善农牧民劳动强度情况，年度指标值有所改善，实际完成值90%，指标完成率100%；改善农牧民劳动强度10分，我单位自评10分。基本公共卫生项目实施后的社会效益较高，我单位专项工作开展有助于社会经济发展，提高了农牧民对农业机械种植棉花方面增产增收知识，促进了和谐社会建设，主要体现在农民对棉花生产工作中。</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生态效益指标方面：残膜回收减少对土地的污染情况，年度指标值显著减少，实际完成值90%，指标完成率100%；</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可持续影响指标方面：残膜回收减少对土地污染10分，我单位自评10分。棉花生产全程机械化技术项目实施的实施，实施后将残膜等对土地污染的有害物质全部剔除，提高了农牧民对土体污染意识的认识。并给人民群众创造良好的土地清理，与环境。</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满意度指标方面：农牧民满意度情况，年度指标值≥90%，实际完成值95%，指标完成率100%；农牧民满意度10分，我单位自评10分。我单位专项工作开展有助于社会经济发展，促进了和谐社会建设，人民群众对新型农机技术工作测评满意度为满意。</w:t>
      </w:r>
    </w:p>
    <w:p>
      <w:pPr>
        <w:pageBreakBefore w:val="0"/>
        <w:kinsoku/>
        <w:wordWrap/>
        <w:overflowPunct/>
        <w:topLinePunct w:val="0"/>
        <w:autoSpaceDE/>
        <w:autoSpaceDN/>
        <w:bidi w:val="0"/>
        <w:adjustRightInd/>
        <w:snapToGrid/>
        <w:spacing w:line="560" w:lineRule="atLeast"/>
        <w:ind w:firstLine="320" w:firstLineChars="100"/>
        <w:textAlignment w:val="auto"/>
        <w:rPr>
          <w:rStyle w:val="50"/>
          <w:color w:val="auto"/>
          <w:highlight w:val="none"/>
        </w:rPr>
      </w:pPr>
      <w:r>
        <w:rPr>
          <w:rFonts w:hint="eastAsia" w:ascii="黑体" w:hAnsi="黑体" w:eastAsia="黑体"/>
          <w:sz w:val="32"/>
          <w:szCs w:val="32"/>
          <w:highlight w:val="none"/>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highlight w:val="none"/>
        </w:rPr>
      </w:pPr>
      <w:r>
        <w:rPr>
          <w:rFonts w:hint="eastAsia" w:ascii="楷体" w:hAnsi="楷体" w:eastAsia="楷体"/>
          <w:b/>
          <w:spacing w:val="-4"/>
          <w:sz w:val="32"/>
          <w:szCs w:val="32"/>
          <w:highlight w:val="none"/>
        </w:rPr>
        <w:t>（一）主要经验及做法</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pBdr>
          <w:bottom w:val="single" w:color="FFFFFF" w:sz="4" w:space="30"/>
        </w:pBd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存在的问题及原因分析</w:t>
      </w:r>
    </w:p>
    <w:p>
      <w:pPr>
        <w:pStyle w:val="2"/>
        <w:pageBreakBefore w:val="0"/>
        <w:numPr>
          <w:ilvl w:val="0"/>
          <w:numId w:val="8"/>
        </w:numPr>
        <w:kinsoku/>
        <w:wordWrap/>
        <w:overflowPunct/>
        <w:topLinePunct w:val="0"/>
        <w:autoSpaceDE/>
        <w:autoSpaceDN/>
        <w:bidi w:val="0"/>
        <w:adjustRightInd/>
        <w:snapToGrid/>
        <w:spacing w:before="0" w:after="0" w:line="560" w:lineRule="atLeast"/>
        <w:ind w:firstLine="643" w:firstLineChars="200"/>
        <w:jc w:val="both"/>
        <w:textAlignment w:val="auto"/>
        <w:rPr>
          <w:rFonts w:hint="eastAsia" w:ascii="仿宋_GB2312" w:hAnsi="仿宋_GB2312" w:eastAsia="仿宋_GB2312" w:cs="仿宋_GB2312"/>
          <w:b/>
          <w:bCs/>
          <w:kern w:val="2"/>
          <w:highlight w:val="none"/>
        </w:rPr>
      </w:pPr>
      <w:r>
        <w:rPr>
          <w:rFonts w:hint="eastAsia" w:ascii="仿宋_GB2312" w:hAnsi="仿宋_GB2312" w:eastAsia="仿宋_GB2312" w:cs="仿宋_GB2312"/>
          <w:b/>
          <w:bCs/>
          <w:kern w:val="2"/>
          <w:highlight w:val="none"/>
        </w:rPr>
        <w:t>存在的问题</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加强项目实施管理。采取开展调研、中期评估等有效管理措施，促进各项目顺利实施。</w:t>
      </w:r>
    </w:p>
    <w:p>
      <w:pPr>
        <w:pageBreakBefore w:val="0"/>
        <w:numPr>
          <w:ilvl w:val="0"/>
          <w:numId w:val="8"/>
        </w:numPr>
        <w:kinsoku/>
        <w:wordWrap/>
        <w:overflowPunct/>
        <w:topLinePunct w:val="0"/>
        <w:autoSpaceDE/>
        <w:autoSpaceDN/>
        <w:bidi w:val="0"/>
        <w:adjustRightInd/>
        <w:snapToGrid/>
        <w:spacing w:line="560" w:lineRule="atLeast"/>
        <w:ind w:left="0" w:leftChars="0"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原因分析</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highlight w:val="none"/>
        </w:rPr>
      </w:pPr>
      <w:r>
        <w:rPr>
          <w:rFonts w:hint="eastAsia" w:ascii="仿宋_GB2312" w:hAnsi="仿宋_GB2312" w:eastAsia="仿宋_GB2312" w:cs="仿宋_GB2312"/>
          <w:b w:val="0"/>
          <w:bCs w:val="0"/>
          <w:kern w:val="2"/>
          <w:sz w:val="32"/>
          <w:szCs w:val="32"/>
          <w:highlight w:val="none"/>
          <w:lang w:val="en-US" w:eastAsia="zh-CN" w:bidi="ar-SA"/>
        </w:rPr>
        <w:t>工作过程中，我们严格规范财务和稽查考核制度，严格审批程序。本项目资金审批严格依据相关制度执行。通过严格规范的工作程序，确保资金专款专用。</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highlight w:val="none"/>
        </w:rPr>
      </w:pPr>
      <w:r>
        <w:rPr>
          <w:rFonts w:hint="eastAsia" w:ascii="黑体" w:hAnsi="黑体" w:eastAsia="黑体"/>
          <w:sz w:val="32"/>
          <w:szCs w:val="32"/>
          <w:highlight w:val="none"/>
        </w:rPr>
        <w:t>有关建议</w:t>
      </w:r>
    </w:p>
    <w:p>
      <w:pPr>
        <w:pageBreakBefore w:val="0"/>
        <w:numPr>
          <w:ilvl w:val="0"/>
          <w:numId w:val="10"/>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10"/>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highlight w:val="none"/>
        </w:rPr>
      </w:pPr>
      <w:r>
        <w:rPr>
          <w:rFonts w:hint="eastAsia" w:ascii="黑体" w:hAnsi="黑体" w:eastAsia="黑体"/>
          <w:sz w:val="32"/>
          <w:szCs w:val="32"/>
          <w:highlight w:val="none"/>
        </w:rPr>
        <w:t>其他需要说</w:t>
      </w:r>
      <w:bookmarkStart w:id="1" w:name="page8"/>
      <w:bookmarkEnd w:id="1"/>
      <w:r>
        <w:rPr>
          <w:rFonts w:hint="eastAsia" w:ascii="黑体" w:hAnsi="黑体" w:eastAsia="黑体"/>
          <w:sz w:val="32"/>
          <w:szCs w:val="32"/>
          <w:highlight w:val="none"/>
        </w:rPr>
        <w:t>明的问题</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无</w:t>
      </w:r>
    </w:p>
    <w:p>
      <w:pPr>
        <w:pageBreakBefore w:val="0"/>
        <w:kinsoku/>
        <w:wordWrap/>
        <w:overflowPunct/>
        <w:topLinePunct w:val="0"/>
        <w:autoSpaceDE/>
        <w:autoSpaceDN/>
        <w:bidi w:val="0"/>
        <w:adjustRightInd/>
        <w:snapToGrid/>
        <w:spacing w:line="560" w:lineRule="atLeast"/>
        <w:textAlignment w:val="auto"/>
        <w:rPr>
          <w:rFonts w:hint="eastAsia" w:ascii="黑体" w:hAnsi="黑体" w:eastAsia="黑体"/>
          <w:sz w:val="32"/>
          <w:szCs w:val="32"/>
          <w:highlight w:val="none"/>
        </w:rPr>
      </w:pPr>
    </w:p>
    <w:p>
      <w:pPr>
        <w:pStyle w:val="2"/>
        <w:jc w:val="both"/>
        <w:rPr>
          <w:highlight w:val="none"/>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highlight w:val="none"/>
          <w:lang w:val="en-US" w:eastAsia="zh-CN"/>
        </w:rPr>
      </w:pPr>
      <w:r>
        <w:rPr>
          <w:rFonts w:hint="eastAsia" w:ascii="仿宋_GB2312"/>
          <w:bCs/>
          <w:sz w:val="32"/>
          <w:szCs w:val="32"/>
          <w:highlight w:val="none"/>
          <w:lang w:val="en-US" w:eastAsia="zh-CN"/>
        </w:rPr>
        <w:t>附件1</w:t>
      </w:r>
    </w:p>
    <w:tbl>
      <w:tblPr>
        <w:tblStyle w:val="19"/>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3"/>
        <w:gridCol w:w="5191"/>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302"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344"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927"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2045"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512"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537"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2045" w:type="pct"/>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①项目立项是否符合国家法律法规、国民经济发展规划和相关政策；</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②项目立项是否符合行业发展规划和政策要求；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③项目立项是否与部门职责范围相符，属于部门履职所需；</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④项目是否属于公共财政支持范围，是否符合中央、地方事权支出责任划分原则；</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⑤项目是否与相关部门同类项目或部门内部相关项目重复。</w:t>
            </w:r>
          </w:p>
        </w:tc>
        <w:tc>
          <w:tcPr>
            <w:tcW w:w="512"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c>
          <w:tcPr>
            <w:tcW w:w="537"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2045" w:type="pct"/>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①项目是否按照规定的程序申请设立；</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②审批文件、材料是否符合相关要求；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512"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c>
          <w:tcPr>
            <w:tcW w:w="537"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2045" w:type="pct"/>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（如未设定预算绩效目标，也可考核其他工作任务目标）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①项目是否有绩效目标；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②项目绩效目标与实际工作内容是否具有相关性；</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③项目预期产出效益和效果是否符合正常的业绩水平；</w:t>
            </w:r>
          </w:p>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30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①是否将项目绩效目标细化分解为具体的绩效指标；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②是否通过清晰、可衡量的指标值予以体现；</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③是否与项目目标任务数或计划数相对应。</w:t>
            </w:r>
            <w:r>
              <w:rPr>
                <w:rFonts w:hint="eastAsia" w:ascii="宋体" w:hAnsi="宋体" w:eastAsia="宋体" w:cs="宋体"/>
                <w:color w:val="000000"/>
                <w:kern w:val="0"/>
                <w:sz w:val="22"/>
                <w:szCs w:val="22"/>
                <w:highlight w:val="none"/>
              </w:rPr>
              <w:br w:type="textWrapping"/>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5"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①预算编制是否经过科学论证；</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②预算内容与项目内容是否匹配；</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③预算额度测算依据是否充分，是否按照标准编制；</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④预算确定的项目投资额或资金量是否与工作任务相匹配。</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2045"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①预算资金分配依据是否充分；</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②资金分配额度是否合理，与项目单位或地方实际是否相适应。</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302" w:type="pct"/>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2045" w:type="pct"/>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资金到位率=（实际到位资金/预算资金）×100%。</w:t>
            </w:r>
          </w:p>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p>
        </w:tc>
        <w:tc>
          <w:tcPr>
            <w:tcW w:w="302" w:type="pct"/>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2045"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预算执行率=（实际支出资金/实际到位资金）×100%。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实际支出资金：一定时期（本年度或项目期）内项目实际拨付的资金。</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①是否符合国家财经法规和财务管理制度以及有关专项资金管理办法的规定；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②资金的拨付是否有完整的审批程序和手续；</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③是否符合项目预算批复或合同规定的用途；</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④是否存在截留、挤占、挪用、虚列支出等情况。</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①是否已制定或具有相应的财务和业务管理制度；</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②财务和业务管理制度是否合法、合规、完整。</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①是否遵守相关法律法规和相关管理规定；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②项目调整及支出调整手续是否完备；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③项目合同书、验收报告、技术鉴定等资料是否齐全并及时归档；</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④项目实施的人员条件、场地设备、信息支撑等是否落实到位。</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537"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实际完成率=（实际产出数/计划产出数）×100%。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实际产出数：一定时期（本年度或项目期）内项目实际产出的产品或提供的服务数量。</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2045" w:type="pct"/>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rPr>
              <w:t>10</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302" w:type="pct"/>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完成及时性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实际完成时间：项目实施单位完成该项目实际所耗用的时间。</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成本节约率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成本节约率=[（计划成本-实际成本）/计划成本]×100%。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实际成本：项目实施单位如期、保质、保量完成既定工作目标实际所耗费的支出。</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24</w:t>
            </w:r>
          </w:p>
        </w:tc>
        <w:tc>
          <w:tcPr>
            <w:tcW w:w="537"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实施效益</w:t>
            </w:r>
          </w:p>
        </w:tc>
        <w:tc>
          <w:tcPr>
            <w:tcW w:w="927" w:type="pct"/>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2045" w:type="pct"/>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30</w:t>
            </w:r>
          </w:p>
        </w:tc>
        <w:tc>
          <w:tcPr>
            <w:tcW w:w="537"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满意度</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2045" w:type="pct"/>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537"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bl>
    <w:p>
      <w:pPr>
        <w:pStyle w:val="2"/>
        <w:rPr>
          <w:rFonts w:hint="default"/>
          <w:highlight w:val="none"/>
          <w:lang w:val="en-US" w:eastAsia="zh-CN"/>
        </w:rPr>
      </w:pPr>
    </w:p>
    <w:p>
      <w:pPr>
        <w:rPr>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ind w:firstLine="640"/>
        <w:rPr>
          <w:rStyle w:val="21"/>
          <w:rFonts w:ascii="黑体" w:hAnsi="黑体" w:eastAsia="黑体"/>
          <w:bCs w:val="0"/>
          <w:spacing w:val="-4"/>
          <w:sz w:val="32"/>
          <w:szCs w:val="32"/>
          <w:highlight w:val="none"/>
        </w:rPr>
      </w:pPr>
    </w:p>
    <w:p>
      <w:pPr>
        <w:pStyle w:val="2"/>
        <w:rPr>
          <w:rStyle w:val="21"/>
          <w:rFonts w:ascii="黑体" w:hAnsi="黑体" w:eastAsia="黑体"/>
          <w:b/>
          <w:bCs w:val="0"/>
          <w:spacing w:val="-4"/>
          <w:sz w:val="32"/>
          <w:szCs w:val="32"/>
          <w:highlight w:val="none"/>
        </w:rPr>
      </w:pPr>
    </w:p>
    <w:p>
      <w:pPr>
        <w:rPr>
          <w:rStyle w:val="21"/>
          <w:rFonts w:ascii="黑体" w:hAnsi="黑体" w:eastAsia="黑体"/>
          <w:bCs w:val="0"/>
          <w:spacing w:val="-4"/>
          <w:sz w:val="32"/>
          <w:szCs w:val="32"/>
          <w:highlight w:val="none"/>
        </w:rPr>
      </w:pPr>
    </w:p>
    <w:p>
      <w:pPr>
        <w:pStyle w:val="2"/>
        <w:rPr>
          <w:rStyle w:val="21"/>
          <w:rFonts w:ascii="黑体" w:hAnsi="黑体" w:eastAsia="黑体"/>
          <w:b/>
          <w:bCs w:val="0"/>
          <w:spacing w:val="-4"/>
          <w:sz w:val="32"/>
          <w:szCs w:val="32"/>
          <w:highlight w:val="none"/>
        </w:rPr>
      </w:pPr>
    </w:p>
    <w:p>
      <w:pPr>
        <w:rPr>
          <w:rStyle w:val="21"/>
          <w:rFonts w:ascii="黑体" w:hAnsi="黑体" w:eastAsia="黑体"/>
          <w:bCs w:val="0"/>
          <w:spacing w:val="-4"/>
          <w:sz w:val="32"/>
          <w:szCs w:val="32"/>
          <w:highlight w:val="none"/>
        </w:rPr>
      </w:pPr>
    </w:p>
    <w:tbl>
      <w:tblPr>
        <w:tblStyle w:val="19"/>
        <w:tblW w:w="13050" w:type="dxa"/>
        <w:tblInd w:w="465" w:type="dxa"/>
        <w:shd w:val="clear" w:color="auto" w:fill="auto"/>
        <w:tblLayout w:type="autofit"/>
        <w:tblCellMar>
          <w:top w:w="0" w:type="dxa"/>
          <w:left w:w="108" w:type="dxa"/>
          <w:bottom w:w="0" w:type="dxa"/>
          <w:right w:w="108" w:type="dxa"/>
        </w:tblCellMar>
      </w:tblPr>
      <w:tblGrid>
        <w:gridCol w:w="1003"/>
        <w:gridCol w:w="1003"/>
        <w:gridCol w:w="1003"/>
        <w:gridCol w:w="1003"/>
        <w:gridCol w:w="1003"/>
        <w:gridCol w:w="1003"/>
        <w:gridCol w:w="2397"/>
        <w:gridCol w:w="2025"/>
        <w:gridCol w:w="243"/>
        <w:gridCol w:w="2367"/>
      </w:tblGrid>
      <w:tr>
        <w:tblPrEx>
          <w:shd w:val="clear" w:color="auto" w:fill="auto"/>
        </w:tblPrEx>
        <w:trPr>
          <w:trHeight w:val="409" w:hRule="atLeast"/>
        </w:trPr>
        <w:tc>
          <w:tcPr>
            <w:tcW w:w="1305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i w:val="0"/>
                <w:color w:val="000000"/>
                <w:kern w:val="0"/>
                <w:sz w:val="32"/>
                <w:szCs w:val="32"/>
                <w:u w:val="none"/>
                <w:lang w:val="en-US" w:eastAsia="zh-CN" w:bidi="ar"/>
              </w:rPr>
              <w:t>项目支出绩效自评表</w:t>
            </w:r>
          </w:p>
        </w:tc>
      </w:tr>
      <w:tr>
        <w:trPr>
          <w:trHeight w:val="409" w:hRule="atLeast"/>
        </w:trPr>
        <w:tc>
          <w:tcPr>
            <w:tcW w:w="1305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highlight w:val="none"/>
                <w:u w:val="none"/>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270" w:hRule="atLeast"/>
        </w:trPr>
        <w:tc>
          <w:tcPr>
            <w:tcW w:w="13050"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CellMar>
            <w:top w:w="0" w:type="dxa"/>
            <w:left w:w="108" w:type="dxa"/>
            <w:bottom w:w="0" w:type="dxa"/>
            <w:right w:w="108" w:type="dxa"/>
          </w:tblCellMar>
        </w:tblPrEx>
        <w:trPr>
          <w:trHeight w:val="270"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项目名称</w:t>
            </w:r>
          </w:p>
        </w:tc>
        <w:tc>
          <w:tcPr>
            <w:tcW w:w="110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棉花生产全程机械化技术集成与示范推广项目</w:t>
            </w:r>
          </w:p>
        </w:tc>
      </w:tr>
      <w:tr>
        <w:tblPrEx>
          <w:tblCellMar>
            <w:top w:w="0" w:type="dxa"/>
            <w:left w:w="108" w:type="dxa"/>
            <w:bottom w:w="0" w:type="dxa"/>
            <w:right w:w="108" w:type="dxa"/>
          </w:tblCellMar>
        </w:tblPrEx>
        <w:trPr>
          <w:trHeight w:val="270"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主管部门</w:t>
            </w:r>
          </w:p>
        </w:tc>
        <w:tc>
          <w:tcPr>
            <w:tcW w:w="64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实施单位</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塔城地区农牧机械技术推广站</w:t>
            </w:r>
          </w:p>
        </w:tc>
      </w:tr>
      <w:tr>
        <w:tblPrEx>
          <w:tblCellMar>
            <w:top w:w="0" w:type="dxa"/>
            <w:left w:w="108" w:type="dxa"/>
            <w:bottom w:w="0" w:type="dxa"/>
            <w:right w:w="108" w:type="dxa"/>
          </w:tblCellMar>
        </w:tblPrEx>
        <w:trPr>
          <w:trHeight w:val="394"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Arial" w:hAnsi="Arial" w:cs="Arial"/>
                <w:i w:val="0"/>
                <w:iCs w:val="0"/>
                <w:color w:val="000000"/>
                <w:sz w:val="20"/>
                <w:szCs w:val="20"/>
                <w:highlight w:val="none"/>
                <w:u w:val="none"/>
              </w:rPr>
            </w:pPr>
            <w:r>
              <w:rPr>
                <w:rFonts w:hint="eastAsia" w:ascii="宋体" w:hAnsi="宋体" w:eastAsia="宋体" w:cs="宋体"/>
                <w:i w:val="0"/>
                <w:color w:val="000000"/>
                <w:kern w:val="0"/>
                <w:sz w:val="18"/>
                <w:szCs w:val="18"/>
                <w:u w:val="none"/>
                <w:lang w:val="en-US" w:eastAsia="zh-CN" w:bidi="ar"/>
              </w:rPr>
              <w:t>项目资金</w:t>
            </w:r>
          </w:p>
        </w:tc>
        <w:tc>
          <w:tcPr>
            <w:tcW w:w="1003"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iCs w:val="0"/>
                <w:color w:val="000000"/>
                <w:sz w:val="18"/>
                <w:szCs w:val="18"/>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年初预算数</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全年预算数</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全年执行数</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trPr>
          <w:trHeight w:val="270"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（万元）</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年度资金总额</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28.95</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96.49%</w:t>
            </w:r>
          </w:p>
        </w:tc>
      </w:tr>
      <w:tr>
        <w:tblPrEx>
          <w:tblCellMar>
            <w:top w:w="0" w:type="dxa"/>
            <w:left w:w="108" w:type="dxa"/>
            <w:bottom w:w="0" w:type="dxa"/>
            <w:right w:w="108" w:type="dxa"/>
          </w:tblCellMar>
        </w:tblPrEx>
        <w:trPr>
          <w:trHeight w:val="394"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30.00</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30.00</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28.95</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2"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rPr>
          <w:trHeight w:val="270" w:hRule="atLeast"/>
        </w:trPr>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3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26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2" w:hRule="atLeast"/>
        </w:trPr>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年度总体目标</w:t>
            </w:r>
          </w:p>
        </w:tc>
        <w:tc>
          <w:tcPr>
            <w:tcW w:w="7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预期目标</w:t>
            </w:r>
          </w:p>
        </w:tc>
        <w:tc>
          <w:tcPr>
            <w:tcW w:w="4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1632" w:hRule="atLeast"/>
        </w:trPr>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4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通过两年的项目实施，建立棉花全程机械化技术示范基地面积 1.2 万亩，辐射带动周边乡镇推广面积 10 万亩，项目区棉花平均产量达350公斤/亩以上。示范区棉花生产全程机械化生产技术节本增效达450元/亩以上。形成棉花生产全程机械化技术操作规程一套，完成培训种植农民、种植大户、农民专业合作社从业者技术人员600 人次。</w:t>
            </w:r>
          </w:p>
        </w:tc>
        <w:tc>
          <w:tcPr>
            <w:tcW w:w="4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通过两年的项目实施，建立棉花全程机械化技术示范基地面积 1.2 万亩，辐射带动周边乡镇推广面积 10 万亩，项目区棉花平均产量达350公斤/亩以上。示范区棉花生产全程机械化生产技术节本增效达450元/亩以上。形成棉花生产全程机械化技术操作规程一套，完成培训种植农民、种植大户、农民专业合作社从业者技术人员600 人次。</w:t>
            </w:r>
          </w:p>
        </w:tc>
      </w:tr>
      <w:tr>
        <w:trPr>
          <w:trHeight w:val="663" w:hRule="atLeast"/>
        </w:trPr>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一级指标</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二级指标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三级指标</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年度指标值</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实际完成值</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1047" w:hRule="atLeast"/>
        </w:trPr>
        <w:tc>
          <w:tcPr>
            <w:tcW w:w="100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100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产出指标</w:t>
            </w:r>
          </w:p>
        </w:tc>
        <w:tc>
          <w:tcPr>
            <w:tcW w:w="100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数量指标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专家技术指导、咨询</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=4次</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4次</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r>
      <w:tr>
        <w:trPr>
          <w:trHeight w:val="932" w:hRule="atLeast"/>
        </w:trPr>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租赁新型农机设备</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1</w:t>
            </w:r>
            <w:bookmarkStart w:id="2" w:name="_GoBack"/>
            <w:bookmarkEnd w:id="2"/>
            <w:r>
              <w:rPr>
                <w:rFonts w:hint="eastAsia" w:ascii="宋体" w:hAnsi="宋体" w:eastAsia="宋体" w:cs="宋体"/>
                <w:i w:val="0"/>
                <w:color w:val="000000"/>
                <w:kern w:val="0"/>
                <w:sz w:val="18"/>
                <w:szCs w:val="18"/>
                <w:u w:val="none"/>
                <w:lang w:val="en-US" w:eastAsia="zh-CN" w:bidi="ar"/>
              </w:rPr>
              <w:t>台</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1台</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r>
      <w:tr>
        <w:tblPrEx>
          <w:tblCellMar>
            <w:top w:w="0" w:type="dxa"/>
            <w:left w:w="108" w:type="dxa"/>
            <w:bottom w:w="0" w:type="dxa"/>
            <w:right w:w="108" w:type="dxa"/>
          </w:tblCellMar>
        </w:tblPrEx>
        <w:trPr>
          <w:trHeight w:val="835"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开展培训</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次</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1次</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r>
      <w:tr>
        <w:tblPrEx>
          <w:tblCellMar>
            <w:top w:w="0" w:type="dxa"/>
            <w:left w:w="108" w:type="dxa"/>
            <w:bottom w:w="0" w:type="dxa"/>
            <w:right w:w="108" w:type="dxa"/>
          </w:tblCellMar>
        </w:tblPrEx>
        <w:trPr>
          <w:trHeight w:val="873"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质量指标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购买设备合格率</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因疫情原因错过购买季节</w:t>
            </w:r>
          </w:p>
        </w:tc>
      </w:tr>
      <w:tr>
        <w:tblPrEx>
          <w:tblCellMar>
            <w:top w:w="0" w:type="dxa"/>
            <w:left w:w="108" w:type="dxa"/>
            <w:bottom w:w="0" w:type="dxa"/>
            <w:right w:w="108" w:type="dxa"/>
          </w:tblCellMar>
        </w:tblPrEx>
        <w:trPr>
          <w:trHeight w:val="775"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农牧民参加培训出勤率</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r>
      <w:tr>
        <w:trPr>
          <w:trHeight w:val="924"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时效指标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租用设备使用及时率</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r>
      <w:tr>
        <w:tblPrEx>
          <w:tblCellMar>
            <w:top w:w="0" w:type="dxa"/>
            <w:left w:w="108" w:type="dxa"/>
            <w:bottom w:w="0" w:type="dxa"/>
            <w:right w:w="108" w:type="dxa"/>
          </w:tblCellMar>
        </w:tblPrEx>
        <w:trPr>
          <w:trHeight w:val="922"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成本指标</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18"/>
                <w:szCs w:val="18"/>
                <w:u w:val="none"/>
                <w:lang w:val="en-US" w:eastAsia="zh-CN" w:bidi="ar"/>
              </w:rPr>
              <w:t>公务用车运行维护费</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18"/>
                <w:szCs w:val="18"/>
                <w:u w:val="none"/>
                <w:lang w:val="en-US" w:eastAsia="zh-CN" w:bidi="ar"/>
              </w:rPr>
              <w:t>=1.55</w:t>
            </w:r>
            <w:r>
              <w:rPr>
                <w:rFonts w:hint="eastAsia" w:ascii="宋体" w:hAnsi="宋体" w:eastAsia="宋体" w:cs="宋体"/>
                <w:i w:val="0"/>
                <w:color w:val="000000"/>
                <w:kern w:val="0"/>
                <w:sz w:val="18"/>
                <w:szCs w:val="18"/>
                <w:u w:val="none"/>
                <w:lang w:val="en-US" w:eastAsia="zh-CN" w:bidi="ar"/>
              </w:rPr>
              <w:t>万元</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18"/>
                <w:szCs w:val="18"/>
                <w:u w:val="none"/>
                <w:lang w:val="en-US" w:eastAsia="zh-CN" w:bidi="ar"/>
              </w:rPr>
              <w:t>1.5</w:t>
            </w:r>
            <w:r>
              <w:rPr>
                <w:rFonts w:hint="eastAsia" w:ascii="宋体" w:hAnsi="宋体" w:eastAsia="宋体" w:cs="宋体"/>
                <w:i w:val="0"/>
                <w:color w:val="000000"/>
                <w:kern w:val="0"/>
                <w:sz w:val="18"/>
                <w:szCs w:val="18"/>
                <w:u w:val="none"/>
                <w:lang w:val="en-US" w:eastAsia="zh-CN" w:bidi="ar"/>
              </w:rPr>
              <w:t>5万元</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p>
        </w:tc>
      </w:tr>
      <w:tr>
        <w:trPr>
          <w:trHeight w:val="862"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720" w:firstLineChars="400"/>
              <w:jc w:val="both"/>
              <w:textAlignment w:val="center"/>
              <w:rPr>
                <w:rFonts w:hint="default"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租赁农机设备</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=1万元</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0.15万元</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eastAsia="宋体"/>
                <w:lang w:val="en-US" w:eastAsia="zh-CN"/>
              </w:rPr>
            </w:pPr>
            <w:r>
              <w:rPr>
                <w:rFonts w:hint="eastAsia" w:ascii="宋体" w:hAnsi="宋体" w:eastAsia="宋体" w:cs="宋体"/>
                <w:i w:val="0"/>
                <w:color w:val="000000"/>
                <w:kern w:val="0"/>
                <w:sz w:val="18"/>
                <w:szCs w:val="18"/>
                <w:u w:val="none"/>
                <w:lang w:val="en-US" w:eastAsia="zh-CN" w:bidi="ar"/>
              </w:rPr>
              <w:t>因疫情原因租赁减少</w:t>
            </w:r>
          </w:p>
        </w:tc>
      </w:tr>
      <w:tr>
        <w:trPr>
          <w:trHeight w:val="967"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培训费</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≤1万元</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0.96万元</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疫情原因，资金未完全使用</w:t>
            </w:r>
          </w:p>
        </w:tc>
      </w:tr>
      <w:tr>
        <w:trPr>
          <w:trHeight w:val="952"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u w:val="none"/>
                <w:lang w:val="en-US" w:eastAsia="zh-CN" w:bidi="ar"/>
              </w:rPr>
              <w:t>差旅费</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u w:val="none"/>
                <w:lang w:val="en-US" w:eastAsia="zh-CN" w:bidi="ar"/>
              </w:rPr>
              <w:t>≤2.5万元</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u w:val="none"/>
                <w:lang w:val="en-US" w:eastAsia="zh-CN" w:bidi="ar"/>
              </w:rPr>
              <w:t>2.47万元</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Times New Roman" w:hAnsi="Times New Roman" w:eastAsia="宋体" w:cs="Times New Roman"/>
                <w:kern w:val="2"/>
                <w:sz w:val="21"/>
                <w:szCs w:val="24"/>
                <w:lang w:val="en-US" w:eastAsia="zh-CN" w:bidi="ar-SA"/>
              </w:rPr>
            </w:pPr>
            <w:r>
              <w:rPr>
                <w:rFonts w:hint="eastAsia" w:ascii="宋体" w:hAnsi="宋体" w:eastAsia="宋体" w:cs="宋体"/>
                <w:i w:val="0"/>
                <w:color w:val="000000"/>
                <w:kern w:val="0"/>
                <w:sz w:val="18"/>
                <w:szCs w:val="18"/>
                <w:u w:val="none"/>
                <w:lang w:val="en-US" w:eastAsia="zh-CN" w:bidi="ar"/>
              </w:rPr>
              <w:t>疫情原因，资金未完全使用</w:t>
            </w:r>
          </w:p>
        </w:tc>
      </w:tr>
      <w:tr>
        <w:tblPrEx>
          <w:tblCellMar>
            <w:top w:w="0" w:type="dxa"/>
            <w:left w:w="108" w:type="dxa"/>
            <w:bottom w:w="0" w:type="dxa"/>
            <w:right w:w="108" w:type="dxa"/>
          </w:tblCellMar>
        </w:tblPrEx>
        <w:trPr>
          <w:trHeight w:val="877"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制作示范基地标志牌</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720" w:firstLineChars="400"/>
              <w:jc w:val="both"/>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1万元</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0.92万元</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疫情原因，资金未完全使用</w:t>
            </w:r>
          </w:p>
        </w:tc>
      </w:tr>
      <w:tr>
        <w:tblPrEx>
          <w:tblCellMar>
            <w:top w:w="0" w:type="dxa"/>
            <w:left w:w="108" w:type="dxa"/>
            <w:bottom w:w="0" w:type="dxa"/>
            <w:right w:w="108" w:type="dxa"/>
          </w:tblCellMar>
        </w:tblPrEx>
        <w:trPr>
          <w:trHeight w:val="892"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个人农业生产补贴</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22万元</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21.70万元</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eastAsia="宋体"/>
                <w:lang w:val="en-US" w:eastAsia="zh-CN"/>
              </w:rPr>
            </w:pPr>
            <w:r>
              <w:rPr>
                <w:rFonts w:hint="eastAsia" w:ascii="宋体" w:hAnsi="宋体" w:cs="宋体"/>
                <w:i w:val="0"/>
                <w:color w:val="000000"/>
                <w:kern w:val="0"/>
                <w:sz w:val="18"/>
                <w:szCs w:val="18"/>
                <w:u w:val="none"/>
                <w:lang w:val="en-US" w:eastAsia="zh-CN" w:bidi="ar"/>
              </w:rPr>
              <w:t>项目计划，</w:t>
            </w:r>
            <w:r>
              <w:rPr>
                <w:rFonts w:hint="eastAsia" w:ascii="宋体" w:hAnsi="宋体" w:eastAsia="宋体" w:cs="宋体"/>
                <w:i w:val="0"/>
                <w:color w:val="000000"/>
                <w:kern w:val="0"/>
                <w:sz w:val="18"/>
                <w:szCs w:val="18"/>
                <w:u w:val="none"/>
                <w:lang w:val="en-US" w:eastAsia="zh-CN" w:bidi="ar"/>
              </w:rPr>
              <w:t>资金结余</w:t>
            </w:r>
          </w:p>
        </w:tc>
      </w:tr>
      <w:tr>
        <w:tblPrEx>
          <w:tblCellMar>
            <w:top w:w="0" w:type="dxa"/>
            <w:left w:w="108" w:type="dxa"/>
            <w:bottom w:w="0" w:type="dxa"/>
            <w:right w:w="108" w:type="dxa"/>
          </w:tblCellMar>
        </w:tblPrEx>
        <w:trPr>
          <w:trHeight w:val="1015" w:hRule="atLeast"/>
        </w:trPr>
        <w:tc>
          <w:tcPr>
            <w:tcW w:w="1003"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效益指标</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经济效益指标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节约人力成本</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效果显著</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70%</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因疫情原因错过购买季节</w:t>
            </w:r>
          </w:p>
        </w:tc>
      </w:tr>
      <w:tr>
        <w:tblPrEx>
          <w:tblCellMar>
            <w:top w:w="0" w:type="dxa"/>
            <w:left w:w="108" w:type="dxa"/>
            <w:bottom w:w="0" w:type="dxa"/>
            <w:right w:w="108" w:type="dxa"/>
          </w:tblCellMar>
        </w:tblPrEx>
        <w:trPr>
          <w:trHeight w:val="955" w:hRule="atLeast"/>
        </w:trPr>
        <w:tc>
          <w:tcPr>
            <w:tcW w:w="1003" w:type="dxa"/>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社会效益指标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改善农牧民劳动强度情况</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有所改善</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90%</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本项目中农牧民劳动强度有所改善，故不扣分。</w:t>
            </w:r>
          </w:p>
        </w:tc>
      </w:tr>
      <w:tr>
        <w:tblPrEx>
          <w:tblCellMar>
            <w:top w:w="0" w:type="dxa"/>
            <w:left w:w="108" w:type="dxa"/>
            <w:bottom w:w="0" w:type="dxa"/>
            <w:right w:w="108" w:type="dxa"/>
          </w:tblCellMar>
        </w:tblPrEx>
        <w:trPr>
          <w:trHeight w:val="1075" w:hRule="atLeast"/>
        </w:trPr>
        <w:tc>
          <w:tcPr>
            <w:tcW w:w="1003" w:type="dxa"/>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生态效益指标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残膜回收减少对土地的污染</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显著减少</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90%</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本项目中用现代先进农机技术回收残膜并有所改善，故不扣分。</w:t>
            </w:r>
          </w:p>
        </w:tc>
      </w:tr>
      <w:tr>
        <w:tblPrEx>
          <w:tblCellMar>
            <w:top w:w="0" w:type="dxa"/>
            <w:left w:w="108" w:type="dxa"/>
            <w:bottom w:w="0" w:type="dxa"/>
            <w:right w:w="108" w:type="dxa"/>
          </w:tblCellMar>
        </w:tblPrEx>
        <w:trPr>
          <w:trHeight w:val="1120" w:hRule="atLeast"/>
        </w:trPr>
        <w:tc>
          <w:tcPr>
            <w:tcW w:w="1003" w:type="dxa"/>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满意度指标</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服务效益指标</w:t>
            </w:r>
          </w:p>
        </w:tc>
        <w:tc>
          <w:tcPr>
            <w:tcW w:w="3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农牧民满意度</w:t>
            </w:r>
          </w:p>
        </w:tc>
        <w:tc>
          <w:tcPr>
            <w:tcW w:w="2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≥90%</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23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pPr>
          </w:p>
        </w:tc>
      </w:tr>
    </w:tbl>
    <w:p>
      <w:pPr>
        <w:spacing w:line="540" w:lineRule="exact"/>
        <w:rPr>
          <w:rStyle w:val="21"/>
          <w:rFonts w:ascii="仿宋" w:hAnsi="仿宋"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AEEDD172"/>
    <w:multiLevelType w:val="singleLevel"/>
    <w:tmpl w:val="AEEDD172"/>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7813159"/>
    <w:multiLevelType w:val="singleLevel"/>
    <w:tmpl w:val="27813159"/>
    <w:lvl w:ilvl="0" w:tentative="0">
      <w:start w:val="3"/>
      <w:numFmt w:val="chineseCounting"/>
      <w:suff w:val="nothing"/>
      <w:lvlText w:val="（%1）"/>
      <w:lvlJc w:val="left"/>
      <w:rPr>
        <w:rFonts w:hint="eastAsia"/>
      </w:rPr>
    </w:lvl>
  </w:abstractNum>
  <w:abstractNum w:abstractNumId="8">
    <w:nsid w:val="3730CCE4"/>
    <w:multiLevelType w:val="singleLevel"/>
    <w:tmpl w:val="3730CCE4"/>
    <w:lvl w:ilvl="0" w:tentative="0">
      <w:start w:val="2"/>
      <w:numFmt w:val="decimal"/>
      <w:suff w:val="nothing"/>
      <w:lvlText w:val="（%1）"/>
      <w:lvlJc w:val="left"/>
    </w:lvl>
  </w:abstractNum>
  <w:abstractNum w:abstractNumId="9">
    <w:nsid w:val="6FAA0AB1"/>
    <w:multiLevelType w:val="singleLevel"/>
    <w:tmpl w:val="6FAA0AB1"/>
    <w:lvl w:ilvl="0" w:tentative="0">
      <w:start w:val="2"/>
      <w:numFmt w:val="chineseCounting"/>
      <w:suff w:val="nothing"/>
      <w:lvlText w:val="（%1）"/>
      <w:lvlJc w:val="left"/>
      <w:rPr>
        <w:rFonts w:hint="eastAsia"/>
      </w:rPr>
    </w:lvl>
  </w:abstractNum>
  <w:num w:numId="1">
    <w:abstractNumId w:val="8"/>
  </w:num>
  <w:num w:numId="2">
    <w:abstractNumId w:val="3"/>
  </w:num>
  <w:num w:numId="3">
    <w:abstractNumId w:val="2"/>
  </w:num>
  <w:num w:numId="4">
    <w:abstractNumId w:val="7"/>
  </w:num>
  <w:num w:numId="5">
    <w:abstractNumId w:val="6"/>
  </w:num>
  <w:num w:numId="6">
    <w:abstractNumId w:val="9"/>
  </w:num>
  <w:num w:numId="7">
    <w:abstractNumId w:val="5"/>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5C63C8C"/>
    <w:rsid w:val="066D6EAA"/>
    <w:rsid w:val="08C662D4"/>
    <w:rsid w:val="095D7BC4"/>
    <w:rsid w:val="09BD4D95"/>
    <w:rsid w:val="0D05434D"/>
    <w:rsid w:val="0DCE44AD"/>
    <w:rsid w:val="0F8D41CB"/>
    <w:rsid w:val="11C75270"/>
    <w:rsid w:val="12637CC3"/>
    <w:rsid w:val="12E657C5"/>
    <w:rsid w:val="167C7687"/>
    <w:rsid w:val="168B3546"/>
    <w:rsid w:val="1A2374E0"/>
    <w:rsid w:val="1C317CE2"/>
    <w:rsid w:val="1DD45808"/>
    <w:rsid w:val="1DED42AC"/>
    <w:rsid w:val="1EA979E2"/>
    <w:rsid w:val="20005763"/>
    <w:rsid w:val="20FB313D"/>
    <w:rsid w:val="220B4804"/>
    <w:rsid w:val="26DF1D1A"/>
    <w:rsid w:val="282475E3"/>
    <w:rsid w:val="28423C32"/>
    <w:rsid w:val="2C6100C1"/>
    <w:rsid w:val="3264220D"/>
    <w:rsid w:val="36DA0DAF"/>
    <w:rsid w:val="37781951"/>
    <w:rsid w:val="3963178C"/>
    <w:rsid w:val="41CC2676"/>
    <w:rsid w:val="46B21672"/>
    <w:rsid w:val="4E123B90"/>
    <w:rsid w:val="4E905B44"/>
    <w:rsid w:val="4F552460"/>
    <w:rsid w:val="4FCC6863"/>
    <w:rsid w:val="500A214A"/>
    <w:rsid w:val="522D604D"/>
    <w:rsid w:val="5297585E"/>
    <w:rsid w:val="52AD7D6F"/>
    <w:rsid w:val="5549519D"/>
    <w:rsid w:val="5557596B"/>
    <w:rsid w:val="57441FDA"/>
    <w:rsid w:val="5B596DFC"/>
    <w:rsid w:val="5D5076EC"/>
    <w:rsid w:val="5DF03945"/>
    <w:rsid w:val="637C2815"/>
    <w:rsid w:val="63865B3A"/>
    <w:rsid w:val="658D2815"/>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Other|1"/>
    <w:basedOn w:val="1"/>
    <w:qFormat/>
    <w:uiPriority w:val="99"/>
    <w:pPr>
      <w:spacing w:line="437" w:lineRule="auto"/>
      <w:ind w:firstLine="400"/>
    </w:pPr>
    <w:rPr>
      <w:rFonts w:ascii="宋体" w:hAnsi="宋体" w:cs="宋体"/>
      <w:sz w:val="19"/>
      <w:szCs w:val="19"/>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2</TotalTime>
  <ScaleCrop>false</ScaleCrop>
  <LinksUpToDate>false</LinksUpToDate>
  <CharactersWithSpaces>8963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L</cp:lastModifiedBy>
  <cp:lastPrinted>2021-06-07T03:31:00Z</cp:lastPrinted>
  <dcterms:modified xsi:type="dcterms:W3CDTF">2021-06-09T08:02:02Z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6D47DD370343484BA822DF4FADB314A1</vt:lpwstr>
  </property>
  <property fmtid="{D5CDD505-2E9C-101B-9397-08002B2CF9AE}" pid="4" name="KSOSaveFontToCloudKey">
    <vt:lpwstr>728097718_cloud</vt:lpwstr>
  </property>
</Properties>
</file>