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rPr>
          <w:rFonts w:ascii="华文中宋" w:hAnsi="华文中宋" w:eastAsia="华文中宋" w:cs="宋体"/>
          <w:b/>
          <w:kern w:val="0"/>
          <w:sz w:val="52"/>
          <w:szCs w:val="52"/>
        </w:rPr>
      </w:pPr>
    </w:p>
    <w:p>
      <w:pPr>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塔城地区中级人民法院审判法庭资金</w:t>
      </w:r>
    </w:p>
    <w:p>
      <w:pPr>
        <w:spacing w:line="56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项目支出绩效评价报告</w:t>
      </w:r>
    </w:p>
    <w:p>
      <w:pPr>
        <w:spacing w:line="560" w:lineRule="exact"/>
        <w:rPr>
          <w:rFonts w:ascii="华文中宋" w:hAnsi="华文中宋" w:eastAsia="华文中宋" w:cs="宋体"/>
          <w:b/>
          <w:kern w:val="0"/>
          <w:sz w:val="52"/>
          <w:szCs w:val="52"/>
        </w:rPr>
      </w:pPr>
    </w:p>
    <w:p>
      <w:pPr>
        <w:spacing w:line="56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60" w:lineRule="exact"/>
        <w:rPr>
          <w:rFonts w:hAnsi="宋体" w:eastAsia="仿宋_GB2312" w:cs="宋体"/>
          <w:kern w:val="0"/>
          <w:sz w:val="30"/>
          <w:szCs w:val="30"/>
        </w:rPr>
      </w:pPr>
    </w:p>
    <w:p>
      <w:pPr>
        <w:spacing w:line="560" w:lineRule="exact"/>
        <w:rPr>
          <w:rFonts w:hAnsi="宋体" w:eastAsia="仿宋_GB2312" w:cs="宋体"/>
          <w:kern w:val="0"/>
          <w:sz w:val="30"/>
          <w:szCs w:val="30"/>
        </w:rPr>
      </w:pPr>
    </w:p>
    <w:p>
      <w:pPr>
        <w:spacing w:line="560" w:lineRule="exact"/>
        <w:rPr>
          <w:rFonts w:hAnsi="宋体" w:eastAsia="仿宋_GB2312" w:cs="宋体"/>
          <w:kern w:val="0"/>
          <w:sz w:val="30"/>
          <w:szCs w:val="30"/>
        </w:rPr>
      </w:pPr>
    </w:p>
    <w:p>
      <w:pPr>
        <w:spacing w:line="560" w:lineRule="exact"/>
        <w:rPr>
          <w:rFonts w:hAnsi="宋体" w:eastAsia="仿宋_GB2312" w:cs="宋体"/>
          <w:kern w:val="0"/>
          <w:sz w:val="30"/>
          <w:szCs w:val="30"/>
        </w:rPr>
      </w:pPr>
    </w:p>
    <w:p>
      <w:pPr>
        <w:spacing w:line="560" w:lineRule="exact"/>
        <w:rPr>
          <w:rFonts w:hint="eastAsia" w:ascii="仿宋_GB2312" w:hAnsi="仿宋_GB2312" w:eastAsia="仿宋_GB2312" w:cs="仿宋_GB2312"/>
          <w:kern w:val="0"/>
          <w:sz w:val="36"/>
          <w:szCs w:val="36"/>
        </w:rPr>
      </w:pPr>
    </w:p>
    <w:p>
      <w:pPr>
        <w:spacing w:line="560" w:lineRule="exac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项目名称：塔城地区中级人民法院审判法庭建设项目</w:t>
      </w:r>
    </w:p>
    <w:p>
      <w:pPr>
        <w:spacing w:line="560" w:lineRule="exac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实施单位（公章）：塔城地区中级人民法院</w:t>
      </w:r>
    </w:p>
    <w:p>
      <w:pPr>
        <w:spacing w:line="560" w:lineRule="exac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项目负责人（签章）：杨成军</w:t>
      </w:r>
    </w:p>
    <w:p>
      <w:pPr>
        <w:spacing w:line="560" w:lineRule="exac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填报时间：2021年4月5日</w:t>
      </w:r>
    </w:p>
    <w:p>
      <w:pPr>
        <w:spacing w:line="560" w:lineRule="exact"/>
        <w:rPr>
          <w:rFonts w:hAnsi="宋体" w:eastAsia="仿宋_GB2312" w:cs="宋体"/>
          <w:kern w:val="0"/>
          <w:sz w:val="30"/>
          <w:szCs w:val="30"/>
        </w:rPr>
      </w:pPr>
    </w:p>
    <w:p>
      <w:pPr>
        <w:pStyle w:val="2"/>
        <w:spacing w:before="0" w:after="0" w:line="560" w:lineRule="exact"/>
        <w:jc w:val="both"/>
      </w:pPr>
    </w:p>
    <w:p>
      <w:pPr>
        <w:rPr>
          <w:rFonts w:hint="eastAsia"/>
        </w:rPr>
      </w:pPr>
    </w:p>
    <w:p>
      <w:pPr>
        <w:pStyle w:val="2"/>
      </w:pPr>
    </w:p>
    <w:p>
      <w:pPr>
        <w:pStyle w:val="2"/>
      </w:pPr>
    </w:p>
    <w:p>
      <w:pPr>
        <w:pageBreakBefore w:val="0"/>
        <w:kinsoku/>
        <w:wordWrap/>
        <w:overflowPunct/>
        <w:topLinePunct w:val="0"/>
        <w:autoSpaceDE/>
        <w:autoSpaceDN/>
        <w:bidi w:val="0"/>
        <w:spacing w:line="560" w:lineRule="atLeast"/>
        <w:ind w:firstLine="640" w:firstLineChars="200"/>
        <w:outlineLvl w:val="0"/>
        <w:rPr>
          <w:rFonts w:ascii="黑体" w:hAnsi="黑体" w:eastAsia="黑体" w:cs="黑体"/>
          <w:bCs/>
          <w:sz w:val="32"/>
          <w:szCs w:val="32"/>
        </w:rPr>
      </w:pPr>
      <w:bookmarkStart w:id="0" w:name="_Toc68537171"/>
      <w:r>
        <w:rPr>
          <w:rFonts w:hint="eastAsia" w:ascii="黑体" w:hAnsi="黑体" w:eastAsia="黑体" w:cs="黑体"/>
          <w:bCs/>
          <w:sz w:val="32"/>
          <w:szCs w:val="32"/>
        </w:rPr>
        <w:t>一、基本情况</w:t>
      </w:r>
      <w:bookmarkEnd w:id="0"/>
    </w:p>
    <w:p>
      <w:pPr>
        <w:pageBreakBefore w:val="0"/>
        <w:kinsoku/>
        <w:wordWrap/>
        <w:overflowPunct/>
        <w:topLinePunct w:val="0"/>
        <w:autoSpaceDE/>
        <w:autoSpaceDN/>
        <w:bidi w:val="0"/>
        <w:spacing w:line="560" w:lineRule="atLeast"/>
        <w:ind w:firstLine="472" w:firstLineChars="147"/>
        <w:outlineLvl w:val="1"/>
        <w:rPr>
          <w:rFonts w:ascii="楷体_GB2312" w:hAnsi="楷体_GB2312" w:eastAsia="楷体_GB2312" w:cs="楷体_GB2312"/>
          <w:b/>
          <w:bCs/>
          <w:sz w:val="32"/>
          <w:szCs w:val="32"/>
        </w:rPr>
      </w:pPr>
      <w:bookmarkStart w:id="1" w:name="_Toc68537172"/>
      <w:r>
        <w:rPr>
          <w:rFonts w:hint="eastAsia" w:ascii="楷体_GB2312" w:hAnsi="楷体_GB2312" w:eastAsia="楷体_GB2312" w:cs="楷体_GB2312"/>
          <w:b/>
          <w:bCs/>
          <w:sz w:val="32"/>
          <w:szCs w:val="32"/>
        </w:rPr>
        <w:t>（一）项目概况</w:t>
      </w:r>
      <w:bookmarkEnd w:id="1"/>
    </w:p>
    <w:p>
      <w:pPr>
        <w:pageBreakBefore w:val="0"/>
        <w:kinsoku/>
        <w:wordWrap/>
        <w:overflowPunct/>
        <w:topLinePunct w:val="0"/>
        <w:autoSpaceDE/>
        <w:autoSpaceDN/>
        <w:bidi w:val="0"/>
        <w:spacing w:line="560" w:lineRule="atLeast"/>
        <w:ind w:firstLine="641"/>
        <w:outlineLvl w:val="2"/>
        <w:rPr>
          <w:rFonts w:ascii="仿宋_GB2312" w:hAnsi="仿宋_GB2312" w:eastAsia="仿宋_GB2312" w:cs="仿宋_GB2312"/>
          <w:b/>
          <w:sz w:val="32"/>
          <w:szCs w:val="32"/>
        </w:rPr>
      </w:pPr>
      <w:bookmarkStart w:id="2" w:name="_Toc68537173"/>
      <w:r>
        <w:rPr>
          <w:rFonts w:hint="eastAsia" w:ascii="仿宋_GB2312" w:hAnsi="仿宋_GB2312" w:eastAsia="仿宋_GB2312" w:cs="仿宋_GB2312"/>
          <w:b/>
          <w:sz w:val="32"/>
          <w:szCs w:val="32"/>
        </w:rPr>
        <w:t>1、项目背景</w:t>
      </w:r>
      <w:bookmarkEnd w:id="2"/>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（1）项目实施的背景</w:t>
      </w:r>
    </w:p>
    <w:p>
      <w:pPr>
        <w:pStyle w:val="2"/>
        <w:pageBreakBefore w:val="0"/>
        <w:kinsoku/>
        <w:wordWrap/>
        <w:overflowPunct/>
        <w:topLinePunct w:val="0"/>
        <w:autoSpaceDE/>
        <w:autoSpaceDN/>
        <w:bidi w:val="0"/>
        <w:spacing w:before="0" w:after="0" w:line="560" w:lineRule="atLeast"/>
        <w:ind w:firstLine="640" w:firstLineChars="200"/>
        <w:jc w:val="both"/>
        <w:outlineLvl w:val="9"/>
        <w:rPr>
          <w:rFonts w:ascii="仿宋_GB2312" w:eastAsia="仿宋_GB2312"/>
          <w:b w:val="0"/>
        </w:rPr>
      </w:pPr>
      <w:bookmarkStart w:id="3" w:name="_Toc68536868"/>
      <w:bookmarkStart w:id="4" w:name="_Toc68537174"/>
      <w:r>
        <w:rPr>
          <w:rFonts w:hint="eastAsia" w:ascii="仿宋_GB2312" w:eastAsia="仿宋_GB2312"/>
          <w:b w:val="0"/>
        </w:rPr>
        <w:t>城地区中级人民法院审判法庭建设项目的实施，能够提高办案效率，充分发挥审判职能作用，为加快经济发展和维护社会稳定提供有力的司法保障。项目法人：塔城地区中级人民法院，建设规模及内容：17000</w:t>
      </w:r>
      <w:r>
        <w:rPr>
          <w:rFonts w:hint="eastAsia" w:ascii="宋体" w:hAnsi="宋体" w:eastAsia="宋体" w:cs="宋体"/>
          <w:b w:val="0"/>
        </w:rPr>
        <w:t>㎡</w:t>
      </w:r>
      <w:r>
        <w:rPr>
          <w:rFonts w:hint="eastAsia" w:ascii="仿宋_GB2312" w:hAnsi="仿宋_GB2312" w:eastAsia="仿宋_GB2312" w:cs="仿宋_GB2312"/>
          <w:b w:val="0"/>
        </w:rPr>
        <w:t>，其中：立案用房</w:t>
      </w:r>
      <w:r>
        <w:rPr>
          <w:rFonts w:hint="eastAsia" w:ascii="仿宋_GB2312" w:eastAsia="仿宋_GB2312"/>
          <w:b w:val="0"/>
        </w:rPr>
        <w:t>710</w:t>
      </w:r>
      <w:r>
        <w:rPr>
          <w:rFonts w:hint="eastAsia" w:ascii="宋体" w:hAnsi="宋体" w:eastAsia="宋体" w:cs="宋体"/>
          <w:b w:val="0"/>
        </w:rPr>
        <w:t>㎡</w:t>
      </w:r>
      <w:r>
        <w:rPr>
          <w:rFonts w:hint="eastAsia" w:ascii="仿宋_GB2312" w:hAnsi="仿宋_GB2312" w:eastAsia="仿宋_GB2312" w:cs="仿宋_GB2312"/>
          <w:b w:val="0"/>
        </w:rPr>
        <w:t>、审判用房</w:t>
      </w:r>
      <w:r>
        <w:rPr>
          <w:rFonts w:hint="eastAsia" w:ascii="仿宋_GB2312" w:eastAsia="仿宋_GB2312"/>
          <w:b w:val="0"/>
        </w:rPr>
        <w:t>9180</w:t>
      </w:r>
      <w:r>
        <w:rPr>
          <w:rFonts w:hint="eastAsia" w:ascii="宋体" w:hAnsi="宋体" w:eastAsia="宋体" w:cs="宋体"/>
          <w:b w:val="0"/>
        </w:rPr>
        <w:t>㎡</w:t>
      </w:r>
      <w:r>
        <w:rPr>
          <w:rFonts w:hint="eastAsia" w:ascii="仿宋_GB2312" w:hAnsi="仿宋_GB2312" w:eastAsia="仿宋_GB2312" w:cs="仿宋_GB2312"/>
          <w:b w:val="0"/>
        </w:rPr>
        <w:t>、执行用房</w:t>
      </w:r>
      <w:r>
        <w:rPr>
          <w:rFonts w:hint="eastAsia" w:ascii="仿宋_GB2312" w:eastAsia="仿宋_GB2312"/>
          <w:b w:val="0"/>
        </w:rPr>
        <w:t>280</w:t>
      </w:r>
      <w:r>
        <w:rPr>
          <w:rFonts w:hint="eastAsia" w:ascii="宋体" w:hAnsi="宋体" w:eastAsia="宋体" w:cs="宋体"/>
          <w:b w:val="0"/>
        </w:rPr>
        <w:t>㎡</w:t>
      </w:r>
      <w:r>
        <w:rPr>
          <w:rFonts w:hint="eastAsia" w:ascii="仿宋_GB2312" w:hAnsi="仿宋_GB2312" w:eastAsia="仿宋_GB2312" w:cs="仿宋_GB2312"/>
          <w:b w:val="0"/>
        </w:rPr>
        <w:t>、信访接待用房</w:t>
      </w:r>
      <w:r>
        <w:rPr>
          <w:rFonts w:hint="eastAsia" w:ascii="仿宋_GB2312" w:eastAsia="仿宋_GB2312"/>
          <w:b w:val="0"/>
        </w:rPr>
        <w:t>880</w:t>
      </w:r>
      <w:r>
        <w:rPr>
          <w:rFonts w:hint="eastAsia" w:ascii="宋体" w:hAnsi="宋体" w:eastAsia="宋体" w:cs="宋体"/>
          <w:b w:val="0"/>
        </w:rPr>
        <w:t>㎡</w:t>
      </w:r>
      <w:r>
        <w:rPr>
          <w:rFonts w:hint="eastAsia" w:ascii="仿宋_GB2312" w:hAnsi="仿宋_GB2312" w:eastAsia="仿宋_GB2312" w:cs="仿宋_GB2312"/>
          <w:b w:val="0"/>
        </w:rPr>
        <w:t>、审判配套用房</w:t>
      </w:r>
      <w:r>
        <w:rPr>
          <w:rFonts w:hint="eastAsia" w:ascii="仿宋_GB2312" w:eastAsia="仿宋_GB2312"/>
          <w:b w:val="0"/>
        </w:rPr>
        <w:t>1430</w:t>
      </w:r>
      <w:r>
        <w:rPr>
          <w:rFonts w:hint="eastAsia" w:ascii="宋体" w:hAnsi="宋体" w:eastAsia="宋体" w:cs="宋体"/>
          <w:b w:val="0"/>
        </w:rPr>
        <w:t>㎡</w:t>
      </w:r>
      <w:r>
        <w:rPr>
          <w:rFonts w:hint="eastAsia" w:ascii="仿宋_GB2312" w:hAnsi="仿宋_GB2312" w:eastAsia="仿宋_GB2312" w:cs="仿宋_GB2312"/>
          <w:b w:val="0"/>
        </w:rPr>
        <w:t>、审判信息管理用房</w:t>
      </w:r>
      <w:r>
        <w:rPr>
          <w:rFonts w:hint="eastAsia" w:ascii="仿宋_GB2312" w:eastAsia="仿宋_GB2312"/>
          <w:b w:val="0"/>
        </w:rPr>
        <w:t>830</w:t>
      </w:r>
      <w:r>
        <w:rPr>
          <w:rFonts w:hint="eastAsia" w:ascii="宋体" w:hAnsi="宋体" w:eastAsia="宋体" w:cs="宋体"/>
          <w:b w:val="0"/>
        </w:rPr>
        <w:t>㎡</w:t>
      </w:r>
      <w:r>
        <w:rPr>
          <w:rFonts w:hint="eastAsia" w:ascii="仿宋_GB2312" w:hAnsi="仿宋_GB2312" w:eastAsia="仿宋_GB2312" w:cs="仿宋_GB2312"/>
          <w:b w:val="0"/>
        </w:rPr>
        <w:t>、诉讼档案用房</w:t>
      </w:r>
      <w:r>
        <w:rPr>
          <w:rFonts w:hint="eastAsia" w:ascii="仿宋_GB2312" w:eastAsia="仿宋_GB2312"/>
          <w:b w:val="0"/>
        </w:rPr>
        <w:t>18140</w:t>
      </w:r>
      <w:r>
        <w:rPr>
          <w:rFonts w:hint="eastAsia" w:ascii="宋体" w:hAnsi="宋体" w:eastAsia="宋体" w:cs="宋体"/>
          <w:b w:val="0"/>
        </w:rPr>
        <w:t>㎡</w:t>
      </w:r>
      <w:r>
        <w:rPr>
          <w:rFonts w:hint="eastAsia" w:ascii="仿宋_GB2312" w:hAnsi="仿宋_GB2312" w:eastAsia="仿宋_GB2312" w:cs="仿宋_GB2312"/>
          <w:b w:val="0"/>
        </w:rPr>
        <w:t>、司法警察警务用房</w:t>
      </w:r>
      <w:r>
        <w:rPr>
          <w:rFonts w:hint="eastAsia" w:ascii="仿宋_GB2312" w:eastAsia="仿宋_GB2312"/>
          <w:b w:val="0"/>
        </w:rPr>
        <w:t>250</w:t>
      </w:r>
      <w:r>
        <w:rPr>
          <w:rFonts w:hint="eastAsia" w:ascii="宋体" w:hAnsi="宋体" w:eastAsia="宋体" w:cs="宋体"/>
          <w:b w:val="0"/>
        </w:rPr>
        <w:t>㎡</w:t>
      </w:r>
      <w:r>
        <w:rPr>
          <w:rFonts w:hint="eastAsia" w:ascii="仿宋_GB2312" w:hAnsi="仿宋_GB2312" w:eastAsia="仿宋_GB2312" w:cs="仿宋_GB2312"/>
          <w:b w:val="0"/>
        </w:rPr>
        <w:t>、辅助用房</w:t>
      </w:r>
      <w:r>
        <w:rPr>
          <w:rFonts w:hint="eastAsia" w:ascii="仿宋_GB2312" w:eastAsia="仿宋_GB2312"/>
          <w:b w:val="0"/>
        </w:rPr>
        <w:t>1600</w:t>
      </w:r>
      <w:r>
        <w:rPr>
          <w:rFonts w:hint="eastAsia" w:ascii="宋体" w:hAnsi="宋体" w:eastAsia="宋体" w:cs="宋体"/>
          <w:b w:val="0"/>
        </w:rPr>
        <w:t>㎡</w:t>
      </w:r>
      <w:r>
        <w:rPr>
          <w:rFonts w:hint="eastAsia" w:ascii="仿宋_GB2312" w:hAnsi="仿宋_GB2312" w:eastAsia="仿宋_GB2312" w:cs="仿宋_GB2312"/>
          <w:b w:val="0"/>
        </w:rPr>
        <w:t>，项目建设地点：塔城市巴克图路北侧，园林苗圃西</w:t>
      </w:r>
      <w:r>
        <w:rPr>
          <w:rFonts w:hint="eastAsia" w:ascii="仿宋_GB2312" w:eastAsia="仿宋_GB2312"/>
          <w:b w:val="0"/>
        </w:rPr>
        <w:t>侧，项目估算总投资：4420万元，资金来源：国家补助及地方配套。</w:t>
      </w:r>
      <w:bookmarkEnd w:id="3"/>
      <w:bookmarkEnd w:id="4"/>
    </w:p>
    <w:p>
      <w:pPr>
        <w:pStyle w:val="2"/>
        <w:pageBreakBefore w:val="0"/>
        <w:kinsoku/>
        <w:wordWrap/>
        <w:overflowPunct/>
        <w:topLinePunct w:val="0"/>
        <w:autoSpaceDE/>
        <w:autoSpaceDN/>
        <w:bidi w:val="0"/>
        <w:spacing w:before="0" w:after="0" w:line="560" w:lineRule="atLeast"/>
        <w:ind w:firstLine="640" w:firstLineChars="200"/>
        <w:jc w:val="both"/>
        <w:outlineLvl w:val="9"/>
        <w:rPr>
          <w:rFonts w:ascii="仿宋_GB2312" w:eastAsia="仿宋_GB2312"/>
          <w:b w:val="0"/>
        </w:rPr>
      </w:pPr>
      <w:bookmarkStart w:id="5" w:name="_Toc68536869"/>
      <w:bookmarkStart w:id="6" w:name="_Toc68537175"/>
      <w:r>
        <w:rPr>
          <w:rFonts w:hint="eastAsia" w:ascii="仿宋_GB2312" w:eastAsia="仿宋_GB2312"/>
          <w:b w:val="0"/>
        </w:rPr>
        <w:t>该项目于2013年4月8日经新疆维吾尔自治区发展和改革委员会《关于塔城地区中级人民法院审判法庭迁建项目可行性研究报告（代项目建议书）的批复》批复立项。</w:t>
      </w:r>
      <w:bookmarkEnd w:id="5"/>
      <w:bookmarkEnd w:id="6"/>
    </w:p>
    <w:p>
      <w:pPr>
        <w:pStyle w:val="2"/>
        <w:pageBreakBefore w:val="0"/>
        <w:numPr>
          <w:ilvl w:val="0"/>
          <w:numId w:val="1"/>
        </w:numPr>
        <w:kinsoku/>
        <w:wordWrap/>
        <w:overflowPunct/>
        <w:topLinePunct w:val="0"/>
        <w:autoSpaceDE/>
        <w:autoSpaceDN/>
        <w:bidi w:val="0"/>
        <w:spacing w:before="0" w:after="0" w:line="560" w:lineRule="atLeast"/>
        <w:ind w:firstLine="640" w:firstLineChars="200"/>
        <w:jc w:val="both"/>
        <w:outlineLvl w:val="9"/>
        <w:rPr>
          <w:rFonts w:ascii="仿宋_GB2312" w:hAnsi="仿宋_GB2312" w:eastAsia="仿宋_GB2312" w:cs="仿宋_GB2312"/>
          <w:b w:val="0"/>
          <w:bCs w:val="0"/>
          <w:kern w:val="0"/>
        </w:rPr>
      </w:pPr>
      <w:bookmarkStart w:id="7" w:name="_Toc68537176"/>
      <w:bookmarkStart w:id="8" w:name="_Toc68536870"/>
      <w:r>
        <w:rPr>
          <w:rFonts w:hint="eastAsia" w:ascii="仿宋_GB2312" w:hAnsi="仿宋_GB2312" w:eastAsia="仿宋_GB2312" w:cs="仿宋_GB2312"/>
          <w:b w:val="0"/>
          <w:bCs w:val="0"/>
          <w:kern w:val="0"/>
        </w:rPr>
        <w:t>项目实施的历史概况</w:t>
      </w:r>
      <w:bookmarkEnd w:id="7"/>
      <w:bookmarkEnd w:id="8"/>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2012年4月7日，塔城市建设领导小组召开第三次会议，会议纪要同意《塔城地区城乡规划编制工作方案》，同意将塔城地区中级人民法院审判法庭迁建至六和广场(六和广场属于巴克图辽塔新区范围内)，现有的5000平方米审判综合楼由塔城地区另行安排。</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2012年4月9日，由中共塔城地委办公室、塔城地区行署办公室签发的《塔城城市建设领导小组第三次会议纪要》的通知，要求各单位认真贯彻执行。</w:t>
      </w:r>
    </w:p>
    <w:p>
      <w:pPr>
        <w:pageBreakBefore w:val="0"/>
        <w:kinsoku/>
        <w:wordWrap/>
        <w:overflowPunct/>
        <w:topLinePunct w:val="0"/>
        <w:autoSpaceDE/>
        <w:autoSpaceDN/>
        <w:bidi w:val="0"/>
        <w:spacing w:line="560" w:lineRule="atLeast"/>
        <w:ind w:firstLine="640" w:firstLineChars="200"/>
        <w:rPr>
          <w:rFonts w:hint="eastAsia" w:ascii="仿宋_GB2312" w:eastAsia="仿宋_GB2312"/>
          <w:sz w:val="32"/>
          <w:szCs w:val="32"/>
          <w:lang w:eastAsia="zh-CN"/>
        </w:rPr>
      </w:pPr>
      <w:r>
        <w:rPr>
          <w:rFonts w:hint="eastAsia" w:ascii="仿宋_GB2312" w:eastAsia="仿宋_GB2312"/>
          <w:sz w:val="32"/>
          <w:szCs w:val="32"/>
        </w:rPr>
        <w:t>2012年5月15日塔城地区国土资源局在辽塔新区范围内,巴克图路北侧，市园林面铺西侧，淀粉厂北侧，为塔城地区中级人民法院审判法庭建设项目规划用地约1.2公顷，该项目符合塔城市土地利用总体规划</w:t>
      </w:r>
      <w:r>
        <w:rPr>
          <w:rFonts w:hint="eastAsia" w:ascii="仿宋_GB2312" w:eastAsia="仿宋_GB2312"/>
          <w:sz w:val="32"/>
          <w:szCs w:val="32"/>
          <w:lang w:eastAsia="zh-CN"/>
        </w:rPr>
        <w:t>。</w:t>
      </w:r>
    </w:p>
    <w:p>
      <w:pPr>
        <w:pageBreakBefore w:val="0"/>
        <w:kinsoku/>
        <w:wordWrap/>
        <w:overflowPunct/>
        <w:topLinePunct w:val="0"/>
        <w:autoSpaceDE/>
        <w:autoSpaceDN/>
        <w:bidi w:val="0"/>
        <w:spacing w:line="560" w:lineRule="atLeast"/>
        <w:ind w:firstLine="640" w:firstLineChars="200"/>
        <w:rPr>
          <w:rStyle w:val="24"/>
          <w:rFonts w:ascii="仿宋_GB2312" w:eastAsia="仿宋_GB2312"/>
          <w:b w:val="0"/>
          <w:bCs w:val="0"/>
          <w:sz w:val="32"/>
          <w:szCs w:val="32"/>
        </w:rPr>
      </w:pPr>
      <w:r>
        <w:rPr>
          <w:rFonts w:hint="eastAsia" w:ascii="仿宋_GB2312" w:eastAsia="仿宋_GB2312"/>
          <w:sz w:val="32"/>
          <w:szCs w:val="32"/>
        </w:rPr>
        <w:t>塔城地区中级人民法院迁建审判法庭项目符合塔城城市建设规划，项目具备了必要的建设条件。因此，塔城地区中级人民法院提出了本项目的建设。</w:t>
      </w:r>
    </w:p>
    <w:p>
      <w:pPr>
        <w:pageBreakBefore w:val="0"/>
        <w:numPr>
          <w:ilvl w:val="0"/>
          <w:numId w:val="2"/>
        </w:numPr>
        <w:kinsoku/>
        <w:wordWrap/>
        <w:overflowPunct/>
        <w:topLinePunct w:val="0"/>
        <w:autoSpaceDE/>
        <w:autoSpaceDN/>
        <w:bidi w:val="0"/>
        <w:spacing w:line="560" w:lineRule="atLeast"/>
        <w:ind w:firstLine="641"/>
        <w:outlineLvl w:val="2"/>
        <w:rPr>
          <w:rFonts w:ascii="仿宋_GB2312" w:hAnsi="仿宋_GB2312" w:eastAsia="仿宋_GB2312" w:cs="仿宋_GB2312"/>
          <w:b/>
          <w:sz w:val="32"/>
          <w:szCs w:val="32"/>
        </w:rPr>
      </w:pPr>
      <w:bookmarkStart w:id="9" w:name="_Toc68537177"/>
      <w:r>
        <w:rPr>
          <w:rFonts w:hint="eastAsia" w:ascii="仿宋_GB2312" w:hAnsi="仿宋_GB2312" w:eastAsia="仿宋_GB2312" w:cs="仿宋_GB2312"/>
          <w:b/>
          <w:sz w:val="32"/>
          <w:szCs w:val="32"/>
        </w:rPr>
        <w:t>项目主要内容及实施情况</w:t>
      </w:r>
      <w:bookmarkEnd w:id="9"/>
    </w:p>
    <w:p>
      <w:pPr>
        <w:pageBreakBefore w:val="0"/>
        <w:kinsoku/>
        <w:wordWrap/>
        <w:overflowPunct/>
        <w:topLinePunct w:val="0"/>
        <w:autoSpaceDE/>
        <w:autoSpaceDN/>
        <w:bidi w:val="0"/>
        <w:spacing w:line="560" w:lineRule="atLeas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项目主要内容</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eastAsia="仿宋_GB2312"/>
          <w:sz w:val="32"/>
          <w:szCs w:val="32"/>
        </w:rPr>
        <w:t>项目地点：塔城市巴克图路北侧，园林苗圃西侧。</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建设内容：建筑面积16996.06㎡，地上8层，地下一层，框架结构。</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截止2020年底，装修阶段已完成，段1层2层及8层砌筑完成，窗户附框安装完成，室内抹灰完成，地坪垫层完成，地暖管铺设完成，排水主管及立管完成，电气暗管及照明穿线完成，消防主管安装完成。</w:t>
      </w:r>
    </w:p>
    <w:p>
      <w:pPr>
        <w:pageBreakBefore w:val="0"/>
        <w:kinsoku/>
        <w:wordWrap/>
        <w:overflowPunct/>
        <w:topLinePunct w:val="0"/>
        <w:autoSpaceDE/>
        <w:autoSpaceDN/>
        <w:bidi w:val="0"/>
        <w:spacing w:line="560" w:lineRule="atLeas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项目实施情况</w:t>
      </w:r>
    </w:p>
    <w:p>
      <w:pPr>
        <w:pageBreakBefore w:val="0"/>
        <w:kinsoku/>
        <w:wordWrap/>
        <w:overflowPunct/>
        <w:topLinePunct w:val="0"/>
        <w:autoSpaceDE/>
        <w:autoSpaceDN/>
        <w:bidi w:val="0"/>
        <w:spacing w:line="560" w:lineRule="atLeast"/>
        <w:ind w:firstLine="640" w:firstLineChars="200"/>
      </w:pPr>
      <w:r>
        <w:rPr>
          <w:rFonts w:hint="eastAsia" w:ascii="仿宋_GB2312" w:hAnsi="仿宋_GB2312" w:eastAsia="仿宋_GB2312" w:cs="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本项目总投资4252.3万元，其中：中央预算内资金3757万元，地方配套资金663万元。2020年</w:t>
      </w:r>
      <w:r>
        <w:rPr>
          <w:rFonts w:hint="eastAsia" w:ascii="仿宋_GB2312" w:hAnsi="仿宋_GB2312" w:eastAsia="仿宋_GB2312" w:cs="仿宋_GB2312"/>
          <w:sz w:val="32"/>
          <w:szCs w:val="32"/>
          <w:lang w:val="en-US" w:eastAsia="zh-CN"/>
        </w:rPr>
        <w:t>到位资金1737.94万元，</w:t>
      </w:r>
      <w:r>
        <w:rPr>
          <w:rFonts w:hint="eastAsia" w:ascii="仿宋_GB2312" w:hAnsi="仿宋_GB2312" w:eastAsia="仿宋_GB2312" w:cs="仿宋_GB2312"/>
          <w:sz w:val="32"/>
          <w:szCs w:val="32"/>
        </w:rPr>
        <w:t>2020年项目支出1737.94万元，支出率为100%，</w:t>
      </w:r>
    </w:p>
    <w:p>
      <w:pPr>
        <w:pageBreakBefore w:val="0"/>
        <w:kinsoku/>
        <w:wordWrap/>
        <w:overflowPunct/>
        <w:topLinePunct w:val="0"/>
        <w:autoSpaceDE/>
        <w:autoSpaceDN/>
        <w:bidi w:val="0"/>
        <w:spacing w:line="560" w:lineRule="atLeast"/>
        <w:ind w:firstLine="641"/>
        <w:outlineLvl w:val="2"/>
        <w:rPr>
          <w:rFonts w:ascii="仿宋_GB2312" w:hAnsi="仿宋_GB2312" w:eastAsia="仿宋_GB2312" w:cs="仿宋_GB2312"/>
          <w:b/>
          <w:bCs/>
          <w:sz w:val="32"/>
          <w:szCs w:val="32"/>
        </w:rPr>
      </w:pPr>
      <w:bookmarkStart w:id="10" w:name="_Toc68537178"/>
      <w:r>
        <w:rPr>
          <w:rFonts w:hint="eastAsia" w:ascii="仿宋_GB2312" w:hAnsi="仿宋_GB2312" w:eastAsia="仿宋_GB2312" w:cs="仿宋_GB2312"/>
          <w:b/>
          <w:bCs/>
          <w:sz w:val="32"/>
          <w:szCs w:val="32"/>
        </w:rPr>
        <w:t>3、资金投入和使用情况</w:t>
      </w:r>
      <w:bookmarkEnd w:id="10"/>
    </w:p>
    <w:p>
      <w:pPr>
        <w:pageBreakBefore w:val="0"/>
        <w:kinsoku/>
        <w:wordWrap/>
        <w:overflowPunct/>
        <w:topLinePunct w:val="0"/>
        <w:autoSpaceDE/>
        <w:autoSpaceDN/>
        <w:bidi w:val="0"/>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（1）资金安排</w:t>
      </w:r>
    </w:p>
    <w:p>
      <w:pPr>
        <w:pageBreakBefore w:val="0"/>
        <w:kinsoku/>
        <w:wordWrap/>
        <w:overflowPunct/>
        <w:topLinePunct w:val="0"/>
        <w:autoSpaceDE/>
        <w:autoSpaceDN/>
        <w:bidi w:val="0"/>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2020年项目投资额为1737.94万元。按照审判大楼项目资金使用规定及单位财务制度等相关规定，资金支出符合新建审判大楼专项资金费用范围，做到了专款专用。在项目资金拨付和使用过程中，为确保项目资金的安全性，提高项目资金使用效率，严格遵循项目资金的拨付程序，认真审核项目实施各阶段的相关材料和手续，根据项目实施进展情况拨付资金。</w:t>
      </w:r>
    </w:p>
    <w:p>
      <w:pPr>
        <w:pageBreakBefore w:val="0"/>
        <w:kinsoku/>
        <w:wordWrap/>
        <w:overflowPunct/>
        <w:topLinePunct w:val="0"/>
        <w:autoSpaceDE/>
        <w:autoSpaceDN/>
        <w:bidi w:val="0"/>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（2）预算资金来源及使用情况</w:t>
      </w:r>
      <w:bookmarkStart w:id="11" w:name="page10"/>
      <w:bookmarkEnd w:id="11"/>
    </w:p>
    <w:p>
      <w:pPr>
        <w:pStyle w:val="2"/>
        <w:pageBreakBefore w:val="0"/>
        <w:kinsoku/>
        <w:wordWrap/>
        <w:overflowPunct/>
        <w:topLinePunct w:val="0"/>
        <w:autoSpaceDE/>
        <w:autoSpaceDN/>
        <w:bidi w:val="0"/>
        <w:spacing w:before="0" w:after="0" w:line="560" w:lineRule="atLeast"/>
        <w:ind w:firstLine="640" w:firstLineChars="200"/>
        <w:jc w:val="both"/>
        <w:rPr>
          <w:rFonts w:ascii="仿宋_GB2312" w:hAnsi="仿宋_GB2312" w:eastAsia="仿宋_GB2312" w:cs="仿宋_GB2312"/>
          <w:b w:val="0"/>
          <w:bCs w:val="0"/>
          <w:kern w:val="2"/>
        </w:rPr>
      </w:pPr>
      <w:bookmarkStart w:id="12" w:name="_Toc68537179"/>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2"/>
          <w:lang w:eastAsia="zh-CN"/>
        </w:rPr>
        <w:t>塔城地区财政局</w:t>
      </w:r>
      <w:r>
        <w:rPr>
          <w:rFonts w:hint="eastAsia" w:ascii="仿宋_GB2312" w:hAnsi="仿宋_GB2312" w:eastAsia="仿宋_GB2312" w:cs="仿宋_GB2312"/>
          <w:b w:val="0"/>
          <w:bCs w:val="0"/>
          <w:kern w:val="2"/>
        </w:rPr>
        <w:t>批复资金， 2020年资金到位1737.94万元，</w:t>
      </w:r>
      <w:r>
        <w:rPr>
          <w:rFonts w:hint="eastAsia" w:ascii="仿宋_GB2312" w:hAnsi="仿宋_GB2312" w:eastAsia="仿宋_GB2312" w:cs="仿宋_GB2312"/>
          <w:b w:val="0"/>
          <w:bCs w:val="0"/>
          <w:kern w:val="2"/>
          <w:lang w:val="en-US" w:eastAsia="zh-CN"/>
        </w:rPr>
        <w:t>实际</w:t>
      </w:r>
      <w:r>
        <w:rPr>
          <w:rFonts w:hint="eastAsia" w:ascii="仿宋_GB2312" w:hAnsi="仿宋_GB2312" w:eastAsia="仿宋_GB2312" w:cs="仿宋_GB2312"/>
          <w:b w:val="0"/>
          <w:bCs w:val="0"/>
          <w:kern w:val="2"/>
        </w:rPr>
        <w:t>支出1737.94万元，用于支付项目实施进程中的各项费用。</w:t>
      </w:r>
      <w:bookmarkEnd w:id="12"/>
    </w:p>
    <w:p>
      <w:pPr>
        <w:pageBreakBefore w:val="0"/>
        <w:kinsoku/>
        <w:wordWrap/>
        <w:overflowPunct/>
        <w:topLinePunct w:val="0"/>
        <w:autoSpaceDE/>
        <w:autoSpaceDN/>
        <w:bidi w:val="0"/>
        <w:spacing w:line="560" w:lineRule="atLeast"/>
        <w:ind w:firstLine="641"/>
        <w:outlineLvl w:val="1"/>
        <w:rPr>
          <w:rFonts w:ascii="楷体_GB2312" w:hAnsi="楷体_GB2312" w:eastAsia="楷体_GB2312" w:cs="楷体_GB2312"/>
          <w:b/>
          <w:bCs/>
          <w:sz w:val="32"/>
          <w:szCs w:val="32"/>
        </w:rPr>
      </w:pPr>
      <w:bookmarkStart w:id="13" w:name="_Toc68537180"/>
      <w:r>
        <w:rPr>
          <w:rFonts w:hint="eastAsia" w:ascii="楷体_GB2312" w:hAnsi="楷体_GB2312" w:eastAsia="楷体_GB2312" w:cs="楷体_GB2312"/>
          <w:b/>
          <w:bCs/>
          <w:sz w:val="32"/>
          <w:szCs w:val="32"/>
        </w:rPr>
        <w:t>（二）项目绩效目标</w:t>
      </w:r>
      <w:bookmarkEnd w:id="13"/>
    </w:p>
    <w:p>
      <w:pPr>
        <w:pageBreakBefore w:val="0"/>
        <w:kinsoku/>
        <w:wordWrap/>
        <w:overflowPunct/>
        <w:topLinePunct w:val="0"/>
        <w:autoSpaceDE/>
        <w:autoSpaceDN/>
        <w:bidi w:val="0"/>
        <w:spacing w:line="560" w:lineRule="atLeast"/>
        <w:ind w:firstLine="641"/>
        <w:outlineLvl w:val="2"/>
        <w:rPr>
          <w:rFonts w:ascii="仿宋_GB2312" w:hAnsi="仿宋_GB2312" w:eastAsia="仿宋_GB2312" w:cs="仿宋_GB2312"/>
          <w:b/>
          <w:sz w:val="32"/>
          <w:szCs w:val="32"/>
        </w:rPr>
      </w:pPr>
      <w:bookmarkStart w:id="14" w:name="_Toc68537181"/>
      <w:r>
        <w:rPr>
          <w:rFonts w:hint="eastAsia" w:ascii="仿宋_GB2312" w:hAnsi="仿宋_GB2312" w:eastAsia="仿宋_GB2312" w:cs="仿宋_GB2312"/>
          <w:b/>
          <w:sz w:val="32"/>
          <w:szCs w:val="32"/>
        </w:rPr>
        <w:t>1、总体目标</w:t>
      </w:r>
      <w:bookmarkEnd w:id="14"/>
    </w:p>
    <w:p>
      <w:pPr>
        <w:pStyle w:val="2"/>
        <w:pageBreakBefore w:val="0"/>
        <w:kinsoku/>
        <w:wordWrap/>
        <w:overflowPunct/>
        <w:topLinePunct w:val="0"/>
        <w:autoSpaceDE/>
        <w:autoSpaceDN/>
        <w:bidi w:val="0"/>
        <w:spacing w:before="0" w:after="0" w:line="560" w:lineRule="atLeast"/>
        <w:ind w:firstLine="640" w:firstLineChars="200"/>
        <w:jc w:val="both"/>
        <w:outlineLvl w:val="9"/>
        <w:rPr>
          <w:rFonts w:ascii="仿宋_GB2312" w:hAnsi="仿宋_GB2312" w:eastAsia="仿宋_GB2312" w:cs="仿宋_GB2312"/>
          <w:b w:val="0"/>
          <w:bCs w:val="0"/>
          <w:kern w:val="2"/>
        </w:rPr>
      </w:pPr>
      <w:bookmarkStart w:id="15" w:name="_Toc68537182"/>
      <w:r>
        <w:rPr>
          <w:rFonts w:hint="eastAsia" w:ascii="仿宋_GB2312" w:hAnsi="仿宋_GB2312" w:eastAsia="仿宋_GB2312" w:cs="仿宋_GB2312"/>
          <w:b w:val="0"/>
          <w:bCs w:val="0"/>
          <w:kern w:val="2"/>
        </w:rPr>
        <w:t>该项目总建筑面积为17000㎡，其中：立案用房710㎡、审判用房9180㎡、执行用房280㎡、信访接待用房880㎡、审判配套用房1430㎡、审判信息管理用房830㎡、诉讼档案用房1840㎡、司法警察警务用房250㎡、辅助用房1600㎡。通过该项目实施，使塔城地区中级人民法院审判法庭达到人民法院法庭建设标准的要求，改善法院审判条件，为构建和谐社会，打击违法犯罪和维护当事人合法权益提供保障。</w:t>
      </w:r>
      <w:bookmarkEnd w:id="15"/>
    </w:p>
    <w:p>
      <w:pPr>
        <w:pageBreakBefore w:val="0"/>
        <w:kinsoku/>
        <w:wordWrap/>
        <w:overflowPunct/>
        <w:topLinePunct w:val="0"/>
        <w:autoSpaceDE/>
        <w:autoSpaceDN/>
        <w:bidi w:val="0"/>
        <w:spacing w:line="560" w:lineRule="atLeast"/>
        <w:ind w:firstLine="641"/>
        <w:outlineLvl w:val="2"/>
        <w:rPr>
          <w:rFonts w:ascii="仿宋_GB2312" w:hAnsi="仿宋_GB2312" w:eastAsia="仿宋_GB2312" w:cs="仿宋_GB2312"/>
          <w:b/>
          <w:sz w:val="32"/>
          <w:szCs w:val="32"/>
        </w:rPr>
      </w:pPr>
      <w:bookmarkStart w:id="16" w:name="_Toc68537183"/>
      <w:r>
        <w:rPr>
          <w:rFonts w:hint="eastAsia" w:ascii="仿宋_GB2312" w:hAnsi="仿宋_GB2312" w:eastAsia="仿宋_GB2312" w:cs="仿宋_GB2312"/>
          <w:b/>
          <w:sz w:val="32"/>
          <w:szCs w:val="32"/>
        </w:rPr>
        <w:t>2、阶段性目标</w:t>
      </w:r>
      <w:bookmarkEnd w:id="16"/>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根据《财政支出绩效评价管理暂行办法》的规定，结合项目相关信息，对项目年度绩效目标进行了进一步完善，设置了年度绩效目标如下：</w:t>
      </w:r>
    </w:p>
    <w:p>
      <w:pPr>
        <w:pageBreakBefore w:val="0"/>
        <w:kinsoku/>
        <w:wordWrap/>
        <w:overflowPunct/>
        <w:topLinePunct w:val="0"/>
        <w:autoSpaceDE/>
        <w:autoSpaceDN/>
        <w:bidi w:val="0"/>
        <w:spacing w:line="560" w:lineRule="atLeast"/>
        <w:ind w:firstLine="700" w:firstLineChars="250"/>
        <w:rPr>
          <w:rFonts w:ascii="仿宋_GB2312" w:eastAsia="仿宋_GB2312"/>
          <w:sz w:val="28"/>
          <w:szCs w:val="28"/>
        </w:rPr>
      </w:pPr>
      <w:r>
        <w:rPr>
          <w:rFonts w:hint="eastAsia" w:ascii="仿宋_GB2312" w:eastAsia="仿宋_GB2312"/>
          <w:sz w:val="28"/>
          <w:szCs w:val="28"/>
        </w:rPr>
        <w:t>（1） 项目数量目标</w:t>
      </w:r>
    </w:p>
    <w:tbl>
      <w:tblPr>
        <w:tblStyle w:val="22"/>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34"/>
        <w:gridCol w:w="2324"/>
        <w:gridCol w:w="1704"/>
        <w:gridCol w:w="1705"/>
        <w:gridCol w:w="17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序号</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功能用房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个数/个</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总建筑面积/</w:t>
            </w:r>
            <w:r>
              <w:rPr>
                <w:rFonts w:hint="eastAsia" w:ascii="仿宋_GB2312" w:hAnsiTheme="minorHAnsi" w:eastAsiaTheme="minorEastAsia" w:cstheme="minorBidi"/>
                <w:sz w:val="22"/>
              </w:rPr>
              <w:t>㎡</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总使用面积/</w:t>
            </w:r>
            <w:r>
              <w:rPr>
                <w:rFonts w:hint="eastAsia" w:ascii="仿宋_GB2312" w:hAnsiTheme="minorHAnsi" w:eastAsiaTheme="minorEastAsia" w:cstheme="minorBidi"/>
                <w:sz w:val="22"/>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立案用房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16</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710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460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2</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审判用房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77</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9180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5510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3</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执行用房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6</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280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4</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信访接待用房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15</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880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570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5</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审判配套用房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30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1430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930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6</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审判信息管理用房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830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540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7</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诉讼档案用房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14</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1840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1290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8</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司法警察警务用房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7</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246</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9</w:t>
            </w: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辅助用房</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7</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1600</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1120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83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p>
        </w:tc>
        <w:tc>
          <w:tcPr>
            <w:tcW w:w="232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合计</w:t>
            </w:r>
          </w:p>
        </w:tc>
        <w:tc>
          <w:tcPr>
            <w:tcW w:w="1704"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182</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16996</w:t>
            </w:r>
          </w:p>
        </w:tc>
        <w:tc>
          <w:tcPr>
            <w:tcW w:w="1705" w:type="dxa"/>
          </w:tcPr>
          <w:p>
            <w:pPr>
              <w:pageBreakBefore w:val="0"/>
              <w:kinsoku/>
              <w:wordWrap/>
              <w:overflowPunct/>
              <w:topLinePunct w:val="0"/>
              <w:autoSpaceDE/>
              <w:autoSpaceDN/>
              <w:bidi w:val="0"/>
              <w:spacing w:line="560" w:lineRule="atLeast"/>
              <w:rPr>
                <w:rFonts w:ascii="仿宋_GB2312" w:eastAsia="仿宋_GB2312" w:hAnsiTheme="minorHAnsi" w:cstheme="minorBidi"/>
                <w:sz w:val="22"/>
              </w:rPr>
            </w:pPr>
            <w:r>
              <w:rPr>
                <w:rFonts w:hint="eastAsia" w:ascii="仿宋_GB2312" w:eastAsia="仿宋_GB2312" w:hAnsiTheme="minorHAnsi" w:cstheme="minorBidi"/>
                <w:sz w:val="22"/>
              </w:rPr>
              <w:t>1070</w:t>
            </w:r>
          </w:p>
        </w:tc>
      </w:tr>
    </w:tbl>
    <w:p>
      <w:pPr>
        <w:pageBreakBefore w:val="0"/>
        <w:kinsoku/>
        <w:wordWrap/>
        <w:overflowPunct/>
        <w:topLinePunct w:val="0"/>
        <w:autoSpaceDE/>
        <w:autoSpaceDN/>
        <w:bidi w:val="0"/>
        <w:spacing w:line="560" w:lineRule="atLeast"/>
        <w:ind w:firstLine="800" w:firstLineChars="250"/>
        <w:rPr>
          <w:rFonts w:ascii="仿宋_GB2312" w:eastAsia="仿宋_GB2312"/>
          <w:sz w:val="32"/>
          <w:szCs w:val="32"/>
        </w:rPr>
      </w:pPr>
      <w:r>
        <w:rPr>
          <w:rFonts w:hint="eastAsia" w:ascii="仿宋_GB2312" w:eastAsia="仿宋_GB2312"/>
          <w:sz w:val="32"/>
          <w:szCs w:val="32"/>
        </w:rPr>
        <w:t>已完成功能用房的建设。</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（2）项目质量目标：项目已完工，尚未进行竣工验收。</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（3）项目时效目标：合同工程日期为2016年3月21日-2018年2月25日，项目实际初步完工为2020年6月，项目已完工。</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（4）项目成本目标：项目已完工，未进行审计。</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5）项目经济效益目标：项目的建设，增加了对塔城市建筑材料和劳动力的需求，带动项目所在地周边的加工制造业、服务业的发展与繁荣。项目建设完成提高了法院的审判基础条件，为塔城经济发展提供了良好的司法保障，助力塔城经济更好发展。</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6）项目社会效益目标：项目建设会促进塔城地区中级人民法院审判基础设施的改善，提高案件审理速度、受害人受法律保护的服务质量和服务水平。随着社会经济发展和生活水平的提高，人民群众对各种案件中的受害人等弱势群体的关注度也越来越高，对法院伸张正义的期望值也越来越高。项目实施后，将全面提高塔城地区中级人民法院的工作质量和服务水平，为各部门提供一个良好的法律服务环境，也为居民提供了一个良好的法律服务条件，满足社会经济发展的需要，维护塔城地区社会治安大局的稳定和和谐社会的构建，其社会效益十分显著。</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（7）项目可持续影响目标：未来50年内塔城地区中级人民法院审判法庭的建设符合城市的规划需要和社会稳定工作。</w:t>
      </w:r>
    </w:p>
    <w:p>
      <w:pPr>
        <w:pageBreakBefore w:val="0"/>
        <w:kinsoku/>
        <w:wordWrap/>
        <w:overflowPunct/>
        <w:topLinePunct w:val="0"/>
        <w:autoSpaceDE/>
        <w:autoSpaceDN/>
        <w:bidi w:val="0"/>
        <w:spacing w:line="560" w:lineRule="atLeast"/>
        <w:ind w:firstLine="640" w:firstLineChars="200"/>
        <w:rPr>
          <w:rFonts w:ascii="仿宋_GB2312" w:eastAsia="仿宋_GB2312"/>
          <w:sz w:val="32"/>
          <w:szCs w:val="32"/>
        </w:rPr>
      </w:pPr>
      <w:r>
        <w:rPr>
          <w:rFonts w:hint="eastAsia" w:ascii="仿宋_GB2312" w:eastAsia="仿宋_GB2312"/>
          <w:sz w:val="32"/>
          <w:szCs w:val="32"/>
        </w:rPr>
        <w:t>（8）项目满意度目标：项目建成后，更好的保障塔城地区辖区内人民群众对司法业务的需求。</w:t>
      </w:r>
    </w:p>
    <w:p>
      <w:pPr>
        <w:pageBreakBefore w:val="0"/>
        <w:kinsoku/>
        <w:wordWrap/>
        <w:overflowPunct/>
        <w:topLinePunct w:val="0"/>
        <w:autoSpaceDE/>
        <w:autoSpaceDN/>
        <w:bidi w:val="0"/>
        <w:spacing w:line="560" w:lineRule="atLeast"/>
        <w:ind w:firstLine="641"/>
        <w:outlineLvl w:val="0"/>
        <w:rPr>
          <w:rFonts w:ascii="黑体" w:hAnsi="黑体" w:eastAsia="黑体"/>
          <w:sz w:val="32"/>
          <w:szCs w:val="32"/>
        </w:rPr>
      </w:pPr>
      <w:bookmarkStart w:id="17" w:name="_Toc68537184"/>
      <w:r>
        <w:rPr>
          <w:rFonts w:hint="eastAsia" w:ascii="黑体" w:hAnsi="黑体" w:eastAsia="黑体"/>
          <w:sz w:val="32"/>
          <w:szCs w:val="32"/>
        </w:rPr>
        <w:t>二、绩效评价工作开展情况</w:t>
      </w:r>
      <w:bookmarkEnd w:id="17"/>
    </w:p>
    <w:p>
      <w:pPr>
        <w:pStyle w:val="2"/>
        <w:pageBreakBefore w:val="0"/>
        <w:kinsoku/>
        <w:wordWrap/>
        <w:overflowPunct/>
        <w:topLinePunct w:val="0"/>
        <w:autoSpaceDE/>
        <w:autoSpaceDN/>
        <w:bidi w:val="0"/>
        <w:spacing w:before="0" w:after="0" w:line="560" w:lineRule="atLeast"/>
        <w:ind w:firstLine="643" w:firstLineChars="200"/>
        <w:jc w:val="both"/>
        <w:rPr>
          <w:rFonts w:hint="eastAsia" w:ascii="楷体_GB2312" w:hAnsi="楷体_GB2312" w:eastAsia="楷体_GB2312" w:cs="楷体_GB2312"/>
        </w:rPr>
      </w:pPr>
      <w:bookmarkStart w:id="18" w:name="_Toc68537185"/>
      <w:r>
        <w:rPr>
          <w:rFonts w:hint="eastAsia" w:ascii="楷体_GB2312" w:hAnsi="楷体_GB2312" w:eastAsia="楷体_GB2312" w:cs="楷体_GB2312"/>
          <w:bCs w:val="0"/>
        </w:rPr>
        <w:t>（一）绩效评价目的</w:t>
      </w:r>
      <w:bookmarkEnd w:id="18"/>
      <w:r>
        <w:rPr>
          <w:rFonts w:hint="eastAsia" w:ascii="楷体_GB2312" w:hAnsi="楷体_GB2312" w:eastAsia="楷体_GB2312" w:cs="楷体_GB2312"/>
          <w:bCs w:val="0"/>
        </w:rPr>
        <w:t>、</w:t>
      </w:r>
      <w:r>
        <w:rPr>
          <w:rFonts w:hint="eastAsia" w:ascii="楷体_GB2312" w:hAnsi="楷体_GB2312" w:eastAsia="楷体_GB2312" w:cs="楷体_GB2312"/>
        </w:rPr>
        <w:t>对象和范围</w:t>
      </w:r>
    </w:p>
    <w:p>
      <w:pPr>
        <w:pageBreakBefore w:val="0"/>
        <w:kinsoku/>
        <w:wordWrap/>
        <w:overflowPunct/>
        <w:topLinePunct w:val="0"/>
        <w:autoSpaceDE/>
        <w:autoSpaceDN/>
        <w:bidi w:val="0"/>
        <w:spacing w:line="560" w:lineRule="atLeast"/>
        <w:ind w:firstLine="641"/>
        <w:outlineLvl w:val="1"/>
        <w:rPr>
          <w:rFonts w:hint="eastAsia" w:ascii="仿宋_GB2312" w:hAnsi="楷体_GB2312" w:eastAsia="仿宋_GB2312" w:cs="楷体_GB2312"/>
          <w:b/>
          <w:bCs/>
          <w:sz w:val="32"/>
          <w:szCs w:val="32"/>
        </w:rPr>
      </w:pPr>
      <w:r>
        <w:rPr>
          <w:rFonts w:hint="eastAsia" w:ascii="仿宋_GB2312" w:hAnsi="楷体_GB2312" w:eastAsia="仿宋_GB2312" w:cs="楷体_GB2312"/>
          <w:b/>
          <w:bCs/>
          <w:sz w:val="32"/>
          <w:szCs w:val="32"/>
        </w:rPr>
        <w:t>1、绩效评价目的</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旨在通过评价改善预算部门的财政支出管理，优化资源配置及提高公共服务水平。本次绩效评价遵循自治区财政厅《自治区本级财政支出绩效评价管理暂行办法》和《关于印发&lt;自治区全面实施预算绩效管理的工作方案&gt;的通知》</w:t>
      </w:r>
      <w:bookmarkStart w:id="36" w:name="_GoBack"/>
      <w:bookmarkEnd w:id="36"/>
      <w:r>
        <w:rPr>
          <w:rFonts w:hint="eastAsia" w:ascii="仿宋_GB2312" w:hAnsi="仿宋_GB2312" w:eastAsia="仿宋_GB2312" w:cs="仿宋_GB2312"/>
          <w:sz w:val="32"/>
          <w:szCs w:val="32"/>
        </w:rPr>
        <w:t>等文件精神，为全面了解2019 年度塔城地区中级人民法院审判法庭项目资金预算编制合理性、资金使用合规性、项目管理的规范性、项目目标的实现情况、服务对象的满意度等，通过本次绩效评价来总结经验和教训，促进项目成果转化和应用，为今后类似项目的长效管理，提供可行性参考建议。</w:t>
      </w:r>
    </w:p>
    <w:p>
      <w:pPr>
        <w:pageBreakBefore w:val="0"/>
        <w:kinsoku/>
        <w:wordWrap/>
        <w:overflowPunct/>
        <w:topLinePunct w:val="0"/>
        <w:autoSpaceDE/>
        <w:autoSpaceDN/>
        <w:bidi w:val="0"/>
        <w:spacing w:line="560" w:lineRule="atLeast"/>
        <w:ind w:firstLine="641"/>
        <w:outlineLvl w:val="1"/>
        <w:rPr>
          <w:rFonts w:hint="eastAsia" w:ascii="仿宋_GB2312" w:hAnsi="楷体_GB2312" w:eastAsia="仿宋_GB2312" w:cs="楷体_GB2312"/>
          <w:b/>
          <w:bCs/>
          <w:sz w:val="32"/>
          <w:szCs w:val="32"/>
        </w:rPr>
      </w:pPr>
      <w:r>
        <w:rPr>
          <w:rFonts w:hint="eastAsia" w:ascii="仿宋_GB2312" w:hAnsi="楷体_GB2312" w:eastAsia="仿宋_GB2312" w:cs="楷体_GB2312"/>
          <w:b/>
          <w:bCs/>
          <w:sz w:val="32"/>
          <w:szCs w:val="32"/>
        </w:rPr>
        <w:t>2、绩效评价范围</w:t>
      </w:r>
    </w:p>
    <w:p>
      <w:pPr>
        <w:pStyle w:val="2"/>
        <w:pageBreakBefore w:val="0"/>
        <w:kinsoku/>
        <w:wordWrap/>
        <w:overflowPunct/>
        <w:topLinePunct w:val="0"/>
        <w:autoSpaceDE/>
        <w:autoSpaceDN/>
        <w:bidi w:val="0"/>
        <w:spacing w:before="0" w:after="0" w:line="560" w:lineRule="atLeast"/>
        <w:ind w:firstLine="640" w:firstLineChars="200"/>
        <w:jc w:val="both"/>
        <w:outlineLvl w:val="9"/>
        <w:rPr>
          <w:rFonts w:hint="eastAsia" w:ascii="仿宋_GB2312" w:hAnsi="仿宋_GB2312" w:eastAsia="仿宋_GB2312" w:cs="仿宋_GB2312"/>
          <w:b w:val="0"/>
        </w:rPr>
      </w:pPr>
      <w:r>
        <w:rPr>
          <w:rFonts w:hint="eastAsia" w:ascii="仿宋_GB2312" w:hAnsi="仿宋_GB2312" w:eastAsia="仿宋_GB2312" w:cs="仿宋_GB2312"/>
          <w:b w:val="0"/>
        </w:rPr>
        <w:t>本次评价从项目决策（包括绩效目标、决策过程）、项目管理（包括项目资金、项目实施）和项目绩效（包括项目产出、项目效果）三个维度进行评价。</w:t>
      </w:r>
    </w:p>
    <w:p>
      <w:pPr>
        <w:pageBreakBefore w:val="0"/>
        <w:kinsoku/>
        <w:wordWrap/>
        <w:overflowPunct/>
        <w:topLinePunct w:val="0"/>
        <w:autoSpaceDE/>
        <w:autoSpaceDN/>
        <w:bidi w:val="0"/>
        <w:spacing w:line="560" w:lineRule="atLeast"/>
        <w:ind w:firstLine="641"/>
        <w:rPr>
          <w:rFonts w:hint="eastAsia" w:ascii="仿宋_GB2312" w:hAnsi="楷体_GB2312" w:eastAsia="仿宋_GB2312" w:cs="楷体_GB2312"/>
          <w:b/>
          <w:bCs/>
          <w:sz w:val="32"/>
          <w:szCs w:val="32"/>
        </w:rPr>
      </w:pPr>
      <w:r>
        <w:rPr>
          <w:rFonts w:hint="eastAsia" w:ascii="仿宋_GB2312" w:hAnsi="楷体_GB2312" w:eastAsia="仿宋_GB2312" w:cs="楷体_GB2312"/>
          <w:b/>
          <w:bCs/>
          <w:sz w:val="32"/>
          <w:szCs w:val="32"/>
        </w:rPr>
        <w:t>3、绩效评价对象</w:t>
      </w:r>
    </w:p>
    <w:p>
      <w:pPr>
        <w:pStyle w:val="2"/>
        <w:pageBreakBefore w:val="0"/>
        <w:kinsoku/>
        <w:wordWrap/>
        <w:overflowPunct/>
        <w:topLinePunct w:val="0"/>
        <w:autoSpaceDE/>
        <w:autoSpaceDN/>
        <w:bidi w:val="0"/>
        <w:spacing w:before="0" w:after="0" w:line="560" w:lineRule="atLeast"/>
        <w:ind w:firstLine="640" w:firstLineChars="200"/>
        <w:jc w:val="both"/>
        <w:outlineLvl w:val="9"/>
        <w:rPr>
          <w:b w:val="0"/>
        </w:rPr>
      </w:pPr>
      <w:r>
        <w:rPr>
          <w:rFonts w:hint="eastAsia" w:ascii="仿宋_GB2312" w:hAnsi="仿宋_GB2312" w:eastAsia="仿宋_GB2312" w:cs="仿宋_GB2312"/>
          <w:b w:val="0"/>
        </w:rPr>
        <w:t>评价对象为塔城地区中级人民法院审判法庭项目，评价核心为专项资金的支出完成情况和效果。</w:t>
      </w:r>
    </w:p>
    <w:p>
      <w:pPr>
        <w:pageBreakBefore w:val="0"/>
        <w:kinsoku/>
        <w:wordWrap/>
        <w:overflowPunct/>
        <w:topLinePunct w:val="0"/>
        <w:autoSpaceDE/>
        <w:autoSpaceDN/>
        <w:bidi w:val="0"/>
        <w:spacing w:line="560" w:lineRule="atLeast"/>
        <w:ind w:firstLine="641"/>
        <w:outlineLvl w:val="1"/>
        <w:rPr>
          <w:rFonts w:ascii="仿宋_GB2312"/>
        </w:rPr>
      </w:pPr>
      <w:bookmarkStart w:id="19" w:name="_Toc68537186"/>
      <w:r>
        <w:rPr>
          <w:rFonts w:hint="eastAsia" w:ascii="楷体_GB2312" w:hAnsi="楷体_GB2312" w:eastAsia="楷体_GB2312" w:cs="楷体_GB2312"/>
          <w:b/>
          <w:bCs/>
          <w:sz w:val="32"/>
          <w:szCs w:val="32"/>
        </w:rPr>
        <w:t>（二）绩效评价原则、评价指标体系、评价方法、评价标准。</w:t>
      </w:r>
      <w:bookmarkEnd w:id="19"/>
    </w:p>
    <w:p>
      <w:pPr>
        <w:pStyle w:val="2"/>
        <w:pageBreakBefore w:val="0"/>
        <w:widowControl w:val="0"/>
        <w:kinsoku/>
        <w:wordWrap/>
        <w:overflowPunct/>
        <w:topLinePunct w:val="0"/>
        <w:autoSpaceDE/>
        <w:autoSpaceDN/>
        <w:bidi w:val="0"/>
        <w:spacing w:before="0" w:after="0" w:line="560" w:lineRule="atLeast"/>
        <w:ind w:firstLine="641"/>
        <w:jc w:val="both"/>
        <w:outlineLvl w:val="2"/>
        <w:rPr>
          <w:rFonts w:ascii="仿宋_GB2312" w:hAnsi="仿宋_GB2312" w:eastAsia="仿宋_GB2312" w:cs="仿宋_GB2312"/>
          <w:bCs w:val="0"/>
        </w:rPr>
      </w:pPr>
      <w:bookmarkStart w:id="20" w:name="_Toc68537187"/>
      <w:r>
        <w:rPr>
          <w:rFonts w:hint="eastAsia" w:ascii="仿宋_GB2312" w:hAnsi="仿宋_GB2312" w:eastAsia="仿宋_GB2312" w:cs="仿宋_GB2312"/>
          <w:bCs w:val="0"/>
        </w:rPr>
        <w:t>1、绩效评价原则</w:t>
      </w:r>
      <w:bookmarkEnd w:id="20"/>
    </w:p>
    <w:p>
      <w:pPr>
        <w:pageBreakBefore w:val="0"/>
        <w:kinsoku/>
        <w:wordWrap/>
        <w:overflowPunct/>
        <w:topLinePunct w:val="0"/>
        <w:autoSpaceDE/>
        <w:autoSpaceDN/>
        <w:bidi w:val="0"/>
        <w:spacing w:line="560" w:lineRule="atLeas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（4）公开透明。绩效评价结果应依法依规公开，并自觉接受社会监督。</w:t>
      </w:r>
    </w:p>
    <w:p>
      <w:pPr>
        <w:pStyle w:val="2"/>
        <w:pageBreakBefore w:val="0"/>
        <w:widowControl w:val="0"/>
        <w:kinsoku/>
        <w:wordWrap/>
        <w:overflowPunct/>
        <w:topLinePunct w:val="0"/>
        <w:autoSpaceDE/>
        <w:autoSpaceDN/>
        <w:bidi w:val="0"/>
        <w:spacing w:before="0" w:after="0" w:line="560" w:lineRule="atLeast"/>
        <w:ind w:firstLine="641"/>
        <w:jc w:val="both"/>
        <w:outlineLvl w:val="2"/>
        <w:rPr>
          <w:rFonts w:ascii="仿宋_GB2312" w:hAnsi="仿宋_GB2312" w:eastAsia="仿宋_GB2312" w:cs="仿宋_GB2312"/>
          <w:bCs w:val="0"/>
        </w:rPr>
      </w:pPr>
      <w:bookmarkStart w:id="21" w:name="_Toc68537188"/>
      <w:r>
        <w:rPr>
          <w:rFonts w:hint="eastAsia" w:ascii="仿宋_GB2312" w:hAnsi="仿宋_GB2312" w:eastAsia="仿宋_GB2312" w:cs="仿宋_GB2312"/>
          <w:bCs w:val="0"/>
        </w:rPr>
        <w:t>2、评价指标体系</w:t>
      </w:r>
      <w:bookmarkEnd w:id="21"/>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评价指标体系主要分为共性指标和个性指标两大类。共性指标下设项目决策与项目过程2个一级指标，其中：项目决策下设绩效目标、项目立项、资金投入3个二级指标；项目过程下设资金管理、组织实施2个二级指标。个性指标下设项目产出和项目效益2个一级指标，其中项目产出下设产出数量、产出质量、产出时效、产出成本4个二级指标，项目效益下设实施效益和满意度2个二级指标。</w:t>
      </w:r>
    </w:p>
    <w:p>
      <w:pPr>
        <w:pageBreakBefore w:val="0"/>
        <w:kinsoku/>
        <w:wordWrap/>
        <w:overflowPunct/>
        <w:topLinePunct w:val="0"/>
        <w:autoSpaceDE/>
        <w:autoSpaceDN/>
        <w:bidi w:val="0"/>
        <w:spacing w:line="560" w:lineRule="atLeast"/>
        <w:rPr>
          <w:rFonts w:ascii="仿宋_GB2312" w:eastAsia="仿宋_GB2312"/>
          <w:color w:val="000000" w:themeColor="text1"/>
          <w:sz w:val="32"/>
          <w:szCs w:val="32"/>
        </w:rPr>
      </w:pPr>
      <w:r>
        <w:rPr>
          <w:rFonts w:hint="eastAsia" w:ascii="仿宋_GB2312" w:eastAsia="仿宋_GB2312"/>
          <w:color w:val="000000" w:themeColor="text1"/>
          <w:sz w:val="32"/>
          <w:szCs w:val="32"/>
        </w:rPr>
        <w:t>项目绩效评价指标体系详见下表：</w:t>
      </w:r>
    </w:p>
    <w:tbl>
      <w:tblPr>
        <w:tblStyle w:val="21"/>
        <w:tblpPr w:leftFromText="180" w:rightFromText="180" w:vertAnchor="text" w:horzAnchor="margin" w:tblpY="432"/>
        <w:tblOverlap w:val="never"/>
        <w:tblW w:w="4833"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159"/>
        <w:gridCol w:w="796"/>
        <w:gridCol w:w="1111"/>
        <w:gridCol w:w="3990"/>
        <w:gridCol w:w="141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9" w:hRule="atLeast"/>
          <w:tblHeader/>
        </w:trPr>
        <w:tc>
          <w:tcPr>
            <w:tcW w:w="684" w:type="pct"/>
            <w:shd w:val="clear" w:color="auto" w:fill="BFBFBF"/>
            <w:vAlign w:val="center"/>
          </w:tcPr>
          <w:p>
            <w:pPr>
              <w:pageBreakBefore w:val="0"/>
              <w:widowControl/>
              <w:kinsoku/>
              <w:wordWrap/>
              <w:overflowPunct/>
              <w:topLinePunct w:val="0"/>
              <w:autoSpaceDE/>
              <w:autoSpaceDN/>
              <w:bidi w:val="0"/>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470" w:type="pct"/>
            <w:shd w:val="clear" w:color="auto" w:fill="BFBFBF"/>
            <w:vAlign w:val="center"/>
          </w:tcPr>
          <w:p>
            <w:pPr>
              <w:pageBreakBefore w:val="0"/>
              <w:widowControl/>
              <w:kinsoku/>
              <w:wordWrap/>
              <w:overflowPunct/>
              <w:topLinePunct w:val="0"/>
              <w:autoSpaceDE/>
              <w:autoSpaceDN/>
              <w:bidi w:val="0"/>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656" w:type="pct"/>
            <w:shd w:val="clear" w:color="auto" w:fill="BFBFBF"/>
            <w:vAlign w:val="center"/>
          </w:tcPr>
          <w:p>
            <w:pPr>
              <w:pageBreakBefore w:val="0"/>
              <w:widowControl/>
              <w:kinsoku/>
              <w:wordWrap/>
              <w:overflowPunct/>
              <w:topLinePunct w:val="0"/>
              <w:autoSpaceDE/>
              <w:autoSpaceDN/>
              <w:bidi w:val="0"/>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2355" w:type="pct"/>
            <w:shd w:val="clear" w:color="auto" w:fill="BFBFBF"/>
            <w:vAlign w:val="center"/>
          </w:tcPr>
          <w:p>
            <w:pPr>
              <w:pageBreakBefore w:val="0"/>
              <w:widowControl/>
              <w:kinsoku/>
              <w:wordWrap/>
              <w:overflowPunct/>
              <w:topLinePunct w:val="0"/>
              <w:autoSpaceDE/>
              <w:autoSpaceDN/>
              <w:bidi w:val="0"/>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835" w:type="pct"/>
            <w:shd w:val="clear" w:color="auto" w:fill="BFBFBF"/>
            <w:vAlign w:val="center"/>
          </w:tcPr>
          <w:p>
            <w:pPr>
              <w:pageBreakBefore w:val="0"/>
              <w:widowControl/>
              <w:tabs>
                <w:tab w:val="left" w:pos="1333"/>
                <w:tab w:val="center" w:pos="3623"/>
              </w:tabs>
              <w:kinsoku/>
              <w:wordWrap/>
              <w:overflowPunct/>
              <w:topLinePunct w:val="0"/>
              <w:autoSpaceDE/>
              <w:autoSpaceDN/>
              <w:bidi w:val="0"/>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6" w:hRule="atLeast"/>
        </w:trPr>
        <w:tc>
          <w:tcPr>
            <w:tcW w:w="684"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　</w:t>
            </w:r>
          </w:p>
        </w:tc>
        <w:tc>
          <w:tcPr>
            <w:tcW w:w="470"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kern w:val="0"/>
                <w:sz w:val="22"/>
                <w:szCs w:val="22"/>
              </w:rPr>
              <w:t>5分</w:t>
            </w: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绩效目标合理性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绩效指标明确性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restart"/>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　</w:t>
            </w:r>
          </w:p>
        </w:tc>
        <w:tc>
          <w:tcPr>
            <w:tcW w:w="470"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kern w:val="0"/>
                <w:sz w:val="22"/>
                <w:szCs w:val="22"/>
              </w:rPr>
              <w:t>5分</w:t>
            </w: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资金管理</w:t>
            </w:r>
          </w:p>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资金使用合规性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管理制度健全性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制度执行有效性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产出</w:t>
            </w:r>
          </w:p>
        </w:tc>
        <w:tc>
          <w:tcPr>
            <w:tcW w:w="470"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kern w:val="0"/>
                <w:sz w:val="22"/>
                <w:szCs w:val="22"/>
              </w:rPr>
              <w:t>50分</w:t>
            </w:r>
          </w:p>
        </w:tc>
        <w:tc>
          <w:tcPr>
            <w:tcW w:w="656"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cs="宋体" w:asciiTheme="minorEastAsia" w:hAnsiTheme="minorEastAsia" w:eastAsiaTheme="minorEastAsia"/>
                <w:color w:val="000000"/>
                <w:kern w:val="0"/>
                <w:sz w:val="22"/>
                <w:szCs w:val="22"/>
              </w:rPr>
            </w:pPr>
            <w:r>
              <w:rPr>
                <w:rFonts w:hint="eastAsia" w:cs="宋体" w:asciiTheme="minorEastAsia" w:hAnsiTheme="minorEastAsia" w:eastAsiaTheme="minorEastAsia"/>
                <w:color w:val="000000"/>
                <w:kern w:val="0"/>
                <w:sz w:val="22"/>
                <w:szCs w:val="22"/>
              </w:rPr>
              <w:t>实际完成率(</w:t>
            </w:r>
            <w:r>
              <w:rPr>
                <w:rFonts w:hint="eastAsia" w:cs="方正仿宋_GBK" w:asciiTheme="minorEastAsia" w:hAnsiTheme="minorEastAsia" w:eastAsiaTheme="minorEastAsia"/>
                <w:color w:val="000000"/>
                <w:kern w:val="0"/>
                <w:szCs w:val="21"/>
              </w:rPr>
              <w:t>建筑面积</w:t>
            </w:r>
            <w:r>
              <w:rPr>
                <w:rFonts w:hint="eastAsia" w:asciiTheme="minorEastAsia" w:hAnsiTheme="minorEastAsia" w:eastAsiaTheme="minorEastAsia"/>
                <w:sz w:val="24"/>
                <w:szCs w:val="32"/>
              </w:rPr>
              <w:t>16996.06</w:t>
            </w:r>
            <w:r>
              <w:rPr>
                <w:rFonts w:hint="eastAsia" w:cs="方正仿宋_GBK" w:asciiTheme="minorEastAsia" w:hAnsiTheme="minorEastAsia" w:eastAsiaTheme="minorEastAsia"/>
                <w:color w:val="000000"/>
                <w:kern w:val="0"/>
                <w:szCs w:val="21"/>
              </w:rPr>
              <w:t>平米</w:t>
            </w:r>
            <w:r>
              <w:rPr>
                <w:rFonts w:hint="eastAsia" w:cs="宋体" w:asciiTheme="minorEastAsia" w:hAnsiTheme="minorEastAsia" w:eastAsiaTheme="minorEastAsia"/>
                <w:color w:val="000000"/>
                <w:kern w:val="0"/>
                <w:sz w:val="22"/>
                <w:szCs w:val="22"/>
              </w:rPr>
              <w:t>)</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p>
        </w:tc>
        <w:tc>
          <w:tcPr>
            <w:tcW w:w="656" w:type="pct"/>
            <w:shd w:val="clear" w:color="auto" w:fill="FFFFFF"/>
            <w:vAlign w:val="center"/>
          </w:tcPr>
          <w:p>
            <w:pPr>
              <w:pageBreakBefore w:val="0"/>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4"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84"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效益　</w:t>
            </w:r>
          </w:p>
        </w:tc>
        <w:tc>
          <w:tcPr>
            <w:tcW w:w="470"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40分</w:t>
            </w:r>
          </w:p>
        </w:tc>
        <w:tc>
          <w:tcPr>
            <w:tcW w:w="656" w:type="pct"/>
            <w:vMerge w:val="restar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实施效益（</w:t>
            </w:r>
            <w:r>
              <w:rPr>
                <w:rFonts w:hint="eastAsia" w:ascii="方正仿宋_GBK" w:hAnsi="方正仿宋_GBK" w:eastAsia="方正仿宋_GBK" w:cs="方正仿宋_GBK"/>
                <w:color w:val="000000"/>
                <w:kern w:val="0"/>
                <w:szCs w:val="21"/>
              </w:rPr>
              <w:t>解决办公用房人数</w:t>
            </w:r>
            <w:r>
              <w:rPr>
                <w:rFonts w:hint="eastAsia" w:ascii="宋体" w:hAnsi="宋体" w:cs="宋体"/>
                <w:color w:val="000000"/>
                <w:kern w:val="0"/>
                <w:sz w:val="22"/>
                <w:szCs w:val="22"/>
              </w:rPr>
              <w:t>）</w:t>
            </w:r>
          </w:p>
        </w:tc>
        <w:tc>
          <w:tcPr>
            <w:tcW w:w="83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6" w:hRule="atLeast"/>
        </w:trPr>
        <w:tc>
          <w:tcPr>
            <w:tcW w:w="684"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470"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656" w:type="pct"/>
            <w:vMerge w:val="continue"/>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p>
        </w:tc>
        <w:tc>
          <w:tcPr>
            <w:tcW w:w="2355" w:type="pct"/>
            <w:shd w:val="clear" w:color="auto"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满意度（干警及人民群众满意度）</w:t>
            </w:r>
          </w:p>
        </w:tc>
        <w:tc>
          <w:tcPr>
            <w:tcW w:w="835" w:type="pct"/>
            <w:shd w:val="clear" w:color="000000" w:fill="FFFFFF"/>
            <w:vAlign w:val="center"/>
          </w:tcPr>
          <w:p>
            <w:pPr>
              <w:pageBreakBefore w:val="0"/>
              <w:widowControl/>
              <w:kinsoku/>
              <w:wordWrap/>
              <w:overflowPunct/>
              <w:topLinePunct w:val="0"/>
              <w:autoSpaceDE/>
              <w:autoSpaceDN/>
              <w:bidi w:val="0"/>
              <w:spacing w:line="56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bl>
    <w:p>
      <w:pPr>
        <w:pStyle w:val="2"/>
        <w:pageBreakBefore w:val="0"/>
        <w:widowControl w:val="0"/>
        <w:kinsoku/>
        <w:wordWrap/>
        <w:overflowPunct/>
        <w:topLinePunct w:val="0"/>
        <w:autoSpaceDE/>
        <w:autoSpaceDN/>
        <w:bidi w:val="0"/>
        <w:spacing w:before="0" w:after="0" w:line="560" w:lineRule="atLeast"/>
        <w:ind w:firstLine="643" w:firstLineChars="200"/>
        <w:jc w:val="both"/>
        <w:outlineLvl w:val="9"/>
        <w:rPr>
          <w:rFonts w:ascii="仿宋_GB2312" w:hAnsi="仿宋_GB2312" w:eastAsia="仿宋_GB2312" w:cs="仿宋_GB2312"/>
          <w:bCs w:val="0"/>
        </w:rPr>
      </w:pPr>
      <w:bookmarkStart w:id="22" w:name="_Toc68537189"/>
      <w:r>
        <w:rPr>
          <w:rFonts w:hint="eastAsia" w:ascii="仿宋_GB2312" w:hAnsi="仿宋_GB2312" w:eastAsia="仿宋_GB2312" w:cs="仿宋_GB2312"/>
          <w:bCs w:val="0"/>
        </w:rPr>
        <w:t>3、绩效评价方法</w:t>
      </w:r>
      <w:bookmarkEnd w:id="22"/>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spacing w:line="560" w:lineRule="atLeas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（1）比较法</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spacing w:line="560" w:lineRule="atLeast"/>
        <w:ind w:firstLine="643" w:firstLineChars="200"/>
        <w:rPr>
          <w:rFonts w:ascii="仿宋_GB2312" w:hAnsi="仿宋_GB2312" w:eastAsia="仿宋_GB2312" w:cs="仿宋_GB2312"/>
          <w:b/>
          <w:color w:val="000000" w:themeColor="text1"/>
          <w:sz w:val="32"/>
          <w:szCs w:val="32"/>
        </w:rPr>
      </w:pPr>
      <w:r>
        <w:rPr>
          <w:rFonts w:hint="eastAsia" w:ascii="仿宋_GB2312" w:hAnsi="仿宋_GB2312" w:eastAsia="仿宋_GB2312" w:cs="仿宋_GB2312"/>
          <w:b/>
          <w:color w:val="000000" w:themeColor="text1"/>
          <w:sz w:val="32"/>
          <w:szCs w:val="32"/>
        </w:rPr>
        <w:t>（2）因素分析法</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spacing w:before="0" w:after="0" w:line="560" w:lineRule="atLeast"/>
        <w:ind w:firstLine="643" w:firstLineChars="200"/>
        <w:jc w:val="both"/>
        <w:outlineLvl w:val="9"/>
        <w:rPr>
          <w:rFonts w:ascii="仿宋_GB2312" w:hAnsi="仿宋_GB2312" w:eastAsia="仿宋_GB2312" w:cs="仿宋_GB2312"/>
          <w:bCs w:val="0"/>
          <w:color w:val="000000" w:themeColor="text1"/>
        </w:rPr>
      </w:pPr>
      <w:r>
        <w:rPr>
          <w:rFonts w:hint="eastAsia" w:ascii="仿宋_GB2312" w:hAnsi="仿宋_GB2312" w:eastAsia="仿宋_GB2312" w:cs="仿宋_GB2312"/>
          <w:bCs w:val="0"/>
          <w:color w:val="000000" w:themeColor="text1"/>
        </w:rPr>
        <w:t>4、评价标准</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color w:val="000000" w:themeColor="text1"/>
          <w:sz w:val="32"/>
          <w:szCs w:val="32"/>
        </w:rPr>
      </w:pPr>
      <w:r>
        <w:rPr>
          <w:rFonts w:ascii="仿宋_GB2312" w:hAnsi="仿宋_GB2312" w:eastAsia="仿宋_GB2312" w:cs="仿宋_GB2312"/>
          <w:color w:val="000000" w:themeColor="text1"/>
          <w:sz w:val="32"/>
          <w:szCs w:val="32"/>
        </w:rPr>
        <w:t>绩效评价标准通常包括计划标准、行业标准、历史标准等，用于对绩效指标完成情况进行比较。本次评价主要采用了计划标准和行业标准。</w:t>
      </w:r>
    </w:p>
    <w:p>
      <w:pPr>
        <w:pStyle w:val="2"/>
        <w:pageBreakBefore w:val="0"/>
        <w:kinsoku/>
        <w:wordWrap/>
        <w:overflowPunct/>
        <w:topLinePunct w:val="0"/>
        <w:autoSpaceDE/>
        <w:autoSpaceDN/>
        <w:bidi w:val="0"/>
        <w:spacing w:before="0" w:after="0" w:line="560" w:lineRule="atLeast"/>
        <w:ind w:firstLine="643" w:firstLineChars="200"/>
        <w:jc w:val="both"/>
        <w:outlineLvl w:val="9"/>
        <w:rPr>
          <w:rFonts w:hint="eastAsia" w:ascii="楷体_GB2312" w:hAnsi="仿宋_GB2312" w:eastAsia="楷体_GB2312" w:cs="仿宋_GB2312"/>
          <w:color w:val="000000"/>
        </w:rPr>
      </w:pPr>
      <w:r>
        <w:rPr>
          <w:rFonts w:hint="eastAsia" w:ascii="楷体_GB2312" w:hAnsi="仿宋_GB2312" w:eastAsia="楷体_GB2312" w:cs="仿宋_GB2312"/>
          <w:color w:val="000000"/>
        </w:rPr>
        <w:t>（三）绩效评价工作过程</w:t>
      </w:r>
    </w:p>
    <w:p>
      <w:pPr>
        <w:pageBreakBefore w:val="0"/>
        <w:kinsoku/>
        <w:wordWrap/>
        <w:overflowPunct/>
        <w:topLinePunct w:val="0"/>
        <w:autoSpaceDE/>
        <w:autoSpaceDN/>
        <w:bidi w:val="0"/>
        <w:spacing w:line="560" w:lineRule="atLeas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1、前期准备</w:t>
      </w:r>
      <w:r>
        <w:rPr>
          <w:rFonts w:hint="eastAsia" w:ascii="仿宋_GB2312" w:hAnsi="仿宋_GB2312" w:eastAsia="仿宋_GB2312" w:cs="仿宋_GB2312"/>
          <w:color w:val="000000"/>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spacing w:line="560" w:lineRule="atLeast"/>
        <w:ind w:firstLine="643" w:firstLineChars="200"/>
        <w:rPr>
          <w:rFonts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2、组织实施。</w:t>
      </w:r>
      <w:r>
        <w:rPr>
          <w:rFonts w:hint="eastAsia" w:ascii="仿宋_GB2312" w:hAnsi="仿宋_GB2312" w:eastAsia="仿宋_GB2312" w:cs="仿宋_GB2312"/>
          <w:color w:val="000000"/>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spacing w:line="560" w:lineRule="atLeast"/>
        <w:ind w:firstLine="643" w:firstLineChars="200"/>
      </w:pPr>
      <w:r>
        <w:rPr>
          <w:rFonts w:hint="eastAsia" w:ascii="仿宋_GB2312" w:hAnsi="仿宋_GB2312" w:eastAsia="仿宋_GB2312" w:cs="仿宋_GB2312"/>
          <w:b/>
          <w:color w:val="000000"/>
          <w:sz w:val="32"/>
          <w:szCs w:val="32"/>
        </w:rPr>
        <w:t>3、分析评价。</w:t>
      </w:r>
      <w:r>
        <w:rPr>
          <w:rFonts w:hint="eastAsia" w:ascii="仿宋_GB2312" w:hAnsi="仿宋_GB2312" w:eastAsia="仿宋_GB2312" w:cs="仿宋_GB2312"/>
          <w:color w:val="000000"/>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3"/>
        </w:numPr>
        <w:kinsoku/>
        <w:wordWrap/>
        <w:overflowPunct/>
        <w:topLinePunct w:val="0"/>
        <w:autoSpaceDE/>
        <w:autoSpaceDN/>
        <w:bidi w:val="0"/>
        <w:spacing w:line="560" w:lineRule="atLeast"/>
        <w:ind w:firstLine="641"/>
        <w:outlineLvl w:val="0"/>
        <w:rPr>
          <w:rFonts w:ascii="黑体" w:hAnsi="黑体" w:eastAsia="黑体" w:cs="黑体"/>
          <w:sz w:val="32"/>
          <w:szCs w:val="32"/>
        </w:rPr>
      </w:pPr>
      <w:bookmarkStart w:id="23" w:name="_Toc68537190"/>
      <w:r>
        <w:rPr>
          <w:rFonts w:hint="eastAsia" w:ascii="黑体" w:hAnsi="黑体" w:eastAsia="黑体" w:cs="黑体"/>
          <w:sz w:val="32"/>
          <w:szCs w:val="32"/>
        </w:rPr>
        <w:t>综合评价情况及评价结论</w:t>
      </w:r>
      <w:bookmarkEnd w:id="23"/>
    </w:p>
    <w:p>
      <w:pPr>
        <w:pageBreakBefore w:val="0"/>
        <w:pBdr>
          <w:bottom w:val="single" w:color="FFFFFF" w:sz="4" w:space="31"/>
        </w:pBdr>
        <w:tabs>
          <w:tab w:val="left" w:pos="1440"/>
        </w:tabs>
        <w:kinsoku/>
        <w:wordWrap/>
        <w:overflowPunct/>
        <w:topLinePunct w:val="0"/>
        <w:autoSpaceDE/>
        <w:autoSpaceDN/>
        <w:bidi w:val="0"/>
        <w:adjustRightInd w:val="0"/>
        <w:snapToGrid w:val="0"/>
        <w:spacing w:line="560" w:lineRule="atLeast"/>
        <w:ind w:firstLine="640" w:firstLineChars="200"/>
        <w:rPr>
          <w:rFonts w:ascii="仿宋_GB2312" w:hAnsi="仿宋" w:eastAsia="仿宋_GB2312"/>
          <w:sz w:val="32"/>
          <w:szCs w:val="32"/>
        </w:rPr>
      </w:pPr>
      <w:r>
        <w:rPr>
          <w:rFonts w:hint="eastAsia" w:ascii="仿宋_GB2312" w:hAnsi="仿宋" w:eastAsia="仿宋_GB2312"/>
          <w:sz w:val="32"/>
          <w:szCs w:val="32"/>
        </w:rPr>
        <w:t>新建审判大楼项目从2016年开始，从项目的完成情况看，项目工作能安照实施方案的各节点完成，项目资金预算执行率100%，从项目的效果看，新建审判大楼于2020年底还未投入使用，现处于竣工验收阶段。</w:t>
      </w:r>
    </w:p>
    <w:p>
      <w:pPr>
        <w:pageBreakBefore w:val="0"/>
        <w:pBdr>
          <w:bottom w:val="single" w:color="FFFFFF" w:sz="4" w:space="31"/>
        </w:pBdr>
        <w:tabs>
          <w:tab w:val="left" w:pos="1440"/>
        </w:tabs>
        <w:kinsoku/>
        <w:wordWrap/>
        <w:overflowPunct/>
        <w:topLinePunct w:val="0"/>
        <w:autoSpaceDE/>
        <w:autoSpaceDN/>
        <w:bidi w:val="0"/>
        <w:adjustRightInd w:val="0"/>
        <w:snapToGrid w:val="0"/>
        <w:spacing w:line="560" w:lineRule="atLeast"/>
        <w:ind w:firstLine="640" w:firstLineChars="200"/>
        <w:rPr>
          <w:rFonts w:ascii="仿宋_GB2312" w:hAnsi="仿宋" w:eastAsia="仿宋_GB2312"/>
          <w:sz w:val="32"/>
          <w:szCs w:val="32"/>
        </w:rPr>
      </w:pPr>
      <w:r>
        <w:rPr>
          <w:rFonts w:hint="eastAsia" w:ascii="仿宋_GB2312" w:hAnsi="仿宋" w:eastAsia="仿宋_GB2312"/>
          <w:sz w:val="32"/>
          <w:szCs w:val="32"/>
        </w:rPr>
        <w:t>运用由项目组制定评价指标体系及评分标准，通过材料采集，对此项目进行客观评价，最终评分结果为93分，属于“优秀”。</w:t>
      </w:r>
      <w:r>
        <w:rPr>
          <w:rFonts w:hint="eastAsia" w:ascii="仿宋_GB2312" w:hAnsi="仿宋_GB2312" w:eastAsia="仿宋_GB2312" w:cs="仿宋_GB2312"/>
          <w:sz w:val="32"/>
          <w:szCs w:val="32"/>
        </w:rPr>
        <w:t>其中：决策类指标权重为5分，得分为5分，得分率为100%；项目管理类指标权重为5分，得分为5分，得分率为90%；项目产出类指标权重为50分，得分为46分，得分率为92%；项目效益类指标权重为40分，得分为37分，得分率为92.5%。</w:t>
      </w:r>
      <w:r>
        <w:rPr>
          <w:rFonts w:hint="eastAsia" w:ascii="仿宋_GB2312" w:hAnsi="仿宋" w:eastAsia="仿宋_GB2312"/>
          <w:sz w:val="32"/>
          <w:szCs w:val="32"/>
        </w:rPr>
        <w:t>具体打分情况详见综合评分表：</w:t>
      </w:r>
    </w:p>
    <w:tbl>
      <w:tblPr>
        <w:tblStyle w:val="2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一级指标</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权重</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得分率</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决策</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5</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100%</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过程</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5</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100%</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产出</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50</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92%</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效益</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40</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92.5%</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合计</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100</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93%</w:t>
            </w:r>
          </w:p>
        </w:tc>
        <w:tc>
          <w:tcPr>
            <w:tcW w:w="2265" w:type="dxa"/>
          </w:tcPr>
          <w:p>
            <w:pPr>
              <w:pageBreakBefore w:val="0"/>
              <w:tabs>
                <w:tab w:val="left" w:pos="1440"/>
              </w:tabs>
              <w:kinsoku/>
              <w:wordWrap/>
              <w:overflowPunct/>
              <w:topLinePunct w:val="0"/>
              <w:autoSpaceDE/>
              <w:autoSpaceDN/>
              <w:bidi w:val="0"/>
              <w:adjustRightInd w:val="0"/>
              <w:snapToGrid w:val="0"/>
              <w:spacing w:line="560" w:lineRule="atLeast"/>
              <w:jc w:val="center"/>
              <w:rPr>
                <w:rFonts w:ascii="仿宋" w:hAnsi="仿宋" w:eastAsia="仿宋"/>
                <w:sz w:val="32"/>
                <w:szCs w:val="32"/>
              </w:rPr>
            </w:pPr>
            <w:r>
              <w:rPr>
                <w:rFonts w:hint="eastAsia" w:ascii="仿宋" w:hAnsi="仿宋" w:eastAsia="仿宋"/>
                <w:sz w:val="32"/>
                <w:szCs w:val="32"/>
              </w:rPr>
              <w:t>93</w:t>
            </w:r>
          </w:p>
        </w:tc>
      </w:tr>
    </w:tbl>
    <w:p>
      <w:pPr>
        <w:pageBreakBefore w:val="0"/>
        <w:kinsoku/>
        <w:wordWrap/>
        <w:overflowPunct/>
        <w:topLinePunct w:val="0"/>
        <w:autoSpaceDE/>
        <w:autoSpaceDN/>
        <w:bidi w:val="0"/>
        <w:spacing w:line="560" w:lineRule="atLeast"/>
        <w:ind w:firstLine="640" w:firstLineChars="200"/>
        <w:rPr>
          <w:rFonts w:ascii="黑体" w:hAnsi="黑体" w:eastAsia="黑体"/>
          <w:sz w:val="32"/>
          <w:szCs w:val="32"/>
        </w:rPr>
      </w:pPr>
      <w:bookmarkStart w:id="24" w:name="_Toc68537191"/>
      <w:r>
        <w:rPr>
          <w:rFonts w:hint="eastAsia" w:ascii="黑体" w:hAnsi="黑体" w:eastAsia="黑体"/>
          <w:sz w:val="32"/>
          <w:szCs w:val="32"/>
        </w:rPr>
        <w:t>四、绩效评价指标分析</w:t>
      </w:r>
      <w:bookmarkEnd w:id="24"/>
    </w:p>
    <w:p>
      <w:pPr>
        <w:pStyle w:val="2"/>
        <w:pageBreakBefore w:val="0"/>
        <w:kinsoku/>
        <w:wordWrap/>
        <w:overflowPunct/>
        <w:topLinePunct w:val="0"/>
        <w:autoSpaceDE/>
        <w:autoSpaceDN/>
        <w:bidi w:val="0"/>
        <w:spacing w:before="0" w:after="0" w:line="560" w:lineRule="atLeast"/>
        <w:ind w:firstLine="643" w:firstLineChars="200"/>
        <w:jc w:val="both"/>
        <w:outlineLvl w:val="9"/>
        <w:rPr>
          <w:rFonts w:ascii="楷体_GB2312" w:hAnsi="楷体_GB2312" w:eastAsia="楷体_GB2312" w:cs="楷体_GB2312"/>
        </w:rPr>
      </w:pPr>
      <w:bookmarkStart w:id="25" w:name="_Toc68537192"/>
      <w:r>
        <w:rPr>
          <w:rFonts w:hint="eastAsia" w:ascii="楷体_GB2312" w:hAnsi="楷体_GB2312" w:eastAsia="楷体_GB2312" w:cs="楷体_GB2312"/>
        </w:rPr>
        <w:t>（一）项目决策情况</w:t>
      </w:r>
      <w:bookmarkEnd w:id="25"/>
    </w:p>
    <w:p>
      <w:pPr>
        <w:pageBreakBefore w:val="0"/>
        <w:kinsoku/>
        <w:wordWrap/>
        <w:overflowPunct/>
        <w:topLinePunct w:val="0"/>
        <w:autoSpaceDE/>
        <w:autoSpaceDN/>
        <w:bidi w:val="0"/>
        <w:spacing w:line="560" w:lineRule="atLeast"/>
        <w:ind w:firstLine="640" w:firstLineChars="200"/>
        <w:rPr>
          <w:rFonts w:ascii="仿宋_GB2312" w:hAnsi="仿宋" w:eastAsia="仿宋_GB2312" w:cs="宋体"/>
          <w:color w:val="000000" w:themeColor="text1"/>
          <w:sz w:val="32"/>
          <w:szCs w:val="32"/>
        </w:rPr>
      </w:pPr>
      <w:r>
        <w:rPr>
          <w:rFonts w:hint="eastAsia" w:ascii="仿宋_GB2312" w:hAnsi="仿宋" w:eastAsia="仿宋_GB2312" w:cs="宋体"/>
          <w:color w:val="000000" w:themeColor="text1"/>
          <w:sz w:val="32"/>
          <w:szCs w:val="32"/>
        </w:rPr>
        <w:t>项目决策指标从目标内容、决策依据、决策程序</w:t>
      </w:r>
      <w:r>
        <w:rPr>
          <w:rFonts w:hint="eastAsia" w:ascii="仿宋_GB2312" w:eastAsia="仿宋_GB2312"/>
          <w:color w:val="000000" w:themeColor="text1"/>
          <w:sz w:val="32"/>
          <w:szCs w:val="32"/>
        </w:rPr>
        <w:t>3个方面对项目的立项决策目标完成情况进行考察，项目决策类指标分值5分，实际得分5分，得分率100%。项目决策指标得分</w:t>
      </w:r>
      <w:r>
        <w:rPr>
          <w:rFonts w:hint="eastAsia" w:ascii="仿宋_GB2312" w:hAnsi="仿宋" w:eastAsia="仿宋_GB2312" w:cs="宋体"/>
          <w:color w:val="000000" w:themeColor="text1"/>
          <w:sz w:val="32"/>
          <w:szCs w:val="32"/>
        </w:rPr>
        <w:t>情况如表所示。</w:t>
      </w:r>
    </w:p>
    <w:tbl>
      <w:tblPr>
        <w:tblStyle w:val="21"/>
        <w:tblW w:w="5000" w:type="pct"/>
        <w:tblInd w:w="0" w:type="dxa"/>
        <w:tblLayout w:type="autofit"/>
        <w:tblCellMar>
          <w:top w:w="0" w:type="dxa"/>
          <w:left w:w="108" w:type="dxa"/>
          <w:bottom w:w="0" w:type="dxa"/>
          <w:right w:w="108" w:type="dxa"/>
        </w:tblCellMar>
      </w:tblPr>
      <w:tblGrid>
        <w:gridCol w:w="2589"/>
        <w:gridCol w:w="2333"/>
        <w:gridCol w:w="2042"/>
        <w:gridCol w:w="1800"/>
      </w:tblGrid>
      <w:tr>
        <w:tblPrEx>
          <w:tblCellMar>
            <w:top w:w="0" w:type="dxa"/>
            <w:left w:w="108" w:type="dxa"/>
            <w:bottom w:w="0" w:type="dxa"/>
            <w:right w:w="108" w:type="dxa"/>
          </w:tblCellMar>
        </w:tblPrEx>
        <w:trPr>
          <w:trHeight w:val="480" w:hRule="atLeast"/>
        </w:trPr>
        <w:tc>
          <w:tcPr>
            <w:tcW w:w="5000" w:type="pct"/>
            <w:gridSpan w:val="4"/>
            <w:tcBorders>
              <w:top w:val="nil"/>
              <w:left w:val="nil"/>
              <w:bottom w:val="single" w:color="auto" w:sz="8" w:space="0"/>
              <w:right w:val="nil"/>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1477" w:type="pct"/>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二级指标</w:t>
            </w:r>
          </w:p>
        </w:tc>
        <w:tc>
          <w:tcPr>
            <w:tcW w:w="1331"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权重</w:t>
            </w:r>
          </w:p>
        </w:tc>
        <w:tc>
          <w:tcPr>
            <w:tcW w:w="1165"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得分率</w:t>
            </w:r>
          </w:p>
        </w:tc>
        <w:tc>
          <w:tcPr>
            <w:tcW w:w="1027"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实际得分</w:t>
            </w:r>
          </w:p>
        </w:tc>
      </w:tr>
      <w:tr>
        <w:tblPrEx>
          <w:tblCellMar>
            <w:top w:w="0" w:type="dxa"/>
            <w:left w:w="108" w:type="dxa"/>
            <w:bottom w:w="0" w:type="dxa"/>
            <w:right w:w="108" w:type="dxa"/>
          </w:tblCellMar>
        </w:tblPrEx>
        <w:trPr>
          <w:trHeight w:val="655" w:hRule="exact"/>
        </w:trPr>
        <w:tc>
          <w:tcPr>
            <w:tcW w:w="1477" w:type="pct"/>
            <w:tcBorders>
              <w:top w:val="nil"/>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left"/>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项目立项</w:t>
            </w:r>
          </w:p>
        </w:tc>
        <w:tc>
          <w:tcPr>
            <w:tcW w:w="1331"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1</w:t>
            </w:r>
          </w:p>
        </w:tc>
        <w:tc>
          <w:tcPr>
            <w:tcW w:w="1165"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100</w:t>
            </w:r>
            <w:r>
              <w:rPr>
                <w:rFonts w:eastAsia="方正仿宋_GBK"/>
                <w:color w:val="000000" w:themeColor="text1"/>
                <w:kern w:val="0"/>
                <w:sz w:val="24"/>
              </w:rPr>
              <w:t>%</w:t>
            </w:r>
          </w:p>
        </w:tc>
        <w:tc>
          <w:tcPr>
            <w:tcW w:w="1027"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1</w:t>
            </w:r>
          </w:p>
        </w:tc>
      </w:tr>
      <w:tr>
        <w:tblPrEx>
          <w:tblCellMar>
            <w:top w:w="0" w:type="dxa"/>
            <w:left w:w="108" w:type="dxa"/>
            <w:bottom w:w="0" w:type="dxa"/>
            <w:right w:w="108" w:type="dxa"/>
          </w:tblCellMar>
        </w:tblPrEx>
        <w:trPr>
          <w:trHeight w:val="685" w:hRule="exact"/>
        </w:trPr>
        <w:tc>
          <w:tcPr>
            <w:tcW w:w="1477" w:type="pct"/>
            <w:tcBorders>
              <w:top w:val="nil"/>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left"/>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绩效目标</w:t>
            </w:r>
          </w:p>
        </w:tc>
        <w:tc>
          <w:tcPr>
            <w:tcW w:w="1331"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c>
          <w:tcPr>
            <w:tcW w:w="1165"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eastAsia="方正仿宋_GBK"/>
                <w:color w:val="000000" w:themeColor="text1"/>
                <w:kern w:val="0"/>
                <w:sz w:val="24"/>
              </w:rPr>
              <w:t>100%</w:t>
            </w:r>
          </w:p>
        </w:tc>
        <w:tc>
          <w:tcPr>
            <w:tcW w:w="1027"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r>
      <w:tr>
        <w:tblPrEx>
          <w:tblCellMar>
            <w:top w:w="0" w:type="dxa"/>
            <w:left w:w="108" w:type="dxa"/>
            <w:bottom w:w="0" w:type="dxa"/>
            <w:right w:w="108" w:type="dxa"/>
          </w:tblCellMar>
        </w:tblPrEx>
        <w:trPr>
          <w:trHeight w:val="580" w:hRule="exact"/>
        </w:trPr>
        <w:tc>
          <w:tcPr>
            <w:tcW w:w="1477" w:type="pct"/>
            <w:tcBorders>
              <w:top w:val="nil"/>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left"/>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资金投入</w:t>
            </w:r>
          </w:p>
        </w:tc>
        <w:tc>
          <w:tcPr>
            <w:tcW w:w="1331"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c>
          <w:tcPr>
            <w:tcW w:w="1165"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eastAsia="方正仿宋_GBK"/>
                <w:color w:val="000000" w:themeColor="text1"/>
                <w:kern w:val="0"/>
                <w:sz w:val="24"/>
              </w:rPr>
              <w:t>100%</w:t>
            </w:r>
          </w:p>
        </w:tc>
        <w:tc>
          <w:tcPr>
            <w:tcW w:w="1027"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r>
      <w:tr>
        <w:tblPrEx>
          <w:tblCellMar>
            <w:top w:w="0" w:type="dxa"/>
            <w:left w:w="108" w:type="dxa"/>
            <w:bottom w:w="0" w:type="dxa"/>
            <w:right w:w="108" w:type="dxa"/>
          </w:tblCellMar>
        </w:tblPrEx>
        <w:trPr>
          <w:trHeight w:val="510" w:hRule="exact"/>
        </w:trPr>
        <w:tc>
          <w:tcPr>
            <w:tcW w:w="1477" w:type="pct"/>
            <w:tcBorders>
              <w:top w:val="single" w:color="auto" w:sz="8" w:space="0"/>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合  计</w:t>
            </w:r>
          </w:p>
        </w:tc>
        <w:tc>
          <w:tcPr>
            <w:tcW w:w="1331"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5</w:t>
            </w:r>
          </w:p>
        </w:tc>
        <w:tc>
          <w:tcPr>
            <w:tcW w:w="1165"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eastAsia="方正仿宋_GBK"/>
                <w:color w:val="000000" w:themeColor="text1"/>
                <w:kern w:val="0"/>
                <w:sz w:val="24"/>
              </w:rPr>
              <w:t>100%</w:t>
            </w:r>
          </w:p>
        </w:tc>
        <w:tc>
          <w:tcPr>
            <w:tcW w:w="1027"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5</w:t>
            </w:r>
          </w:p>
        </w:tc>
      </w:tr>
    </w:tbl>
    <w:p>
      <w:pPr>
        <w:pageBreakBefore w:val="0"/>
        <w:kinsoku/>
        <w:wordWrap/>
        <w:overflowPunct/>
        <w:topLinePunct w:val="0"/>
        <w:autoSpaceDE/>
        <w:autoSpaceDN/>
        <w:bidi w:val="0"/>
        <w:spacing w:line="560" w:lineRule="atLeast"/>
        <w:ind w:firstLine="640" w:firstLineChars="200"/>
        <w:rPr>
          <w:rFonts w:ascii="仿宋_GB2312" w:hAnsi="仿宋" w:eastAsia="仿宋_GB2312" w:cs="宋体"/>
          <w:sz w:val="32"/>
          <w:szCs w:val="28"/>
        </w:rPr>
      </w:pPr>
      <w:r>
        <w:rPr>
          <w:rFonts w:hint="eastAsia" w:ascii="仿宋_GB2312" w:hAnsi="仿宋" w:eastAsia="仿宋_GB2312" w:cs="宋体"/>
          <w:sz w:val="32"/>
          <w:szCs w:val="28"/>
        </w:rPr>
        <w:t>对于“项目立项”，我们了解到塔城地区中级人民法院审判法庭项目是经《塔城城市建设领导小组第三次会议纪要》及《关于塔城地区中级人民法院审判法庭迁建项目可行性研究报告（代项目建议书）的批复》决定，同意塔城地区中级人民法院审判法庭迁建至六合广场。根据评分标准，实际得分率为100%。</w:t>
      </w:r>
    </w:p>
    <w:p>
      <w:pPr>
        <w:pageBreakBefore w:val="0"/>
        <w:kinsoku/>
        <w:wordWrap/>
        <w:overflowPunct/>
        <w:topLinePunct w:val="0"/>
        <w:autoSpaceDE/>
        <w:autoSpaceDN/>
        <w:bidi w:val="0"/>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对于“绩效目标”，新建审判大楼建设项目是地区的一项重要工程，项目绩效目标设置合理，目标明确。根据评分标准，该指标不扣分。</w:t>
      </w:r>
    </w:p>
    <w:p>
      <w:pPr>
        <w:pageBreakBefore w:val="0"/>
        <w:kinsoku/>
        <w:wordWrap/>
        <w:overflowPunct/>
        <w:topLinePunct w:val="0"/>
        <w:autoSpaceDE/>
        <w:autoSpaceDN/>
        <w:bidi w:val="0"/>
        <w:spacing w:line="560" w:lineRule="atLeast"/>
        <w:ind w:firstLine="640" w:firstLineChars="200"/>
        <w:rPr>
          <w:rFonts w:ascii="仿宋_GB2312" w:hAnsi="仿宋" w:eastAsia="仿宋_GB2312" w:cs="宋体"/>
          <w:sz w:val="32"/>
          <w:szCs w:val="28"/>
        </w:rPr>
      </w:pPr>
      <w:r>
        <w:rPr>
          <w:rFonts w:hint="eastAsia" w:ascii="仿宋_GB2312" w:hAnsi="仿宋" w:eastAsia="仿宋_GB2312" w:cs="宋体"/>
          <w:sz w:val="32"/>
          <w:szCs w:val="28"/>
        </w:rPr>
        <w:t>对于“资金投入”，塔城地区中级人民法院审判法庭项目资金预算编制合理、资金分配使用合理，支付程序合规合法，根据评分标准，该指标不扣分。</w:t>
      </w:r>
    </w:p>
    <w:p>
      <w:pPr>
        <w:pStyle w:val="2"/>
        <w:pageBreakBefore w:val="0"/>
        <w:kinsoku/>
        <w:wordWrap/>
        <w:overflowPunct/>
        <w:topLinePunct w:val="0"/>
        <w:autoSpaceDE/>
        <w:autoSpaceDN/>
        <w:bidi w:val="0"/>
        <w:spacing w:before="0" w:after="0" w:line="560" w:lineRule="atLeast"/>
        <w:ind w:firstLine="472" w:firstLineChars="147"/>
        <w:jc w:val="both"/>
        <w:outlineLvl w:val="1"/>
        <w:rPr>
          <w:rFonts w:ascii="楷体_GB2312" w:hAnsi="楷体_GB2312" w:eastAsia="楷体_GB2312" w:cs="楷体_GB2312"/>
        </w:rPr>
      </w:pPr>
      <w:bookmarkStart w:id="26" w:name="_Toc68537193"/>
      <w:r>
        <w:rPr>
          <w:rFonts w:hint="eastAsia" w:ascii="楷体_GB2312" w:hAnsi="楷体_GB2312" w:eastAsia="楷体_GB2312" w:cs="楷体_GB2312"/>
        </w:rPr>
        <w:t>（二）项目过程情况</w:t>
      </w:r>
      <w:bookmarkEnd w:id="26"/>
    </w:p>
    <w:p>
      <w:pPr>
        <w:pageBreakBefore w:val="0"/>
        <w:kinsoku/>
        <w:wordWrap/>
        <w:overflowPunct/>
        <w:topLinePunct w:val="0"/>
        <w:autoSpaceDE/>
        <w:autoSpaceDN/>
        <w:bidi w:val="0"/>
        <w:spacing w:line="560" w:lineRule="atLeast"/>
        <w:ind w:firstLine="640" w:firstLineChars="200"/>
      </w:pPr>
      <w:r>
        <w:rPr>
          <w:rFonts w:hint="eastAsia" w:ascii="仿宋_GB2312" w:hAnsi="仿宋_GB2312" w:eastAsia="仿宋_GB2312" w:cs="仿宋_GB2312"/>
          <w:sz w:val="32"/>
          <w:szCs w:val="32"/>
        </w:rPr>
        <w:t>项目过程指标从项目资金管理、组织实施2个方面对项目的管理情况进行考察。项目过程类指标分值5分，实际得分5分，得分率为100%。项目管理指标得分情况如表所示。</w:t>
      </w:r>
    </w:p>
    <w:p>
      <w:pPr>
        <w:pStyle w:val="2"/>
        <w:pageBreakBefore w:val="0"/>
        <w:kinsoku/>
        <w:wordWrap/>
        <w:overflowPunct/>
        <w:topLinePunct w:val="0"/>
        <w:autoSpaceDE/>
        <w:autoSpaceDN/>
        <w:bidi w:val="0"/>
        <w:spacing w:before="0" w:after="0" w:line="560" w:lineRule="atLeast"/>
      </w:pPr>
      <w:bookmarkStart w:id="27" w:name="_Toc68537194"/>
      <w:r>
        <w:rPr>
          <w:rFonts w:hint="eastAsia" w:ascii="方正仿宋_GBK" w:hAnsi="Tahoma" w:eastAsia="方正仿宋_GBK" w:cs="Tahoma"/>
          <w:color w:val="000000"/>
          <w:kern w:val="0"/>
          <w:sz w:val="28"/>
          <w:szCs w:val="28"/>
        </w:rPr>
        <w:t>项目过程指标得分情况</w:t>
      </w:r>
      <w:bookmarkEnd w:id="27"/>
    </w:p>
    <w:tbl>
      <w:tblPr>
        <w:tblStyle w:val="21"/>
        <w:tblW w:w="5000" w:type="pct"/>
        <w:tblInd w:w="0" w:type="dxa"/>
        <w:tblLayout w:type="autofit"/>
        <w:tblCellMar>
          <w:top w:w="0" w:type="dxa"/>
          <w:left w:w="108" w:type="dxa"/>
          <w:bottom w:w="0" w:type="dxa"/>
          <w:right w:w="108" w:type="dxa"/>
        </w:tblCellMar>
      </w:tblPr>
      <w:tblGrid>
        <w:gridCol w:w="2589"/>
        <w:gridCol w:w="2333"/>
        <w:gridCol w:w="2042"/>
        <w:gridCol w:w="1800"/>
      </w:tblGrid>
      <w:tr>
        <w:tblPrEx>
          <w:tblCellMar>
            <w:top w:w="0" w:type="dxa"/>
            <w:left w:w="108" w:type="dxa"/>
            <w:bottom w:w="0" w:type="dxa"/>
            <w:right w:w="108" w:type="dxa"/>
          </w:tblCellMar>
        </w:tblPrEx>
        <w:trPr>
          <w:trHeight w:val="510" w:hRule="exact"/>
        </w:trPr>
        <w:tc>
          <w:tcPr>
            <w:tcW w:w="1477" w:type="pct"/>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二级指标</w:t>
            </w:r>
          </w:p>
        </w:tc>
        <w:tc>
          <w:tcPr>
            <w:tcW w:w="1331"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权重</w:t>
            </w:r>
          </w:p>
        </w:tc>
        <w:tc>
          <w:tcPr>
            <w:tcW w:w="1165"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得分率</w:t>
            </w:r>
          </w:p>
        </w:tc>
        <w:tc>
          <w:tcPr>
            <w:tcW w:w="1027" w:type="pct"/>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b/>
                <w:bCs/>
                <w:color w:val="000000" w:themeColor="text1"/>
                <w:kern w:val="0"/>
                <w:sz w:val="22"/>
                <w:szCs w:val="22"/>
              </w:rPr>
            </w:pPr>
            <w:r>
              <w:rPr>
                <w:rFonts w:hint="eastAsia" w:ascii="方正仿宋_GBK" w:hAnsi="Tahoma" w:eastAsia="方正仿宋_GBK" w:cs="Tahoma"/>
                <w:b/>
                <w:bCs/>
                <w:color w:val="000000" w:themeColor="text1"/>
                <w:kern w:val="0"/>
                <w:sz w:val="22"/>
                <w:szCs w:val="22"/>
              </w:rPr>
              <w:t>实际得分</w:t>
            </w:r>
          </w:p>
        </w:tc>
      </w:tr>
      <w:tr>
        <w:tblPrEx>
          <w:tblCellMar>
            <w:top w:w="0" w:type="dxa"/>
            <w:left w:w="108" w:type="dxa"/>
            <w:bottom w:w="0" w:type="dxa"/>
            <w:right w:w="108" w:type="dxa"/>
          </w:tblCellMar>
        </w:tblPrEx>
        <w:trPr>
          <w:trHeight w:val="610" w:hRule="exact"/>
        </w:trPr>
        <w:tc>
          <w:tcPr>
            <w:tcW w:w="1477" w:type="pct"/>
            <w:tcBorders>
              <w:top w:val="nil"/>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left"/>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资金管理</w:t>
            </w:r>
          </w:p>
        </w:tc>
        <w:tc>
          <w:tcPr>
            <w:tcW w:w="1331"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3</w:t>
            </w:r>
          </w:p>
        </w:tc>
        <w:tc>
          <w:tcPr>
            <w:tcW w:w="1165"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100</w:t>
            </w:r>
            <w:r>
              <w:rPr>
                <w:rFonts w:eastAsia="方正仿宋_GBK"/>
                <w:color w:val="000000" w:themeColor="text1"/>
                <w:kern w:val="0"/>
                <w:sz w:val="24"/>
              </w:rPr>
              <w:t>%</w:t>
            </w:r>
          </w:p>
        </w:tc>
        <w:tc>
          <w:tcPr>
            <w:tcW w:w="1027"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3</w:t>
            </w:r>
          </w:p>
        </w:tc>
      </w:tr>
      <w:tr>
        <w:tblPrEx>
          <w:tblCellMar>
            <w:top w:w="0" w:type="dxa"/>
            <w:left w:w="108" w:type="dxa"/>
            <w:bottom w:w="0" w:type="dxa"/>
            <w:right w:w="108" w:type="dxa"/>
          </w:tblCellMar>
        </w:tblPrEx>
        <w:trPr>
          <w:trHeight w:val="595" w:hRule="exact"/>
        </w:trPr>
        <w:tc>
          <w:tcPr>
            <w:tcW w:w="1477" w:type="pct"/>
            <w:tcBorders>
              <w:top w:val="nil"/>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left"/>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组织实施</w:t>
            </w:r>
          </w:p>
        </w:tc>
        <w:tc>
          <w:tcPr>
            <w:tcW w:w="1331"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c>
          <w:tcPr>
            <w:tcW w:w="1165"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eastAsia="方正仿宋_GBK"/>
                <w:color w:val="000000" w:themeColor="text1"/>
                <w:kern w:val="0"/>
                <w:sz w:val="24"/>
              </w:rPr>
              <w:t>100%</w:t>
            </w:r>
          </w:p>
        </w:tc>
        <w:tc>
          <w:tcPr>
            <w:tcW w:w="1027" w:type="pct"/>
            <w:tcBorders>
              <w:top w:val="nil"/>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2</w:t>
            </w:r>
          </w:p>
        </w:tc>
      </w:tr>
      <w:tr>
        <w:tblPrEx>
          <w:tblCellMar>
            <w:top w:w="0" w:type="dxa"/>
            <w:left w:w="108" w:type="dxa"/>
            <w:bottom w:w="0" w:type="dxa"/>
            <w:right w:w="108" w:type="dxa"/>
          </w:tblCellMar>
        </w:tblPrEx>
        <w:trPr>
          <w:trHeight w:val="510" w:hRule="exact"/>
        </w:trPr>
        <w:tc>
          <w:tcPr>
            <w:tcW w:w="1477" w:type="pct"/>
            <w:tcBorders>
              <w:top w:val="single" w:color="auto" w:sz="8" w:space="0"/>
              <w:left w:val="single" w:color="auto" w:sz="8" w:space="0"/>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ascii="方正仿宋_GBK" w:hAnsi="Tahoma" w:eastAsia="方正仿宋_GBK" w:cs="Tahoma"/>
                <w:color w:val="000000" w:themeColor="text1"/>
                <w:kern w:val="0"/>
                <w:sz w:val="24"/>
              </w:rPr>
            </w:pPr>
            <w:r>
              <w:rPr>
                <w:rFonts w:hint="eastAsia" w:ascii="方正仿宋_GBK" w:hAnsi="Tahoma" w:eastAsia="方正仿宋_GBK" w:cs="Tahoma"/>
                <w:color w:val="000000" w:themeColor="text1"/>
                <w:kern w:val="0"/>
                <w:sz w:val="24"/>
              </w:rPr>
              <w:t>合  计</w:t>
            </w:r>
          </w:p>
        </w:tc>
        <w:tc>
          <w:tcPr>
            <w:tcW w:w="1331"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5</w:t>
            </w:r>
          </w:p>
        </w:tc>
        <w:tc>
          <w:tcPr>
            <w:tcW w:w="1165"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eastAsia="方正仿宋_GBK"/>
                <w:color w:val="000000" w:themeColor="text1"/>
                <w:kern w:val="0"/>
                <w:sz w:val="24"/>
              </w:rPr>
              <w:t>100%</w:t>
            </w:r>
          </w:p>
        </w:tc>
        <w:tc>
          <w:tcPr>
            <w:tcW w:w="1027" w:type="pct"/>
            <w:tcBorders>
              <w:top w:val="single" w:color="auto" w:sz="8" w:space="0"/>
              <w:left w:val="nil"/>
              <w:bottom w:val="single" w:color="auto" w:sz="8" w:space="0"/>
              <w:right w:val="single" w:color="auto" w:sz="8" w:space="0"/>
            </w:tcBorders>
            <w:shd w:val="clear" w:color="auto" w:fill="auto"/>
            <w:vAlign w:val="center"/>
          </w:tcPr>
          <w:p>
            <w:pPr>
              <w:pageBreakBefore w:val="0"/>
              <w:widowControl/>
              <w:kinsoku/>
              <w:wordWrap/>
              <w:overflowPunct/>
              <w:topLinePunct w:val="0"/>
              <w:autoSpaceDE/>
              <w:autoSpaceDN/>
              <w:bidi w:val="0"/>
              <w:spacing w:line="560" w:lineRule="atLeast"/>
              <w:jc w:val="center"/>
              <w:rPr>
                <w:rFonts w:eastAsia="方正仿宋_GBK"/>
                <w:color w:val="000000" w:themeColor="text1"/>
                <w:kern w:val="0"/>
                <w:sz w:val="24"/>
              </w:rPr>
            </w:pPr>
            <w:r>
              <w:rPr>
                <w:rFonts w:hint="eastAsia" w:eastAsia="方正仿宋_GBK"/>
                <w:color w:val="000000" w:themeColor="text1"/>
                <w:kern w:val="0"/>
                <w:sz w:val="24"/>
              </w:rPr>
              <w:t>5</w:t>
            </w:r>
          </w:p>
        </w:tc>
      </w:tr>
    </w:tbl>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对于“资金管理”，基建项目资金到位及时，到位率为100%，预算执行按照计划支付，资金使用合理。根据评分标准，该指标不扣分。</w:t>
      </w:r>
    </w:p>
    <w:p>
      <w:pPr>
        <w:pageBreakBefore w:val="0"/>
        <w:kinsoku/>
        <w:wordWrap/>
        <w:overflowPunct/>
        <w:topLinePunct w:val="0"/>
        <w:autoSpaceDE/>
        <w:autoSpaceDN/>
        <w:bidi w:val="0"/>
        <w:spacing w:line="560" w:lineRule="atLeast"/>
        <w:ind w:firstLine="643" w:firstLineChars="200"/>
        <w:jc w:val="left"/>
        <w:outlineLvl w:val="1"/>
        <w:rPr>
          <w:rFonts w:ascii="楷体_GB2312" w:hAnsi="仿宋_GB2312" w:eastAsia="楷体_GB2312" w:cs="仿宋_GB2312"/>
          <w:b/>
          <w:sz w:val="32"/>
          <w:szCs w:val="32"/>
        </w:rPr>
      </w:pPr>
      <w:bookmarkStart w:id="28" w:name="_Toc68537195"/>
      <w:r>
        <w:rPr>
          <w:rFonts w:hint="eastAsia" w:ascii="楷体_GB2312" w:hAnsi="仿宋_GB2312" w:eastAsia="楷体_GB2312" w:cs="仿宋_GB2312"/>
          <w:b/>
          <w:sz w:val="32"/>
          <w:szCs w:val="32"/>
        </w:rPr>
        <w:t>（三）项目产出情况</w:t>
      </w:r>
      <w:bookmarkEnd w:id="28"/>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主要从项目产出的产出数量、产出质量、产出时效、成本情况4个方面对项目的绩效情况进行评价。项目绩效类指标分值50分，实际得分46分，得分率为92%。项目绩效指标得分情况如表所示：</w:t>
      </w:r>
    </w:p>
    <w:tbl>
      <w:tblPr>
        <w:tblStyle w:val="21"/>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b/>
                <w:bCs/>
                <w:color w:val="000000"/>
                <w:kern w:val="0"/>
                <w:sz w:val="22"/>
                <w:szCs w:val="22"/>
              </w:rPr>
            </w:pPr>
            <w:r>
              <w:rPr>
                <w:rFonts w:hint="eastAsia" w:ascii="仿宋_GB2312" w:hAnsi="仿宋_GB2312" w:eastAsia="仿宋_GB2312" w:cs="仿宋_GB2312"/>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产出数量</w:t>
            </w:r>
          </w:p>
        </w:tc>
        <w:tc>
          <w:tcPr>
            <w:tcW w:w="198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15</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100%</w:t>
            </w:r>
          </w:p>
        </w:tc>
        <w:tc>
          <w:tcPr>
            <w:tcW w:w="198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产出质量</w:t>
            </w:r>
          </w:p>
        </w:tc>
        <w:tc>
          <w:tcPr>
            <w:tcW w:w="198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80%</w:t>
            </w:r>
          </w:p>
        </w:tc>
        <w:tc>
          <w:tcPr>
            <w:tcW w:w="1986" w:type="dxa"/>
            <w:tcBorders>
              <w:top w:val="single" w:color="auto" w:sz="4" w:space="0"/>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8</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产出时效</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15</w:t>
            </w:r>
          </w:p>
        </w:tc>
        <w:tc>
          <w:tcPr>
            <w:tcW w:w="198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86.7%</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13</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left"/>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成本情况</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w:t>
            </w:r>
          </w:p>
        </w:tc>
        <w:tc>
          <w:tcPr>
            <w:tcW w:w="198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100%</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10</w:t>
            </w:r>
          </w:p>
        </w:tc>
      </w:tr>
      <w:tr>
        <w:tblPrEx>
          <w:tblCellMar>
            <w:top w:w="0" w:type="dxa"/>
            <w:left w:w="108" w:type="dxa"/>
            <w:bottom w:w="0" w:type="dxa"/>
            <w:right w:w="108" w:type="dxa"/>
          </w:tblCellMar>
        </w:tblPrEx>
        <w:trPr>
          <w:trHeight w:val="583" w:hRule="exact"/>
        </w:trPr>
        <w:tc>
          <w:tcPr>
            <w:tcW w:w="2517" w:type="dxa"/>
            <w:tcBorders>
              <w:top w:val="nil"/>
              <w:left w:val="single" w:color="auto" w:sz="4" w:space="0"/>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  计</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50</w:t>
            </w:r>
          </w:p>
        </w:tc>
        <w:tc>
          <w:tcPr>
            <w:tcW w:w="1984"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92%</w:t>
            </w:r>
          </w:p>
        </w:tc>
        <w:tc>
          <w:tcPr>
            <w:tcW w:w="1986" w:type="dxa"/>
            <w:tcBorders>
              <w:top w:val="nil"/>
              <w:left w:val="nil"/>
              <w:bottom w:val="single" w:color="auto" w:sz="4" w:space="0"/>
              <w:right w:val="single" w:color="auto" w:sz="4" w:space="0"/>
            </w:tcBorders>
            <w:shd w:val="clear" w:color="auto" w:fill="auto"/>
            <w:noWrap/>
            <w:vAlign w:val="center"/>
          </w:tcPr>
          <w:p>
            <w:pPr>
              <w:pageBreakBefore w:val="0"/>
              <w:widowControl/>
              <w:kinsoku/>
              <w:wordWrap/>
              <w:overflowPunct/>
              <w:topLinePunct w:val="0"/>
              <w:autoSpaceDE/>
              <w:autoSpaceDN/>
              <w:bidi w:val="0"/>
              <w:spacing w:line="560" w:lineRule="atLeast"/>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46</w:t>
            </w:r>
          </w:p>
        </w:tc>
      </w:tr>
    </w:tbl>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对于“产出数量”，建筑面积预期值为</w:t>
      </w:r>
      <w:r>
        <w:rPr>
          <w:rFonts w:hint="eastAsia" w:ascii="仿宋_GB2312" w:eastAsia="仿宋_GB2312"/>
          <w:sz w:val="28"/>
          <w:szCs w:val="28"/>
        </w:rPr>
        <w:t>16996.06</w:t>
      </w:r>
      <w:r>
        <w:rPr>
          <w:rFonts w:hint="eastAsia" w:ascii="仿宋_GB2312" w:hAnsi="仿宋_GB2312" w:eastAsia="仿宋_GB2312" w:cs="仿宋_GB2312"/>
          <w:sz w:val="32"/>
          <w:szCs w:val="32"/>
        </w:rPr>
        <w:t>平方米，实际值建筑面积</w:t>
      </w:r>
      <w:r>
        <w:rPr>
          <w:rFonts w:hint="eastAsia" w:ascii="仿宋_GB2312" w:eastAsia="仿宋_GB2312"/>
          <w:sz w:val="28"/>
          <w:szCs w:val="28"/>
        </w:rPr>
        <w:t>16996.06</w:t>
      </w:r>
      <w:r>
        <w:rPr>
          <w:rFonts w:hint="eastAsia" w:ascii="仿宋_GB2312" w:hAnsi="仿宋_GB2312" w:eastAsia="仿宋_GB2312" w:cs="仿宋_GB2312"/>
          <w:sz w:val="32"/>
          <w:szCs w:val="32"/>
        </w:rPr>
        <w:t>平方米，根据评分标准，该指标不扣分。</w:t>
      </w:r>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对于“产出质量”，预期值为2020年底竣工验收，实际该项目已完工，但未进行竣工验收，根据评分标准，该指标扣2分。</w:t>
      </w:r>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对于“产出时效”，预期为按照合同完工，实际项目未根据计划完工时间按期完工，按指标评分标准，该指标扣2 分。</w:t>
      </w:r>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对于“成本情况”，预期值为4252.3万元，项目总成本及单位成本的合理性，经济性、效率性完整，根据评分标准，该指标不扣分。</w:t>
      </w:r>
    </w:p>
    <w:p>
      <w:pPr>
        <w:pStyle w:val="20"/>
        <w:pageBreakBefore w:val="0"/>
        <w:kinsoku/>
        <w:wordWrap/>
        <w:overflowPunct/>
        <w:topLinePunct w:val="0"/>
        <w:autoSpaceDE/>
        <w:autoSpaceDN/>
        <w:bidi w:val="0"/>
        <w:spacing w:after="0" w:line="560" w:lineRule="atLeast"/>
        <w:ind w:firstLine="469" w:firstLineChars="146"/>
        <w:outlineLvl w:val="1"/>
        <w:rPr>
          <w:rFonts w:ascii="楷体_GB2312" w:hAnsi="楷体_GB2312" w:eastAsia="楷体_GB2312" w:cs="楷体_GB2312"/>
          <w:b/>
          <w:bCs/>
          <w:sz w:val="32"/>
          <w:szCs w:val="32"/>
        </w:rPr>
      </w:pPr>
      <w:bookmarkStart w:id="29" w:name="_Toc68537196"/>
      <w:r>
        <w:rPr>
          <w:rFonts w:hint="eastAsia" w:ascii="楷体_GB2312" w:hAnsi="楷体_GB2312" w:eastAsia="楷体_GB2312" w:cs="楷体_GB2312"/>
          <w:b/>
          <w:bCs/>
          <w:sz w:val="32"/>
          <w:szCs w:val="32"/>
        </w:rPr>
        <w:t>（四）项目效益情况</w:t>
      </w:r>
      <w:bookmarkEnd w:id="29"/>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项目效益主要从项目效益的社会效益、服务对象满意度2个方面对项目的绩效情况进行评价。项目绩效类指标分值40分，实际得分37分，得分率为92.5%。项目绩效指标得分情况如表所示：</w:t>
      </w:r>
    </w:p>
    <w:tbl>
      <w:tblPr>
        <w:tblStyle w:val="21"/>
        <w:tblW w:w="4998" w:type="pct"/>
        <w:tblInd w:w="0" w:type="dxa"/>
        <w:tblLayout w:type="autofit"/>
        <w:tblCellMar>
          <w:top w:w="0" w:type="dxa"/>
          <w:left w:w="0" w:type="dxa"/>
          <w:bottom w:w="0" w:type="dxa"/>
          <w:right w:w="0" w:type="dxa"/>
        </w:tblCellMar>
      </w:tblPr>
      <w:tblGrid>
        <w:gridCol w:w="4535"/>
        <w:gridCol w:w="1343"/>
        <w:gridCol w:w="1343"/>
        <w:gridCol w:w="1344"/>
      </w:tblGrid>
      <w:tr>
        <w:tblPrEx>
          <w:tblCellMar>
            <w:top w:w="0" w:type="dxa"/>
            <w:left w:w="0" w:type="dxa"/>
            <w:bottom w:w="0" w:type="dxa"/>
            <w:right w:w="0" w:type="dxa"/>
          </w:tblCellMar>
        </w:tblPrEx>
        <w:trPr>
          <w:trHeight w:val="575" w:hRule="atLeast"/>
        </w:trPr>
        <w:tc>
          <w:tcPr>
            <w:tcW w:w="2647" w:type="pct"/>
            <w:tcBorders>
              <w:top w:val="single" w:color="000000" w:sz="8" w:space="0"/>
              <w:left w:val="single" w:color="000000" w:sz="8" w:space="0"/>
              <w:bottom w:val="single" w:color="000000" w:sz="8" w:space="0"/>
              <w:right w:val="single" w:color="000000" w:sz="8" w:space="0"/>
            </w:tcBorders>
            <w:shd w:val="clear" w:color="auto" w:fill="A6A6A6"/>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rPr>
              <w:t>三级指标</w:t>
            </w:r>
          </w:p>
        </w:tc>
        <w:tc>
          <w:tcPr>
            <w:tcW w:w="784" w:type="pct"/>
            <w:tcBorders>
              <w:top w:val="single" w:color="000000" w:sz="8" w:space="0"/>
              <w:left w:val="nil"/>
              <w:bottom w:val="single" w:color="000000" w:sz="8" w:space="0"/>
              <w:right w:val="single" w:color="000000" w:sz="8" w:space="0"/>
            </w:tcBorders>
            <w:shd w:val="clear" w:color="auto" w:fill="A6A6A6"/>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rPr>
              <w:t>权重</w:t>
            </w:r>
          </w:p>
        </w:tc>
        <w:tc>
          <w:tcPr>
            <w:tcW w:w="784" w:type="pct"/>
            <w:tcBorders>
              <w:top w:val="single" w:color="000000" w:sz="8" w:space="0"/>
              <w:left w:val="nil"/>
              <w:bottom w:val="single" w:color="000000" w:sz="8" w:space="0"/>
              <w:right w:val="single" w:color="000000" w:sz="8" w:space="0"/>
            </w:tcBorders>
            <w:shd w:val="clear" w:color="auto" w:fill="A6A6A6"/>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rPr>
              <w:t>得分率</w:t>
            </w:r>
          </w:p>
        </w:tc>
        <w:tc>
          <w:tcPr>
            <w:tcW w:w="784" w:type="pct"/>
            <w:tcBorders>
              <w:top w:val="single" w:color="000000" w:sz="8" w:space="0"/>
              <w:left w:val="nil"/>
              <w:bottom w:val="single" w:color="000000" w:sz="8" w:space="0"/>
              <w:right w:val="single" w:color="000000" w:sz="8" w:space="0"/>
            </w:tcBorders>
            <w:shd w:val="clear" w:color="auto" w:fill="A6A6A6"/>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b/>
                <w:color w:val="000000"/>
                <w:sz w:val="22"/>
                <w:szCs w:val="22"/>
              </w:rPr>
            </w:pPr>
            <w:r>
              <w:rPr>
                <w:rFonts w:ascii="仿宋_GB2312" w:hAnsi="宋体" w:eastAsia="仿宋_GB2312" w:cs="仿宋_GB2312"/>
                <w:b/>
                <w:color w:val="000000"/>
                <w:kern w:val="0"/>
                <w:sz w:val="22"/>
                <w:szCs w:val="22"/>
              </w:rPr>
              <w:t>实际得分</w:t>
            </w:r>
          </w:p>
        </w:tc>
      </w:tr>
      <w:tr>
        <w:tblPrEx>
          <w:tblCellMar>
            <w:top w:w="0" w:type="dxa"/>
            <w:left w:w="0" w:type="dxa"/>
            <w:bottom w:w="0" w:type="dxa"/>
            <w:right w:w="0" w:type="dxa"/>
          </w:tblCellMar>
        </w:tblPrEx>
        <w:trPr>
          <w:trHeight w:val="447" w:hRule="atLeast"/>
        </w:trPr>
        <w:tc>
          <w:tcPr>
            <w:tcW w:w="2647" w:type="pct"/>
            <w:tcBorders>
              <w:top w:val="nil"/>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left"/>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rPr>
              <w:t>社会效益</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30</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90</w:t>
            </w:r>
            <w:r>
              <w:rPr>
                <w:rFonts w:ascii="仿宋_GB2312" w:hAnsi="宋体" w:eastAsia="仿宋_GB2312" w:cs="仿宋_GB2312"/>
                <w:color w:val="000000"/>
                <w:kern w:val="0"/>
                <w:sz w:val="24"/>
              </w:rPr>
              <w:t>%</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27</w:t>
            </w:r>
          </w:p>
        </w:tc>
      </w:tr>
      <w:tr>
        <w:tblPrEx>
          <w:tblCellMar>
            <w:top w:w="0" w:type="dxa"/>
            <w:left w:w="0" w:type="dxa"/>
            <w:bottom w:w="0" w:type="dxa"/>
            <w:right w:w="0" w:type="dxa"/>
          </w:tblCellMar>
        </w:tblPrEx>
        <w:trPr>
          <w:trHeight w:val="411" w:hRule="atLeast"/>
        </w:trPr>
        <w:tc>
          <w:tcPr>
            <w:tcW w:w="2647" w:type="pct"/>
            <w:tcBorders>
              <w:top w:val="nil"/>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left"/>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rPr>
              <w:t>服务对象满意度</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rPr>
              <w:t>1</w:t>
            </w:r>
            <w:r>
              <w:rPr>
                <w:rFonts w:hint="eastAsia" w:ascii="仿宋_GB2312" w:hAnsi="宋体" w:eastAsia="仿宋_GB2312" w:cs="仿宋_GB2312"/>
                <w:color w:val="000000"/>
                <w:kern w:val="0"/>
                <w:sz w:val="24"/>
              </w:rPr>
              <w:t>0</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rPr>
              <w:t>100%</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10</w:t>
            </w:r>
          </w:p>
        </w:tc>
      </w:tr>
      <w:tr>
        <w:tblPrEx>
          <w:tblCellMar>
            <w:top w:w="0" w:type="dxa"/>
            <w:left w:w="0" w:type="dxa"/>
            <w:bottom w:w="0" w:type="dxa"/>
            <w:right w:w="0" w:type="dxa"/>
          </w:tblCellMar>
        </w:tblPrEx>
        <w:trPr>
          <w:trHeight w:val="407" w:hRule="atLeast"/>
        </w:trPr>
        <w:tc>
          <w:tcPr>
            <w:tcW w:w="2647" w:type="pct"/>
            <w:tcBorders>
              <w:top w:val="nil"/>
              <w:left w:val="single" w:color="000000" w:sz="8" w:space="0"/>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ascii="仿宋_GB2312" w:hAnsi="宋体" w:eastAsia="仿宋_GB2312" w:cs="仿宋_GB2312"/>
                <w:color w:val="000000"/>
                <w:kern w:val="0"/>
                <w:sz w:val="24"/>
              </w:rPr>
              <w:t>合  计</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40</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92.5</w:t>
            </w:r>
            <w:r>
              <w:rPr>
                <w:rFonts w:ascii="仿宋_GB2312" w:hAnsi="宋体" w:eastAsia="仿宋_GB2312" w:cs="仿宋_GB2312"/>
                <w:color w:val="000000"/>
                <w:kern w:val="0"/>
                <w:sz w:val="24"/>
              </w:rPr>
              <w:t>%</w:t>
            </w:r>
          </w:p>
        </w:tc>
        <w:tc>
          <w:tcPr>
            <w:tcW w:w="784" w:type="pct"/>
            <w:tcBorders>
              <w:top w:val="nil"/>
              <w:left w:val="nil"/>
              <w:bottom w:val="single" w:color="000000" w:sz="8" w:space="0"/>
              <w:right w:val="single" w:color="000000" w:sz="8"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spacing w:line="560" w:lineRule="atLeast"/>
              <w:jc w:val="center"/>
              <w:textAlignment w:val="center"/>
              <w:rPr>
                <w:rFonts w:ascii="仿宋_GB2312" w:hAnsi="宋体" w:eastAsia="仿宋_GB2312" w:cs="仿宋_GB2312"/>
                <w:color w:val="000000"/>
                <w:sz w:val="24"/>
              </w:rPr>
            </w:pPr>
            <w:r>
              <w:rPr>
                <w:rFonts w:hint="eastAsia" w:ascii="仿宋_GB2312" w:hAnsi="宋体" w:eastAsia="仿宋_GB2312" w:cs="仿宋_GB2312"/>
                <w:color w:val="000000"/>
                <w:kern w:val="0"/>
                <w:sz w:val="24"/>
              </w:rPr>
              <w:t>37</w:t>
            </w:r>
          </w:p>
        </w:tc>
      </w:tr>
    </w:tbl>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对于“社会效益”，截止绩效评价报告完成前，解决了审判用房不足问题，但投入使用不及时，根据指标评分标准，该指标扣3分。</w:t>
      </w:r>
    </w:p>
    <w:p>
      <w:pPr>
        <w:pageBreakBefore w:val="0"/>
        <w:kinsoku/>
        <w:wordWrap/>
        <w:overflowPunct/>
        <w:topLinePunct w:val="0"/>
        <w:autoSpaceDE/>
        <w:autoSpaceDN/>
        <w:bidi w:val="0"/>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对于“服务对象满意度”，根据调查干警满意度及群众满意度 为95%。根据指标评分标准，该指标不扣分。</w:t>
      </w:r>
    </w:p>
    <w:p>
      <w:pPr>
        <w:pageBreakBefore w:val="0"/>
        <w:kinsoku/>
        <w:wordWrap/>
        <w:overflowPunct/>
        <w:topLinePunct w:val="0"/>
        <w:autoSpaceDE/>
        <w:autoSpaceDN/>
        <w:bidi w:val="0"/>
        <w:spacing w:line="560" w:lineRule="atLeast"/>
        <w:ind w:firstLine="641"/>
        <w:outlineLvl w:val="0"/>
        <w:rPr>
          <w:rStyle w:val="54"/>
          <w:color w:val="auto"/>
        </w:rPr>
      </w:pPr>
      <w:bookmarkStart w:id="30" w:name="_Toc68537197"/>
      <w:r>
        <w:rPr>
          <w:rFonts w:hint="eastAsia" w:ascii="黑体" w:hAnsi="黑体" w:eastAsia="黑体"/>
          <w:sz w:val="32"/>
          <w:szCs w:val="32"/>
        </w:rPr>
        <w:t>五、主要经验及做法、存在的问题及原因分析</w:t>
      </w:r>
      <w:bookmarkEnd w:id="30"/>
    </w:p>
    <w:p>
      <w:pPr>
        <w:pageBreakBefore w:val="0"/>
        <w:kinsoku/>
        <w:wordWrap/>
        <w:overflowPunct/>
        <w:topLinePunct w:val="0"/>
        <w:autoSpaceDE/>
        <w:autoSpaceDN/>
        <w:bidi w:val="0"/>
        <w:spacing w:line="560" w:lineRule="atLeast"/>
        <w:ind w:firstLine="567" w:firstLineChars="181"/>
        <w:outlineLvl w:val="1"/>
        <w:rPr>
          <w:rFonts w:ascii="楷体_GB2312" w:hAnsi="楷体" w:eastAsia="楷体_GB2312"/>
          <w:b/>
          <w:spacing w:val="-4"/>
          <w:sz w:val="32"/>
          <w:szCs w:val="32"/>
        </w:rPr>
      </w:pPr>
      <w:bookmarkStart w:id="31" w:name="_Toc68537198"/>
      <w:r>
        <w:rPr>
          <w:rFonts w:hint="eastAsia" w:ascii="楷体_GB2312" w:hAnsi="楷体" w:eastAsia="楷体_GB2312"/>
          <w:b/>
          <w:spacing w:val="-4"/>
          <w:sz w:val="32"/>
          <w:szCs w:val="32"/>
        </w:rPr>
        <w:t>（一）主要经验及做法</w:t>
      </w:r>
      <w:bookmarkEnd w:id="31"/>
    </w:p>
    <w:p>
      <w:pPr>
        <w:pageBreakBefore w:val="0"/>
        <w:kinsoku/>
        <w:wordWrap/>
        <w:overflowPunct/>
        <w:topLinePunct w:val="0"/>
        <w:autoSpaceDE/>
        <w:autoSpaceDN/>
        <w:bidi w:val="0"/>
        <w:spacing w:line="560" w:lineRule="atLeast"/>
        <w:ind w:firstLine="640" w:firstLineChars="200"/>
        <w:rPr>
          <w:rFonts w:ascii="仿宋_GB2312" w:hAnsi="仿宋" w:eastAsia="仿宋_GB2312" w:cs="宋体"/>
          <w:sz w:val="28"/>
          <w:szCs w:val="28"/>
        </w:rPr>
      </w:pPr>
      <w:r>
        <w:rPr>
          <w:rFonts w:hint="eastAsia" w:ascii="仿宋_GB2312" w:hAnsi="仿宋" w:eastAsia="仿宋_GB2312" w:cs="宋体"/>
          <w:sz w:val="32"/>
          <w:szCs w:val="28"/>
        </w:rPr>
        <w:t>塔城地区中级人民法院党组高度重视审判法庭建设项目，严格过程规范和资金使用，全面加强审判法庭项目建设工作。一是加强项目组织领导，成立了党组副书记、院长为组长的基建领导小组，具体负责项目建设和管理。二是经政府采购招标，确定项目监理和管理公司，由相关专业人员对项目进度和质量进行把关，确保项目施工规范和工程质量。三是严格项目资金管理，由项目建设单位根据工程进度和质量提供资金申请，经监理公司和项目管理公司进行审核，向基建领导小组提出资金使用计划，经基建领导小组初审后，报塔城地区中级人民法院党组会议研究决定，由项目单位、监理单位、施工单位、财政局经建科负责人签字认可后，按相关财政规定和程序报地区财政局审批后支出。</w:t>
      </w:r>
    </w:p>
    <w:p>
      <w:pPr>
        <w:keepNext/>
        <w:keepLines/>
        <w:pageBreakBefore w:val="0"/>
        <w:numPr>
          <w:ilvl w:val="0"/>
          <w:numId w:val="4"/>
        </w:numPr>
        <w:kinsoku/>
        <w:wordWrap/>
        <w:overflowPunct/>
        <w:topLinePunct w:val="0"/>
        <w:autoSpaceDE/>
        <w:autoSpaceDN/>
        <w:bidi w:val="0"/>
        <w:spacing w:line="560" w:lineRule="atLeast"/>
        <w:ind w:firstLine="641"/>
        <w:outlineLvl w:val="1"/>
        <w:rPr>
          <w:rFonts w:ascii="楷体_GB2312" w:hAnsi="楷体_GB2312" w:eastAsia="楷体_GB2312" w:cs="楷体_GB2312"/>
          <w:b/>
          <w:bCs/>
          <w:sz w:val="32"/>
          <w:szCs w:val="32"/>
        </w:rPr>
      </w:pPr>
      <w:bookmarkStart w:id="32" w:name="_Toc68537199"/>
      <w:r>
        <w:rPr>
          <w:rFonts w:hint="eastAsia" w:ascii="楷体_GB2312" w:hAnsi="楷体_GB2312" w:eastAsia="楷体_GB2312" w:cs="楷体_GB2312"/>
          <w:b/>
          <w:bCs/>
          <w:sz w:val="32"/>
          <w:szCs w:val="32"/>
        </w:rPr>
        <w:t>存在的问题及原因分析</w:t>
      </w:r>
      <w:bookmarkEnd w:id="32"/>
    </w:p>
    <w:p>
      <w:pPr>
        <w:pageBreakBefore w:val="0"/>
        <w:kinsoku/>
        <w:wordWrap/>
        <w:overflowPunct/>
        <w:topLinePunct w:val="0"/>
        <w:autoSpaceDE/>
        <w:autoSpaceDN/>
        <w:bidi w:val="0"/>
        <w:spacing w:line="560" w:lineRule="atLeast"/>
        <w:ind w:left="640" w:leftChars="305" w:firstLine="160" w:firstLineChars="50"/>
        <w:rPr>
          <w:rFonts w:hint="eastAsia" w:ascii="仿宋_GB2312" w:hAnsi="仿宋" w:eastAsia="仿宋_GB2312" w:cs="宋体"/>
          <w:sz w:val="32"/>
          <w:szCs w:val="28"/>
        </w:rPr>
      </w:pPr>
      <w:r>
        <w:rPr>
          <w:rFonts w:hint="eastAsia" w:ascii="仿宋_GB2312" w:hAnsi="仿宋" w:eastAsia="仿宋_GB2312" w:cs="宋体"/>
          <w:sz w:val="32"/>
          <w:szCs w:val="28"/>
        </w:rPr>
        <w:t>施工周期长，增加了成本。</w:t>
      </w:r>
    </w:p>
    <w:p>
      <w:pPr>
        <w:pageBreakBefore w:val="0"/>
        <w:numPr>
          <w:ilvl w:val="0"/>
          <w:numId w:val="5"/>
        </w:numPr>
        <w:kinsoku/>
        <w:wordWrap/>
        <w:overflowPunct/>
        <w:topLinePunct w:val="0"/>
        <w:autoSpaceDE/>
        <w:autoSpaceDN/>
        <w:bidi w:val="0"/>
        <w:spacing w:line="560" w:lineRule="atLeast"/>
        <w:ind w:firstLine="641"/>
        <w:outlineLvl w:val="0"/>
        <w:rPr>
          <w:rFonts w:ascii="黑体" w:hAnsi="黑体" w:eastAsia="黑体"/>
          <w:sz w:val="32"/>
          <w:szCs w:val="32"/>
        </w:rPr>
      </w:pPr>
      <w:bookmarkStart w:id="33" w:name="_Toc68537200"/>
      <w:r>
        <w:rPr>
          <w:rFonts w:hint="eastAsia" w:ascii="黑体" w:hAnsi="黑体" w:eastAsia="黑体"/>
          <w:sz w:val="32"/>
          <w:szCs w:val="32"/>
        </w:rPr>
        <w:t>有关建议</w:t>
      </w:r>
      <w:bookmarkEnd w:id="33"/>
    </w:p>
    <w:p>
      <w:pPr>
        <w:pageBreakBefore w:val="0"/>
        <w:numPr>
          <w:ilvl w:val="0"/>
          <w:numId w:val="6"/>
        </w:numPr>
        <w:kinsoku/>
        <w:wordWrap/>
        <w:overflowPunct/>
        <w:topLinePunct w:val="0"/>
        <w:autoSpaceDE/>
        <w:autoSpaceDN/>
        <w:bidi w:val="0"/>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6"/>
        </w:numPr>
        <w:kinsoku/>
        <w:wordWrap/>
        <w:overflowPunct/>
        <w:topLinePunct w:val="0"/>
        <w:autoSpaceDE/>
        <w:autoSpaceDN/>
        <w:bidi w:val="0"/>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5"/>
        </w:numPr>
        <w:kinsoku/>
        <w:wordWrap/>
        <w:overflowPunct/>
        <w:topLinePunct w:val="0"/>
        <w:autoSpaceDE/>
        <w:autoSpaceDN/>
        <w:bidi w:val="0"/>
        <w:spacing w:line="560" w:lineRule="atLeast"/>
        <w:ind w:firstLine="641"/>
        <w:outlineLvl w:val="0"/>
        <w:rPr>
          <w:rFonts w:ascii="黑体" w:hAnsi="黑体" w:eastAsia="黑体"/>
          <w:sz w:val="32"/>
          <w:szCs w:val="32"/>
        </w:rPr>
      </w:pPr>
      <w:bookmarkStart w:id="34" w:name="_Toc68537201"/>
      <w:r>
        <w:rPr>
          <w:rFonts w:hint="eastAsia" w:ascii="黑体" w:hAnsi="黑体" w:eastAsia="黑体"/>
          <w:sz w:val="32"/>
          <w:szCs w:val="32"/>
        </w:rPr>
        <w:t>其他需要说</w:t>
      </w:r>
      <w:bookmarkStart w:id="35" w:name="page8"/>
      <w:bookmarkEnd w:id="35"/>
      <w:r>
        <w:rPr>
          <w:rFonts w:hint="eastAsia" w:ascii="黑体" w:hAnsi="黑体" w:eastAsia="黑体"/>
          <w:sz w:val="32"/>
          <w:szCs w:val="32"/>
        </w:rPr>
        <w:t>明的问题</w:t>
      </w:r>
      <w:bookmarkEnd w:id="34"/>
    </w:p>
    <w:p>
      <w:pPr>
        <w:pageBreakBefore w:val="0"/>
        <w:kinsoku/>
        <w:wordWrap/>
        <w:overflowPunct/>
        <w:topLinePunct w:val="0"/>
        <w:autoSpaceDE/>
        <w:autoSpaceDN/>
        <w:bidi w:val="0"/>
        <w:spacing w:line="560" w:lineRule="atLeast"/>
        <w:ind w:left="640" w:leftChars="305" w:firstLine="160" w:firstLineChars="50"/>
        <w:rPr>
          <w:rFonts w:hint="eastAsia" w:ascii="仿宋_GB2312" w:hAnsi="仿宋" w:eastAsia="仿宋_GB2312" w:cs="宋体"/>
          <w:sz w:val="32"/>
          <w:szCs w:val="28"/>
          <w:lang w:val="en-US" w:eastAsia="zh-CN"/>
        </w:rPr>
      </w:pPr>
      <w:r>
        <w:rPr>
          <w:rFonts w:hint="eastAsia" w:ascii="仿宋_GB2312" w:hAnsi="仿宋" w:eastAsia="仿宋_GB2312" w:cs="宋体"/>
          <w:sz w:val="32"/>
          <w:szCs w:val="28"/>
          <w:lang w:val="en-US" w:eastAsia="zh-CN"/>
        </w:rPr>
        <w:t>无。</w:t>
      </w:r>
    </w:p>
    <w:p>
      <w:pPr>
        <w:pageBreakBefore w:val="0"/>
        <w:kinsoku/>
        <w:wordWrap/>
        <w:overflowPunct/>
        <w:topLinePunct w:val="0"/>
        <w:autoSpaceDE/>
        <w:autoSpaceDN/>
        <w:bidi w:val="0"/>
        <w:spacing w:line="560" w:lineRule="atLeast"/>
        <w:rPr>
          <w:rFonts w:ascii="黑体" w:hAnsi="黑体" w:eastAsia="黑体"/>
          <w:sz w:val="32"/>
          <w:szCs w:val="32"/>
        </w:rPr>
      </w:pPr>
    </w:p>
    <w:p>
      <w:pPr>
        <w:pStyle w:val="2"/>
        <w:spacing w:before="0" w:after="0" w:line="560" w:lineRule="exact"/>
        <w:jc w:val="both"/>
        <w:rPr>
          <w:rFonts w:hint="eastAsia" w:ascii="黑体" w:hAnsi="黑体" w:eastAsia="黑体"/>
        </w:rPr>
      </w:pPr>
    </w:p>
    <w:p/>
    <w:p>
      <w:pPr>
        <w:spacing w:line="360" w:lineRule="exact"/>
        <w:jc w:val="center"/>
        <w:rPr>
          <w:rFonts w:hint="eastAsia" w:asciiTheme="minorHAnsi" w:hAnsiTheme="minorHAnsi" w:eastAsiaTheme="minorEastAsia" w:cstheme="minorBidi"/>
          <w:b/>
          <w:bCs/>
          <w:sz w:val="20"/>
        </w:rPr>
        <w:sectPr>
          <w:footerReference r:id="rId3" w:type="default"/>
          <w:pgSz w:w="11906" w:h="16838"/>
          <w:pgMar w:top="1440" w:right="1558" w:bottom="1440" w:left="1800" w:header="851" w:footer="992" w:gutter="0"/>
          <w:cols w:space="425" w:num="1"/>
          <w:docGrid w:type="lines" w:linePitch="312" w:charSpace="0"/>
        </w:sectPr>
      </w:pPr>
    </w:p>
    <w:tbl>
      <w:tblPr>
        <w:tblStyle w:val="22"/>
        <w:tblW w:w="9498" w:type="dxa"/>
        <w:tblInd w:w="-88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10"/>
        <w:gridCol w:w="589"/>
        <w:gridCol w:w="1395"/>
        <w:gridCol w:w="656"/>
        <w:gridCol w:w="376"/>
        <w:gridCol w:w="288"/>
        <w:gridCol w:w="514"/>
        <w:gridCol w:w="776"/>
        <w:gridCol w:w="802"/>
        <w:gridCol w:w="593"/>
        <w:gridCol w:w="802"/>
        <w:gridCol w:w="199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6" w:hRule="atLeast"/>
        </w:trPr>
        <w:tc>
          <w:tcPr>
            <w:tcW w:w="9498" w:type="dxa"/>
            <w:gridSpan w:val="12"/>
            <w:tcBorders>
              <w:top w:val="nil"/>
              <w:left w:val="nil"/>
              <w:bottom w:val="nil"/>
              <w:right w:val="nil"/>
            </w:tcBorders>
            <w:vAlign w:val="center"/>
          </w:tcPr>
          <w:p>
            <w:pPr>
              <w:keepNext w:val="0"/>
              <w:keepLines w:val="0"/>
              <w:widowControl/>
              <w:suppressLineNumbers w:val="0"/>
              <w:jc w:val="center"/>
              <w:textAlignment w:val="center"/>
              <w:rPr>
                <w:rFonts w:asciiTheme="minorHAnsi" w:hAnsiTheme="minorHAnsi" w:eastAsiaTheme="minorEastAsia" w:cstheme="minorBidi"/>
                <w:b/>
                <w:bCs/>
                <w:sz w:val="20"/>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9498" w:type="dxa"/>
            <w:gridSpan w:val="12"/>
            <w:tcBorders>
              <w:top w:val="nil"/>
              <w:left w:val="nil"/>
              <w:bottom w:val="nil"/>
              <w:right w:val="nil"/>
            </w:tcBorders>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32"/>
                <w:szCs w:val="32"/>
                <w:u w:val="none"/>
                <w:lang w:val="en-US" w:eastAsia="zh-CN" w:bidi="ar"/>
              </w:rPr>
              <w:t>（   2020 年度）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0" w:hRule="atLeast"/>
        </w:trPr>
        <w:tc>
          <w:tcPr>
            <w:tcW w:w="9498" w:type="dxa"/>
            <w:gridSpan w:val="12"/>
            <w:tcBorders>
              <w:top w:val="nil"/>
              <w:left w:val="nil"/>
              <w:bottom w:val="single" w:color="auto" w:sz="4" w:space="0"/>
              <w:right w:val="nil"/>
            </w:tcBorders>
            <w:vAlign w:val="center"/>
          </w:tcPr>
          <w:p>
            <w:pPr>
              <w:jc w:val="center"/>
              <w:rPr>
                <w:rFonts w:asciiTheme="minorHAnsi" w:hAnsiTheme="minorHAnsi" w:eastAsiaTheme="minorEastAsia" w:cstheme="minorBidi"/>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5" w:hRule="atLeast"/>
        </w:trPr>
        <w:tc>
          <w:tcPr>
            <w:tcW w:w="1299" w:type="dxa"/>
            <w:gridSpan w:val="2"/>
            <w:tcBorders>
              <w:top w:val="single" w:color="auto" w:sz="4" w:space="0"/>
            </w:tcBorders>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项目名称</w:t>
            </w:r>
          </w:p>
        </w:tc>
        <w:tc>
          <w:tcPr>
            <w:tcW w:w="8199" w:type="dxa"/>
            <w:gridSpan w:val="10"/>
            <w:tcBorders>
              <w:top w:val="single" w:color="auto" w:sz="4" w:space="0"/>
            </w:tcBorders>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新建审判法庭项目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5" w:hRule="atLeast"/>
        </w:trPr>
        <w:tc>
          <w:tcPr>
            <w:tcW w:w="12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主管部门</w:t>
            </w:r>
          </w:p>
        </w:tc>
        <w:tc>
          <w:tcPr>
            <w:tcW w:w="4005" w:type="dxa"/>
            <w:gridSpan w:val="6"/>
            <w:noWrap/>
            <w:vAlign w:val="center"/>
          </w:tcPr>
          <w:p>
            <w:pPr>
              <w:jc w:val="center"/>
              <w:rPr>
                <w:rFonts w:asciiTheme="minorHAnsi" w:hAnsiTheme="minorHAnsi" w:eastAsiaTheme="minorEastAsia" w:cstheme="minorBidi"/>
                <w:sz w:val="20"/>
              </w:rPr>
            </w:pP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实施单位</w:t>
            </w:r>
          </w:p>
        </w:tc>
        <w:tc>
          <w:tcPr>
            <w:tcW w:w="2799" w:type="dxa"/>
            <w:gridSpan w:val="2"/>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伊犁哈萨克自治州塔城地区中级人民法院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3" w:hRule="atLeast"/>
        </w:trPr>
        <w:tc>
          <w:tcPr>
            <w:tcW w:w="12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项目资金</w:t>
            </w:r>
          </w:p>
        </w:tc>
        <w:tc>
          <w:tcPr>
            <w:tcW w:w="1395" w:type="dxa"/>
            <w:tcBorders>
              <w:right w:val="nil"/>
            </w:tcBorders>
            <w:vAlign w:val="bottom"/>
          </w:tcPr>
          <w:p>
            <w:pPr>
              <w:rPr>
                <w:rFonts w:asciiTheme="minorHAnsi" w:hAnsiTheme="minorHAnsi" w:eastAsiaTheme="minorEastAsia" w:cstheme="minorBidi"/>
                <w:sz w:val="20"/>
              </w:rPr>
            </w:pPr>
          </w:p>
        </w:tc>
        <w:tc>
          <w:tcPr>
            <w:tcW w:w="656" w:type="dxa"/>
            <w:tcBorders>
              <w:left w:val="nil"/>
            </w:tcBorders>
            <w:vAlign w:val="bottom"/>
          </w:tcPr>
          <w:p/>
        </w:tc>
        <w:tc>
          <w:tcPr>
            <w:tcW w:w="1178" w:type="dxa"/>
            <w:gridSpan w:val="3"/>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年初预算数</w:t>
            </w:r>
          </w:p>
        </w:tc>
        <w:tc>
          <w:tcPr>
            <w:tcW w:w="1578"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全年预算数</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全年执行数</w:t>
            </w:r>
          </w:p>
        </w:tc>
        <w:tc>
          <w:tcPr>
            <w:tcW w:w="1997"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执行率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3" w:hRule="atLeast"/>
        </w:trPr>
        <w:tc>
          <w:tcPr>
            <w:tcW w:w="12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（万元）</w:t>
            </w: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年度资金总额</w:t>
            </w:r>
          </w:p>
        </w:tc>
        <w:tc>
          <w:tcPr>
            <w:tcW w:w="1032"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1578" w:type="dxa"/>
            <w:gridSpan w:val="3"/>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27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100.00%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0" w:hRule="atLeast"/>
        </w:trPr>
        <w:tc>
          <w:tcPr>
            <w:tcW w:w="1299" w:type="dxa"/>
            <w:gridSpan w:val="2"/>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其中：当年财政拨款</w:t>
            </w:r>
          </w:p>
        </w:tc>
        <w:tc>
          <w:tcPr>
            <w:tcW w:w="1032"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1578" w:type="dxa"/>
            <w:gridSpan w:val="3"/>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1737.94</w:t>
            </w:r>
          </w:p>
        </w:tc>
        <w:tc>
          <w:tcPr>
            <w:tcW w:w="27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6" w:hRule="atLeast"/>
        </w:trPr>
        <w:tc>
          <w:tcPr>
            <w:tcW w:w="1299" w:type="dxa"/>
            <w:gridSpan w:val="2"/>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32" w:type="dxa"/>
            <w:gridSpan w:val="2"/>
            <w:vAlign w:val="center"/>
          </w:tcPr>
          <w:p>
            <w:pPr>
              <w:jc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c>
          <w:tcPr>
            <w:tcW w:w="1578" w:type="dxa"/>
            <w:gridSpan w:val="3"/>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c>
          <w:tcPr>
            <w:tcW w:w="27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7" w:hRule="atLeast"/>
        </w:trPr>
        <w:tc>
          <w:tcPr>
            <w:tcW w:w="1299" w:type="dxa"/>
            <w:gridSpan w:val="2"/>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 xml:space="preserve">  其他资金</w:t>
            </w:r>
          </w:p>
        </w:tc>
        <w:tc>
          <w:tcPr>
            <w:tcW w:w="1032" w:type="dxa"/>
            <w:gridSpan w:val="2"/>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578"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w:t>
            </w:r>
          </w:p>
        </w:tc>
        <w:tc>
          <w:tcPr>
            <w:tcW w:w="2799" w:type="dxa"/>
            <w:gridSpan w:val="2"/>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95" w:hRule="atLeast"/>
        </w:trPr>
        <w:tc>
          <w:tcPr>
            <w:tcW w:w="710" w:type="dxa"/>
            <w:vMerge w:val="restart"/>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年度总体目标</w:t>
            </w:r>
          </w:p>
        </w:tc>
        <w:tc>
          <w:tcPr>
            <w:tcW w:w="4594" w:type="dxa"/>
            <w:gridSpan w:val="7"/>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预期目标</w:t>
            </w:r>
          </w:p>
        </w:tc>
        <w:tc>
          <w:tcPr>
            <w:tcW w:w="4194" w:type="dxa"/>
            <w:gridSpan w:val="4"/>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0" w:hRule="atLeast"/>
        </w:trPr>
        <w:tc>
          <w:tcPr>
            <w:tcW w:w="710" w:type="dxa"/>
            <w:vMerge w:val="continue"/>
            <w:vAlign w:val="center"/>
          </w:tcPr>
          <w:p>
            <w:pPr>
              <w:jc w:val="center"/>
              <w:rPr>
                <w:rFonts w:asciiTheme="minorHAnsi" w:hAnsiTheme="minorHAnsi" w:eastAsiaTheme="minorEastAsia" w:cstheme="minorBidi"/>
                <w:sz w:val="20"/>
              </w:rPr>
            </w:pPr>
          </w:p>
        </w:tc>
        <w:tc>
          <w:tcPr>
            <w:tcW w:w="4594" w:type="dxa"/>
            <w:gridSpan w:val="7"/>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新建审判法庭建设为基本建设类项目，主要是为了满足单位日常审判工作运行需要，改善审判法庭数量不足，功能不全等办案审判法庭建设，提供更好的办案条件从而提高审判质量和效率。</w:t>
            </w:r>
          </w:p>
        </w:tc>
        <w:tc>
          <w:tcPr>
            <w:tcW w:w="4194" w:type="dxa"/>
            <w:gridSpan w:val="4"/>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新建审判法庭建设为基本建设类项目，主要是为了满足单位日常审判工作运行需要，改善审判法庭数量不足，功能不全等办案审判法庭建设，提供更好的办案条件从而提高审判质量和效率。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0" w:hRule="atLeast"/>
        </w:trPr>
        <w:tc>
          <w:tcPr>
            <w:tcW w:w="710" w:type="dxa"/>
            <w:vAlign w:val="center"/>
          </w:tcPr>
          <w:p>
            <w:pPr>
              <w:jc w:val="center"/>
              <w:rPr>
                <w:rFonts w:asciiTheme="minorHAnsi" w:hAnsiTheme="minorHAnsi" w:eastAsiaTheme="minorEastAsia" w:cstheme="minorBidi"/>
                <w:sz w:val="20"/>
              </w:rPr>
            </w:pPr>
          </w:p>
        </w:tc>
        <w:tc>
          <w:tcPr>
            <w:tcW w:w="589"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一级指标</w:t>
            </w: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二级指标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年度指标值</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实际完成值</w:t>
            </w:r>
          </w:p>
        </w:tc>
        <w:tc>
          <w:tcPr>
            <w:tcW w:w="2799"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8" w:hRule="atLeast"/>
        </w:trPr>
        <w:tc>
          <w:tcPr>
            <w:tcW w:w="710" w:type="dxa"/>
            <w:vMerge w:val="restart"/>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年度绩效指标完成情况</w:t>
            </w:r>
          </w:p>
        </w:tc>
        <w:tc>
          <w:tcPr>
            <w:tcW w:w="589" w:type="dxa"/>
            <w:vMerge w:val="restart"/>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产出指标</w:t>
            </w: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数量指标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 xml:space="preserve">建筑面积 </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=17000平方米</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16996.06平方米</w:t>
            </w:r>
          </w:p>
        </w:tc>
        <w:tc>
          <w:tcPr>
            <w:tcW w:w="2799" w:type="dxa"/>
            <w:gridSpan w:val="2"/>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实际建筑面积为16996.06平方米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2"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continue"/>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质量指标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建设工程完工率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=100%</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90%</w:t>
            </w:r>
          </w:p>
        </w:tc>
        <w:tc>
          <w:tcPr>
            <w:tcW w:w="2799" w:type="dxa"/>
            <w:gridSpan w:val="2"/>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主体工程未按时完工，扣分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0"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continue"/>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时效指标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科技法庭覆盖率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=50%</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50%</w:t>
            </w:r>
          </w:p>
        </w:tc>
        <w:tc>
          <w:tcPr>
            <w:tcW w:w="2799" w:type="dxa"/>
            <w:gridSpan w:val="2"/>
            <w:vAlign w:val="center"/>
          </w:tcPr>
          <w:p>
            <w:pPr>
              <w:jc w:val="left"/>
              <w:rPr>
                <w:rFonts w:asciiTheme="minorHAnsi" w:hAnsiTheme="minorHAnsi" w:eastAsiaTheme="minorEastAsia" w:cstheme="minorBidi"/>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continue"/>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成本指标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资金到位率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=100%</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100%</w:t>
            </w:r>
          </w:p>
        </w:tc>
        <w:tc>
          <w:tcPr>
            <w:tcW w:w="2799" w:type="dxa"/>
            <w:gridSpan w:val="2"/>
            <w:vAlign w:val="center"/>
          </w:tcPr>
          <w:p>
            <w:pPr>
              <w:jc w:val="left"/>
              <w:rPr>
                <w:rFonts w:asciiTheme="minorHAnsi" w:hAnsiTheme="minorHAnsi" w:eastAsiaTheme="minorEastAsia" w:cstheme="minorBidi"/>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0"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restart"/>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效益指标</w:t>
            </w: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经济效益指标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设计功能实现率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=100%</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50%</w:t>
            </w:r>
          </w:p>
        </w:tc>
        <w:tc>
          <w:tcPr>
            <w:tcW w:w="2799" w:type="dxa"/>
            <w:gridSpan w:val="2"/>
            <w:vAlign w:val="center"/>
          </w:tcPr>
          <w:p>
            <w:pPr>
              <w:keepNext w:val="0"/>
              <w:keepLines w:val="0"/>
              <w:widowControl/>
              <w:suppressLineNumbers w:val="0"/>
              <w:jc w:val="left"/>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截止2020年年末，新建审判法庭未完全投入使用。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8"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continue"/>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社会效益指标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提高办案和办公工作效率</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有所提高</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有所提高</w:t>
            </w:r>
          </w:p>
        </w:tc>
        <w:tc>
          <w:tcPr>
            <w:tcW w:w="2799" w:type="dxa"/>
            <w:gridSpan w:val="2"/>
            <w:vAlign w:val="center"/>
          </w:tcPr>
          <w:p>
            <w:pPr>
              <w:jc w:val="left"/>
              <w:rPr>
                <w:rFonts w:asciiTheme="minorHAnsi" w:hAnsiTheme="minorHAnsi" w:eastAsiaTheme="minorEastAsia" w:cstheme="minorBidi"/>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6"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Merge w:val="continue"/>
            <w:vAlign w:val="center"/>
          </w:tcPr>
          <w:p>
            <w:pPr>
              <w:jc w:val="center"/>
              <w:rPr>
                <w:rFonts w:asciiTheme="minorHAnsi" w:hAnsiTheme="minorHAnsi" w:eastAsiaTheme="minorEastAsia" w:cstheme="minorBidi"/>
                <w:sz w:val="20"/>
              </w:rPr>
            </w:pP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可持续影响指标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预计使用年限</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=50年</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50年</w:t>
            </w:r>
          </w:p>
        </w:tc>
        <w:tc>
          <w:tcPr>
            <w:tcW w:w="2799" w:type="dxa"/>
            <w:gridSpan w:val="2"/>
            <w:vAlign w:val="center"/>
          </w:tcPr>
          <w:p>
            <w:pPr>
              <w:jc w:val="left"/>
              <w:rPr>
                <w:rFonts w:asciiTheme="minorHAnsi" w:hAnsiTheme="minorHAnsi" w:eastAsiaTheme="minorEastAsia" w:cstheme="minorBidi"/>
                <w:sz w:val="2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710" w:type="dxa"/>
            <w:vMerge w:val="continue"/>
            <w:vAlign w:val="center"/>
          </w:tcPr>
          <w:p>
            <w:pPr>
              <w:jc w:val="center"/>
              <w:rPr>
                <w:rFonts w:asciiTheme="minorHAnsi" w:hAnsiTheme="minorHAnsi" w:eastAsiaTheme="minorEastAsia" w:cstheme="minorBidi"/>
                <w:sz w:val="20"/>
              </w:rPr>
            </w:pPr>
          </w:p>
        </w:tc>
        <w:tc>
          <w:tcPr>
            <w:tcW w:w="589"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满意度指标</w:t>
            </w:r>
          </w:p>
        </w:tc>
        <w:tc>
          <w:tcPr>
            <w:tcW w:w="1395" w:type="dxa"/>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服务对象满意度指标</w:t>
            </w:r>
          </w:p>
        </w:tc>
        <w:tc>
          <w:tcPr>
            <w:tcW w:w="1320" w:type="dxa"/>
            <w:gridSpan w:val="3"/>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干警满意度</w:t>
            </w:r>
          </w:p>
        </w:tc>
        <w:tc>
          <w:tcPr>
            <w:tcW w:w="1290"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≥85%</w:t>
            </w:r>
          </w:p>
        </w:tc>
        <w:tc>
          <w:tcPr>
            <w:tcW w:w="1395" w:type="dxa"/>
            <w:gridSpan w:val="2"/>
            <w:vAlign w:val="center"/>
          </w:tcPr>
          <w:p>
            <w:pPr>
              <w:keepNext w:val="0"/>
              <w:keepLines w:val="0"/>
              <w:widowControl/>
              <w:suppressLineNumbers w:val="0"/>
              <w:jc w:val="center"/>
              <w:textAlignment w:val="center"/>
              <w:rPr>
                <w:rFonts w:asciiTheme="minorHAnsi" w:hAnsiTheme="minorHAnsi" w:eastAsiaTheme="minorEastAsia" w:cstheme="minorBidi"/>
                <w:sz w:val="20"/>
              </w:rPr>
            </w:pPr>
            <w:r>
              <w:rPr>
                <w:rFonts w:hint="eastAsia" w:ascii="宋体" w:hAnsi="宋体" w:eastAsia="宋体" w:cs="宋体"/>
                <w:i w:val="0"/>
                <w:color w:val="000000"/>
                <w:kern w:val="0"/>
                <w:sz w:val="18"/>
                <w:szCs w:val="18"/>
                <w:u w:val="none"/>
                <w:lang w:val="en-US" w:eastAsia="zh-CN" w:bidi="ar"/>
              </w:rPr>
              <w:t>85%</w:t>
            </w:r>
          </w:p>
        </w:tc>
        <w:tc>
          <w:tcPr>
            <w:tcW w:w="2799" w:type="dxa"/>
            <w:gridSpan w:val="2"/>
            <w:vAlign w:val="center"/>
          </w:tcPr>
          <w:p>
            <w:pPr>
              <w:jc w:val="left"/>
              <w:rPr>
                <w:rFonts w:asciiTheme="minorHAnsi" w:hAnsiTheme="minorHAnsi" w:eastAsiaTheme="minorEastAsia" w:cstheme="minorBidi"/>
                <w:sz w:val="20"/>
              </w:rPr>
            </w:pPr>
          </w:p>
        </w:tc>
      </w:tr>
    </w:tbl>
    <w:p>
      <w:pPr>
        <w:pStyle w:val="2"/>
        <w:spacing w:before="0" w:after="0" w:line="560" w:lineRule="exact"/>
        <w:jc w:val="both"/>
        <w:sectPr>
          <w:pgSz w:w="11906" w:h="16838"/>
          <w:pgMar w:top="1440" w:right="1558" w:bottom="1440" w:left="1800" w:header="851" w:footer="992" w:gutter="0"/>
          <w:cols w:space="425" w:num="1"/>
          <w:docGrid w:type="lines" w:linePitch="312" w:charSpace="0"/>
        </w:sectPr>
      </w:pPr>
    </w:p>
    <w:p>
      <w:pPr>
        <w:spacing w:line="560" w:lineRule="exact"/>
        <w:rPr>
          <w:rFonts w:ascii="仿宋_GB2312"/>
          <w:bCs/>
          <w:sz w:val="32"/>
          <w:szCs w:val="32"/>
        </w:rPr>
      </w:pPr>
      <w:r>
        <w:rPr>
          <w:rFonts w:hint="eastAsia" w:ascii="仿宋_GB2312"/>
          <w:bCs/>
          <w:sz w:val="32"/>
          <w:szCs w:val="32"/>
        </w:rPr>
        <w:t>附件1</w:t>
      </w:r>
    </w:p>
    <w:tbl>
      <w:tblPr>
        <w:tblStyle w:val="21"/>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5"/>
        <w:gridCol w:w="1200"/>
        <w:gridCol w:w="1236"/>
        <w:gridCol w:w="2760"/>
        <w:gridCol w:w="6720"/>
        <w:gridCol w:w="708"/>
        <w:gridCol w:w="6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93" w:hRule="atLeast"/>
          <w:tblHeader/>
          <w:jc w:val="center"/>
        </w:trPr>
        <w:tc>
          <w:tcPr>
            <w:tcW w:w="305"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05"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423"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1"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5" w:hRule="atLeast"/>
          <w:jc w:val="center"/>
        </w:trPr>
        <w:tc>
          <w:tcPr>
            <w:tcW w:w="305"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9" w:hRule="atLeast"/>
          <w:jc w:val="center"/>
        </w:trPr>
        <w:tc>
          <w:tcPr>
            <w:tcW w:w="305"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05" w:type="pct"/>
            <w:vMerge w:val="restart"/>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tc>
        <w:tc>
          <w:tcPr>
            <w:tcW w:w="423"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05"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过程　</w:t>
            </w: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05"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05"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05"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05" w:type="pct"/>
            <w:vMerge w:val="continue"/>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shd w:val="clear" w:color="auto" w:fill="FFFFFF"/>
            <w:noWrap/>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05"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82" w:hRule="atLeast"/>
          <w:jc w:val="center"/>
        </w:trPr>
        <w:tc>
          <w:tcPr>
            <w:tcW w:w="305"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423" w:type="pct"/>
            <w:vMerge w:val="restar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973"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2370"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249"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241"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05"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23" w:type="pct"/>
            <w:vMerge w:val="continue"/>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p>
        </w:tc>
        <w:tc>
          <w:tcPr>
            <w:tcW w:w="436" w:type="pct"/>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973"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370"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249"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241" w:type="pct"/>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300" w:lineRule="exact"/>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bl>
    <w:p>
      <w:pPr>
        <w:spacing w:line="560" w:lineRule="exact"/>
        <w:rPr>
          <w:rStyle w:val="24"/>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3730CCE4"/>
    <w:multiLevelType w:val="singleLevel"/>
    <w:tmpl w:val="3730CCE4"/>
    <w:lvl w:ilvl="0" w:tentative="0">
      <w:start w:val="2"/>
      <w:numFmt w:val="decimal"/>
      <w:suff w:val="nothing"/>
      <w:lvlText w:val="（%1）"/>
      <w:lvlJc w:val="left"/>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067D19"/>
    <w:rsid w:val="000E0969"/>
    <w:rsid w:val="000E50F0"/>
    <w:rsid w:val="000E586C"/>
    <w:rsid w:val="00121AE4"/>
    <w:rsid w:val="00124FF5"/>
    <w:rsid w:val="0012640D"/>
    <w:rsid w:val="00146AAD"/>
    <w:rsid w:val="00191376"/>
    <w:rsid w:val="001B3A40"/>
    <w:rsid w:val="001E2183"/>
    <w:rsid w:val="002A0FF8"/>
    <w:rsid w:val="003C18BC"/>
    <w:rsid w:val="003C751C"/>
    <w:rsid w:val="003F02B4"/>
    <w:rsid w:val="003F2980"/>
    <w:rsid w:val="004366A8"/>
    <w:rsid w:val="00464900"/>
    <w:rsid w:val="004D6467"/>
    <w:rsid w:val="004F1E68"/>
    <w:rsid w:val="00502BA7"/>
    <w:rsid w:val="00506E27"/>
    <w:rsid w:val="005162F1"/>
    <w:rsid w:val="00535153"/>
    <w:rsid w:val="00554F82"/>
    <w:rsid w:val="0056390D"/>
    <w:rsid w:val="005719B0"/>
    <w:rsid w:val="00597D7B"/>
    <w:rsid w:val="005D10D6"/>
    <w:rsid w:val="005F7F7E"/>
    <w:rsid w:val="00771935"/>
    <w:rsid w:val="007806A5"/>
    <w:rsid w:val="00781156"/>
    <w:rsid w:val="00807BC6"/>
    <w:rsid w:val="00813F2A"/>
    <w:rsid w:val="00855E3A"/>
    <w:rsid w:val="0086758D"/>
    <w:rsid w:val="008E2740"/>
    <w:rsid w:val="00922CB9"/>
    <w:rsid w:val="00924312"/>
    <w:rsid w:val="009E5CD9"/>
    <w:rsid w:val="00A26421"/>
    <w:rsid w:val="00A4293B"/>
    <w:rsid w:val="00A67D50"/>
    <w:rsid w:val="00A8691A"/>
    <w:rsid w:val="00AC1946"/>
    <w:rsid w:val="00B00303"/>
    <w:rsid w:val="00B40063"/>
    <w:rsid w:val="00B41F61"/>
    <w:rsid w:val="00BA46E6"/>
    <w:rsid w:val="00BA4D12"/>
    <w:rsid w:val="00BB13AC"/>
    <w:rsid w:val="00BD2F6D"/>
    <w:rsid w:val="00C56C72"/>
    <w:rsid w:val="00C6363F"/>
    <w:rsid w:val="00C900DC"/>
    <w:rsid w:val="00CA6457"/>
    <w:rsid w:val="00CB6338"/>
    <w:rsid w:val="00D17F2E"/>
    <w:rsid w:val="00D30354"/>
    <w:rsid w:val="00D42769"/>
    <w:rsid w:val="00D719C4"/>
    <w:rsid w:val="00D81EA1"/>
    <w:rsid w:val="00D95120"/>
    <w:rsid w:val="00D97102"/>
    <w:rsid w:val="00DE3796"/>
    <w:rsid w:val="00DF42A0"/>
    <w:rsid w:val="00DF7C45"/>
    <w:rsid w:val="00E31565"/>
    <w:rsid w:val="00E4530E"/>
    <w:rsid w:val="00E46C51"/>
    <w:rsid w:val="00E527D4"/>
    <w:rsid w:val="00E769FE"/>
    <w:rsid w:val="00EA2CBE"/>
    <w:rsid w:val="00EE10C5"/>
    <w:rsid w:val="00F22D57"/>
    <w:rsid w:val="00F32FEE"/>
    <w:rsid w:val="00F52EE6"/>
    <w:rsid w:val="00F71278"/>
    <w:rsid w:val="00F74B90"/>
    <w:rsid w:val="00FB10BB"/>
    <w:rsid w:val="00FE478D"/>
    <w:rsid w:val="01654456"/>
    <w:rsid w:val="051A56F5"/>
    <w:rsid w:val="066D6EAA"/>
    <w:rsid w:val="06A35A96"/>
    <w:rsid w:val="08C662D4"/>
    <w:rsid w:val="09BD4D95"/>
    <w:rsid w:val="0F8D41CB"/>
    <w:rsid w:val="11C75270"/>
    <w:rsid w:val="124A2743"/>
    <w:rsid w:val="12637CC3"/>
    <w:rsid w:val="12E657C5"/>
    <w:rsid w:val="14A746EE"/>
    <w:rsid w:val="167C7687"/>
    <w:rsid w:val="168B3546"/>
    <w:rsid w:val="1A2374E0"/>
    <w:rsid w:val="1C317CE2"/>
    <w:rsid w:val="1DD45808"/>
    <w:rsid w:val="1DED42AC"/>
    <w:rsid w:val="20005763"/>
    <w:rsid w:val="20FB313D"/>
    <w:rsid w:val="220B4804"/>
    <w:rsid w:val="22582DE6"/>
    <w:rsid w:val="23EE1396"/>
    <w:rsid w:val="282475E3"/>
    <w:rsid w:val="2C6100C1"/>
    <w:rsid w:val="2EA11B8C"/>
    <w:rsid w:val="3264220D"/>
    <w:rsid w:val="334A15B8"/>
    <w:rsid w:val="37063A38"/>
    <w:rsid w:val="3963178C"/>
    <w:rsid w:val="3C3A5893"/>
    <w:rsid w:val="3FBE78E5"/>
    <w:rsid w:val="41CC2676"/>
    <w:rsid w:val="46B21672"/>
    <w:rsid w:val="4F552460"/>
    <w:rsid w:val="4FCC6863"/>
    <w:rsid w:val="500A214A"/>
    <w:rsid w:val="51E4236A"/>
    <w:rsid w:val="522D604D"/>
    <w:rsid w:val="5297585E"/>
    <w:rsid w:val="52AD7D6F"/>
    <w:rsid w:val="53AD0E8C"/>
    <w:rsid w:val="5549519D"/>
    <w:rsid w:val="5557596B"/>
    <w:rsid w:val="5B596DFC"/>
    <w:rsid w:val="5D1352B4"/>
    <w:rsid w:val="5DC16616"/>
    <w:rsid w:val="5DF03945"/>
    <w:rsid w:val="637C2815"/>
    <w:rsid w:val="653B34A1"/>
    <w:rsid w:val="6F5D720B"/>
    <w:rsid w:val="72200EFC"/>
    <w:rsid w:val="7A353D0B"/>
    <w:rsid w:val="7B303FA7"/>
    <w:rsid w:val="7D3A5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toc 3"/>
    <w:basedOn w:val="1"/>
    <w:next w:val="1"/>
    <w:unhideWhenUsed/>
    <w:qFormat/>
    <w:uiPriority w:val="39"/>
    <w:pPr>
      <w:ind w:left="840" w:leftChars="400"/>
    </w:pPr>
  </w:style>
  <w:style w:type="paragraph" w:styleId="14">
    <w:name w:val="Balloon Text"/>
    <w:basedOn w:val="1"/>
    <w:link w:val="52"/>
    <w:semiHidden/>
    <w:unhideWhenUsed/>
    <w:qFormat/>
    <w:uiPriority w:val="99"/>
    <w:rPr>
      <w:sz w:val="18"/>
      <w:szCs w:val="18"/>
    </w:rPr>
  </w:style>
  <w:style w:type="paragraph" w:styleId="15">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toc 1"/>
    <w:basedOn w:val="1"/>
    <w:next w:val="1"/>
    <w:unhideWhenUsed/>
    <w:qFormat/>
    <w:uiPriority w:val="39"/>
  </w:style>
  <w:style w:type="paragraph" w:styleId="18">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19">
    <w:name w:val="toc 2"/>
    <w:basedOn w:val="1"/>
    <w:next w:val="1"/>
    <w:unhideWhenUsed/>
    <w:qFormat/>
    <w:uiPriority w:val="39"/>
    <w:pPr>
      <w:ind w:left="420" w:leftChars="200"/>
    </w:pPr>
  </w:style>
  <w:style w:type="paragraph" w:styleId="20">
    <w:name w:val="Body Text First Indent"/>
    <w:basedOn w:val="12"/>
    <w:qFormat/>
    <w:uiPriority w:val="0"/>
    <w:pPr>
      <w:spacing w:after="0"/>
      <w:ind w:firstLine="200" w:firstLineChars="200"/>
    </w:pPr>
  </w:style>
  <w:style w:type="table" w:styleId="22">
    <w:name w:val="Table Grid"/>
    <w:basedOn w:val="21"/>
    <w:qFormat/>
    <w:uiPriority w:val="5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styleId="26">
    <w:name w:val="Hyperlink"/>
    <w:basedOn w:val="23"/>
    <w:unhideWhenUsed/>
    <w:qFormat/>
    <w:uiPriority w:val="99"/>
    <w:rPr>
      <w:color w:val="0000FF" w:themeColor="hyperlink"/>
      <w:u w:val="single"/>
    </w:rPr>
  </w:style>
  <w:style w:type="character" w:customStyle="1" w:styleId="27">
    <w:name w:val="标题 1 Char"/>
    <w:basedOn w:val="23"/>
    <w:link w:val="3"/>
    <w:qFormat/>
    <w:uiPriority w:val="9"/>
    <w:rPr>
      <w:rFonts w:asciiTheme="majorHAnsi" w:hAnsiTheme="majorHAnsi" w:eastAsiaTheme="majorEastAsia"/>
      <w:b/>
      <w:bCs/>
      <w:kern w:val="32"/>
      <w:sz w:val="32"/>
      <w:szCs w:val="32"/>
    </w:rPr>
  </w:style>
  <w:style w:type="character" w:customStyle="1" w:styleId="28">
    <w:name w:val="标题 2 Char"/>
    <w:basedOn w:val="23"/>
    <w:link w:val="4"/>
    <w:semiHidden/>
    <w:qFormat/>
    <w:uiPriority w:val="9"/>
    <w:rPr>
      <w:rFonts w:asciiTheme="majorHAnsi" w:hAnsiTheme="majorHAnsi" w:eastAsiaTheme="majorEastAsia"/>
      <w:b/>
      <w:bCs/>
      <w:i/>
      <w:iCs/>
      <w:sz w:val="28"/>
      <w:szCs w:val="28"/>
    </w:rPr>
  </w:style>
  <w:style w:type="character" w:customStyle="1" w:styleId="29">
    <w:name w:val="标题 3 Char"/>
    <w:basedOn w:val="23"/>
    <w:link w:val="5"/>
    <w:semiHidden/>
    <w:qFormat/>
    <w:uiPriority w:val="9"/>
    <w:rPr>
      <w:rFonts w:asciiTheme="majorHAnsi" w:hAnsiTheme="majorHAnsi" w:eastAsiaTheme="majorEastAsia"/>
      <w:b/>
      <w:bCs/>
      <w:sz w:val="26"/>
      <w:szCs w:val="26"/>
    </w:rPr>
  </w:style>
  <w:style w:type="character" w:customStyle="1" w:styleId="30">
    <w:name w:val="标题 4 Char"/>
    <w:basedOn w:val="23"/>
    <w:link w:val="6"/>
    <w:semiHidden/>
    <w:qFormat/>
    <w:uiPriority w:val="9"/>
    <w:rPr>
      <w:b/>
      <w:bCs/>
      <w:sz w:val="28"/>
      <w:szCs w:val="28"/>
    </w:rPr>
  </w:style>
  <w:style w:type="character" w:customStyle="1" w:styleId="31">
    <w:name w:val="标题 5 Char"/>
    <w:basedOn w:val="23"/>
    <w:link w:val="7"/>
    <w:semiHidden/>
    <w:qFormat/>
    <w:uiPriority w:val="9"/>
    <w:rPr>
      <w:b/>
      <w:bCs/>
      <w:i/>
      <w:iCs/>
      <w:sz w:val="26"/>
      <w:szCs w:val="26"/>
    </w:rPr>
  </w:style>
  <w:style w:type="character" w:customStyle="1" w:styleId="32">
    <w:name w:val="标题 6 Char"/>
    <w:basedOn w:val="23"/>
    <w:link w:val="8"/>
    <w:semiHidden/>
    <w:qFormat/>
    <w:uiPriority w:val="9"/>
    <w:rPr>
      <w:b/>
      <w:bCs/>
    </w:rPr>
  </w:style>
  <w:style w:type="character" w:customStyle="1" w:styleId="33">
    <w:name w:val="标题 7 Char"/>
    <w:basedOn w:val="23"/>
    <w:link w:val="9"/>
    <w:semiHidden/>
    <w:qFormat/>
    <w:uiPriority w:val="9"/>
    <w:rPr>
      <w:sz w:val="24"/>
      <w:szCs w:val="24"/>
    </w:rPr>
  </w:style>
  <w:style w:type="character" w:customStyle="1" w:styleId="34">
    <w:name w:val="标题 8 Char"/>
    <w:basedOn w:val="23"/>
    <w:link w:val="10"/>
    <w:semiHidden/>
    <w:qFormat/>
    <w:uiPriority w:val="9"/>
    <w:rPr>
      <w:i/>
      <w:iCs/>
      <w:sz w:val="24"/>
      <w:szCs w:val="24"/>
    </w:rPr>
  </w:style>
  <w:style w:type="character" w:customStyle="1" w:styleId="35">
    <w:name w:val="标题 9 Char"/>
    <w:basedOn w:val="23"/>
    <w:link w:val="11"/>
    <w:semiHidden/>
    <w:qFormat/>
    <w:uiPriority w:val="9"/>
    <w:rPr>
      <w:rFonts w:asciiTheme="majorHAnsi" w:hAnsiTheme="majorHAnsi" w:eastAsiaTheme="majorEastAsia"/>
    </w:rPr>
  </w:style>
  <w:style w:type="character" w:customStyle="1" w:styleId="36">
    <w:name w:val="标题 Char"/>
    <w:basedOn w:val="23"/>
    <w:link w:val="2"/>
    <w:qFormat/>
    <w:uiPriority w:val="10"/>
    <w:rPr>
      <w:rFonts w:asciiTheme="majorHAnsi" w:hAnsiTheme="majorHAnsi" w:eastAsiaTheme="majorEastAsia"/>
      <w:b/>
      <w:bCs/>
      <w:kern w:val="28"/>
      <w:sz w:val="32"/>
      <w:szCs w:val="32"/>
    </w:rPr>
  </w:style>
  <w:style w:type="character" w:customStyle="1" w:styleId="37">
    <w:name w:val="副标题 Char"/>
    <w:basedOn w:val="23"/>
    <w:link w:val="18"/>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link w:val="55"/>
    <w:qFormat/>
    <w:uiPriority w:val="99"/>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Char"/>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Char"/>
    <w:basedOn w:val="23"/>
    <w:link w:val="42"/>
    <w:qFormat/>
    <w:uiPriority w:val="30"/>
    <w:rPr>
      <w:b/>
      <w:i/>
      <w:sz w:val="24"/>
    </w:rPr>
  </w:style>
  <w:style w:type="character" w:customStyle="1" w:styleId="44">
    <w:name w:val="不明显强调1"/>
    <w:qFormat/>
    <w:uiPriority w:val="19"/>
    <w:rPr>
      <w:i/>
      <w:color w:val="585858" w:themeColor="text1" w:themeTint="A6"/>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Char"/>
    <w:basedOn w:val="23"/>
    <w:link w:val="16"/>
    <w:qFormat/>
    <w:uiPriority w:val="99"/>
    <w:rPr>
      <w:rFonts w:ascii="Calibri" w:hAnsi="Calibri" w:eastAsia="宋体"/>
      <w:kern w:val="2"/>
      <w:sz w:val="18"/>
      <w:szCs w:val="18"/>
    </w:rPr>
  </w:style>
  <w:style w:type="character" w:customStyle="1" w:styleId="51">
    <w:name w:val="页脚 Char"/>
    <w:basedOn w:val="23"/>
    <w:link w:val="15"/>
    <w:qFormat/>
    <w:uiPriority w:val="99"/>
    <w:rPr>
      <w:rFonts w:ascii="Calibri" w:hAnsi="Calibri" w:eastAsia="宋体"/>
      <w:kern w:val="2"/>
      <w:sz w:val="18"/>
      <w:szCs w:val="18"/>
    </w:rPr>
  </w:style>
  <w:style w:type="character" w:customStyle="1" w:styleId="52">
    <w:name w:val="批注框文本 Char"/>
    <w:basedOn w:val="23"/>
    <w:link w:val="14"/>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character" w:customStyle="1" w:styleId="55">
    <w:name w:val="列出段落 Char"/>
    <w:link w:val="39"/>
    <w:qFormat/>
    <w:locked/>
    <w:uiPriority w:val="99"/>
    <w:rPr>
      <w:rFonts w:asciiTheme="minorHAnsi" w:hAnsiTheme="minorHAnsi" w:eastAsiaTheme="minorEastAsia"/>
      <w:sz w:val="24"/>
      <w:szCs w:val="24"/>
      <w:lang w:eastAsia="en-US" w:bidi="en-US"/>
    </w:rPr>
  </w:style>
  <w:style w:type="paragraph" w:customStyle="1" w:styleId="56">
    <w:name w:val="TOC 标题2"/>
    <w:basedOn w:val="3"/>
    <w:next w:val="1"/>
    <w:semiHidden/>
    <w:unhideWhenUsed/>
    <w:qFormat/>
    <w:uiPriority w:val="39"/>
    <w:pPr>
      <w:keepLines/>
      <w:spacing w:before="480" w:after="0" w:line="276" w:lineRule="auto"/>
      <w:outlineLvl w:val="9"/>
    </w:pPr>
    <w:rPr>
      <w:rFonts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79343-8C62-445A-A301-FB7BFBCC059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1628</Words>
  <Characters>9282</Characters>
  <Lines>77</Lines>
  <Paragraphs>21</Paragraphs>
  <TotalTime>18</TotalTime>
  <ScaleCrop>false</ScaleCrop>
  <LinksUpToDate>false</LinksUpToDate>
  <CharactersWithSpaces>10889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2021-04-05T07:36:00Z</dcterms:created>
  <dc:creator>赵 恺（预算处）</dc:creator>
  <cp:lastModifiedBy>Administrator</cp:lastModifiedBy>
  <cp:lastPrinted>2021-04-05T07:45:00Z</cp:lastPrinted>
  <dcterms:modified xsi:type="dcterms:W3CDTF">2025-09-08T05:11:20Z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2FC9D7D2DFA24BC79D38C18074C6A392</vt:lpwstr>
  </property>
  <property fmtid="{D5CDD505-2E9C-101B-9397-08002B2CF9AE}" pid="4" name="KSOSaveFontToCloudKey">
    <vt:lpwstr>390855185_btnclosed</vt:lpwstr>
  </property>
</Properties>
</file>